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개인의 생애주기별 필요와 공동체의 구조적 전환</w:t>
      </w:r>
    </w:p>
    <w:p>
      <w:pPr>
        <w:pStyle w:val="Subtitle"/>
      </w:pPr>
      <w:r>
        <w:t xml:space="preserve">태재미래전략연구원 마스터플랜 P2 분석 — 생애 6단계 × 6공동체 × 4계층 매트릭스</w:t>
      </w:r>
    </w:p>
    <w:p>
      <w:pPr>
        <w:pStyle w:val="Author"/>
      </w:pPr>
      <w:r>
        <w:t xml:space="preserve">태재미래전략연구원</w:t>
      </w:r>
    </w:p>
    <w:p>
      <w:pPr>
        <w:pStyle w:val="Date"/>
      </w:pPr>
      <w:r>
        <w:t xml:space="preserve">2026년 6월</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초록"/>
    <w:p>
      <w:pPr>
        <w:pStyle w:val="Heading1"/>
      </w:pPr>
      <w:r>
        <w:t xml:space="preserve">초록</w:t>
      </w:r>
    </w:p>
    <w:p>
      <w:pPr>
        <w:pStyle w:val="FirstParagraph"/>
      </w:pPr>
      <w:r>
        <w:t xml:space="preserve">본 보고서는 태재미래전략연구원 마스터플랜의 핵심 명제인 P2(</w:t>
      </w:r>
      <w:r>
        <w:t xml:space="preserve">“개인이 시대마다 다른 것을 필요로 했고, 그 필요가 공동체의 모양을 바꿔 왔다”</w:t>
      </w:r>
      <w:r>
        <w:t xml:space="preserve">)를 학제적으로 분석한다. 분석 틀은 생애 6단계(태아·영아 → 유아·아동 → 청소년 → 청년 → 중장년 → 노년), 6공동체(가정·이웃·마을·도시·국가·세계), 그리고 4계층(리더·프로·아마·소외)으로 구성된 3차원 매트릭스다. 브론펜브레너의 생태체계이론, 에릭슨의 심리사회적 발달 8단계론, 센과 누스바움의 역량접근법, 부르디외의 자본이론, 오스트롬의 다층거버넌스론, 퍼트넘의 사회자본론, 기든스의 성찰적 근대성, 에스핑안데르센의 복지국가 레짐론, 폴라니의 대전환론, 마이클 영의 능력주의 비판 등 주요 사회이론을 P2의 실제 데이터에 연결하여 해석한다. 분석 결과, 농업 시대의 생존·신분 중심 공동체, 산업화 시대의 표준·획일화 중심 공동체, 디지털 시대의 정체성 실현 중심 공동체로의 전환은 단순한 기술 변화가 아니라 개인의 생애주기적 필요 구조가 공동체의 형태와 역할을 재편하는 내생적 과정임을 논증한다.</w:t>
      </w:r>
    </w:p>
    <w:p>
      <w:pPr>
        <w:pStyle w:val="BodyText"/>
      </w:pPr>
      <w:r>
        <w:rPr>
          <w:b/>
          <w:bCs/>
        </w:rPr>
        <w:t xml:space="preserve">키워드</w:t>
      </w:r>
      <w:r>
        <w:t xml:space="preserve">: 생애주기, 공동체 전환, 역량접근법, 생태체계이론, 사회적 자본, 디지털 전환, 4계층 격차</w:t>
      </w:r>
    </w:p>
    <w:p>
      <w:r>
        <w:pict>
          <v:rect style="width:0;height:1.5pt" o:hralign="center" o:hrstd="t" o:hr="t"/>
        </w:pict>
      </w:r>
    </w:p>
    <w:bookmarkEnd w:id="9"/>
    <w:bookmarkStart w:id="10" w:name="서론-왜-개인의-생애주기적-필요가-사회구성의-핵심-단위인가"/>
    <w:p>
      <w:pPr>
        <w:pStyle w:val="Heading1"/>
      </w:pPr>
      <w:r>
        <w:t xml:space="preserve">1. 서론: 왜 ’개인의 생애주기적 필요’가 사회구성의 핵심 단위인가</w:t>
      </w:r>
    </w:p>
    <w:p>
      <w:pPr>
        <w:pStyle w:val="FirstParagraph"/>
      </w:pPr>
      <w:r>
        <w:t xml:space="preserve">사회과학은 오랫동안 공동체의 형태를 독립변수로, 개인의 삶을 종속변수로 다루어 왔다. 국가가 제도를 설계하고, 시장이 인센티브를 부여하며, 가족이 규범을 전수한다는 하향식 패러다임이 지배적이었다. 그러나 태재미래전략연구원의 마스터플랜 P2는 이 인과 방향을 역전시키는 명제를 제시한다:</w:t>
      </w:r>
      <w:r>
        <w:t xml:space="preserve"> </w:t>
      </w:r>
      <w:r>
        <w:rPr>
          <w:b/>
          <w:bCs/>
        </w:rPr>
        <w:t xml:space="preserve">“개인이 시대마다 다른 것을 필요로 했고, 그 필요가 공동체의 모양을 바꿔 왔다.”</w:t>
      </w:r>
    </w:p>
    <w:p>
      <w:pPr>
        <w:pStyle w:val="BodyText"/>
      </w:pPr>
      <w:r>
        <w:t xml:space="preserve">이 명제는 단순한 수사가 아니다. 인류학적으로, 농업 공동체의 씨족·촌락 구조는 대를 잇고 토지를 지켜야 하는 개인의 생존 필요에서 배태되었다. 산업화 시대의 학교·공장·복지국가는 표준화된 노동력을 필요로 하는 산업 경제와, 좋은 일자리를 얻으려는 개인의 욕구가 맞물려 형성되었다. 디지털 시대의 플랫폼·프로젝트 공동체는 저마다의 정체성을 발휘하고자 하는 개인의 필요가 추동하고 있다. 이 세 전환 모두에서 공동체의 형태 변화를 이끈 최초의 동력은 개인의 생애주기적 필요였다.</w:t>
      </w:r>
    </w:p>
    <w:p>
      <w:pPr>
        <w:pStyle w:val="BodyText"/>
      </w:pPr>
      <w:r>
        <w:t xml:space="preserve">이러한 관점은 Karl Polanyi(1944)가 『거대한 전환』에서 제시한</w:t>
      </w:r>
      <w:r>
        <w:t xml:space="preserve"> </w:t>
      </w:r>
      <w:r>
        <w:t xml:space="preserve">‘이중운동(double movement)’</w:t>
      </w:r>
      <w:r>
        <w:t xml:space="preserve">—시장의 자기조정 논리에 맞서 사회가 스스로를 보호하려는 반운동—과 상통한다. 폴라니에게 시장은 사회에서 탈각된(dis-embedded) 것이 아니라 항상 사회적 관계 속에 재착근(re-embedding)되어야 했다. P2의 시대 전환 역시 개인의 생애주기적 필요가 공동체라는 사회적 구조로 재착근되는 과정으로 읽을 수 있다.</w:t>
      </w:r>
    </w:p>
    <w:p>
      <w:pPr>
        <w:pStyle w:val="BodyText"/>
      </w:pPr>
      <w:r>
        <w:t xml:space="preserve">본 보고서는 다음의 순서로 논의를 전개한다. 제2절에서는 P2 분석에 동원할 주요 이론적 배경을 검토하고, 제3절에서는 생애 6단계 × 6공동체 × 4계층의 분석 틀을 구성한다. 제4절에서는 농업·산업화·디지털 3시대의 공동체 역할 전환을 비교한다. 제5절에서는 각 생애단계의 필요와 계층 격차를 심화 분석하고, 제6절에서는 디지털 전환의 함의를 논한다. 제7절은 정책적 함의와 한계, 결론으로 마무리한다.</w:t>
      </w:r>
    </w:p>
    <w:p>
      <w:r>
        <w:pict>
          <v:rect style="width:0;height:1.5pt" o:hralign="center" o:hrstd="t" o:hr="t"/>
        </w:pict>
      </w:r>
    </w:p>
    <w:bookmarkEnd w:id="10"/>
    <w:bookmarkStart w:id="20" w:name="이론적-배경"/>
    <w:p>
      <w:pPr>
        <w:pStyle w:val="Heading1"/>
      </w:pPr>
      <w:r>
        <w:t xml:space="preserve">2. 이론적 배경</w:t>
      </w:r>
    </w:p>
    <w:bookmarkStart w:id="11" w:name="브론펜브레너의-생태체계이론과-p2의-6공동체"/>
    <w:p>
      <w:pPr>
        <w:pStyle w:val="Heading2"/>
      </w:pPr>
      <w:r>
        <w:t xml:space="preserve">2.1 브론펜브레너의 생태체계이론과 P2의 6공동체</w:t>
      </w:r>
    </w:p>
    <w:p>
      <w:pPr>
        <w:pStyle w:val="FirstParagraph"/>
      </w:pPr>
      <w:r>
        <w:t xml:space="preserve">Urie Bronfenbrenner(1979)의 생태체계이론(Bioecological Model)은 인간 발달을 미시체계(microsystem)·중간체계(mesosystem)·외체계(exosystem)·거시체계(macrosystem)·시간체계(chronosystem)의 중첩 구조로 파악한다. P2의 6공동체—가정·이웃·마을·도시·국가·세계—는 이 다층 체계와 정확히 대응한다. 가정은 개인이 직접 상호작용하는 미시체계이며, 이웃과 마을은 미시체계들이 연결되는 중간체계이자 근린 생활권이다. 도시는 개인이 직접 참여하지 않지만 삶에 영향을 미치는 외체계, 국가는 규범·제도·이념을 제공하는 거시체계, 세계는 시간적·역사적 변화 패턴을 담은 시간체계에 해당한다.</w:t>
      </w:r>
    </w:p>
    <w:p>
      <w:pPr>
        <w:pStyle w:val="BodyText"/>
      </w:pPr>
      <w:r>
        <w:t xml:space="preserve">브론펜브레너 이론의 핵심 통찰은</w:t>
      </w:r>
      <w:r>
        <w:t xml:space="preserve"> </w:t>
      </w:r>
      <w:r>
        <w:t xml:space="preserve">‘근위 과정(proximal processes)’</w:t>
      </w:r>
      <w:r>
        <w:t xml:space="preserve">—즉 개인이 가까운 환경과 지속적으로 나누는 상호작용이 발달의 원동력이라는 점—이다. P2 데이터에서 디지털 시대의 공동체 전환이 가정·이웃·마을의 역할을 강화하는 방향으로 나타나는 것(예: 태아·영아 단계에서 가정의</w:t>
      </w:r>
      <w:r>
        <w:t xml:space="preserve"> </w:t>
      </w:r>
      <w:r>
        <w:t xml:space="preserve">‘단서 관찰·기록’</w:t>
      </w:r>
      <w:r>
        <w:t xml:space="preserve"> </w:t>
      </w:r>
      <w:r>
        <w:t xml:space="preserve">역할, 이웃의</w:t>
      </w:r>
      <w:r>
        <w:t xml:space="preserve"> </w:t>
      </w:r>
      <w:r>
        <w:t xml:space="preserve">‘관계 실험·흥미 발견’</w:t>
      </w:r>
      <w:r>
        <w:t xml:space="preserve"> </w:t>
      </w:r>
      <w:r>
        <w:t xml:space="preserve">역할 복원)은 브론펜브레너가 강조한 근위 과정의 중요성을 제도 설계로 구현하는 것이다.</w:t>
      </w:r>
    </w:p>
    <w:bookmarkEnd w:id="11"/>
    <w:bookmarkStart w:id="12" w:name="에릭슨의-심리사회적-발달과-p2-생애-6단계"/>
    <w:p>
      <w:pPr>
        <w:pStyle w:val="Heading2"/>
      </w:pPr>
      <w:r>
        <w:t xml:space="preserve">2.2 에릭슨의 심리사회적 발달과 P2 생애 6단계</w:t>
      </w:r>
    </w:p>
    <w:p>
      <w:pPr>
        <w:pStyle w:val="FirstParagraph"/>
      </w:pPr>
      <w:r>
        <w:t xml:space="preserve">Erik Erikson(1950)의 『아동기와 사회(Childhood and Society)』는 인간의 발달을 8단계의 심리사회적 위기(psychosocial crisis)로 파악한다: 신뢰 대 불신(영아), 자율 대 수치(유아), 주도성 대 죄의식(아동), 근면성 대 열등감(학령기), 정체성 대 역할 혼미(청소년), 친밀감 대 고립(청년), 생산성 대 침체(중장년), 자아통합 대 절망(노년). P2의 생애 6단계—단서 드러남(태아·영아), 발견·실험(유아·아동), 훈련·방향 정함(청소년), 발휘(청년), 재설계·확장(중장년), 전수·연결(노년)—는 에릭슨의 위기 목록과 긴밀히 공명한다.</w:t>
      </w:r>
    </w:p>
    <w:p>
      <w:pPr>
        <w:pStyle w:val="BodyText"/>
      </w:pPr>
      <w:r>
        <w:t xml:space="preserve">특히 에릭슨의</w:t>
      </w:r>
      <w:r>
        <w:t xml:space="preserve"> </w:t>
      </w:r>
      <w:r>
        <w:t xml:space="preserve">‘정체성 대 역할 혼미’</w:t>
      </w:r>
      <w:r>
        <w:t xml:space="preserve"> </w:t>
      </w:r>
      <w:r>
        <w:t xml:space="preserve">위기는 청소년기에 집중되는데, P2 데이터에서 산업화 시대 청소년의 필요(</w:t>
      </w:r>
      <w:r>
        <w:t xml:space="preserve">“입시 경쟁에서 좋은 성적과 상급 학교 진학”</w:t>
      </w:r>
      <w:r>
        <w:t xml:space="preserve">)는 이 정체성 위기를 점수 경쟁으로 압착시킨다. 반면 디지털 시대의 청소년 필요(</w:t>
      </w:r>
      <w:r>
        <w:t xml:space="preserve">“기여가 큰 강점을 골라 훈련하고 방향 정하기”</w:t>
      </w:r>
      <w:r>
        <w:t xml:space="preserve">)는 에릭슨이 제안한 진정한 정체성 탐색—다양한 역할 실험을 통한 자아의 통합—을 가능하게 하는 조건을 만든다. 또한 에릭슨의</w:t>
      </w:r>
      <w:r>
        <w:t xml:space="preserve"> </w:t>
      </w:r>
      <w:r>
        <w:t xml:space="preserve">‘생산성 대 침체’</w:t>
      </w:r>
      <w:r>
        <w:t xml:space="preserve"> </w:t>
      </w:r>
      <w:r>
        <w:t xml:space="preserve">위기는 중장년기를 가리키는데, P2는 이 단계의 디지털 시대 과업을</w:t>
      </w:r>
      <w:r>
        <w:t xml:space="preserve"> </w:t>
      </w:r>
      <w:r>
        <w:t xml:space="preserve">“강점을 재설계하고 확장”</w:t>
      </w:r>
      <w:r>
        <w:t xml:space="preserve">하는 것으로 설정함으로써 침체를 방지하는 사회적 조건의 필요성을 명시한다.</w:t>
      </w:r>
    </w:p>
    <w:bookmarkEnd w:id="12"/>
    <w:bookmarkStart w:id="13" w:name="센과-누스바움의-역량접근법과-소외-계층"/>
    <w:p>
      <w:pPr>
        <w:pStyle w:val="Heading2"/>
      </w:pPr>
      <w:r>
        <w:t xml:space="preserve">2.3 센과 누스바움의 역량접근법과 소외 계층</w:t>
      </w:r>
    </w:p>
    <w:p>
      <w:pPr>
        <w:pStyle w:val="FirstParagraph"/>
      </w:pPr>
      <w:r>
        <w:t xml:space="preserve">Amartya Sen(1999)의 『자유로서의 발전(Development as Freedom)』과 Martha Nussbaum(2011)의 역량 목록론은 인간 번영을 자원의 보유가 아니라 ’할 수 있음(capability)’의 실현 여부로 측정한다. 역량접근법은 동일한 자원이라도 개인의 전환 능력(conversion factor)—성별, 장애, 사회적 지위 등—에 따라 실제로 발휘될 수 있는 기능(functioning)이 달라진다고 주장한다.</w:t>
      </w:r>
    </w:p>
    <w:p>
      <w:pPr>
        <w:pStyle w:val="BodyText"/>
      </w:pPr>
      <w:r>
        <w:t xml:space="preserve">P2의 4계층 중</w:t>
      </w:r>
      <w:r>
        <w:t xml:space="preserve"> </w:t>
      </w:r>
      <w:r>
        <w:t xml:space="preserve">‘소외(margin)’</w:t>
      </w:r>
      <w:r>
        <w:t xml:space="preserve"> </w:t>
      </w:r>
      <w:r>
        <w:t xml:space="preserve">계층의 서술은 역량접근법의 언어로 정확히 해석된다. 태아·영아 단계의 소외 계층은</w:t>
      </w:r>
      <w:r>
        <w:t xml:space="preserve"> </w:t>
      </w:r>
      <w:r>
        <w:t xml:space="preserve">“데이터·관찰이 닿지 않는 아이”</w:t>
      </w:r>
      <w:r>
        <w:t xml:space="preserve">이며, 유아·아동 단계의 소외는</w:t>
      </w:r>
      <w:r>
        <w:t xml:space="preserve"> </w:t>
      </w:r>
      <w:r>
        <w:t xml:space="preserve">“발견을 도울 환경이 없는 아이”</w:t>
      </w:r>
      <w:r>
        <w:t xml:space="preserve">, 청소년 단계의 소외는</w:t>
      </w:r>
      <w:r>
        <w:t xml:space="preserve"> </w:t>
      </w:r>
      <w:r>
        <w:t xml:space="preserve">“훈련에서 단절된 청소년”</w:t>
      </w:r>
      <w:r>
        <w:t xml:space="preserve">, 청년 단계의 소외는</w:t>
      </w:r>
      <w:r>
        <w:t xml:space="preserve"> </w:t>
      </w:r>
      <w:r>
        <w:t xml:space="preserve">“취업시장에서 배제된”</w:t>
      </w:r>
      <w:r>
        <w:t xml:space="preserve"> </w:t>
      </w:r>
      <w:r>
        <w:t xml:space="preserve">사람이다. 이들은 자원이 없는 것이 아니라—누구나 잠재적 강점을 지니고 태어난다고 P2 데이터는 명시한다—공동체가 역량 발현의 전환 조건을 제공하지 못한 결과 기능으로 전환되지 못한 역량을 지닌 존재들이다.</w:t>
      </w:r>
    </w:p>
    <w:p>
      <w:pPr>
        <w:pStyle w:val="BodyText"/>
      </w:pPr>
      <w:r>
        <w:t xml:space="preserve">James Heckman(2006)의 아동 초기 투자 수익률 연구는 이 역량접근법에 경제적 근거를 더한다. 헥만은 생애 초기 1000일의 투자가 이후 어떤 시기의 투자보다 높은 사회적 수익률을 산출함을 실증했다. P2가 태아·영아 단계에서 소외 계층을 향한</w:t>
      </w:r>
      <w:r>
        <w:t xml:space="preserve"> </w:t>
      </w:r>
      <w:r>
        <w:t xml:space="preserve">“국가가 먼저 찾아 기초 돌봄과 접근을 보장”</w:t>
      </w:r>
      <w:r>
        <w:t xml:space="preserve">하는 역할을 명시한 것은 이 경제학적 합리성과도 일치한다.</w:t>
      </w:r>
    </w:p>
    <w:bookmarkEnd w:id="13"/>
    <w:bookmarkStart w:id="14" w:name="오스트롬의-다층-거버넌스와-공동체-역할-분담"/>
    <w:p>
      <w:pPr>
        <w:pStyle w:val="Heading2"/>
      </w:pPr>
      <w:r>
        <w:t xml:space="preserve">2.4 오스트롬의 다층 거버넌스와 공동체 역할 분담</w:t>
      </w:r>
    </w:p>
    <w:p>
      <w:pPr>
        <w:pStyle w:val="FirstParagraph"/>
      </w:pPr>
      <w:r>
        <w:t xml:space="preserve">Elinor Ostrom(1990, 2009)의 다층 거버넌스(polycentric governance) 이론은 공유자원의 관리를 국가 규제와 시장 민영화 이분법을 넘어 중간 규모 자치 공동체들의 중첩적 층위로 다룬다. 오스트롬은 공동 자원 관리에 성공한 공동체들이 명확한 경계, 사용자 참여 규칙, 분쟁 해결 메커니즘 등의 설계 원리를 공유함을 발견했다.</w:t>
      </w:r>
    </w:p>
    <w:p>
      <w:pPr>
        <w:pStyle w:val="BodyText"/>
      </w:pPr>
      <w:r>
        <w:t xml:space="preserve">P2의 6공동체 역할 분담—</w:t>
      </w:r>
      <w:r>
        <w:t xml:space="preserve">“개인이 생애단계·위험에 따라 필요한 만큼 맡겼다가, 스스로 감당할 수 있게 되면 거둔다”</w:t>
      </w:r>
      <w:r>
        <w:t xml:space="preserve">—은 오스트롬의 다층 거버넌스 원리를 생애주기에 적용한 것이다. 각 공동체는 자신이 가장 잘 다룰 수 있는 생애 문제의 영역을 맡으며(가정: 단서 발견, 이웃: 관계 실험, 마을: 훈련 연결, 도시: 발휘 무대, 국가: 안전망과 조율, 세계: 공동 위험 관리), 어느 한 층위가 모든 것을 독점하지 않는다. 이는 산업화 시대의 중앙 집중형 국가 관리(</w:t>
      </w:r>
      <w:r>
        <w:t xml:space="preserve">“표준 제도·복지·고용을 중앙 관리”</w:t>
      </w:r>
      <w:r>
        <w:t xml:space="preserve">)와 구조적으로 대비된다.</w:t>
      </w:r>
    </w:p>
    <w:bookmarkEnd w:id="14"/>
    <w:bookmarkStart w:id="15" w:name="부르디외의-자본이론과-p2-4계층"/>
    <w:p>
      <w:pPr>
        <w:pStyle w:val="Heading2"/>
      </w:pPr>
      <w:r>
        <w:t xml:space="preserve">2.5 부르디외의 자본이론과 P2 4계층</w:t>
      </w:r>
    </w:p>
    <w:p>
      <w:pPr>
        <w:pStyle w:val="FirstParagraph"/>
      </w:pPr>
      <w:r>
        <w:t xml:space="preserve">Pierre Bourdieu(1986)는 사회적 불평등을 경제자본, 문화자본, 사회자본의 삼중 구조로 설명한다. 아비투스(habitus)—특정 계층의 삶의 조건이 신체화된 성향 체계—는 개인이 장(field) 안에서 어떤 전략을 취할 수 있는지를 선규정한다.</w:t>
      </w:r>
    </w:p>
    <w:p>
      <w:pPr>
        <w:pStyle w:val="BodyText"/>
      </w:pPr>
      <w:r>
        <w:t xml:space="preserve">P2의 4계층(리더·프로·아마·소외)은 부르디외적 자본 분포의 불균등성을 생애주기 전반에 걸쳐 추적한다. 유아·아동 단계에서 리더 계층은</w:t>
      </w:r>
      <w:r>
        <w:t xml:space="preserve"> </w:t>
      </w:r>
      <w:r>
        <w:t xml:space="preserve">“이웃·마을의 폭넓은 체험 속에서 강점이 또렷해지고”</w:t>
      </w:r>
      <w:r>
        <w:t xml:space="preserve"> </w:t>
      </w:r>
      <w:r>
        <w:t xml:space="preserve">실험이 가능하지만, 소외 계층은</w:t>
      </w:r>
      <w:r>
        <w:t xml:space="preserve"> </w:t>
      </w:r>
      <w:r>
        <w:t xml:space="preserve">“발견을 도울 환경이 없는 아이”</w:t>
      </w:r>
      <w:r>
        <w:t xml:space="preserve">로 남는다. 이 차이는 문화자본(체험·교육 자원)과 사회자본(관계망)의 격차가 생애 초기부터 구조화됨을 보여준다. 중장년기에 이르면 리더는</w:t>
      </w:r>
      <w:r>
        <w:t xml:space="preserve"> </w:t>
      </w:r>
      <w:r>
        <w:t xml:space="preserve">“쌓인 경험과 데이터로 새 영역까지 영향력을 확장”</w:t>
      </w:r>
      <w:r>
        <w:t xml:space="preserve">하지만, 소외 계층은</w:t>
      </w:r>
      <w:r>
        <w:t xml:space="preserve"> </w:t>
      </w:r>
      <w:r>
        <w:t xml:space="preserve">“실직·경력 단절이 곧 사회적 퇴출로 이어져 회복이 어렵다”</w:t>
      </w:r>
      <w:r>
        <w:t xml:space="preserve">는 서술은 아비투스의 재생산—불평등이 세대에 걸쳐 구조적으로 재생산되는 메커니즘—을 정확히 묘사한다.</w:t>
      </w:r>
    </w:p>
    <w:bookmarkEnd w:id="15"/>
    <w:bookmarkStart w:id="16" w:name="마이클-영의-능력주의-비판과-산업화-시대의-줄세우기"/>
    <w:p>
      <w:pPr>
        <w:pStyle w:val="Heading2"/>
      </w:pPr>
      <w:r>
        <w:t xml:space="preserve">2.6 마이클 영의 능력주의 비판과 산업화 시대의 줄세우기</w:t>
      </w:r>
    </w:p>
    <w:p>
      <w:pPr>
        <w:pStyle w:val="FirstParagraph"/>
      </w:pPr>
      <w:r>
        <w:t xml:space="preserve">Michael Young(1958)의 『능력주의의 부상(The Rise of the Meritocracy)』은 시험 성적과 능력으로 지위를 배분하는 능력주의가 새로운 형태의 정당화된 불평등을 낳는다고 경고했다. 능력주의 하에서 실패는 더 이상 구조의 문제가 아니라 개인의 능력 부족으로 귀속되어 소외 계층에게 이중의 고통을 부과한다.</w:t>
      </w:r>
    </w:p>
    <w:p>
      <w:pPr>
        <w:pStyle w:val="BodyText"/>
      </w:pPr>
      <w:r>
        <w:t xml:space="preserve">P2 데이터에서 산업화 시대의 공동체 역할은 이 능력주의 논리를 노골적으로 구현한다. 도시는</w:t>
      </w:r>
      <w:r>
        <w:t xml:space="preserve"> </w:t>
      </w:r>
      <w:r>
        <w:t xml:space="preserve">“학력·직업·소득으로 서열화”</w:t>
      </w:r>
      <w:r>
        <w:t xml:space="preserve">하고, 국가는</w:t>
      </w:r>
      <w:r>
        <w:t xml:space="preserve"> </w:t>
      </w:r>
      <w:r>
        <w:t xml:space="preserve">“표준 교육·복지·고용 정책으로 획일적으로 관리”</w:t>
      </w:r>
      <w:r>
        <w:t xml:space="preserve">한다. 청소년의 산업화 시대 필요(</w:t>
      </w:r>
      <w:r>
        <w:t xml:space="preserve">“입시 경쟁에서 좋은 성적”</w:t>
      </w:r>
      <w:r>
        <w:t xml:space="preserve">)는 영이 비판한</w:t>
      </w:r>
      <w:r>
        <w:t xml:space="preserve"> </w:t>
      </w:r>
      <w:r>
        <w:t xml:space="preserve">‘시험이 삶을 재단하는’</w:t>
      </w:r>
      <w:r>
        <w:t xml:space="preserve"> </w:t>
      </w:r>
      <w:r>
        <w:t xml:space="preserve">사회의 전형이다. 청년의 경우 프로 계층조차</w:t>
      </w:r>
      <w:r>
        <w:t xml:space="preserve"> </w:t>
      </w:r>
      <w:r>
        <w:t xml:space="preserve">“조직이 정한 직무에 강점을 맞추는”</w:t>
      </w:r>
      <w:r>
        <w:t xml:space="preserve"> </w:t>
      </w:r>
      <w:r>
        <w:t xml:space="preserve">구조에서 벗어나지 못하며, 소외 계층은</w:t>
      </w:r>
      <w:r>
        <w:t xml:space="preserve"> </w:t>
      </w:r>
      <w:r>
        <w:t xml:space="preserve">“취업시장에서 배제되면 사회에 기여할 통로 자체가 닫히는”</w:t>
      </w:r>
      <w:r>
        <w:t xml:space="preserve"> </w:t>
      </w:r>
      <w:r>
        <w:t xml:space="preserve">상황에 처한다. P2의 디지털 전환은 이 능력주의 서열화를 ’기여 기반 평가’로 대체하려는 시도로 읽힌다.</w:t>
      </w:r>
    </w:p>
    <w:bookmarkEnd w:id="16"/>
    <w:bookmarkStart w:id="17" w:name="퍼트넘의-사회자본론과-공동체-약화"/>
    <w:p>
      <w:pPr>
        <w:pStyle w:val="Heading2"/>
      </w:pPr>
      <w:r>
        <w:t xml:space="preserve">2.7 퍼트넘의 사회자본론과 공동체 약화</w:t>
      </w:r>
    </w:p>
    <w:p>
      <w:pPr>
        <w:pStyle w:val="FirstParagraph"/>
      </w:pPr>
      <w:r>
        <w:t xml:space="preserve">Robert Putnam(2000)은 『나 홀로 볼링(Bowling Alone)』에서 결속형 사회자본(bonding social capital—동질 집단 내 강한 유대)과 가교형 사회자본(bridging social capital—이질 집단을 연결하는 약한 유대)을 구분하며, 산업화 이후 미국 사회에서 사회적 자본이 급격히 쇠퇴했음을 실증했다.</w:t>
      </w:r>
    </w:p>
    <w:p>
      <w:pPr>
        <w:pStyle w:val="BodyText"/>
      </w:pPr>
      <w:r>
        <w:t xml:space="preserve">P2 데이터에서 이웃 공동체의 산업화 시대 서술—</w:t>
      </w:r>
      <w:r>
        <w:t xml:space="preserve">“개인이 표준 제도로 흡수되며, 돌봄을 나누던 관계가 흩어진다”</w:t>
      </w:r>
      <w:r>
        <w:t xml:space="preserve">—은 퍼트넘이 진단한 사회자본 붕괴를 공동체 단위에서 포착한 것이다. 마을 역시</w:t>
      </w:r>
      <w:r>
        <w:t xml:space="preserve"> </w:t>
      </w:r>
      <w:r>
        <w:t xml:space="preserve">“생활공동체 기능이 도시로 흡수됨”</w:t>
      </w:r>
      <w:r>
        <w:t xml:space="preserve">으로써 가교형 사회자본의 핵심 터전이 공동화된다. 반면 디지털 시대의 이웃은</w:t>
      </w:r>
      <w:r>
        <w:t xml:space="preserve"> </w:t>
      </w:r>
      <w:r>
        <w:t xml:space="preserve">“정체성을 실험할 관계를 여는 일상망”</w:t>
      </w:r>
      <w:r>
        <w:t xml:space="preserve">으로 재정의되며, 이는 퍼트넘이 강조한 가교형 사회자본의 재건—단순한 이웃 관계를 넘어 다양한 관심사와 정체성을 가진 사람들이 연결되는 공간—과 일치한다.</w:t>
      </w:r>
    </w:p>
    <w:bookmarkEnd w:id="17"/>
    <w:bookmarkStart w:id="18" w:name="기든스의-성찰적-자아정체성과-디지털-시대"/>
    <w:p>
      <w:pPr>
        <w:pStyle w:val="Heading2"/>
      </w:pPr>
      <w:r>
        <w:t xml:space="preserve">2.8 기든스의 성찰적 자아정체성과 디지털 시대</w:t>
      </w:r>
    </w:p>
    <w:p>
      <w:pPr>
        <w:pStyle w:val="FirstParagraph"/>
      </w:pPr>
      <w:r>
        <w:t xml:space="preserve">Anthony Giddens(1991)는 『근대성과 자아정체성(Modernity and Self-Identity)』에서 후기근대 사회의 개인이 전통과 주어진 역할에서 벗어나 자신의 정체성을 성찰적으로 구성해야 한다는</w:t>
      </w:r>
      <w:r>
        <w:t xml:space="preserve"> </w:t>
      </w:r>
      <w:r>
        <w:t xml:space="preserve">‘성찰적 근대성’</w:t>
      </w:r>
      <w:r>
        <w:t xml:space="preserve"> </w:t>
      </w:r>
      <w:r>
        <w:t xml:space="preserve">테제를 제시한다. 자아정체성은 이제 주어지는 것이 아니라 개인이 지속적으로 선택하고 협상해야 하는 ’성찰적 기획(reflexive project)’이 된다.</w:t>
      </w:r>
    </w:p>
    <w:p>
      <w:pPr>
        <w:pStyle w:val="BodyText"/>
      </w:pPr>
      <w:r>
        <w:t xml:space="preserve">P2의 디지털 시대 핵심 명제—</w:t>
      </w:r>
      <w:r>
        <w:t xml:space="preserve">“저마다 다른 정체성을 발휘하는 것이 목표”</w:t>
      </w:r>
      <w:r>
        <w:t xml:space="preserve">—는 기든스의 성찰적 자아정체성 테제를 사회 설계의 언어로 구체화한 것이다. 디지털 시대 청년의 과업(</w:t>
      </w:r>
      <w:r>
        <w:t xml:space="preserve">“강점을 실제 기여로 발휘”</w:t>
      </w:r>
      <w:r>
        <w:t xml:space="preserve">), 중장년의 과업(</w:t>
      </w:r>
      <w:r>
        <w:t xml:space="preserve">“강점을 재설계하고 확장”</w:t>
      </w:r>
      <w:r>
        <w:t xml:space="preserve">), 노년의 과업(</w:t>
      </w:r>
      <w:r>
        <w:t xml:space="preserve">“강점을 전수하고 세대를 연결”</w:t>
      </w:r>
      <w:r>
        <w:t xml:space="preserve">)은 모두 정체성의 성찰적 재구성을 전제한다. 기든스가 강조한</w:t>
      </w:r>
      <w:r>
        <w:t xml:space="preserve"> </w:t>
      </w:r>
      <w:r>
        <w:t xml:space="preserve">‘존재론적 안전(ontological security)’</w:t>
      </w:r>
      <w:r>
        <w:t xml:space="preserve">—즉 정체성의 연속성을 유지하는 심리적 토대—은 P2에서 가정과 이웃이 각 전환기마다 제공해야 하는 지지 기능으로 반영된다.</w:t>
      </w:r>
    </w:p>
    <w:bookmarkEnd w:id="18"/>
    <w:bookmarkStart w:id="19" w:name="에스핑안데르센의-복지국가-레짐과-국가-공동체"/>
    <w:p>
      <w:pPr>
        <w:pStyle w:val="Heading2"/>
      </w:pPr>
      <w:r>
        <w:t xml:space="preserve">2.9 에스핑안데르센의 복지국가 레짐과 국가 공동체</w:t>
      </w:r>
    </w:p>
    <w:p>
      <w:pPr>
        <w:pStyle w:val="FirstParagraph"/>
      </w:pPr>
      <w:r>
        <w:t xml:space="preserve">Gøsta Esping-Andersen(1990)의 『복지자본주의의 세 세계(The Three Worlds of Welfare Capitalism)』는 복지국가를 자유주의·보수주의(조합주의)·사회민주주의 레짐으로 유형화하며, 각 레짐이 생애과정(life course)의 위험을 어떻게 탈상품화(de-commodification)하는지 분석한다. 이후 에스핑안데르센(1999)은 지식경제 시대의 복지국가가 인적자본 형성을 중심으로 재편되어야 함을 주장했다.</w:t>
      </w:r>
    </w:p>
    <w:p>
      <w:pPr>
        <w:pStyle w:val="BodyText"/>
      </w:pPr>
      <w:r>
        <w:t xml:space="preserve">P2 데이터에서 국가의 산업화 시대 역할—</w:t>
      </w:r>
      <w:r>
        <w:t xml:space="preserve">“표준 제도·복지·고용을 중앙 관리”</w:t>
      </w:r>
      <w:r>
        <w:t xml:space="preserve">—은 에스핑안데르센의 조합주의 또는 사회민주주의 레짐의 논리와 일치하지만, 그 한계 역시 노출한다. 산업화 시대 국가는</w:t>
      </w:r>
      <w:r>
        <w:t xml:space="preserve"> </w:t>
      </w:r>
      <w:r>
        <w:t xml:space="preserve">“전 단계를 표준 제도로 일괄 관리, 단계 구분 없음”</w:t>
      </w:r>
      <w:r>
        <w:t xml:space="preserve">이라는 서술처럼 생애주기의 질적 차이를 무시한 평준화 위험을 안는다. 반면 디지털 시대 국가는</w:t>
      </w:r>
      <w:r>
        <w:t xml:space="preserve"> </w:t>
      </w:r>
      <w:r>
        <w:t xml:space="preserve">“도시들의 실험을 조율하고, 최소 권리선과 공통 위험 규칙을 세운다”</w:t>
      </w:r>
      <w:r>
        <w:t xml:space="preserve">는 역할로 전환되는데, 이는 에스핑안데르센이 지식경제 복지국가에서 강조한</w:t>
      </w:r>
      <w:r>
        <w:t xml:space="preserve"> </w:t>
      </w:r>
      <w:r>
        <w:t xml:space="preserve">‘사회적 투자(social investment)’</w:t>
      </w:r>
      <w:r>
        <w:t xml:space="preserve"> </w:t>
      </w:r>
      <w:r>
        <w:t xml:space="preserve">패러다임—사후 보상이 아니라 역량 형성에 선제 투자—과 조응한다.</w:t>
      </w:r>
    </w:p>
    <w:p>
      <w:r>
        <w:pict>
          <v:rect style="width:0;height:1.5pt" o:hralign="center" o:hrstd="t" o:hr="t"/>
        </w:pict>
      </w:r>
    </w:p>
    <w:bookmarkEnd w:id="19"/>
    <w:bookmarkEnd w:id="20"/>
    <w:bookmarkStart w:id="24" w:name="분석-틀-생애-6단계-6공동체-4계층-매트릭스"/>
    <w:p>
      <w:pPr>
        <w:pStyle w:val="Heading1"/>
      </w:pPr>
      <w:r>
        <w:t xml:space="preserve">3. 분석 틀: 생애 6단계 × 6공동체 × 4계층 매트릭스</w:t>
      </w:r>
    </w:p>
    <w:bookmarkStart w:id="21" w:name="생애-6단계와-디지털-시대-정체성-과정"/>
    <w:p>
      <w:pPr>
        <w:pStyle w:val="Heading2"/>
      </w:pPr>
      <w:r>
        <w:t xml:space="preserve">3.1 생애 6단계와 디지털 시대 정체성 과정</w:t>
      </w:r>
    </w:p>
    <w:p>
      <w:pPr>
        <w:pStyle w:val="FirstParagraph"/>
      </w:pPr>
      <w:r>
        <w:t xml:space="preserve">P2는 인간의 생애를 다음 6단계로 구분하며, 각 단계에 디지털 시대의 고유한 정체성 과정을 부여한다.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생애단계</w:t>
            </w:r>
          </w:p>
        </w:tc>
        <w:tc>
          <w:tcPr/>
          <w:p>
            <w:pPr>
              <w:pStyle w:val="Compact"/>
            </w:pPr>
            <w:r>
              <w:t xml:space="preserve">디지털 시대 과정</w:t>
            </w:r>
          </w:p>
        </w:tc>
        <w:tc>
          <w:tcPr/>
          <w:p>
            <w:pPr>
              <w:pStyle w:val="Compact"/>
            </w:pPr>
            <w:r>
              <w:t xml:space="preserve">산업화 시대 성격</w:t>
            </w:r>
          </w:p>
        </w:tc>
      </w:tr>
      <w:tr>
        <w:tc>
          <w:tcPr/>
          <w:p>
            <w:pPr>
              <w:pStyle w:val="Compact"/>
            </w:pPr>
            <w:r>
              <w:t xml:space="preserve">태아·영아</w:t>
            </w:r>
          </w:p>
        </w:tc>
        <w:tc>
          <w:tcPr/>
          <w:p>
            <w:pPr>
              <w:pStyle w:val="Compact"/>
            </w:pPr>
            <w:r>
              <w:t xml:space="preserve">단서 드러남</w:t>
            </w:r>
          </w:p>
        </w:tc>
        <w:tc>
          <w:tcPr/>
          <w:p>
            <w:pPr>
              <w:pStyle w:val="Compact"/>
            </w:pPr>
            <w:r>
              <w:t xml:space="preserve">출산·양육</w:t>
            </w:r>
          </w:p>
        </w:tc>
      </w:tr>
      <w:tr>
        <w:tc>
          <w:tcPr/>
          <w:p>
            <w:pPr>
              <w:pStyle w:val="Compact"/>
            </w:pPr>
            <w:r>
              <w:t xml:space="preserve">유아·아동기</w:t>
            </w:r>
          </w:p>
        </w:tc>
        <w:tc>
          <w:tcPr/>
          <w:p>
            <w:pPr>
              <w:pStyle w:val="Compact"/>
            </w:pPr>
            <w:r>
              <w:t xml:space="preserve">발견·실험</w:t>
            </w:r>
          </w:p>
        </w:tc>
        <w:tc>
          <w:tcPr/>
          <w:p>
            <w:pPr>
              <w:pStyle w:val="Compact"/>
            </w:pPr>
            <w:r>
              <w:t xml:space="preserve">취학 준비</w:t>
            </w:r>
          </w:p>
        </w:tc>
      </w:tr>
      <w:tr>
        <w:tc>
          <w:tcPr/>
          <w:p>
            <w:pPr>
              <w:pStyle w:val="Compact"/>
            </w:pPr>
            <w:r>
              <w:t xml:space="preserve">청소년기</w:t>
            </w:r>
          </w:p>
        </w:tc>
        <w:tc>
          <w:tcPr/>
          <w:p>
            <w:pPr>
              <w:pStyle w:val="Compact"/>
            </w:pPr>
            <w:r>
              <w:t xml:space="preserve">훈련·방향 정함</w:t>
            </w:r>
          </w:p>
        </w:tc>
        <w:tc>
          <w:tcPr/>
          <w:p>
            <w:pPr>
              <w:pStyle w:val="Compact"/>
            </w:pPr>
            <w:r>
              <w:t xml:space="preserve">입시 경쟁</w:t>
            </w:r>
          </w:p>
        </w:tc>
      </w:tr>
      <w:tr>
        <w:tc>
          <w:tcPr/>
          <w:p>
            <w:pPr>
              <w:pStyle w:val="Compact"/>
            </w:pPr>
            <w:r>
              <w:t xml:space="preserve">청년기</w:t>
            </w:r>
          </w:p>
        </w:tc>
        <w:tc>
          <w:tcPr/>
          <w:p>
            <w:pPr>
              <w:pStyle w:val="Compact"/>
            </w:pPr>
            <w:r>
              <w:t xml:space="preserve">발휘</w:t>
            </w:r>
          </w:p>
        </w:tc>
        <w:tc>
          <w:tcPr/>
          <w:p>
            <w:pPr>
              <w:pStyle w:val="Compact"/>
            </w:pPr>
            <w:r>
              <w:t xml:space="preserve">취업·정착</w:t>
            </w:r>
          </w:p>
        </w:tc>
      </w:tr>
      <w:tr>
        <w:tc>
          <w:tcPr/>
          <w:p>
            <w:pPr>
              <w:pStyle w:val="Compact"/>
            </w:pPr>
            <w:r>
              <w:t xml:space="preserve">중장년기</w:t>
            </w:r>
          </w:p>
        </w:tc>
        <w:tc>
          <w:tcPr/>
          <w:p>
            <w:pPr>
              <w:pStyle w:val="Compact"/>
            </w:pPr>
            <w:r>
              <w:t xml:space="preserve">재설계·확장</w:t>
            </w:r>
          </w:p>
        </w:tc>
        <w:tc>
          <w:tcPr/>
          <w:p>
            <w:pPr>
              <w:pStyle w:val="Compact"/>
            </w:pPr>
            <w:r>
              <w:t xml:space="preserve">고용 유지</w:t>
            </w:r>
          </w:p>
        </w:tc>
      </w:tr>
      <w:tr>
        <w:tc>
          <w:tcPr/>
          <w:p>
            <w:pPr>
              <w:pStyle w:val="Compact"/>
            </w:pPr>
            <w:r>
              <w:t xml:space="preserve">노년기</w:t>
            </w:r>
          </w:p>
        </w:tc>
        <w:tc>
          <w:tcPr/>
          <w:p>
            <w:pPr>
              <w:pStyle w:val="Compact"/>
            </w:pPr>
            <w:r>
              <w:t xml:space="preserve">전수·연결</w:t>
            </w:r>
          </w:p>
        </w:tc>
        <w:tc>
          <w:tcPr/>
          <w:p>
            <w:pPr>
              <w:pStyle w:val="Compact"/>
            </w:pPr>
            <w:r>
              <w:t xml:space="preserve">은퇴·부양</w:t>
            </w:r>
          </w:p>
        </w:tc>
      </w:tr>
    </w:tbl>
    <w:p>
      <w:pPr>
        <w:pStyle w:val="BodyText"/>
      </w:pPr>
      <w:r>
        <w:t xml:space="preserve">이 단계 구분은 에릭슨의 발달 8단계에서 사회적·제도적 맥락을 강조하는 단계들을 통합·재구성한 것으로 볼 수 있다. 특히 산업화 시대의 성격어—</w:t>
      </w:r>
      <w:r>
        <w:t xml:space="preserve">‘취학 준비’</w:t>
      </w:r>
      <w:r>
        <w:t xml:space="preserve">,</w:t>
      </w:r>
      <w:r>
        <w:t xml:space="preserve"> </w:t>
      </w:r>
      <w:r>
        <w:t xml:space="preserve">‘입시 경쟁’</w:t>
      </w:r>
      <w:r>
        <w:t xml:space="preserve">,</w:t>
      </w:r>
      <w:r>
        <w:t xml:space="preserve"> </w:t>
      </w:r>
      <w:r>
        <w:t xml:space="preserve">‘취업·정착’</w:t>
      </w:r>
      <w:r>
        <w:t xml:space="preserve">,</w:t>
      </w:r>
      <w:r>
        <w:t xml:space="preserve"> </w:t>
      </w:r>
      <w:r>
        <w:t xml:space="preserve">‘고용 유지’</w:t>
      </w:r>
      <w:r>
        <w:t xml:space="preserve">,</w:t>
      </w:r>
      <w:r>
        <w:t xml:space="preserve"> </w:t>
      </w:r>
      <w:r>
        <w:t xml:space="preserve">‘은퇴·부양’</w:t>
      </w:r>
      <w:r>
        <w:t xml:space="preserve">—가 모두 외부 제도와의 적응을 표현하는 반면, 디지털 시대의 과정어—</w:t>
      </w:r>
      <w:r>
        <w:t xml:space="preserve">‘발견’</w:t>
      </w:r>
      <w:r>
        <w:t xml:space="preserve">,</w:t>
      </w:r>
      <w:r>
        <w:t xml:space="preserve"> </w:t>
      </w:r>
      <w:r>
        <w:t xml:space="preserve">‘훈련’</w:t>
      </w:r>
      <w:r>
        <w:t xml:space="preserve">,</w:t>
      </w:r>
      <w:r>
        <w:t xml:space="preserve"> </w:t>
      </w:r>
      <w:r>
        <w:t xml:space="preserve">‘발휘’</w:t>
      </w:r>
      <w:r>
        <w:t xml:space="preserve">,</w:t>
      </w:r>
      <w:r>
        <w:t xml:space="preserve"> </w:t>
      </w:r>
      <w:r>
        <w:t xml:space="preserve">‘재설계’</w:t>
      </w:r>
      <w:r>
        <w:t xml:space="preserve">,</w:t>
      </w:r>
      <w:r>
        <w:t xml:space="preserve"> </w:t>
      </w:r>
      <w:r>
        <w:t xml:space="preserve">‘전수’</w:t>
      </w:r>
      <w:r>
        <w:t xml:space="preserve">—는 내적 역량의 전개를 표현한다는 점에서 기든스의 성찰적 자아기획과 센의 역량접근법이 교차한다.</w:t>
      </w:r>
    </w:p>
    <w:bookmarkEnd w:id="21"/>
    <w:bookmarkStart w:id="22" w:name="공동체의-층위와-역할-원리"/>
    <w:p>
      <w:pPr>
        <w:pStyle w:val="Heading2"/>
      </w:pPr>
      <w:r>
        <w:t xml:space="preserve">3.2 6공동체의 층위와 역할 원리</w:t>
      </w:r>
    </w:p>
    <w:p>
      <w:pPr>
        <w:pStyle w:val="FirstParagraph"/>
      </w:pPr>
      <w:r>
        <w:t xml:space="preserve">P2의 6공동체는 브론펜브레너의 생태체계를 제도 설계 단위로 재해석한 것이다. 핵심 원리는 두 가지다: ①공동체의 권한은 영구적이지 않으며 개인의 생애단계적 필요에 따라 맡기고 거두는 유연한 관계이다. ②공동체의 무게 중심은 시대에 따라 이동한다—농업 시대는 가족·마을의 자급, 산업화 시대는 학교·국가의 표준 관리, 디지털 시대는 도시가 발휘·생활·조세를 책임지고 국가는 조율과 안전망을 담당하는 분산형 분담이다.</w:t>
      </w:r>
    </w:p>
    <w:bookmarkEnd w:id="22"/>
    <w:bookmarkStart w:id="23" w:name="계층의-구조와-함의"/>
    <w:p>
      <w:pPr>
        <w:pStyle w:val="Heading2"/>
      </w:pPr>
      <w:r>
        <w:t xml:space="preserve">3.3 4계층의 구조와 함의</w:t>
      </w:r>
    </w:p>
    <w:p>
      <w:pPr>
        <w:pStyle w:val="FirstParagraph"/>
      </w:pPr>
      <w:r>
        <w:t xml:space="preserve">P2의 4계층—리더(lead)·프로(pro)·아마(ama)·소외(margin)—은 각 생애단계에서 동일한 필요를 얼마나 다르게 충족받는지를 포착하는 사회적 계층 구분이다.</w:t>
      </w:r>
    </w:p>
    <w:tbl>
      <w:tblPr>
        <w:tblStyle w:val="Table"/>
        <w:tblW w:type="pct" w:w="5000"/>
        <w:tblLayout w:type="fixed"/>
        <w:tblLook w:firstRow="1" w:lastRow="0" w:firstColumn="0" w:lastColumn="0" w:noHBand="0" w:noVBand="0" w:val="0020"/>
      </w:tblPr>
      <w:tblGrid>
        <w:gridCol w:w="1250"/>
        <w:gridCol w:w="3334"/>
        <w:gridCol w:w="3334"/>
      </w:tblGrid>
      <w:tr>
        <w:trPr>
          <w:tblHeader w:val="on"/>
        </w:trPr>
        <w:tc>
          <w:tcPr/>
          <w:p>
            <w:pPr>
              <w:pStyle w:val="Compact"/>
            </w:pPr>
            <w:r>
              <w:t xml:space="preserve">계층</w:t>
            </w:r>
          </w:p>
        </w:tc>
        <w:tc>
          <w:tcPr/>
          <w:p>
            <w:pPr>
              <w:pStyle w:val="Compact"/>
            </w:pPr>
            <w:r>
              <w:t xml:space="preserve">산업화 시대 특성</w:t>
            </w:r>
          </w:p>
        </w:tc>
        <w:tc>
          <w:tcPr/>
          <w:p>
            <w:pPr>
              <w:pStyle w:val="Compact"/>
            </w:pPr>
            <w:r>
              <w:t xml:space="preserve">디지털 시대 과제</w:t>
            </w:r>
          </w:p>
        </w:tc>
      </w:tr>
      <w:tr>
        <w:tc>
          <w:tcPr/>
          <w:p>
            <w:pPr>
              <w:pStyle w:val="Compact"/>
            </w:pPr>
            <w:r>
              <w:t xml:space="preserve">리더</w:t>
            </w:r>
          </w:p>
        </w:tc>
        <w:tc>
          <w:tcPr/>
          <w:p>
            <w:pPr>
              <w:pStyle w:val="Compact"/>
            </w:pPr>
            <w:r>
              <w:t xml:space="preserve">자본·조직·기회를 선점, 제도 내 우위</w:t>
            </w:r>
          </w:p>
        </w:tc>
        <w:tc>
          <w:tcPr/>
          <w:p>
            <w:pPr>
              <w:pStyle w:val="Compact"/>
            </w:pPr>
            <w:r>
              <w:t xml:space="preserve">강점을 확장하고 무대를 넓힘</w:t>
            </w:r>
          </w:p>
        </w:tc>
      </w:tr>
      <w:tr>
        <w:tc>
          <w:tcPr/>
          <w:p>
            <w:pPr>
              <w:pStyle w:val="Compact"/>
            </w:pPr>
            <w:r>
              <w:t xml:space="preserve">프로</w:t>
            </w:r>
          </w:p>
        </w:tc>
        <w:tc>
          <w:tcPr/>
          <w:p>
            <w:pPr>
              <w:pStyle w:val="Compact"/>
            </w:pPr>
            <w:r>
              <w:t xml:space="preserve">표준 제도를 성실히 따름, 점수·직무로 평가</w:t>
            </w:r>
          </w:p>
        </w:tc>
        <w:tc>
          <w:tcPr/>
          <w:p>
            <w:pPr>
              <w:pStyle w:val="Compact"/>
            </w:pPr>
            <w:r>
              <w:t xml:space="preserve">강점 기반 평가로 기여 정착</w:t>
            </w:r>
          </w:p>
        </w:tc>
      </w:tr>
      <w:tr>
        <w:tc>
          <w:tcPr/>
          <w:p>
            <w:pPr>
              <w:pStyle w:val="Compact"/>
            </w:pPr>
            <w:r>
              <w:t xml:space="preserve">아마</w:t>
            </w:r>
          </w:p>
        </w:tc>
        <w:tc>
          <w:tcPr/>
          <w:p>
            <w:pPr>
              <w:pStyle w:val="Compact"/>
            </w:pPr>
            <w:r>
              <w:t xml:space="preserve">제도적 자원 부족, 통로 막힘</w:t>
            </w:r>
          </w:p>
        </w:tc>
        <w:tc>
          <w:tcPr/>
          <w:p>
            <w:pPr>
              <w:pStyle w:val="Compact"/>
            </w:pPr>
            <w:r>
              <w:t xml:space="preserve">공동체가 체험·훈련 기회 확보</w:t>
            </w:r>
          </w:p>
        </w:tc>
      </w:tr>
      <w:tr>
        <w:tc>
          <w:tcPr/>
          <w:p>
            <w:pPr>
              <w:pStyle w:val="Compact"/>
            </w:pPr>
            <w:r>
              <w:t xml:space="preserve">소외</w:t>
            </w:r>
          </w:p>
        </w:tc>
        <w:tc>
          <w:tcPr/>
          <w:p>
            <w:pPr>
              <w:pStyle w:val="Compact"/>
            </w:pPr>
            <w:r>
              <w:t xml:space="preserve">제도·시장에서 배제, 기여 통로 없음</w:t>
            </w:r>
          </w:p>
        </w:tc>
        <w:tc>
          <w:tcPr/>
          <w:p>
            <w:pPr>
              <w:pStyle w:val="Compact"/>
            </w:pPr>
            <w:r>
              <w:t xml:space="preserve">국가·공동체가 먼저 찾아 진입 보장</w:t>
            </w:r>
          </w:p>
        </w:tc>
      </w:tr>
    </w:tbl>
    <w:p>
      <w:pPr>
        <w:pStyle w:val="BodyText"/>
      </w:pPr>
      <w:r>
        <w:t xml:space="preserve">부르디외의 언어로 해석하면, 이 4계층은 단순한 소득 분위가 아니라 경제·문화·사회자본의 복합적 분포에 따른 아비투스의 차이를 반영한다. 리더 계층은 세 자본 모두를 풍부하게 지니고, 소외 계층은 세 자본 모두의 결핍으로 아비투스 자체가 가능성의 지평을 협소하게 설정한다.</w:t>
      </w:r>
    </w:p>
    <w:p>
      <w:r>
        <w:pict>
          <v:rect style="width:0;height:1.5pt" o:hralign="center" o:hrstd="t" o:hr="t"/>
        </w:pict>
      </w:r>
    </w:p>
    <w:bookmarkEnd w:id="23"/>
    <w:bookmarkEnd w:id="24"/>
    <w:bookmarkStart w:id="27" w:name="시대별-비교-농업-산업화-디지털-공동체-역할-전환"/>
    <w:p>
      <w:pPr>
        <w:pStyle w:val="Heading1"/>
      </w:pPr>
      <w:r>
        <w:t xml:space="preserve">4. 시대별 비교: 농업 → 산업화 → 디지털 공동체 역할 전환</w:t>
      </w:r>
    </w:p>
    <w:bookmarkStart w:id="25" w:name="시대의-핵심-목표와-공동체-원리"/>
    <w:p>
      <w:pPr>
        <w:pStyle w:val="Heading2"/>
      </w:pPr>
      <w:r>
        <w:t xml:space="preserve">4.1 3시대의 핵심 목표와 공동체 원리</w:t>
      </w:r>
    </w:p>
    <w:p>
      <w:pPr>
        <w:pStyle w:val="FirstParagraph"/>
      </w:pPr>
      <w:r>
        <w:t xml:space="preserve">P2 데이터(p2era-data.ts)는 3시대를 다음과 같이 요약한다.</w:t>
      </w:r>
    </w:p>
    <w:p>
      <w:pPr>
        <w:pStyle w:val="Compact"/>
        <w:numPr>
          <w:ilvl w:val="0"/>
          <w:numId w:val="1001"/>
        </w:numPr>
      </w:pPr>
      <w:r>
        <w:rPr>
          <w:b/>
          <w:bCs/>
        </w:rPr>
        <w:t xml:space="preserve">농업 시대 (생존)</w:t>
      </w:r>
      <w:r>
        <w:t xml:space="preserve">:</w:t>
      </w:r>
      <w:r>
        <w:t xml:space="preserve"> </w:t>
      </w:r>
      <w:r>
        <w:t xml:space="preserve">“대를 잇고 땅을 지키는 것이 목표라, 가정은 노동·양육, 이웃은 품앗이, 마을은 자치, 국가는 신분 질서를 맡는 자급 공동체가 만들어진다.”</w:t>
      </w:r>
    </w:p>
    <w:p>
      <w:pPr>
        <w:pStyle w:val="Compact"/>
        <w:numPr>
          <w:ilvl w:val="0"/>
          <w:numId w:val="1001"/>
        </w:numPr>
      </w:pPr>
      <w:r>
        <w:rPr>
          <w:b/>
          <w:bCs/>
        </w:rPr>
        <w:t xml:space="preserve">산업화 시대 (분업)</w:t>
      </w:r>
      <w:r>
        <w:t xml:space="preserve">:</w:t>
      </w:r>
      <w:r>
        <w:t xml:space="preserve"> </w:t>
      </w:r>
      <w:r>
        <w:t xml:space="preserve">“표준 교육으로 좋은 일자리를 얻는 것이 목표라, 가정은 양육, 도시는 학교·일자리, 국가는 교육·고용·복지를 맡아 인재를 획일적으로 관리한다.”</w:t>
      </w:r>
    </w:p>
    <w:p>
      <w:pPr>
        <w:pStyle w:val="Compact"/>
        <w:numPr>
          <w:ilvl w:val="0"/>
          <w:numId w:val="1001"/>
        </w:numPr>
      </w:pPr>
      <w:r>
        <w:rPr>
          <w:b/>
          <w:bCs/>
        </w:rPr>
        <w:t xml:space="preserve">디지털 시대 (정체성 실현)</w:t>
      </w:r>
      <w:r>
        <w:t xml:space="preserve">:</w:t>
      </w:r>
      <w:r>
        <w:t xml:space="preserve"> </w:t>
      </w:r>
      <w:r>
        <w:t xml:space="preserve">“저마다 다른 정체성을 발휘하는 것이 목표라, 가정은 단서 발견, 이웃은 실험, 마을은 훈련, 도시는 발휘·조세, 국가는 도시 간 조율·최소 권리선·위험 규칙, 세계는 공동 위험 관리를 맡는다.”</w:t>
      </w:r>
    </w:p>
    <w:p>
      <w:pPr>
        <w:pStyle w:val="FirstParagraph"/>
      </w:pPr>
      <w:r>
        <w:t xml:space="preserve">폴라니의 대전환 프레임으로 보면, 농업 시대는 토지와 노동이 사회적 관계에 착근된 상태, 산업화 시대는 노동이 상품화되어 사회에서 탈각된 상태, 디지털 시대는 개인의 정체성과 역량이 새로운 형태로 사회에 재착근되어야 하는 ’제2의 대전환’의 국면이다.</w:t>
      </w:r>
    </w:p>
    <w:bookmarkEnd w:id="25"/>
    <w:bookmarkStart w:id="26" w:name="공동체-역할의-시대별-전환-communityshift-데이터"/>
    <w:p>
      <w:pPr>
        <w:pStyle w:val="Heading2"/>
      </w:pPr>
      <w:r>
        <w:t xml:space="preserve">4.2 6공동체 역할의 시대별 전환 (communityShift 데이터)</w:t>
      </w:r>
    </w:p>
    <w:tbl>
      <w:tblPr>
        <w:tblStyle w:val="Table"/>
        <w:tblW w:type="pct" w:w="5000"/>
        <w:tblLayout w:type="fixed"/>
        <w:tblLook w:firstRow="1" w:lastRow="0" w:firstColumn="0" w:lastColumn="0" w:noHBand="0" w:noVBand="0" w:val="0020"/>
      </w:tblPr>
      <w:tblGrid>
        <w:gridCol w:w="1021"/>
        <w:gridCol w:w="1405"/>
        <w:gridCol w:w="2043"/>
        <w:gridCol w:w="1405"/>
        <w:gridCol w:w="2043"/>
      </w:tblGrid>
      <w:tr>
        <w:trPr>
          <w:tblHeader w:val="on"/>
        </w:trPr>
        <w:tc>
          <w:tcPr/>
          <w:p>
            <w:pPr>
              <w:pStyle w:val="Compact"/>
            </w:pPr>
            <w:r>
              <w:t xml:space="preserve">공동체</w:t>
            </w:r>
          </w:p>
        </w:tc>
        <w:tc>
          <w:tcPr/>
          <w:p>
            <w:pPr>
              <w:pStyle w:val="Compact"/>
            </w:pPr>
            <w:r>
              <w:t xml:space="preserve">산업화 역할</w:t>
            </w:r>
          </w:p>
        </w:tc>
        <w:tc>
          <w:tcPr/>
          <w:p>
            <w:pPr>
              <w:pStyle w:val="Compact"/>
            </w:pPr>
            <w:r>
              <w:t xml:space="preserve">산업화 시설·조직</w:t>
            </w:r>
          </w:p>
        </w:tc>
        <w:tc>
          <w:tcPr/>
          <w:p>
            <w:pPr>
              <w:pStyle w:val="Compact"/>
            </w:pPr>
            <w:r>
              <w:t xml:space="preserve">디지털 역할</w:t>
            </w:r>
          </w:p>
        </w:tc>
        <w:tc>
          <w:tcPr/>
          <w:p>
            <w:pPr>
              <w:pStyle w:val="Compact"/>
            </w:pPr>
            <w:r>
              <w:t xml:space="preserve">디지털 시설·조직</w:t>
            </w:r>
          </w:p>
        </w:tc>
      </w:tr>
      <w:tr>
        <w:tc>
          <w:tcPr/>
          <w:p>
            <w:pPr>
              <w:pStyle w:val="Compact"/>
            </w:pPr>
            <w:r>
              <w:t xml:space="preserve">가정</w:t>
            </w:r>
          </w:p>
        </w:tc>
        <w:tc>
          <w:tcPr/>
          <w:p>
            <w:pPr>
              <w:pStyle w:val="Compact"/>
            </w:pPr>
            <w:r>
              <w:t xml:space="preserve">양육·부양을 맡되 표준 교육에 위임</w:t>
            </w:r>
          </w:p>
        </w:tc>
        <w:tc>
          <w:tcPr/>
          <w:p>
            <w:pPr>
              <w:pStyle w:val="Compact"/>
            </w:pPr>
            <w:r>
              <w:t xml:space="preserve">주거·양육 공간; 부모 부양·사교육 의존</w:t>
            </w:r>
          </w:p>
        </w:tc>
        <w:tc>
          <w:tcPr/>
          <w:p>
            <w:pPr>
              <w:pStyle w:val="Compact"/>
            </w:pPr>
            <w:r>
              <w:t xml:space="preserve">정체성 단서를 가장 먼저 읽는 생활 기반</w:t>
            </w:r>
          </w:p>
        </w:tc>
        <w:tc>
          <w:tcPr/>
          <w:p>
            <w:pPr>
              <w:pStyle w:val="Compact"/>
            </w:pPr>
            <w:r>
              <w:t xml:space="preserve">돌봄/보호·정체성 관찰; 초기 신호 기록·가족 대화</w:t>
            </w:r>
          </w:p>
        </w:tc>
      </w:tr>
      <w:tr>
        <w:tc>
          <w:tcPr/>
          <w:p>
            <w:pPr>
              <w:pStyle w:val="Compact"/>
            </w:pPr>
            <w:r>
              <w:t xml:space="preserve">이웃</w:t>
            </w:r>
          </w:p>
        </w:tc>
        <w:tc>
          <w:tcPr/>
          <w:p>
            <w:pPr>
              <w:pStyle w:val="Compact"/>
            </w:pPr>
            <w:r>
              <w:t xml:space="preserve">표준 제도에 가려 잘 안 쓰인 관계망</w:t>
            </w:r>
          </w:p>
        </w:tc>
        <w:tc>
          <w:tcPr/>
          <w:p>
            <w:pPr>
              <w:pStyle w:val="Compact"/>
            </w:pPr>
            <w:r>
              <w:t xml:space="preserve">(약화) 행정 반·통; 공동 돌봄 소멸</w:t>
            </w:r>
          </w:p>
        </w:tc>
        <w:tc>
          <w:tcPr/>
          <w:p>
            <w:pPr>
              <w:pStyle w:val="Compact"/>
            </w:pPr>
            <w:r>
              <w:t xml:space="preserve">정체성을 실험할 관계를 여는 일상망</w:t>
            </w:r>
          </w:p>
        </w:tc>
        <w:tc>
          <w:tcPr/>
          <w:p>
            <w:pPr>
              <w:pStyle w:val="Compact"/>
            </w:pPr>
            <w:r>
              <w:t xml:space="preserve">관계 실험·흥미 발견; 관심 기반 모임·생활 멘토</w:t>
            </w:r>
          </w:p>
        </w:tc>
      </w:tr>
      <w:tr>
        <w:tc>
          <w:tcPr/>
          <w:p>
            <w:pPr>
              <w:pStyle w:val="Compact"/>
            </w:pPr>
            <w:r>
              <w:t xml:space="preserve">마을</w:t>
            </w:r>
          </w:p>
        </w:tc>
        <w:tc>
          <w:tcPr/>
          <w:p>
            <w:pPr>
              <w:pStyle w:val="Compact"/>
            </w:pPr>
            <w:r>
              <w:t xml:space="preserve">생활공동체 기능이 도시로 흡수됨</w:t>
            </w:r>
          </w:p>
        </w:tc>
        <w:tc>
          <w:tcPr/>
          <w:p>
            <w:pPr>
              <w:pStyle w:val="Compact"/>
            </w:pPr>
            <w:r>
              <w:t xml:space="preserve">(약화) 행정 동·면; 전통 마을 해체</w:t>
            </w:r>
          </w:p>
        </w:tc>
        <w:tc>
          <w:tcPr/>
          <w:p>
            <w:pPr>
              <w:pStyle w:val="Compact"/>
            </w:pPr>
            <w:r>
              <w:t xml:space="preserve">발견된 방향을 훈련으로 잇는 생활권</w:t>
            </w:r>
          </w:p>
        </w:tc>
        <w:tc>
          <w:tcPr/>
          <w:p>
            <w:pPr>
              <w:pStyle w:val="Compact"/>
            </w:pPr>
            <w:r>
              <w:t xml:space="preserve">정체성 훈련·전환 지원; 훈련경로 설계·마을 멘토단</w:t>
            </w:r>
          </w:p>
        </w:tc>
      </w:tr>
      <w:tr>
        <w:tc>
          <w:tcPr/>
          <w:p>
            <w:pPr>
              <w:pStyle w:val="Compact"/>
            </w:pPr>
            <w:r>
              <w:t xml:space="preserve">도시</w:t>
            </w:r>
          </w:p>
        </w:tc>
        <w:tc>
          <w:tcPr/>
          <w:p>
            <w:pPr>
              <w:pStyle w:val="Compact"/>
            </w:pPr>
            <w:r>
              <w:t xml:space="preserve">학교·회사·노동을 집적한 대도시</w:t>
            </w:r>
          </w:p>
        </w:tc>
        <w:tc>
          <w:tcPr/>
          <w:p>
            <w:pPr>
              <w:pStyle w:val="Compact"/>
            </w:pPr>
            <w:r>
              <w:t xml:space="preserve">표준 학교·기업·신도시; 입시 경쟁·정규 고용</w:t>
            </w:r>
          </w:p>
        </w:tc>
        <w:tc>
          <w:tcPr/>
          <w:p>
            <w:pPr>
              <w:pStyle w:val="Compact"/>
            </w:pPr>
            <w:r>
              <w:t xml:space="preserve">정체성을 실제 기여로 발휘하는 환경</w:t>
            </w:r>
          </w:p>
        </w:tc>
        <w:tc>
          <w:tcPr/>
          <w:p>
            <w:pPr>
              <w:pStyle w:val="Compact"/>
            </w:pPr>
            <w:r>
              <w:t xml:space="preserve">기여 발휘·프로젝트 실험; 프로젝트 연결·직무 전환</w:t>
            </w:r>
          </w:p>
        </w:tc>
      </w:tr>
      <w:tr>
        <w:tc>
          <w:tcPr/>
          <w:p>
            <w:pPr>
              <w:pStyle w:val="Compact"/>
            </w:pPr>
            <w:r>
              <w:t xml:space="preserve">국가</w:t>
            </w:r>
          </w:p>
        </w:tc>
        <w:tc>
          <w:tcPr/>
          <w:p>
            <w:pPr>
              <w:pStyle w:val="Compact"/>
            </w:pPr>
            <w:r>
              <w:t xml:space="preserve">표준 제도·복지·고용을 중앙 관리</w:t>
            </w:r>
          </w:p>
        </w:tc>
        <w:tc>
          <w:tcPr/>
          <w:p>
            <w:pPr>
              <w:pStyle w:val="Compact"/>
            </w:pPr>
            <w:r>
              <w:t xml:space="preserve">중앙 정부·공공기관; 표준 교육·복지·고용 정책</w:t>
            </w:r>
          </w:p>
        </w:tc>
        <w:tc>
          <w:tcPr/>
          <w:p>
            <w:pPr>
              <w:pStyle w:val="Compact"/>
            </w:pPr>
            <w:r>
              <w:t xml:space="preserve">발휘 조건을 보장하고 위험을 조정하는 안전망</w:t>
            </w:r>
          </w:p>
        </w:tc>
        <w:tc>
          <w:tcPr/>
          <w:p>
            <w:pPr>
              <w:pStyle w:val="Compact"/>
            </w:pPr>
            <w:r>
              <w:t xml:space="preserve">기본 조건 보장·위험 조정; 전환기 보호·학습 접근</w:t>
            </w:r>
          </w:p>
        </w:tc>
      </w:tr>
      <w:tr>
        <w:tc>
          <w:tcPr/>
          <w:p>
            <w:pPr>
              <w:pStyle w:val="Compact"/>
            </w:pPr>
            <w:r>
              <w:t xml:space="preserve">세계</w:t>
            </w:r>
          </w:p>
        </w:tc>
        <w:tc>
          <w:tcPr/>
          <w:p>
            <w:pPr>
              <w:pStyle w:val="Compact"/>
            </w:pPr>
            <w:r>
              <w:t xml:space="preserve">역할이 제한적인 국제질서</w:t>
            </w:r>
          </w:p>
        </w:tc>
        <w:tc>
          <w:tcPr/>
          <w:p>
            <w:pPr>
              <w:pStyle w:val="Compact"/>
            </w:pPr>
            <w:r>
              <w:t xml:space="preserve">(제한) 국제기구; 국가 간 협정 위주</w:t>
            </w:r>
          </w:p>
        </w:tc>
        <w:tc>
          <w:tcPr/>
          <w:p>
            <w:pPr>
              <w:pStyle w:val="Compact"/>
            </w:pPr>
            <w:r>
              <w:t xml:space="preserve">국경 넘는 위험을 함께 관리하는 공동 질서</w:t>
            </w:r>
          </w:p>
        </w:tc>
        <w:tc>
          <w:tcPr/>
          <w:p>
            <w:pPr>
              <w:pStyle w:val="Compact"/>
            </w:pPr>
            <w:r>
              <w:t xml:space="preserve">공동위험 관리; WMD·기후·AI·감염병 관리</w:t>
            </w:r>
          </w:p>
        </w:tc>
      </w:tr>
    </w:tbl>
    <w:p>
      <w:pPr>
        <w:pStyle w:val="BodyText"/>
      </w:pPr>
      <w:r>
        <w:t xml:space="preserve">이 전환에서 두드러지는 구조적 변화는 다음과 같다. 첫째, 이웃과 마을의 부활이다. 산업화 시대에 약화·해체된 이 두 공동체가 디지털 시대에 각각 ’실험 공간’과 ’훈련 공간’으로 핵심 역할을 부여받는다. 퍼트넘이 진단한 사회자본 붕괴에 대한 구조적 응답이다. 둘째, 국가의 역할 전환이다. ’중앙 관리자’에서 ’조율자·안전망’으로의 변화는 오스트롬의 다층 거버넌스 원리를 따른다. 셋째, 세계의 능동화이다. 산업화 시대에</w:t>
      </w:r>
      <w:r>
        <w:t xml:space="preserve"> </w:t>
      </w:r>
      <w:r>
        <w:t xml:space="preserve">“어느 단계 개인에게도 닿지 않던”</w:t>
      </w:r>
      <w:r>
        <w:t xml:space="preserve"> </w:t>
      </w:r>
      <w:r>
        <w:t xml:space="preserve">세계가 디지털 시대에는 기후위기·AI·감염병 등 공동 위험을 관리하는 층위로 활성화된다.</w:t>
      </w:r>
    </w:p>
    <w:p>
      <w:r>
        <w:pict>
          <v:rect style="width:0;height:1.5pt" o:hralign="center" o:hrstd="t" o:hr="t"/>
        </w:pict>
      </w:r>
    </w:p>
    <w:bookmarkEnd w:id="26"/>
    <w:bookmarkEnd w:id="27"/>
    <w:bookmarkStart w:id="34" w:name="생애단계별-심화-분석-필요공동체계층-격차"/>
    <w:p>
      <w:pPr>
        <w:pStyle w:val="Heading1"/>
      </w:pPr>
      <w:r>
        <w:t xml:space="preserve">5. 생애단계별 심화 분석: 필요·공동체·계층 격차</w:t>
      </w:r>
    </w:p>
    <w:bookmarkStart w:id="28" w:name="태아영아-단서-드러남"/>
    <w:p>
      <w:pPr>
        <w:pStyle w:val="Heading2"/>
      </w:pPr>
      <w:r>
        <w:t xml:space="preserve">5.1 태아·영아: 단서 드러남</w:t>
      </w:r>
    </w:p>
    <w:p>
      <w:pPr>
        <w:pStyle w:val="FirstParagraph"/>
      </w:pPr>
      <w:r>
        <w:t xml:space="preserve">이 단계에서 P2의 핵심 명제는</w:t>
      </w:r>
      <w:r>
        <w:t xml:space="preserve"> </w:t>
      </w:r>
      <w:r>
        <w:t xml:space="preserve">“모든 가능성을 지니고 태어난다”</w:t>
      </w:r>
      <w:r>
        <w:t xml:space="preserve">는 것이다. 농업 시대의 필요는</w:t>
      </w:r>
      <w:r>
        <w:t xml:space="preserve"> </w:t>
      </w:r>
      <w:r>
        <w:t xml:space="preserve">“무사한 출산과 대를 이을 건강한 몸”</w:t>
      </w:r>
      <w:r>
        <w:t xml:space="preserve">이었고, 산업화 시대는</w:t>
      </w:r>
      <w:r>
        <w:t xml:space="preserve"> </w:t>
      </w:r>
      <w:r>
        <w:t xml:space="preserve">“안정된 양육과 표준 발달에 맞는 보살핌”</w:t>
      </w:r>
      <w:r>
        <w:t xml:space="preserve">이었으며, 디지털 시대는</w:t>
      </w:r>
      <w:r>
        <w:t xml:space="preserve"> </w:t>
      </w:r>
      <w:r>
        <w:t xml:space="preserve">“타고난 기질·강점의 단서를 일찍 발견”</w:t>
      </w:r>
      <w:r>
        <w:t xml:space="preserve">하는 것으로 심화된다.</w:t>
      </w:r>
    </w:p>
    <w:p>
      <w:pPr>
        <w:pStyle w:val="BodyText"/>
      </w:pPr>
      <w:r>
        <w:t xml:space="preserve">4계층 격차를 보면, 리더 계층은</w:t>
      </w:r>
      <w:r>
        <w:t xml:space="preserve"> </w:t>
      </w:r>
      <w:r>
        <w:t xml:space="preserve">“생체·행동 데이터로 기질과 강점의 단서가 일찍 풍부하게 읽혀”</w:t>
      </w:r>
      <w:r>
        <w:t xml:space="preserve">지지만, 소외 계층은</w:t>
      </w:r>
      <w:r>
        <w:t xml:space="preserve"> </w:t>
      </w:r>
      <w:r>
        <w:t xml:space="preserve">“데이터·관찰이 닿지 않는 아이”</w:t>
      </w:r>
      <w:r>
        <w:t xml:space="preserve">다. Raj Chetty 등(2014)의 연구가 보여주듯, 태어난 우편번호(zip code)가 인생 기회를 결정하는 ’기회의 불평등’이 이 단계에서 이미 시작된다. 헥만의 생애 초기 투자 수익률 연구는 이 단계에서의 격차 시정이 사회적으로 가장 효율적인 투자임을 역설한다.</w:t>
      </w:r>
    </w:p>
    <w:bookmarkEnd w:id="28"/>
    <w:bookmarkStart w:id="29" w:name="유아아동기-발견실험"/>
    <w:p>
      <w:pPr>
        <w:pStyle w:val="Heading2"/>
      </w:pPr>
      <w:r>
        <w:t xml:space="preserve">5.2 유아·아동기: 발견·실험</w:t>
      </w:r>
    </w:p>
    <w:p>
      <w:pPr>
        <w:pStyle w:val="FirstParagraph"/>
      </w:pPr>
      <w:r>
        <w:t xml:space="preserve">농업 시대에 이 단계의 아동은</w:t>
      </w:r>
      <w:r>
        <w:t xml:space="preserve"> </w:t>
      </w:r>
      <w:r>
        <w:t xml:space="preserve">“집안일·농사일을 익히며”</w:t>
      </w:r>
      <w:r>
        <w:t xml:space="preserve"> </w:t>
      </w:r>
      <w:r>
        <w:t xml:space="preserve">자랐고, 산업화 시대에는</w:t>
      </w:r>
      <w:r>
        <w:t xml:space="preserve"> </w:t>
      </w:r>
      <w:r>
        <w:t xml:space="preserve">“취학 준비와 또래에 뒤지지 않는 기초 학력”</w:t>
      </w:r>
      <w:r>
        <w:t xml:space="preserve">이 목표였다. 디지털 시대의 목표는</w:t>
      </w:r>
      <w:r>
        <w:t xml:space="preserve"> </w:t>
      </w:r>
      <w:r>
        <w:t xml:space="preserve">“다양한 체험으로 관심과 강점을 발견·실험”</w:t>
      </w:r>
      <w:r>
        <w:t xml:space="preserve">하는 것이다.</w:t>
      </w:r>
    </w:p>
    <w:p>
      <w:pPr>
        <w:pStyle w:val="BodyText"/>
      </w:pPr>
      <w:r>
        <w:t xml:space="preserve">연결 공동체의 변화가 두드러진다. 산업화 시대에는 가정(취학 준비)과 도시(표준 학교), 국가(의무 교육)만이 관여했으나, 디지털 시대에는 가정·이웃·마을·도시·국가 모두가 역할을 분담한다. 특히 리더 계층은</w:t>
      </w:r>
      <w:r>
        <w:t xml:space="preserve"> </w:t>
      </w:r>
      <w:r>
        <w:t xml:space="preserve">“이웃·마을의 폭넓은 체험”</w:t>
      </w:r>
      <w:r>
        <w:t xml:space="preserve">을, 아마 계층은</w:t>
      </w:r>
      <w:r>
        <w:t xml:space="preserve"> </w:t>
      </w:r>
      <w:r>
        <w:t xml:space="preserve">“마을 공동 프로그램”</w:t>
      </w:r>
      <w:r>
        <w:t xml:space="preserve">을, 소외 계층은</w:t>
      </w:r>
      <w:r>
        <w:t xml:space="preserve"> </w:t>
      </w:r>
      <w:r>
        <w:t xml:space="preserve">“국가·마을이 체험과 돌봄을 먼저 채우는”</w:t>
      </w:r>
      <w:r>
        <w:t xml:space="preserve"> </w:t>
      </w:r>
      <w:r>
        <w:t xml:space="preserve">지원을 받는다. 이 분산 구조는 브론펜브레너의 중간체계(mesosystem)—가정, 이웃, 마을이 서로 연결되어 시너지를 만드는 구조—를 제도적으로 실현한 것이다.</w:t>
      </w:r>
    </w:p>
    <w:bookmarkEnd w:id="29"/>
    <w:bookmarkStart w:id="30" w:name="청소년기-훈련방향-정함"/>
    <w:p>
      <w:pPr>
        <w:pStyle w:val="Heading2"/>
      </w:pPr>
      <w:r>
        <w:t xml:space="preserve">5.3 청소년기: 훈련·방향 정함</w:t>
      </w:r>
    </w:p>
    <w:p>
      <w:pPr>
        <w:pStyle w:val="FirstParagraph"/>
      </w:pPr>
      <w:r>
        <w:t xml:space="preserve">이 단계는 에릭슨의</w:t>
      </w:r>
      <w:r>
        <w:t xml:space="preserve"> </w:t>
      </w:r>
      <w:r>
        <w:t xml:space="preserve">‘정체성 대 역할 혼미’</w:t>
      </w:r>
      <w:r>
        <w:t xml:space="preserve"> </w:t>
      </w:r>
      <w:r>
        <w:t xml:space="preserve">위기가 집중되는 시기다. 산업화 시대의 청소년 필요(</w:t>
      </w:r>
      <w:r>
        <w:t xml:space="preserve">“입시 경쟁에서 좋은 성적”</w:t>
      </w:r>
      <w:r>
        <w:t xml:space="preserve">)는 마이클 영이 비판한 능력주의 서열화의 핵심 현장이다. 4계층의 산업화 시대 상태를 보면, 리더는</w:t>
      </w:r>
      <w:r>
        <w:t xml:space="preserve"> </w:t>
      </w:r>
      <w:r>
        <w:t xml:space="preserve">“탁월한 실력으로 원하는 진로를 골라 강점을 밀어붙이는”</w:t>
      </w:r>
      <w:r>
        <w:t xml:space="preserve"> </w:t>
      </w:r>
      <w:r>
        <w:t xml:space="preserve">반면, 프로는</w:t>
      </w:r>
      <w:r>
        <w:t xml:space="preserve"> </w:t>
      </w:r>
      <w:r>
        <w:t xml:space="preserve">“점수로 진로가 정해져 강점을 묻지 못하고”</w:t>
      </w:r>
      <w:r>
        <w:t xml:space="preserve">, 아마는</w:t>
      </w:r>
      <w:r>
        <w:t xml:space="preserve"> </w:t>
      </w:r>
      <w:r>
        <w:t xml:space="preserve">“성적에 밀려 다른 재능은 훈련받지 못하며”</w:t>
      </w:r>
      <w:r>
        <w:t xml:space="preserve">, 소외는</w:t>
      </w:r>
      <w:r>
        <w:t xml:space="preserve"> </w:t>
      </w:r>
      <w:r>
        <w:t xml:space="preserve">“진학에서 탈락하면 길이 막혀 낙오한다”</w:t>
      </w:r>
      <w:r>
        <w:t xml:space="preserve">. 이는 부르디외가 분석한 교육장(educational field)에서의 문화자본 격차 재생산과 정확히 일치한다.</w:t>
      </w:r>
    </w:p>
    <w:p>
      <w:pPr>
        <w:pStyle w:val="BodyText"/>
      </w:pPr>
      <w:r>
        <w:t xml:space="preserve">디지털 시대의 전환은 연결 공동체가 도시(입시 학교·학원)와 국가(대입 제도)에서 마을(멘토·훈련)과 도시(심화 경로·재진입)으로 이동함으로써 성취된다. 공동체 축 데이터에서 마을은</w:t>
      </w:r>
      <w:r>
        <w:t xml:space="preserve"> </w:t>
      </w:r>
      <w:r>
        <w:t xml:space="preserve">“발견된 방향을 훈련으로 잇는 생활권”</w:t>
      </w:r>
      <w:r>
        <w:t xml:space="preserve">으로 재정의되며,</w:t>
      </w:r>
      <w:r>
        <w:t xml:space="preserve"> </w:t>
      </w:r>
      <w:r>
        <w:t xml:space="preserve">“마을 멘토단”</w:t>
      </w:r>
      <w:r>
        <w:t xml:space="preserve">과</w:t>
      </w:r>
      <w:r>
        <w:t xml:space="preserve"> </w:t>
      </w:r>
      <w:r>
        <w:t xml:space="preserve">“훈련경로 설계”</w:t>
      </w:r>
      <w:r>
        <w:t xml:space="preserve">를 통해 다양한 강점이 점수 서열 바깥에서 개발될 수 있는 공간을 만든다.</w:t>
      </w:r>
    </w:p>
    <w:bookmarkEnd w:id="30"/>
    <w:bookmarkStart w:id="31" w:name="청년기-발휘"/>
    <w:p>
      <w:pPr>
        <w:pStyle w:val="Heading2"/>
      </w:pPr>
      <w:r>
        <w:t xml:space="preserve">5.4 청년기: 발휘</w:t>
      </w:r>
    </w:p>
    <w:p>
      <w:pPr>
        <w:pStyle w:val="FirstParagraph"/>
      </w:pPr>
      <w:r>
        <w:t xml:space="preserve">P2 데이터에서 청년기는</w:t>
      </w:r>
      <w:r>
        <w:t xml:space="preserve"> </w:t>
      </w:r>
      <w:r>
        <w:t xml:space="preserve">“강점을 실제 기여로 발휘”</w:t>
      </w:r>
      <w:r>
        <w:t xml:space="preserve">하는 단계다. 산업화 시대의 필요가</w:t>
      </w:r>
      <w:r>
        <w:t xml:space="preserve"> </w:t>
      </w:r>
      <w:r>
        <w:t xml:space="preserve">“좋은 직장 취업과 정규직 정착”</w:t>
      </w:r>
      <w:r>
        <w:t xml:space="preserve">이었다면, 디지털 시대의 필요는</w:t>
      </w:r>
      <w:r>
        <w:t xml:space="preserve"> </w:t>
      </w:r>
      <w:r>
        <w:t xml:space="preserve">“정체성을 실제 기여로 발휘할 무대”</w:t>
      </w:r>
      <w:r>
        <w:t xml:space="preserve">다. 이 변화는 에스핑안데르센이 지식경제 시대의 복지국가에서 강조한</w:t>
      </w:r>
      <w:r>
        <w:t xml:space="preserve"> </w:t>
      </w:r>
      <w:r>
        <w:t xml:space="preserve">‘사회적 투자’</w:t>
      </w:r>
      <w:r>
        <w:t xml:space="preserve">—개인의 역량이 실제 기여로 발현될 수 있는 제도적 조건 마련—와 일치한다.</w:t>
      </w:r>
    </w:p>
    <w:p>
      <w:pPr>
        <w:pStyle w:val="BodyText"/>
      </w:pPr>
      <w:r>
        <w:t xml:space="preserve">4계층 격차: 리더는</w:t>
      </w:r>
      <w:r>
        <w:t xml:space="preserve"> </w:t>
      </w:r>
      <w:r>
        <w:t xml:space="preserve">“창업·전문직으로 도시와 세계 무대에서 영향력을 발휘”</w:t>
      </w:r>
      <w:r>
        <w:t xml:space="preserve">하지만, 소외 계층은</w:t>
      </w:r>
      <w:r>
        <w:t xml:space="preserve"> </w:t>
      </w:r>
      <w:r>
        <w:t xml:space="preserve">“발휘 무대가 없던 이에게 국가·도시가 진입 장벽을 낮춰 첫 기여를 잇는”</w:t>
      </w:r>
      <w:r>
        <w:t xml:space="preserve"> </w:t>
      </w:r>
      <w:r>
        <w:t xml:space="preserve">지원이 필요하다. 연결 공동체가 도시와 세계로 확장되는 이 단계에서 세계가 처음으로 등장한다는 점은 의미심장하다—글로벌 협업 시장이 열림으로써 국내 노동시장의 협소함을 우회할 가능성이 생긴다.</w:t>
      </w:r>
    </w:p>
    <w:bookmarkEnd w:id="31"/>
    <w:bookmarkStart w:id="32" w:name="중장년기-재설계확장"/>
    <w:p>
      <w:pPr>
        <w:pStyle w:val="Heading2"/>
      </w:pPr>
      <w:r>
        <w:t xml:space="preserve">5.5 중장년기: 재설계·확장</w:t>
      </w:r>
    </w:p>
    <w:p>
      <w:pPr>
        <w:pStyle w:val="FirstParagraph"/>
      </w:pPr>
      <w:r>
        <w:t xml:space="preserve">이 단계는 에릭슨의</w:t>
      </w:r>
      <w:r>
        <w:t xml:space="preserve"> </w:t>
      </w:r>
      <w:r>
        <w:t xml:space="preserve">‘생산성 대 침체’</w:t>
      </w:r>
      <w:r>
        <w:t xml:space="preserve"> </w:t>
      </w:r>
      <w:r>
        <w:t xml:space="preserve">위기에 해당하며, 디지털 전환이 가장 불균등하게 분배되는 단계이기도 하다. 산업화 시대의 목표가</w:t>
      </w:r>
      <w:r>
        <w:t xml:space="preserve"> </w:t>
      </w:r>
      <w:r>
        <w:t xml:space="preserve">“고용 유지와 가족 부양, 사회적 지위”</w:t>
      </w:r>
      <w:r>
        <w:t xml:space="preserve">였다면, 디지털 시대의 목표는</w:t>
      </w:r>
      <w:r>
        <w:t xml:space="preserve"> </w:t>
      </w:r>
      <w:r>
        <w:t xml:space="preserve">“강점을 재설계·확장하고 새 영역에 도전”</w:t>
      </w:r>
      <w:r>
        <w:t xml:space="preserve">하는 것이다.</w:t>
      </w:r>
    </w:p>
    <w:p>
      <w:pPr>
        <w:pStyle w:val="BodyText"/>
      </w:pPr>
      <w:r>
        <w:t xml:space="preserve">그러나 이 단계에서의 계층 격차는 특히 심각하다. 산업화 시대 프로 계층은</w:t>
      </w:r>
      <w:r>
        <w:t xml:space="preserve"> </w:t>
      </w:r>
      <w:r>
        <w:t xml:space="preserve">“재학습 없이 기술 변화 앞에서 버티고”</w:t>
      </w:r>
      <w:r>
        <w:t xml:space="preserve">, 아마 계층은</w:t>
      </w:r>
      <w:r>
        <w:t xml:space="preserve"> </w:t>
      </w:r>
      <w:r>
        <w:t xml:space="preserve">“고용 불안으로 경력 중단 위험을 안으며”</w:t>
      </w:r>
      <w:r>
        <w:t xml:space="preserve">, 소외 계층은</w:t>
      </w:r>
      <w:r>
        <w:t xml:space="preserve"> </w:t>
      </w:r>
      <w:r>
        <w:t xml:space="preserve">“실직·경력 단절이 곧 사회적 퇴출로 이어져 회복이 어렵다”</w:t>
      </w:r>
      <w:r>
        <w:t xml:space="preserve">. 부르디외적으로 해석하면, 중장년기의 전환 실패는 생애 전반에 걸쳐 축적된 자본 격차가 임계점을 넘어 회복 불가능한 아비투스의 붕괴로 이어지는 국면이다. P2는 이에 대한 응답으로 마을의</w:t>
      </w:r>
      <w:r>
        <w:t xml:space="preserve"> </w:t>
      </w:r>
      <w:r>
        <w:t xml:space="preserve">“재학습 접근”</w:t>
      </w:r>
      <w:r>
        <w:t xml:space="preserve"> </w:t>
      </w:r>
      <w:r>
        <w:t xml:space="preserve">경로와 국가·가정의</w:t>
      </w:r>
      <w:r>
        <w:t xml:space="preserve"> </w:t>
      </w:r>
      <w:r>
        <w:t xml:space="preserve">“전환기 보호”</w:t>
      </w:r>
      <w:r>
        <w:t xml:space="preserve">를 제시한다.</w:t>
      </w:r>
    </w:p>
    <w:bookmarkEnd w:id="32"/>
    <w:bookmarkStart w:id="33" w:name="노년기-전수연결"/>
    <w:p>
      <w:pPr>
        <w:pStyle w:val="Heading2"/>
      </w:pPr>
      <w:r>
        <w:t xml:space="preserve">5.6 노년기: 전수·연결</w:t>
      </w:r>
    </w:p>
    <w:p>
      <w:pPr>
        <w:pStyle w:val="FirstParagraph"/>
      </w:pPr>
      <w:r>
        <w:t xml:space="preserve">노년기는 에릭슨의</w:t>
      </w:r>
      <w:r>
        <w:t xml:space="preserve"> </w:t>
      </w:r>
      <w:r>
        <w:t xml:space="preserve">‘자아통합 대 절망’</w:t>
      </w:r>
      <w:r>
        <w:t xml:space="preserve"> </w:t>
      </w:r>
      <w:r>
        <w:t xml:space="preserve">위기에 해당한다. 농업 시대에는</w:t>
      </w:r>
      <w:r>
        <w:t xml:space="preserve"> </w:t>
      </w:r>
      <w:r>
        <w:t xml:space="preserve">“어른으로서 권위와 봉양받는 노후”</w:t>
      </w:r>
      <w:r>
        <w:t xml:space="preserve">가, 산업화 시대에는</w:t>
      </w:r>
      <w:r>
        <w:t xml:space="preserve"> </w:t>
      </w:r>
      <w:r>
        <w:t xml:space="preserve">“은퇴 후 연금과 자식의 부양”</w:t>
      </w:r>
      <w:r>
        <w:t xml:space="preserve">이 이 단계의 사회적 역할이었다. 디지털 시대의 노년기 재정의는 혁명적이다:</w:t>
      </w:r>
      <w:r>
        <w:t xml:space="preserve"> </w:t>
      </w:r>
      <w:r>
        <w:t xml:space="preserve">“건강을 사전에 예측·예방하며 존엄과 판단 주도권을 지키기”</w:t>
      </w:r>
      <w:r>
        <w:t xml:space="preserve">이며, 리더 계층은</w:t>
      </w:r>
      <w:r>
        <w:t xml:space="preserve"> </w:t>
      </w:r>
      <w:r>
        <w:t xml:space="preserve">“멘토·자문으로 마을·도시에서 후속 세대와 경험을 잇는 현역 전수자”</w:t>
      </w:r>
      <w:r>
        <w:t xml:space="preserve">가 된다.</w:t>
      </w:r>
    </w:p>
    <w:p>
      <w:pPr>
        <w:pStyle w:val="BodyText"/>
      </w:pPr>
      <w:r>
        <w:t xml:space="preserve">공동체 데이터에서 이 단계에는 가정(예방·돌봄·존엄), 이웃(관계 유지), 도시(건강 예측·생활 의료), 국가(소득·최소 권리선)가 각각 역할을 분담한다. 에스핑안데르센의 탈상품화 원리—노인이 시장 의존 없이 인간다운 생활을 유지할 수 있어야 한다는—는 이 단계의 소외 계층 보호 설계로 구현된다:</w:t>
      </w:r>
      <w:r>
        <w:t xml:space="preserve"> </w:t>
      </w:r>
      <w:r>
        <w:t xml:space="preserve">“단절될 위기의 노인을 가정·국가가 고립에서 건져 돌봄과 역할로 다시 잇는다.”</w:t>
      </w:r>
    </w:p>
    <w:p>
      <w:r>
        <w:pict>
          <v:rect style="width:0;height:1.5pt" o:hralign="center" o:hrstd="t" o:hr="t"/>
        </w:pict>
      </w:r>
    </w:p>
    <w:bookmarkEnd w:id="33"/>
    <w:bookmarkEnd w:id="34"/>
    <w:bookmarkStart w:id="38" w:name="디지털-전환의-함의-발견실험훈련발휘전수의-생애-사이클"/>
    <w:p>
      <w:pPr>
        <w:pStyle w:val="Heading1"/>
      </w:pPr>
      <w:r>
        <w:t xml:space="preserve">6. 디지털 전환의 함의: 발견·실험·훈련·발휘·전수의 생애 사이클</w:t>
      </w:r>
    </w:p>
    <w:bookmarkStart w:id="35" w:name="생애-사이클로서의-정체성-발현-과정"/>
    <w:p>
      <w:pPr>
        <w:pStyle w:val="Heading2"/>
      </w:pPr>
      <w:r>
        <w:t xml:space="preserve">6.1 생애 사이클로서의 정체성 발현 과정</w:t>
      </w:r>
    </w:p>
    <w:p>
      <w:pPr>
        <w:pStyle w:val="FirstParagraph"/>
      </w:pPr>
      <w:r>
        <w:t xml:space="preserve">P2의 디지털 시대 생애주기는 단선적 성장이 아니라 나선형 순환 구조를 가진다. 각 단계의 과업—단서 드러남 → 발견·실험 → 훈련·방향 → 발휘 → 재설계·확장 → 전수·연결—은 독립적 이정표가 아니라 이전 단계의 결과가 다음 단계의 조건이 되는 누적 구조다. 중장년기의 ’재설계’는 청소년기의 ’훈련’이 성공적이었을 때만 가능하고, 노년기의 ’전수’는 청년·중장년기의 ’발휘’가 축적되었을 때만 의미를 갖는다.</w:t>
      </w:r>
    </w:p>
    <w:p>
      <w:pPr>
        <w:pStyle w:val="BodyText"/>
      </w:pPr>
      <w:r>
        <w:t xml:space="preserve">이 관점에서 조기 단계의 계층 격차는 단순한 기회 불평등의 문제가 아니라 생애 전체 사이클의 단절을 의미한다. 역량접근법의 언어로 말하면, 초기 단계에서 역량(capability)이 기능(functioning)으로 전환되지 못하면 이후 단계의 역량 확장이 불가능해진다. 헥만이 실증한</w:t>
      </w:r>
      <w:r>
        <w:t xml:space="preserve"> </w:t>
      </w:r>
      <w:r>
        <w:t xml:space="preserve">“초기 투자의 복리 효과”</w:t>
      </w:r>
      <w:r>
        <w:t xml:space="preserve">는 이 사이클 논리의 경제학적 표현이다.</w:t>
      </w:r>
    </w:p>
    <w:bookmarkEnd w:id="35"/>
    <w:bookmarkStart w:id="36" w:name="공동체-재배치의-원리"/>
    <w:p>
      <w:pPr>
        <w:pStyle w:val="Heading2"/>
      </w:pPr>
      <w:r>
        <w:t xml:space="preserve">6.2 공동체 재배치의 원리</w:t>
      </w:r>
    </w:p>
    <w:p>
      <w:pPr>
        <w:pStyle w:val="FirstParagraph"/>
      </w:pPr>
      <w:r>
        <w:t xml:space="preserve">디지털 전환이 요구하는 공동체 재배치는 단순한 역할 분담 조정이 아니라 세 가지 원리의 실현이다. 첫째,</w:t>
      </w:r>
      <w:r>
        <w:t xml:space="preserve"> </w:t>
      </w:r>
      <w:r>
        <w:rPr>
          <w:b/>
          <w:bCs/>
        </w:rPr>
        <w:t xml:space="preserve">근위 공동체의 강화</w:t>
      </w:r>
      <w:r>
        <w:t xml:space="preserve">다. 브론펜브레너의 근위 과정 원리에 따라, 개인의 정체성 발현에 가장 큰 영향을 미치는 것은 직접적·지속적 상호작용이 일어나는 가정·이웃·마을이다. 산업화 시대에 약화된 이 층위의 역량을 회복하는 것이 디지털 전환의 핵심 과제다. 둘째,</w:t>
      </w:r>
      <w:r>
        <w:t xml:space="preserve"> </w:t>
      </w:r>
      <w:r>
        <w:rPr>
          <w:b/>
          <w:bCs/>
        </w:rPr>
        <w:t xml:space="preserve">계층별 맞춤형 진입 보장</w:t>
      </w:r>
      <w:r>
        <w:t xml:space="preserve">이다. 소외 계층에게는 표준화된 제도가 아니라 개별적 접근—</w:t>
      </w:r>
      <w:r>
        <w:t xml:space="preserve">“먼저 찾아가는”</w:t>
      </w:r>
      <w:r>
        <w:t xml:space="preserve"> </w:t>
      </w:r>
      <w:r>
        <w:t xml:space="preserve">국가와 공동체의 능동성—이 필요하다. 셋째,</w:t>
      </w:r>
      <w:r>
        <w:t xml:space="preserve"> </w:t>
      </w:r>
      <w:r>
        <w:rPr>
          <w:b/>
          <w:bCs/>
        </w:rPr>
        <w:t xml:space="preserve">공동체 간 연결의 제도화</w:t>
      </w:r>
      <w:r>
        <w:t xml:space="preserve">다. 이웃에서 발견한 흥미가 마을에서 훈련으로, 마을에서의 훈련이 도시에서 발휘로 이어지는 연결 경로의 제도화 없이는 개별 공동체의 역할 강화가 단편에 머문다.</w:t>
      </w:r>
    </w:p>
    <w:bookmarkEnd w:id="36"/>
    <w:bookmarkStart w:id="37" w:name="세계-공동체의-의미-전환"/>
    <w:p>
      <w:pPr>
        <w:pStyle w:val="Heading2"/>
      </w:pPr>
      <w:r>
        <w:t xml:space="preserve">6.3 세계 공동체의 의미 전환</w:t>
      </w:r>
    </w:p>
    <w:p>
      <w:pPr>
        <w:pStyle w:val="FirstParagraph"/>
      </w:pPr>
      <w:r>
        <w:t xml:space="preserve">디지털 시대에 세계 층위가 청년기와 중장년기의 연결 공동체로 등장한다는 점은 기든스가 분석한 ’시간-공간 압축(time-space compression)’의 제도적 함의다. 국경을 넘는 협업이 가능해짐에 따라 개인의 역량 발휘 무대가 국내 노동시장에 한정되지 않는다. 동시에 기후변화·AI 위험·감염병 등의 공동 위험이 국가 단위를 초월함에 따라 세계는</w:t>
      </w:r>
      <w:r>
        <w:t xml:space="preserve"> </w:t>
      </w:r>
      <w:r>
        <w:t xml:space="preserve">“개인에게 닿지 않던”</w:t>
      </w:r>
      <w:r>
        <w:t xml:space="preserve"> </w:t>
      </w:r>
      <w:r>
        <w:t xml:space="preserve">추상적 층위에서 생활과 생존에 직결된 능동적 거버넌스 층위로 전환된다.</w:t>
      </w:r>
    </w:p>
    <w:p>
      <w:r>
        <w:pict>
          <v:rect style="width:0;height:1.5pt" o:hralign="center" o:hrstd="t" o:hr="t"/>
        </w:pict>
      </w:r>
    </w:p>
    <w:bookmarkEnd w:id="37"/>
    <w:bookmarkEnd w:id="38"/>
    <w:bookmarkStart w:id="42" w:name="정책적-함의-한계-결론"/>
    <w:p>
      <w:pPr>
        <w:pStyle w:val="Heading1"/>
      </w:pPr>
      <w:r>
        <w:t xml:space="preserve">7. 정책적 함의, 한계, 결론</w:t>
      </w:r>
    </w:p>
    <w:bookmarkStart w:id="39" w:name="정책적-함의"/>
    <w:p>
      <w:pPr>
        <w:pStyle w:val="Heading2"/>
      </w:pPr>
      <w:r>
        <w:t xml:space="preserve">7.1 정책적 함의</w:t>
      </w:r>
    </w:p>
    <w:p>
      <w:pPr>
        <w:pStyle w:val="FirstParagraph"/>
      </w:pPr>
      <w:r>
        <w:t xml:space="preserve">P2 분석에서 도출되는 주요 정책적 함의는 다음 다섯 가지다.</w:t>
      </w:r>
    </w:p>
    <w:p>
      <w:pPr>
        <w:pStyle w:val="BodyText"/>
      </w:pPr>
      <w:r>
        <w:rPr>
          <w:b/>
          <w:bCs/>
        </w:rPr>
        <w:t xml:space="preserve">첫째, 생애주기 단계별 공동체 역할의 법제화가 필요하다.</w:t>
      </w:r>
      <w:r>
        <w:t xml:space="preserve"> </w:t>
      </w:r>
      <w:r>
        <w:t xml:space="preserve">현행 복지 제도는 에스핑안데르센이 지적한 것처럼 생애주기의 질적 차이를 충분히 반영하지 못하고 있다. P2의 6단계 구분과 단계별 공동체 역할 분담을 법·제도 설계의 단위로 채택할 필요가 있다.</w:t>
      </w:r>
    </w:p>
    <w:p>
      <w:pPr>
        <w:pStyle w:val="BodyText"/>
      </w:pPr>
      <w:r>
        <w:rPr>
          <w:b/>
          <w:bCs/>
        </w:rPr>
        <w:t xml:space="preserve">둘째, 이웃·마을 공동체의 역량 회복을 위한 투자가 시급하다.</w:t>
      </w:r>
      <w:r>
        <w:t xml:space="preserve"> </w:t>
      </w:r>
      <w:r>
        <w:t xml:space="preserve">퍼트넘의 사회자본 진단에 따르면, 사회자본의 쇠퇴는 단기간에 회복되지 않는다. 이웃·마을이 ’실험 공간’과 ’훈련 공간’으로 기능하기 위해서는 인프라 투자뿐 아니라 관계 형성을 지원하는 장기적 커뮤니티 빌딩 정책이 필요하다.</w:t>
      </w:r>
    </w:p>
    <w:p>
      <w:pPr>
        <w:pStyle w:val="BodyText"/>
      </w:pPr>
      <w:r>
        <w:rPr>
          <w:b/>
          <w:bCs/>
        </w:rPr>
        <w:t xml:space="preserve">셋째, 소외 계층에 대한 선제적·능동적 접근 체계가 필요하다.</w:t>
      </w:r>
      <w:r>
        <w:t xml:space="preserve"> </w:t>
      </w:r>
      <w:r>
        <w:t xml:space="preserve">센과 누스바움의 역량접근법이 강조하듯, 소외 계층은 단순히 자원이 부족한 것이 아니라 역량이 기능으로 전환될 조건이 결여되어 있다. 이에 따라</w:t>
      </w:r>
      <w:r>
        <w:t xml:space="preserve"> </w:t>
      </w:r>
      <w:r>
        <w:t xml:space="preserve">“먼저 찾아가는”</w:t>
      </w:r>
      <w:r>
        <w:t xml:space="preserve"> </w:t>
      </w:r>
      <w:r>
        <w:t xml:space="preserve">공공 서비스—찾아가는 동주민센터, 방문형 영유아 발달 지원, 중장년 경력 재설계 지원 등—가 제도화되어야 한다.</w:t>
      </w:r>
    </w:p>
    <w:p>
      <w:pPr>
        <w:pStyle w:val="BodyText"/>
      </w:pPr>
      <w:r>
        <w:rPr>
          <w:b/>
          <w:bCs/>
        </w:rPr>
        <w:t xml:space="preserve">넷째, 마을 단위 훈련·멘토 생태계 구축이 필요하다.</w:t>
      </w:r>
      <w:r>
        <w:t xml:space="preserve"> </w:t>
      </w:r>
      <w:r>
        <w:t xml:space="preserve">청소년과 중장년의 계층 격차를 완화하기 위한 핵심은 마을 단위의 훈련 경로 설계와 멘토단 조직이다. 오스트롬의 다층 거버넌스 원리에 따르면, 이는 중앙 정부가 직접 운영하는 것이 아니라 지역 공동체가 자율적으로 설계하되 국가가 최소 기준을 보장하는 방식이 효과적이다.</w:t>
      </w:r>
    </w:p>
    <w:p>
      <w:pPr>
        <w:pStyle w:val="BodyText"/>
      </w:pPr>
      <w:r>
        <w:rPr>
          <w:b/>
          <w:bCs/>
        </w:rPr>
        <w:t xml:space="preserve">다섯째, 국가의 역할을 ’관리’에서 ’조율’로 전환해야 한다.</w:t>
      </w:r>
      <w:r>
        <w:t xml:space="preserve"> </w:t>
      </w:r>
      <w:r>
        <w:t xml:space="preserve">산업화 시대의 중앙 관리형 국가는 디지털 시대의 다양한 정체성 실현 요구에 응답할 수 없다. 국가는 각 도시·마을의 실험을 조율하고 최소 권리선을 설정하는 메타 거버넌스 역할로 전환되어야 한다.</w:t>
      </w:r>
    </w:p>
    <w:bookmarkEnd w:id="39"/>
    <w:bookmarkStart w:id="40" w:name="연구의-한계"/>
    <w:p>
      <w:pPr>
        <w:pStyle w:val="Heading2"/>
      </w:pPr>
      <w:r>
        <w:t xml:space="preserve">7.2 연구의 한계</w:t>
      </w:r>
    </w:p>
    <w:p>
      <w:pPr>
        <w:pStyle w:val="FirstParagraph"/>
      </w:pPr>
      <w:r>
        <w:t xml:space="preserve">본 분석에는 몇 가지 한계가 있다. 첫째, P2의 생애단계와 계층 구분이 이상형(ideal type)적으로 설정되어 있어, 현실에서 단계 간 경계는 훨씬 유동적이다. 특히 디지털 시대에는 청년기와 중장년기의 경계가 희미해지고 있다. 둘째, 6공동체의 역할 구분이 상호 배타적이지 않으며, 실제로는 복수의 공동체가 동일한 기능을 중복적으로 수행한다. 셋째, 본 보고서에서 활용한 이론들은 주로 서구 선진국의 경험을 배경으로 발전되었으며, 한국 사회의 특수성—빠른 산업화, 교육열, 가족 구조의 급격한 변화—을 온전히 반영하지 못할 수 있다. 넷째, 디지털 시대의 공동체 역할 전환은 여전히 진행 중인 과정이며, P2에서 제시된 디지털 시대 모델은 규범적 지향에 가깝고 아직 실증적으로 충분히 검증되지 않았다.</w:t>
      </w:r>
    </w:p>
    <w:bookmarkEnd w:id="40"/>
    <w:bookmarkStart w:id="41" w:name="결론"/>
    <w:p>
      <w:pPr>
        <w:pStyle w:val="Heading2"/>
      </w:pPr>
      <w:r>
        <w:t xml:space="preserve">7.3 결론</w:t>
      </w:r>
    </w:p>
    <w:p>
      <w:pPr>
        <w:pStyle w:val="FirstParagraph"/>
      </w:pPr>
      <w:r>
        <w:t xml:space="preserve">태재미래전략연구원 마스터플랜 P2는</w:t>
      </w:r>
      <w:r>
        <w:t xml:space="preserve"> </w:t>
      </w:r>
      <w:r>
        <w:t xml:space="preserve">“개인의 생애주기적 필요가 공동체의 형태를 결정한다”</w:t>
      </w:r>
      <w:r>
        <w:t xml:space="preserve">는 명제를 3시대 × 6단계 × 6공동체 × 4계층의 정밀한 매트릭스로 구체화한다. 이 분석 틀은 기존 사회과학의 주요 이론들—브론펜브레너의 생태체계론, 에릭슨의 심리사회적 발달론, 센·누스바움의 역량접근법, 오스트롬의 다층 거버넌스론, 부르디외의 자본이론, 영의 능력주의 비판, 퍼트넘의 사회자본론, 기든스의 성찰적 근대성, 에스핑안데르센의 복지국가 레짐론, 폴라니의 대전환론—이 각각 부분적으로 포착하던 현실을 생애주기라는 단일한 축 위에 통합적으로 배치한다.</w:t>
      </w:r>
    </w:p>
    <w:p>
      <w:pPr>
        <w:pStyle w:val="BodyText"/>
      </w:pPr>
      <w:r>
        <w:t xml:space="preserve">P2의 핵심 주장은 세 가지로 요약된다. 첫째, 공동체의 형태 변화는 외생적 기술 결정이 아니라 개인의 생애주기적 필요가 추동하는 내생적 과정이다. 둘째, 산업화 시대의 표준화·획일화 공동체는 개인의 정체성 발현 필요에 응답하지 못하는 구조적 한계를 갖는다. 셋째, 디지털 시대의 공동체 재편은 이웃·마을의 근위 공동체 부활, 도시의 발휘 무대화, 국가의 안전망·조율자 전환, 세계의 공동 위험 관리자 능동화를 통해 각 생애단계의 필요에 맞춤하여 응답하는 분산형 구조로의 전환을 지향한다.</w:t>
      </w:r>
    </w:p>
    <w:p>
      <w:pPr>
        <w:pStyle w:val="BodyText"/>
      </w:pPr>
      <w:r>
        <w:t xml:space="preserve">디지털 전환은 기술의 문제가 아니라 사람의 문제다. 그리고 사람의 문제는 항상 생애주기의 문제다. P2가 제시하는 것은 기술 로드맵이 아니라 인간 발달의 생태학이다. 이 생태학에서 공동체는 개인의 필요에 응답함으로써만 그 존재 이유를 증명한다.</w:t>
      </w:r>
    </w:p>
    <w:p>
      <w:r>
        <w:pict>
          <v:rect style="width:0;height:1.5pt" o:hralign="center" o:hrstd="t" o:hr="t"/>
        </w:pict>
      </w:r>
    </w:p>
    <w:bookmarkEnd w:id="41"/>
    <w:bookmarkEnd w:id="42"/>
    <w:bookmarkStart w:id="43" w:name="참고문헌"/>
    <w:p>
      <w:pPr>
        <w:pStyle w:val="Heading1"/>
      </w:pPr>
      <w:r>
        <w:t xml:space="preserve">참고문헌</w:t>
      </w:r>
    </w:p>
    <w:p>
      <w:pPr>
        <w:pStyle w:val="FirstParagraph"/>
      </w:pPr>
      <w:r>
        <w:t xml:space="preserve">Bourdieu, P. (1986). The forms of capital. In J. G. Richardson (Ed.),</w:t>
      </w:r>
      <w:r>
        <w:t xml:space="preserve"> </w:t>
      </w:r>
      <w:r>
        <w:rPr>
          <w:i/>
          <w:iCs/>
        </w:rPr>
        <w:t xml:space="preserve">Handbook of Theory and Research for the Sociology of Education</w:t>
      </w:r>
      <w:r>
        <w:t xml:space="preserve"> </w:t>
      </w:r>
      <w:r>
        <w:t xml:space="preserve">(pp. 241–258). Greenwood Press.</w:t>
      </w:r>
    </w:p>
    <w:p>
      <w:pPr>
        <w:pStyle w:val="BodyText"/>
      </w:pPr>
      <w:r>
        <w:t xml:space="preserve">Bronfenbrenner, U. (1979).</w:t>
      </w:r>
      <w:r>
        <w:t xml:space="preserve"> </w:t>
      </w:r>
      <w:r>
        <w:rPr>
          <w:i/>
          <w:iCs/>
        </w:rPr>
        <w:t xml:space="preserve">The Ecology of Human Development: Experiments by Nature and Design</w:t>
      </w:r>
      <w:r>
        <w:t xml:space="preserve">. Harvard University Press.</w:t>
      </w:r>
    </w:p>
    <w:p>
      <w:pPr>
        <w:pStyle w:val="BodyText"/>
      </w:pPr>
      <w:r>
        <w:t xml:space="preserve">Bronfenbrenner, U., &amp; Morris, P. A. (1998). The ecology of developmental processes. In W. Damon &amp; R. M. Lerner (Eds.),</w:t>
      </w:r>
      <w:r>
        <w:t xml:space="preserve"> </w:t>
      </w:r>
      <w:r>
        <w:rPr>
          <w:i/>
          <w:iCs/>
        </w:rPr>
        <w:t xml:space="preserve">Handbook of Child Psychology</w:t>
      </w:r>
      <w:r>
        <w:t xml:space="preserve"> </w:t>
      </w:r>
      <w:r>
        <w:t xml:space="preserve">(5th ed., Vol. 1, pp. 993–1028). Wiley.</w:t>
      </w:r>
    </w:p>
    <w:p>
      <w:pPr>
        <w:pStyle w:val="BodyText"/>
      </w:pPr>
      <w:r>
        <w:t xml:space="preserve">Chetty, R., Hendren, N., Kline, P., &amp; Saez, E. (2014). Where is the land of opportunity? The geography of intergenerational mobility in the United States.</w:t>
      </w:r>
      <w:r>
        <w:t xml:space="preserve"> </w:t>
      </w:r>
      <w:r>
        <w:rPr>
          <w:i/>
          <w:iCs/>
        </w:rPr>
        <w:t xml:space="preserve">Quarterly Journal of Economics</w:t>
      </w:r>
      <w:r>
        <w:t xml:space="preserve">, 129(4), 1553–1623.</w:t>
      </w:r>
    </w:p>
    <w:p>
      <w:pPr>
        <w:pStyle w:val="BodyText"/>
      </w:pPr>
      <w:r>
        <w:t xml:space="preserve">Erikson, E. H. (1950).</w:t>
      </w:r>
      <w:r>
        <w:t xml:space="preserve"> </w:t>
      </w:r>
      <w:r>
        <w:rPr>
          <w:i/>
          <w:iCs/>
        </w:rPr>
        <w:t xml:space="preserve">Childhood and Society</w:t>
      </w:r>
      <w:r>
        <w:t xml:space="preserve">. W. W. Norton.</w:t>
      </w:r>
    </w:p>
    <w:p>
      <w:pPr>
        <w:pStyle w:val="BodyText"/>
      </w:pPr>
      <w:r>
        <w:t xml:space="preserve">Erikson, E. H. (1968).</w:t>
      </w:r>
      <w:r>
        <w:t xml:space="preserve"> </w:t>
      </w:r>
      <w:r>
        <w:rPr>
          <w:i/>
          <w:iCs/>
        </w:rPr>
        <w:t xml:space="preserve">Identity: Youth and Crisis</w:t>
      </w:r>
      <w:r>
        <w:t xml:space="preserve">. W. W. Norton.</w:t>
      </w:r>
    </w:p>
    <w:p>
      <w:pPr>
        <w:pStyle w:val="BodyText"/>
      </w:pPr>
      <w:r>
        <w:t xml:space="preserve">Esping-Andersen, G. (1990).</w:t>
      </w:r>
      <w:r>
        <w:t xml:space="preserve"> </w:t>
      </w:r>
      <w:r>
        <w:rPr>
          <w:i/>
          <w:iCs/>
        </w:rPr>
        <w:t xml:space="preserve">The Three Worlds of Welfare Capitalism</w:t>
      </w:r>
      <w:r>
        <w:t xml:space="preserve">. Princeton University Press.</w:t>
      </w:r>
    </w:p>
    <w:p>
      <w:pPr>
        <w:pStyle w:val="BodyText"/>
      </w:pPr>
      <w:r>
        <w:t xml:space="preserve">Esping-Andersen, G. (1999).</w:t>
      </w:r>
      <w:r>
        <w:t xml:space="preserve"> </w:t>
      </w:r>
      <w:r>
        <w:rPr>
          <w:i/>
          <w:iCs/>
        </w:rPr>
        <w:t xml:space="preserve">Social Foundations of Postindustrial Economies</w:t>
      </w:r>
      <w:r>
        <w:t xml:space="preserve">. Oxford University Press.</w:t>
      </w:r>
    </w:p>
    <w:p>
      <w:pPr>
        <w:pStyle w:val="BodyText"/>
      </w:pPr>
      <w:r>
        <w:t xml:space="preserve">Giddens, A. (1991).</w:t>
      </w:r>
      <w:r>
        <w:t xml:space="preserve"> </w:t>
      </w:r>
      <w:r>
        <w:rPr>
          <w:i/>
          <w:iCs/>
        </w:rPr>
        <w:t xml:space="preserve">Modernity and Self-Identity: Self and Society in the Late Modern Age</w:t>
      </w:r>
      <w:r>
        <w:t xml:space="preserve">. Stanford University Press.</w:t>
      </w:r>
    </w:p>
    <w:p>
      <w:pPr>
        <w:pStyle w:val="BodyText"/>
      </w:pPr>
      <w:r>
        <w:t xml:space="preserve">Heckman, J. J. (2006). Skill formation and the economics of investing in disadvantaged children.</w:t>
      </w:r>
      <w:r>
        <w:t xml:space="preserve"> </w:t>
      </w:r>
      <w:r>
        <w:rPr>
          <w:i/>
          <w:iCs/>
        </w:rPr>
        <w:t xml:space="preserve">Science</w:t>
      </w:r>
      <w:r>
        <w:t xml:space="preserve">, 312(5782), 1900–1902.</w:t>
      </w:r>
    </w:p>
    <w:p>
      <w:pPr>
        <w:pStyle w:val="BodyText"/>
      </w:pPr>
      <w:r>
        <w:t xml:space="preserve">Nussbaum, M. C. (2011).</w:t>
      </w:r>
      <w:r>
        <w:t xml:space="preserve"> </w:t>
      </w:r>
      <w:r>
        <w:rPr>
          <w:i/>
          <w:iCs/>
        </w:rPr>
        <w:t xml:space="preserve">Creating Capabilities: The Human Development Approach</w:t>
      </w:r>
      <w:r>
        <w:t xml:space="preserve">. Harvard University Press.</w:t>
      </w:r>
    </w:p>
    <w:p>
      <w:pPr>
        <w:pStyle w:val="BodyText"/>
      </w:pPr>
      <w:r>
        <w:t xml:space="preserve">Ostrom, E. (1990).</w:t>
      </w:r>
      <w:r>
        <w:t xml:space="preserve"> </w:t>
      </w:r>
      <w:r>
        <w:rPr>
          <w:i/>
          <w:iCs/>
        </w:rPr>
        <w:t xml:space="preserve">Governing the Commons: The Evolution of Institutions for Collective Action</w:t>
      </w:r>
      <w:r>
        <w:t xml:space="preserve">. Cambridge University Press.</w:t>
      </w:r>
    </w:p>
    <w:p>
      <w:pPr>
        <w:pStyle w:val="BodyText"/>
      </w:pPr>
      <w:r>
        <w:t xml:space="preserve">Ostrom, E. (2009). A polycentric approach for coping with climate change.</w:t>
      </w:r>
      <w:r>
        <w:t xml:space="preserve"> </w:t>
      </w:r>
      <w:r>
        <w:rPr>
          <w:i/>
          <w:iCs/>
        </w:rPr>
        <w:t xml:space="preserve">World Bank Policy Research Working Paper</w:t>
      </w:r>
      <w:r>
        <w:t xml:space="preserve">, No. 5095.</w:t>
      </w:r>
    </w:p>
    <w:p>
      <w:pPr>
        <w:pStyle w:val="BodyText"/>
      </w:pPr>
      <w:r>
        <w:t xml:space="preserve">Polanyi, K. (1944).</w:t>
      </w:r>
      <w:r>
        <w:t xml:space="preserve"> </w:t>
      </w:r>
      <w:r>
        <w:rPr>
          <w:i/>
          <w:iCs/>
        </w:rPr>
        <w:t xml:space="preserve">The Great Transformation: The Political and Economic Origins of Our Time</w:t>
      </w:r>
      <w:r>
        <w:t xml:space="preserve">. Farrar &amp; Rinehart.</w:t>
      </w:r>
    </w:p>
    <w:p>
      <w:pPr>
        <w:pStyle w:val="BodyText"/>
      </w:pPr>
      <w:r>
        <w:t xml:space="preserve">Putnam, R. D. (2000).</w:t>
      </w:r>
      <w:r>
        <w:t xml:space="preserve"> </w:t>
      </w:r>
      <w:r>
        <w:rPr>
          <w:i/>
          <w:iCs/>
        </w:rPr>
        <w:t xml:space="preserve">Bowling Alone: The Collapse and Revival of American Community</w:t>
      </w:r>
      <w:r>
        <w:t xml:space="preserve">. Simon &amp; Schuster.</w:t>
      </w:r>
    </w:p>
    <w:p>
      <w:pPr>
        <w:pStyle w:val="BodyText"/>
      </w:pPr>
      <w:r>
        <w:t xml:space="preserve">Sen, A. (1999).</w:t>
      </w:r>
      <w:r>
        <w:t xml:space="preserve"> </w:t>
      </w:r>
      <w:r>
        <w:rPr>
          <w:i/>
          <w:iCs/>
        </w:rPr>
        <w:t xml:space="preserve">Development as Freedom</w:t>
      </w:r>
      <w:r>
        <w:t xml:space="preserve">. Anchor Books.</w:t>
      </w:r>
    </w:p>
    <w:p>
      <w:pPr>
        <w:pStyle w:val="BodyText"/>
      </w:pPr>
      <w:r>
        <w:t xml:space="preserve">Young, M. (1958).</w:t>
      </w:r>
      <w:r>
        <w:t xml:space="preserve"> </w:t>
      </w:r>
      <w:r>
        <w:rPr>
          <w:i/>
          <w:iCs/>
        </w:rPr>
        <w:t xml:space="preserve">The Rise of the Meritocracy: 1870–2033</w:t>
      </w:r>
      <w:r>
        <w:t xml:space="preserve">. Thames and Hudson.</w:t>
      </w:r>
    </w:p>
    <w:p>
      <w:pPr>
        <w:pStyle w:val="BodyText"/>
      </w:pPr>
      <w:r>
        <w:t xml:space="preserve">태재미래전략연구원. (2024). 마스터플랜 v01201: P2 개인 생애주기·6공동체·4계층 데이터 [내부 자료].</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개인의 생애주기별 필요와 공동체의 구조적 전환</dc:title>
  <dc:creator>태재미래전략연구원</dc:creator>
  <dc:language>ko</dc:language>
  <cp:keywords/>
  <dcterms:created xsi:type="dcterms:W3CDTF">2026-06-26T04:59:50Z</dcterms:created>
  <dcterms:modified xsi:type="dcterms:W3CDTF">2026-06-26T04:59:50Z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2026년 6월</vt:lpwstr>
  </property>
  <property fmtid="{D5CDD505-2E9C-101B-9397-08002B2CF9AE}" pid="3" name="subtitle">
    <vt:lpwstr>태재미래전략연구원 마스터플랜 P2 분석 — 생애 6단계 × 6공동체 × 4계층 매트릭스</vt:lpwstr>
  </property>
</Properties>
</file>