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사회계약론(홉스·로크·루소), 오스트롬의 다층 거버넌스, 브론펜브레너의 생태체계, 에릭슨의 발달단계, 센·누스바움의 역량 이론, 폴라니의 재착근이 이론적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공동체란 무엇인가. 이 연구는 공동체를 개인이 자신의 필요에 의해 자신이 가진 권리의 일부를 위임하는 계약을 통해 구현되는 실체로 본다. 개인이 먼저 있고, 그 개인이 살아가면서 마주치는 필요가 공동체를 불러낸다. 개인의 권리 위임이 없으면 공동체는 존재하지 않으며, 위임이 철회되면 그 공동체는 근거를 잃는다.</w:t>
      </w:r>
    </w:p>
    <w:p>
      <w:pPr>
        <w:spacing w:before="0" w:after="120" w:line="384" w:lineRule="auto"/>
        <w:jc w:val="both"/>
      </w:pPr>
      <w:r>
        <w:rPr>
          <w:rFonts w:ascii="Noto Serif KR" w:hAnsi="Noto Serif KR" w:eastAsia="Noto Serif KR"/>
          <w:b w:val="0"/>
          <w:i w:val="0"/>
          <w:color w:val="000000"/>
          <w:sz w:val="21"/>
        </w:rPr>
        <w:t>이 정의는 서구 근대 철학의 사회계약론과 직결된다. 17세기 영국의 철학자 토머스 홉스는 『리바이어던』(1651)에서, 인간이 '만인의 만인에 대한 전쟁' 상태를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존 로크는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사상가 장자크 루소는 『사회계약론』(1762)에서 '일반의지'라는 개념을 통해 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정의하는 것은 단순한 은유가 아니다.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w:t>
      </w:r>
    </w:p>
    <w:p>
      <w:pPr>
        <w:spacing w:before="0" w:after="120" w:line="384" w:lineRule="auto"/>
        <w:jc w:val="both"/>
      </w:pPr>
      <w:r>
        <w:rPr>
          <w:rFonts w:ascii="Noto Serif KR" w:hAnsi="Noto Serif KR" w:eastAsia="Noto Serif KR"/>
          <w:b w:val="0"/>
          <w:i w:val="0"/>
          <w:color w:val="000000"/>
          <w:sz w:val="21"/>
        </w:rPr>
        <w:t>인도의 경제학자 아마르티아 센은 개발을 자유의 확장으로 정의했다(『자유로서의 발전』, 1999). 센은 단순히 소득이 있다는 것이 아니라, 개인이 실제로 할 수 있는 일과 될 수 있는 존재의 폭이 넓어지는 것이 진정한 발전이라고 보았다. 철학자 마사 누스바움은 이를 '역량(capabilities)'이라는 개념으로 구체화했다 (『역량의 창조』, 2011). 역량이란 단지 이론적 가능성이 아니라 실제로 실행할 수 있는 능력을 가리킨다.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w:t>
      </w:r>
    </w:p>
    <w:p>
      <w:pPr>
        <w:spacing w:before="0" w:after="120" w:line="384" w:lineRule="auto"/>
        <w:jc w:val="both"/>
      </w:pPr>
      <w:r>
        <w:rPr>
          <w:rFonts w:ascii="Noto Serif KR" w:hAnsi="Noto Serif KR" w:eastAsia="Noto Serif KR"/>
          <w:b w:val="0"/>
          <w:i w:val="0"/>
          <w:color w:val="000000"/>
          <w:sz w:val="21"/>
        </w:rPr>
        <w:t>이 지점에서 경제학자 칼 폴라니의 통찰이 유효하다. 폴라니는 『거대한 전환』(1944)에서, 산업화 시대의 시장 경제가 노동과 토지와 화폐를 사회적 관계에서 뜯어내어 순수한 상품으로 만들었다고 분석했다. 폴라니에게 이것은 '탈착근(disembedding)'이었다.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노벨경제학상을 받은 엘리너 오스트롬은 공유 자원의 관리 문제를 연구하다가 중요한 발견을 했다. 사람들은 중앙 정부의 명령도, 사유화된 시장도 없이, 스스로 자치 규칙을 만들어 자원을 지속 가능하게 관리할 수 있다는 것이다(『공유의 비극을 넘어』, 1990). 그녀는 이를 '다층 거버넌스'라고 불렀다. 하나의 공동체가 모든 것을 독점하는 대신, 여러 층위의 공동체가 각자의 영역에서 자치적으로 문제를 나누어 맡는 구조다.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발달심리학자 우리 브론펜브레너는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브론펜브레너의 핵심 통찰은, 개인에게 가장 깊은 영향을 미치는 것은 가까운 공동체와의 지속적이고 직접적인 상호작용—그가 '근위 과정'이라고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공장과 관료제 조직은 복잡한 생산 과정을 잘게 나누어 각자에게 단순 반복 직무를 맡겼다.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마이클 영이 『능력주의의 부상』(1958)에서 경고했듯, 시험 성적으로 모든 것이 줄 세워지는 사회에서 표준 경로에서 벗어난 사람은 '능력 부족'으로 낙인찍히는 이중의 고통을 받았다.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제임스 헥만이 실증했듯 생애 초기 투자는 이후 어느 시기보다 높은 복리 효과를 낳는다.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중간체계라고 부른 것, 즉 가정과 이웃과 마을이 서로 맞물려 상승 효과를 내는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에릭 에릭슨은 생애 발달을 여덟 단계로 나누고, 각 단계에서 개인이 해결해야 할 심리사회적 과제가 있다고 보았다(『아동기와 사회』, 1950).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에스핑안데르센이 지식경제 복지국가에서 강조한 사회적 투자는 바로 이 진입 조건을 미리 까는 일이다.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침체'로 정의했다.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절망'으로 보았다.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거버넌스'로 전환되어야 한다. 모든 사람에게 권리 위임의 기회가 열리도록 최소 권리선을 세우고, 어느 공동체가 과도한 권리를 독점하지 않도록 규칙을 만드는 것이 국가의 일이다.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24" w:lineRule="auto"/>
        <w:ind w:left="454" w:hanging="454"/>
      </w:pPr>
      <w:r>
        <w:rPr>
          <w:rFonts w:ascii="Noto Serif KR" w:hAnsi="Noto Serif KR" w:eastAsia="Noto Serif KR"/>
          <w:b w:val="0"/>
          <w:i w:val="0"/>
          <w:color w:val="000000"/>
          <w:sz w:val="19"/>
        </w:rPr>
        <w:t>Bronfenbrenner, U. (1979). The Ecology of Human Development. Harvard University Press.</w:t>
      </w:r>
    </w:p>
    <w:p>
      <w:pPr>
        <w:spacing w:after="60" w:line="324" w:lineRule="auto"/>
        <w:ind w:left="454" w:hanging="454"/>
      </w:pPr>
      <w:r>
        <w:rPr>
          <w:rFonts w:ascii="Noto Serif KR" w:hAnsi="Noto Serif KR" w:eastAsia="Noto Serif KR"/>
          <w:b w:val="0"/>
          <w:i w:val="0"/>
          <w:color w:val="000000"/>
          <w:sz w:val="19"/>
        </w:rPr>
        <w:t>Erikson, E. H. (1950). Childhood and Society. W. W. Norton.</w:t>
      </w:r>
    </w:p>
    <w:p>
      <w:pPr>
        <w:spacing w:after="60" w:line="324" w:lineRule="auto"/>
        <w:ind w:left="454" w:hanging="454"/>
      </w:pPr>
      <w:r>
        <w:rPr>
          <w:rFonts w:ascii="Noto Serif KR" w:hAnsi="Noto Serif KR" w:eastAsia="Noto Serif KR"/>
          <w:b w:val="0"/>
          <w:i w:val="0"/>
          <w:color w:val="000000"/>
          <w:sz w:val="19"/>
        </w:rPr>
        <w:t>Erikson, E. H. (1968). Identity: Youth and Crisis. W. W. Norton.</w:t>
      </w:r>
    </w:p>
    <w:p>
      <w:pPr>
        <w:spacing w:after="60" w:line="324" w:lineRule="auto"/>
        <w:ind w:left="454" w:hanging="454"/>
      </w:pPr>
      <w:r>
        <w:rPr>
          <w:rFonts w:ascii="Noto Serif KR" w:hAnsi="Noto Serif KR" w:eastAsia="Noto Serif KR"/>
          <w:b w:val="0"/>
          <w:i w:val="0"/>
          <w:color w:val="000000"/>
          <w:sz w:val="19"/>
        </w:rPr>
        <w:t>Esping-Andersen, G. (1999). Social Foundations of Postindustrial Economies. Oxford University Press.</w:t>
      </w:r>
    </w:p>
    <w:p>
      <w:pPr>
        <w:spacing w:after="60" w:line="324" w:lineRule="auto"/>
        <w:ind w:left="454" w:hanging="454"/>
      </w:pPr>
      <w:r>
        <w:rPr>
          <w:rFonts w:ascii="Noto Serif KR" w:hAnsi="Noto Serif KR" w:eastAsia="Noto Serif KR"/>
          <w:b w:val="0"/>
          <w:i w:val="0"/>
          <w:color w:val="000000"/>
          <w:sz w:val="19"/>
        </w:rPr>
        <w:t>Heckman, J. J. (2006). Skill formation and the economics of investing in disadvantaged children. Science, 312(5782), 1900–1902.</w:t>
      </w:r>
    </w:p>
    <w:p>
      <w:pPr>
        <w:spacing w:after="60" w:line="324" w:lineRule="auto"/>
        <w:ind w:left="454" w:hanging="454"/>
      </w:pPr>
      <w:r>
        <w:rPr>
          <w:rFonts w:ascii="Noto Serif KR" w:hAnsi="Noto Serif KR" w:eastAsia="Noto Serif KR"/>
          <w:b w:val="0"/>
          <w:i w:val="0"/>
          <w:color w:val="000000"/>
          <w:sz w:val="19"/>
        </w:rPr>
        <w:t>Hobbes, T. (1651). Leviathan. Andrew Crooke.</w:t>
      </w:r>
    </w:p>
    <w:p>
      <w:pPr>
        <w:spacing w:after="60" w:line="324" w:lineRule="auto"/>
        <w:ind w:left="454" w:hanging="454"/>
      </w:pPr>
      <w:r>
        <w:rPr>
          <w:rFonts w:ascii="Noto Serif KR" w:hAnsi="Noto Serif KR" w:eastAsia="Noto Serif KR"/>
          <w:b w:val="0"/>
          <w:i w:val="0"/>
          <w:color w:val="000000"/>
          <w:sz w:val="19"/>
        </w:rPr>
        <w:t>Locke, J. (1689). Two Treatises of Government. Awnsham Churchill.</w:t>
      </w:r>
    </w:p>
    <w:p>
      <w:pPr>
        <w:spacing w:after="60" w:line="324" w:lineRule="auto"/>
        <w:ind w:left="454" w:hanging="454"/>
      </w:pPr>
      <w:r>
        <w:rPr>
          <w:rFonts w:ascii="Noto Serif KR" w:hAnsi="Noto Serif KR" w:eastAsia="Noto Serif KR"/>
          <w:b w:val="0"/>
          <w:i w:val="0"/>
          <w:color w:val="000000"/>
          <w:sz w:val="19"/>
        </w:rPr>
        <w:t>Nussbaum, M. C. (2011). Creating Capabilities: The Human Development Approach. Harvard University Press.</w:t>
      </w:r>
    </w:p>
    <w:p>
      <w:pPr>
        <w:spacing w:after="60" w:line="324" w:lineRule="auto"/>
        <w:ind w:left="454" w:hanging="454"/>
      </w:pPr>
      <w:r>
        <w:rPr>
          <w:rFonts w:ascii="Noto Serif KR" w:hAnsi="Noto Serif KR" w:eastAsia="Noto Serif KR"/>
          <w:b w:val="0"/>
          <w:i w:val="0"/>
          <w:color w:val="000000"/>
          <w:sz w:val="19"/>
        </w:rPr>
        <w:t>Ostrom, E. (1990). Governing the Commons. Cambridge University Press.</w:t>
      </w:r>
    </w:p>
    <w:p>
      <w:pPr>
        <w:spacing w:after="60" w:line="324" w:lineRule="auto"/>
        <w:ind w:left="454" w:hanging="454"/>
      </w:pPr>
      <w:r>
        <w:rPr>
          <w:rFonts w:ascii="Noto Serif KR" w:hAnsi="Noto Serif KR" w:eastAsia="Noto Serif KR"/>
          <w:b w:val="0"/>
          <w:i w:val="0"/>
          <w:color w:val="000000"/>
          <w:sz w:val="19"/>
        </w:rPr>
        <w:t>Ostrom, E. (2009). A polycentric approach for coping with climate change. World Bank Policy Research Working Paper, No. 5095.</w:t>
      </w:r>
    </w:p>
    <w:p>
      <w:pPr>
        <w:spacing w:after="60" w:line="324" w:lineRule="auto"/>
        <w:ind w:left="454" w:hanging="454"/>
      </w:pPr>
      <w:r>
        <w:rPr>
          <w:rFonts w:ascii="Noto Serif KR" w:hAnsi="Noto Serif KR" w:eastAsia="Noto Serif KR"/>
          <w:b w:val="0"/>
          <w:i w:val="0"/>
          <w:color w:val="000000"/>
          <w:sz w:val="19"/>
        </w:rPr>
        <w:t>Polanyi, K. (1944). The Great Transformation. Farrar &amp; Rinehart.</w:t>
      </w:r>
    </w:p>
    <w:p>
      <w:pPr>
        <w:spacing w:after="60" w:line="324" w:lineRule="auto"/>
        <w:ind w:left="454" w:hanging="454"/>
      </w:pPr>
      <w:r>
        <w:rPr>
          <w:rFonts w:ascii="Noto Serif KR" w:hAnsi="Noto Serif KR" w:eastAsia="Noto Serif KR"/>
          <w:b w:val="0"/>
          <w:i w:val="0"/>
          <w:color w:val="000000"/>
          <w:sz w:val="19"/>
        </w:rPr>
        <w:t>Rousseau, J.-J. (1762). Du Contrat Social. Marc-Michel Rey.</w:t>
      </w:r>
    </w:p>
    <w:p>
      <w:pPr>
        <w:spacing w:after="60" w:line="324" w:lineRule="auto"/>
        <w:ind w:left="454" w:hanging="454"/>
      </w:pPr>
      <w:r>
        <w:rPr>
          <w:rFonts w:ascii="Noto Serif KR" w:hAnsi="Noto Serif KR" w:eastAsia="Noto Serif KR"/>
          <w:b w:val="0"/>
          <w:i w:val="0"/>
          <w:color w:val="000000"/>
          <w:sz w:val="19"/>
        </w:rPr>
        <w:t>Sen, A. (1999). Development as Freedom. Anchor Books.</w:t>
      </w:r>
    </w:p>
    <w:p>
      <w:pPr>
        <w:spacing w:after="60" w:line="324" w:lineRule="auto"/>
        <w:ind w:left="454" w:hanging="454"/>
      </w:pPr>
      <w:r>
        <w:rPr>
          <w:rFonts w:ascii="Noto Serif KR" w:hAnsi="Noto Serif KR" w:eastAsia="Noto Serif KR"/>
          <w:b w:val="0"/>
          <w:i w:val="0"/>
          <w:color w:val="000000"/>
          <w:sz w:val="19"/>
        </w:rPr>
        <w:t>Young, M. (1958). The Rise of the Meritocracy: 1870–2033.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