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pPr>
    </w:p>
    <w:p>
      <w:pPr>
        <w:spacing w:after="0" w:before="0"/>
      </w:pPr>
    </w:p>
    <w:p>
      <w:pPr>
        <w:spacing w:after="0" w:before="0"/>
      </w:pPr>
    </w:p>
    <w:p>
      <w:pPr>
        <w:spacing w:after="0" w:before="0"/>
      </w:pPr>
    </w:p>
    <w:p>
      <w:pPr>
        <w:spacing w:after="0" w:before="0"/>
      </w:pPr>
    </w:p>
    <w:p>
      <w:pPr>
        <w:spacing w:after="0" w:before="0"/>
      </w:pPr>
    </w:p>
    <w:p>
      <w:pPr>
        <w:spacing w:after="0" w:before="0"/>
      </w:pPr>
    </w:p>
    <w:p>
      <w:pPr>
        <w:spacing w:after="0" w:before="0"/>
      </w:pPr>
    </w:p>
    <w:p>
      <w:pPr>
        <w:spacing w:after="400"/>
        <w:jc w:val="center"/>
      </w:pPr>
      <w:r>
        <w:rPr>
          <w:rFonts w:ascii="Asta Sans" w:hAnsi="Asta Sans" w:eastAsia="Asta Sans"/>
          <w:b w:val="0"/>
          <w:color w:val="444444"/>
          <w:sz w:val="22"/>
        </w:rPr>
        <w:t>────────────────────────────────────────</w:t>
      </w:r>
    </w:p>
    <w:p>
      <w:pPr>
        <w:spacing w:after="160"/>
        <w:jc w:val="center"/>
      </w:pPr>
      <w:r>
        <w:rPr>
          <w:rFonts w:ascii="Asta Sans" w:hAnsi="Asta Sans" w:eastAsia="Asta Sans"/>
          <w:b/>
          <w:color w:val="000000"/>
          <w:sz w:val="56"/>
        </w:rPr>
        <w:t>AI 시대</w:t>
      </w:r>
    </w:p>
    <w:p>
      <w:pPr>
        <w:spacing w:after="160"/>
        <w:jc w:val="center"/>
      </w:pPr>
      <w:r>
        <w:rPr>
          <w:rFonts w:ascii="Asta Sans" w:hAnsi="Asta Sans" w:eastAsia="Asta Sans"/>
          <w:b/>
          <w:color w:val="000000"/>
          <w:sz w:val="56"/>
        </w:rPr>
        <w:t>새로운 사회 계약을 위한</w:t>
      </w:r>
    </w:p>
    <w:p>
      <w:pPr>
        <w:spacing w:after="480"/>
        <w:jc w:val="center"/>
      </w:pPr>
      <w:r>
        <w:rPr>
          <w:rFonts w:ascii="Asta Sans" w:hAnsi="Asta Sans" w:eastAsia="Asta Sans"/>
          <w:b/>
          <w:color w:val="000000"/>
          <w:sz w:val="56"/>
        </w:rPr>
        <w:t>기초 연구</w:t>
      </w:r>
    </w:p>
    <w:p>
      <w:pPr>
        <w:spacing w:after="600"/>
        <w:jc w:val="center"/>
      </w:pPr>
      <w:r>
        <w:rPr>
          <w:rFonts w:ascii="Asta Sans" w:hAnsi="Asta Sans" w:eastAsia="Asta Sans"/>
          <w:b w:val="0"/>
          <w:color w:val="444444"/>
          <w:sz w:val="22"/>
        </w:rPr>
        <w:t>────────────────────────────────────────</w:t>
      </w:r>
    </w:p>
    <w:p>
      <w:pPr>
        <w:spacing w:after="80"/>
        <w:jc w:val="center"/>
      </w:pPr>
      <w:r>
        <w:rPr>
          <w:rFonts w:ascii="Asta Sans" w:hAnsi="Asta Sans" w:eastAsia="Asta Sans"/>
          <w:b w:val="0"/>
          <w:color w:val="444444"/>
          <w:sz w:val="32"/>
        </w:rPr>
        <w:t>태재미래전략연구원</w:t>
      </w:r>
    </w:p>
    <w:p>
      <w:pPr>
        <w:spacing w:after="240"/>
        <w:jc w:val="center"/>
      </w:pPr>
      <w:r>
        <w:rPr>
          <w:rFonts w:ascii="Asta Sans" w:hAnsi="Asta Sans" w:eastAsia="Asta Sans"/>
          <w:b w:val="0"/>
          <w:color w:val="555555"/>
          <w:sz w:val="26"/>
        </w:rPr>
        <w:t>디지털 전환과 사회변혁팀</w:t>
      </w:r>
    </w:p>
    <w:p>
      <w:pPr>
        <w:spacing w:after="0"/>
        <w:jc w:val="center"/>
      </w:pPr>
      <w:r>
        <w:rPr>
          <w:rFonts w:ascii="Asta Sans" w:hAnsi="Asta Sans" w:eastAsia="Asta Sans"/>
          <w:b w:val="0"/>
          <w:color w:val="777777"/>
          <w:sz w:val="28"/>
        </w:rPr>
        <w:t>2026년 2월</w:t>
      </w:r>
    </w:p>
    <w:p>
      <w:r>
        <w:br w:type="page"/>
      </w:r>
    </w:p>
    <w:p>
      <w:pPr>
        <w:spacing w:before="0" w:after="400"/>
        <w:jc w:val="left"/>
      </w:pPr>
      <w:r>
        <w:rPr>
          <w:rFonts w:ascii="Asta Sans" w:hAnsi="Asta Sans" w:eastAsia="Asta Sans"/>
          <w:b/>
          <w:color w:val="000000"/>
          <w:sz w:val="44"/>
        </w:rPr>
        <w:t>요약</w:t>
      </w:r>
    </w:p>
    <w:p>
      <w:pPr>
        <w:spacing w:after="320"/>
        <w:pBdr>
          <w:bottom w:val="single" w:sz="4" w:space="1" w:color="333333"/>
        </w:pBdr>
      </w:pPr>
    </w:p>
    <w:p>
      <w:pPr>
        <w:spacing w:line="360" w:lineRule="auto" w:after="200"/>
        <w:ind w:firstLine="283"/>
      </w:pPr>
      <w:r>
        <w:rPr>
          <w:rFonts w:ascii="Asta Sans" w:hAnsi="Asta Sans" w:eastAsia="Asta Sans"/>
          <w:b w:val="0"/>
          <w:sz w:val="22"/>
        </w:rPr>
        <w:t>기술 혁명은 자동으로 사회를 이롭게 하지 않는다. 지난 230년간 다섯 차례의 기술 혁명에서, 새 기술의 혜택이 사회 전체로 퍼진 황금기는 제도적 재편에 성공한 경우에만 도달했다. 재편에 실패하면 긴장이 격변으로 폭발했다(Perez, 2002).</w:t>
      </w:r>
    </w:p>
    <w:p>
      <w:pPr>
        <w:spacing w:line="360" w:lineRule="auto" w:after="200"/>
        <w:ind w:firstLine="283"/>
      </w:pPr>
      <w:r>
        <w:rPr>
          <w:rFonts w:ascii="Asta Sans" w:hAnsi="Asta Sans" w:eastAsia="Asta Sans"/>
          <w:b w:val="0"/>
          <w:sz w:val="22"/>
        </w:rPr>
        <w:t>산업 시대에 이 재편은 대부분 사후적으로 이루어졌다. 시장이 먼저 질서를 만들고, 법이 뒤따랐다. 공장이 돌아가고 기업이 성장한 뒤에야 법인이라는 법적 범주가 만들어졌고, 착취와 독점이 심화된 뒤에야 노동법과 반독점법이 따라왔다. 이 경로는 작동했지만, 대가가 컸다. 역설적이지만, 격변의 경로가 때로 더 높은 황금기에 도달하기도 했다 — 전후 황금기(1945~75)가 그 증거다. 그러나 그 대가는 수천만 명의 죽음이었다.</w:t>
      </w:r>
    </w:p>
    <w:p>
      <w:pPr>
        <w:spacing w:line="360" w:lineRule="auto" w:after="200"/>
        <w:ind w:firstLine="283"/>
      </w:pPr>
      <w:r>
        <w:rPr>
          <w:rFonts w:ascii="Asta Sans" w:hAnsi="Asta Sans" w:eastAsia="Asta Sans"/>
          <w:b w:val="0"/>
          <w:sz w:val="22"/>
        </w:rPr>
        <w:t>본 연구는 AI 시대에 이 사후적 경로가 더 이상 안전하지 않다고 주장한다. 산업 시대의 기계는 인간이 끄면 멈췄다. 그래서 "먼저 돌려보고 나중에 고치는" 전략이 가능했다. AI는 점점 더 스스로 판단하고 행동한다. 사후 교정의 비용과 위험이 질적으로 달라진다. 따라서 질서의 일부를 미리 설계할 필요가 있다.</w:t>
      </w:r>
    </w:p>
    <w:p>
      <w:pPr>
        <w:spacing w:line="360" w:lineRule="auto" w:after="200"/>
        <w:ind w:firstLine="283"/>
      </w:pPr>
      <w:r>
        <w:rPr>
          <w:rFonts w:ascii="Asta Sans" w:hAnsi="Asta Sans" w:eastAsia="Asta Sans"/>
          <w:b w:val="0"/>
          <w:sz w:val="22"/>
        </w:rPr>
        <w:t>다만, 경제 질서를 위에서 설계하려 한 시도 — 중앙계획경제가 대표적이다 — 는 역사적으로 실패했다. 본 연구가 제안하는 것은 질서 자체의 설계가 아니라 질서가 작동할 조건의 설계다. 경쟁의 틀, 주체의 역할 범위, 책임의 귀속 구조를 미리 설정하되, 그 안에서의 구체적 질서는 시장과 사회에 맡기는 것이다.</w:t>
      </w:r>
    </w:p>
    <w:p>
      <w:pPr>
        <w:spacing w:line="360" w:lineRule="auto" w:after="200"/>
        <w:ind w:firstLine="283"/>
      </w:pPr>
      <w:r>
        <w:rPr>
          <w:rFonts w:ascii="Asta Sans" w:hAnsi="Asta Sans" w:eastAsia="Asta Sans"/>
          <w:b w:val="0"/>
          <w:sz w:val="22"/>
        </w:rPr>
        <w:t>이 조건 설계의 경로를 본 연구는 세 단계로 제시한다:</w:t>
      </w:r>
    </w:p>
    <w:p>
      <w:pPr>
        <w:pStyle w:val="ListBullet"/>
        <w:spacing w:line="360" w:lineRule="auto" w:after="80"/>
      </w:pPr>
      <w:r>
        <w:rPr>
          <w:rFonts w:ascii="Asta Sans" w:hAnsi="Asta Sans" w:eastAsia="Asta Sans"/>
          <w:b/>
          <w:sz w:val="22"/>
        </w:rPr>
        <w:t>❶ 주체 정의 — AI 에이전트에 대한 법적 범주의 창설</w:t>
      </w:r>
    </w:p>
    <w:p>
      <w:pPr>
        <w:pStyle w:val="ListBullet"/>
        <w:spacing w:line="360" w:lineRule="auto" w:after="80"/>
      </w:pPr>
      <w:r>
        <w:rPr>
          <w:rFonts w:ascii="Asta Sans" w:hAnsi="Asta Sans" w:eastAsia="Asta Sans"/>
          <w:b/>
          <w:sz w:val="22"/>
        </w:rPr>
        <w:t>❷ 관계 정의 — 인간-AI 사이의 권리·의무·책임 구조 확립</w:t>
      </w:r>
    </w:p>
    <w:p>
      <w:pPr>
        <w:pStyle w:val="ListBullet"/>
        <w:spacing w:line="360" w:lineRule="auto" w:after="80"/>
      </w:pPr>
      <w:r>
        <w:rPr>
          <w:rFonts w:ascii="Asta Sans" w:hAnsi="Asta Sans" w:eastAsia="Asta Sans"/>
          <w:b/>
          <w:sz w:val="22"/>
        </w:rPr>
        <w:t>❸ 질서 설계 — 경제적·정치적 질서의 조건 설계 (현실에 맞춰 지속 조정)</w:t>
      </w:r>
    </w:p>
    <w:p>
      <w:r>
        <w:br w:type="page"/>
      </w:r>
    </w:p>
    <w:p>
      <w:pPr>
        <w:spacing w:before="0" w:after="120"/>
      </w:pPr>
      <w:r>
        <w:rPr>
          <w:rFonts w:ascii="Asta Sans" w:hAnsi="Asta Sans" w:eastAsia="Asta Sans"/>
          <w:b/>
          <w:color w:val="000000"/>
          <w:sz w:val="36"/>
        </w:rPr>
        <w:t>1. 기술 혁명은 왜 위험한가</w:t>
      </w:r>
    </w:p>
    <w:p>
      <w:pPr>
        <w:spacing w:after="280"/>
        <w:pBdr>
          <w:bottom w:val="single" w:sz="6" w:space="1" w:color="333333"/>
        </w:pBdr>
      </w:pPr>
    </w:p>
    <w:p>
      <w:pPr>
        <w:spacing w:before="160" w:after="80"/>
        <w:jc w:val="center"/>
      </w:pPr>
      <w:r>
        <w:drawing>
          <wp:inline xmlns:a="http://schemas.openxmlformats.org/drawingml/2006/main" xmlns:pic="http://schemas.openxmlformats.org/drawingml/2006/picture">
            <wp:extent cx="5580000" cy="2989286"/>
            <wp:docPr id="1" name="Picture 1"/>
            <wp:cNvGraphicFramePr>
              <a:graphicFrameLocks noChangeAspect="1"/>
            </wp:cNvGraphicFramePr>
            <a:graphic>
              <a:graphicData uri="http://schemas.openxmlformats.org/drawingml/2006/picture">
                <pic:pic>
                  <pic:nvPicPr>
                    <pic:cNvPr id="0" name="perez-cycle-infographic.jpg"/>
                    <pic:cNvPicPr/>
                  </pic:nvPicPr>
                  <pic:blipFill>
                    <a:blip r:embed="rId9"/>
                    <a:stretch>
                      <a:fillRect/>
                    </a:stretch>
                  </pic:blipFill>
                  <pic:spPr>
                    <a:xfrm>
                      <a:off x="0" y="0"/>
                      <a:ext cx="5580000" cy="2989286"/>
                    </a:xfrm>
                    <a:prstGeom prst="rect"/>
                  </pic:spPr>
                </pic:pic>
              </a:graphicData>
            </a:graphic>
          </wp:inline>
        </w:drawing>
      </w:r>
    </w:p>
    <w:p>
      <w:pPr>
        <w:spacing w:after="280"/>
        <w:jc w:val="center"/>
      </w:pPr>
      <w:r>
        <w:rPr>
          <w:rFonts w:ascii="Asta Sans" w:hAnsi="Asta Sans" w:eastAsia="Asta Sans"/>
          <w:b w:val="0"/>
          <w:i/>
          <w:color w:val="666666"/>
          <w:sz w:val="18"/>
        </w:rPr>
        <w:t>그림 1. 페레즈 사이클: 기술 혁명과 제도적 전환</w:t>
      </w:r>
    </w:p>
    <w:tbl>
      <w:tblPr>
        <w:tblStyle w:val="TableGrid"/>
        <w:tblW w:type="auto" w:w="0"/>
        <w:tblLayout w:type="fixed"/>
        <w:tblLook w:firstColumn="1" w:firstRow="1" w:lastColumn="0" w:lastRow="0" w:noHBand="0" w:noVBand="1" w:val="04A0"/>
        <w:tblLayout w:type="fixed"/>
      </w:tblPr>
      <w:tblGrid>
        <w:gridCol w:w="907"/>
        <w:gridCol w:w="3515"/>
        <w:gridCol w:w="907"/>
        <w:gridCol w:w="3515"/>
      </w:tblGrid>
      <w:tr>
        <w:tc>
          <w:tcPr>
            <w:shd w:fill="F5F5F0" w:val="clear"/>
            <w:tcBorders>
              <w:top w:val="single" w:sz="4" w:space="0" w:color="E0E0E0"/>
              <w:bottom w:val="single" w:sz="4" w:space="0" w:color="E0E0E0"/>
              <w:left w:val="single" w:sz="4" w:space="0" w:color="E0E0E0"/>
              <w:right w:val="single" w:sz="4" w:space="0" w:color="E0E0E0"/>
            </w:tcBorders>
            <w:tcMar>
              <w:top w:w="80" w:type="dxa"/>
              <w:left w:w="100" w:type="dxa"/>
              <w:bottom w:w="80" w:type="dxa"/>
              <w:right w:w="100" w:type="dxa"/>
            </w:tcMar>
            <w:vAlign w:val="center"/>
            <w:tcW w:w="907" w:type="dxa"/>
          </w:tcPr>
          <w:p>
            <w:pPr>
              <w:spacing w:before="80" w:after="0"/>
              <w:jc w:val="center"/>
            </w:pPr>
            <w:r/>
            <w:r>
              <w:drawing>
                <wp:inline xmlns:a="http://schemas.openxmlformats.org/drawingml/2006/main" xmlns:pic="http://schemas.openxmlformats.org/drawingml/2006/picture">
                  <wp:extent cx="432000" cy="432000"/>
                  <wp:docPr id="2" name="Picture 2"/>
                  <wp:cNvGraphicFramePr>
                    <a:graphicFrameLocks noChangeAspect="1"/>
                  </wp:cNvGraphicFramePr>
                  <a:graphic>
                    <a:graphicData uri="http://schemas.openxmlformats.org/drawingml/2006/picture">
                      <pic:pic>
                        <pic:nvPicPr>
                          <pic:cNvPr id="0" name="tmpcnzakooi.png"/>
                          <pic:cNvPicPr/>
                        </pic:nvPicPr>
                        <pic:blipFill>
                          <a:blip r:embed="rId10"/>
                          <a:stretch>
                            <a:fillRect/>
                          </a:stretch>
                        </pic:blipFill>
                        <pic:spPr>
                          <a:xfrm>
                            <a:off x="0" y="0"/>
                            <a:ext cx="432000" cy="432000"/>
                          </a:xfrm>
                          <a:prstGeom prst="rect"/>
                        </pic:spPr>
                      </pic:pic>
                    </a:graphicData>
                  </a:graphic>
                </wp:inline>
              </w:drawing>
            </w:r>
          </w:p>
        </w:tc>
        <w:tc>
          <w:tcPr>
            <w:shd w:fill="F5F5F0" w:val="clear"/>
            <w:tcBorders>
              <w:top w:val="single" w:sz="4" w:space="0" w:color="E0E0E0"/>
              <w:bottom w:val="single" w:sz="4" w:space="0" w:color="E0E0E0"/>
              <w:left w:val="single" w:sz="4" w:space="0" w:color="E0E0E0"/>
              <w:right w:val="single" w:sz="4" w:space="0" w:color="E0E0E0"/>
            </w:tcBorders>
            <w:tcMar>
              <w:top w:w="80" w:type="dxa"/>
              <w:left w:w="100" w:type="dxa"/>
              <w:bottom w:w="80" w:type="dxa"/>
              <w:right w:w="100" w:type="dxa"/>
            </w:tcMar>
            <w:tcW w:w="3515" w:type="dxa"/>
          </w:tcPr>
          <w:p>
            <w:pPr>
              <w:spacing w:after="40" w:line="312" w:lineRule="auto"/>
            </w:pPr>
            <w:r/>
            <w:r>
              <w:rPr>
                <w:rFonts w:ascii="Asta Sans" w:hAnsi="Asta Sans" w:eastAsia="Asta Sans"/>
                <w:b w:val="0"/>
                <w:i/>
                <w:color w:val="333333"/>
                <w:sz w:val="18"/>
              </w:rPr>
              <w:t>“기술의 혜택이 사회 전체로 퍼진 황금기는 제도적 재편에 성공한 경우에만 도달했다.”</w:t>
            </w:r>
          </w:p>
          <w:p>
            <w:pPr>
              <w:spacing w:before="40" w:after="0" w:line="240" w:lineRule="auto"/>
            </w:pPr>
            <w:r>
              <w:rPr>
                <w:rFonts w:ascii="Asta Sans" w:hAnsi="Asta Sans" w:eastAsia="Asta Sans"/>
                <w:b/>
                <w:color w:val="444444"/>
                <w:sz w:val="16"/>
              </w:rPr>
              <w:t>카를로타 페레즈</w:t>
            </w:r>
            <w:r>
              <w:rPr>
                <w:rFonts w:ascii="Asta Sans" w:hAnsi="Asta Sans" w:eastAsia="Asta Sans"/>
                <w:b w:val="0"/>
                <w:color w:val="888888"/>
                <w:sz w:val="14"/>
              </w:rPr>
              <w:t xml:space="preserve">  기술혁명과 경제 사이클 이론가</w:t>
            </w:r>
          </w:p>
          <w:p>
            <w:pPr>
              <w:spacing w:before="0" w:after="0" w:line="240" w:lineRule="auto"/>
            </w:pPr>
            <w:r>
              <w:rPr>
                <w:rFonts w:ascii="Asta Sans" w:hAnsi="Asta Sans" w:eastAsia="Asta Sans"/>
                <w:b w:val="0"/>
                <w:i/>
                <w:color w:val="999999"/>
                <w:sz w:val="14"/>
              </w:rPr>
              <w:t>Technological Revolutions (2002)</w:t>
            </w:r>
          </w:p>
        </w:tc>
        <w:tc>
          <w:tcPr>
            <w:shd w:fill="F5F5F0" w:val="clear"/>
            <w:tcBorders>
              <w:top w:val="single" w:sz="4" w:space="0" w:color="E0E0E0"/>
              <w:bottom w:val="single" w:sz="4" w:space="0" w:color="E0E0E0"/>
              <w:left w:val="single" w:sz="4" w:space="0" w:color="E0E0E0"/>
              <w:right w:val="single" w:sz="4" w:space="0" w:color="E0E0E0"/>
            </w:tcBorders>
            <w:tcMar>
              <w:top w:w="80" w:type="dxa"/>
              <w:left w:w="100" w:type="dxa"/>
              <w:bottom w:w="80" w:type="dxa"/>
              <w:right w:w="100" w:type="dxa"/>
            </w:tcMar>
            <w:vAlign w:val="center"/>
            <w:tcW w:w="907" w:type="dxa"/>
          </w:tcPr>
          <w:p>
            <w:pPr>
              <w:spacing w:before="80" w:after="0"/>
              <w:jc w:val="center"/>
            </w:pPr>
            <w:r/>
            <w:r>
              <w:drawing>
                <wp:inline xmlns:a="http://schemas.openxmlformats.org/drawingml/2006/main" xmlns:pic="http://schemas.openxmlformats.org/drawingml/2006/picture">
                  <wp:extent cx="432000" cy="432000"/>
                  <wp:docPr id="3" name="Picture 3"/>
                  <wp:cNvGraphicFramePr>
                    <a:graphicFrameLocks noChangeAspect="1"/>
                  </wp:cNvGraphicFramePr>
                  <a:graphic>
                    <a:graphicData uri="http://schemas.openxmlformats.org/drawingml/2006/picture">
                      <pic:pic>
                        <pic:nvPicPr>
                          <pic:cNvPr id="0" name="tmp35aakd96.png"/>
                          <pic:cNvPicPr/>
                        </pic:nvPicPr>
                        <pic:blipFill>
                          <a:blip r:embed="rId11"/>
                          <a:stretch>
                            <a:fillRect/>
                          </a:stretch>
                        </pic:blipFill>
                        <pic:spPr>
                          <a:xfrm>
                            <a:off x="0" y="0"/>
                            <a:ext cx="432000" cy="432000"/>
                          </a:xfrm>
                          <a:prstGeom prst="rect"/>
                        </pic:spPr>
                      </pic:pic>
                    </a:graphicData>
                  </a:graphic>
                </wp:inline>
              </w:drawing>
            </w:r>
          </w:p>
        </w:tc>
        <w:tc>
          <w:tcPr>
            <w:shd w:fill="F5F5F0" w:val="clear"/>
            <w:tcBorders>
              <w:top w:val="single" w:sz="4" w:space="0" w:color="E0E0E0"/>
              <w:bottom w:val="single" w:sz="4" w:space="0" w:color="E0E0E0"/>
              <w:left w:val="single" w:sz="4" w:space="0" w:color="E0E0E0"/>
              <w:right w:val="single" w:sz="4" w:space="0" w:color="E0E0E0"/>
            </w:tcBorders>
            <w:tcMar>
              <w:top w:w="80" w:type="dxa"/>
              <w:left w:w="100" w:type="dxa"/>
              <w:bottom w:w="80" w:type="dxa"/>
              <w:right w:w="100" w:type="dxa"/>
            </w:tcMar>
            <w:tcW w:w="3515" w:type="dxa"/>
          </w:tcPr>
          <w:p>
            <w:pPr>
              <w:spacing w:after="40" w:line="312" w:lineRule="auto"/>
            </w:pPr>
            <w:r/>
            <w:r>
              <w:rPr>
                <w:rFonts w:ascii="Asta Sans" w:hAnsi="Asta Sans" w:eastAsia="Asta Sans"/>
                <w:b w:val="0"/>
                <w:i/>
                <w:color w:val="333333"/>
                <w:sz w:val="18"/>
              </w:rPr>
              <w:t>“기술 발전이 자동으로 번영을 가져오지 않는다. 제도적 선택이 결과를 결정한다.”</w:t>
            </w:r>
          </w:p>
          <w:p>
            <w:pPr>
              <w:spacing w:before="40" w:after="0" w:line="240" w:lineRule="auto"/>
            </w:pPr>
            <w:r>
              <w:rPr>
                <w:rFonts w:ascii="Asta Sans" w:hAnsi="Asta Sans" w:eastAsia="Asta Sans"/>
                <w:b/>
                <w:color w:val="444444"/>
                <w:sz w:val="16"/>
              </w:rPr>
              <w:t>대런 아세모글루</w:t>
            </w:r>
            <w:r>
              <w:rPr>
                <w:rFonts w:ascii="Asta Sans" w:hAnsi="Asta Sans" w:eastAsia="Asta Sans"/>
                <w:b w:val="0"/>
                <w:color w:val="888888"/>
                <w:sz w:val="14"/>
              </w:rPr>
              <w:t xml:space="preserve">  MIT 경제학, 2024 노벨 경제학상</w:t>
            </w:r>
          </w:p>
          <w:p>
            <w:pPr>
              <w:spacing w:before="0" w:after="0" w:line="240" w:lineRule="auto"/>
            </w:pPr>
            <w:r>
              <w:rPr>
                <w:rFonts w:ascii="Asta Sans" w:hAnsi="Asta Sans" w:eastAsia="Asta Sans"/>
                <w:b w:val="0"/>
                <w:i/>
                <w:color w:val="999999"/>
                <w:sz w:val="14"/>
              </w:rPr>
              <w:t>Power and Progress (2023)</w:t>
            </w:r>
          </w:p>
        </w:tc>
      </w:tr>
      <w:tr>
        <w:tc>
          <w:tcPr>
            <w:shd w:fill="F5F5F0" w:val="clear"/>
            <w:tcBorders>
              <w:top w:val="single" w:sz="4" w:space="0" w:color="E0E0E0"/>
              <w:bottom w:val="single" w:sz="4" w:space="0" w:color="E0E0E0"/>
              <w:left w:val="single" w:sz="4" w:space="0" w:color="E0E0E0"/>
              <w:right w:val="single" w:sz="4" w:space="0" w:color="E0E0E0"/>
            </w:tcBorders>
            <w:tcMar>
              <w:top w:w="80" w:type="dxa"/>
              <w:left w:w="100" w:type="dxa"/>
              <w:bottom w:w="80" w:type="dxa"/>
              <w:right w:w="100" w:type="dxa"/>
            </w:tcMar>
            <w:vAlign w:val="center"/>
            <w:tcW w:w="907" w:type="dxa"/>
          </w:tcPr>
          <w:p>
            <w:pPr>
              <w:spacing w:before="80" w:after="0"/>
              <w:jc w:val="center"/>
            </w:pPr>
            <w:r/>
            <w:r>
              <w:drawing>
                <wp:inline xmlns:a="http://schemas.openxmlformats.org/drawingml/2006/main" xmlns:pic="http://schemas.openxmlformats.org/drawingml/2006/picture">
                  <wp:extent cx="432000" cy="432000"/>
                  <wp:docPr id="4" name="Picture 4"/>
                  <wp:cNvGraphicFramePr>
                    <a:graphicFrameLocks noChangeAspect="1"/>
                  </wp:cNvGraphicFramePr>
                  <a:graphic>
                    <a:graphicData uri="http://schemas.openxmlformats.org/drawingml/2006/picture">
                      <pic:pic>
                        <pic:nvPicPr>
                          <pic:cNvPr id="0" name="tmpk12_l3w3.png"/>
                          <pic:cNvPicPr/>
                        </pic:nvPicPr>
                        <pic:blipFill>
                          <a:blip r:embed="rId12"/>
                          <a:stretch>
                            <a:fillRect/>
                          </a:stretch>
                        </pic:blipFill>
                        <pic:spPr>
                          <a:xfrm>
                            <a:off x="0" y="0"/>
                            <a:ext cx="432000" cy="432000"/>
                          </a:xfrm>
                          <a:prstGeom prst="rect"/>
                        </pic:spPr>
                      </pic:pic>
                    </a:graphicData>
                  </a:graphic>
                </wp:inline>
              </w:drawing>
            </w:r>
          </w:p>
        </w:tc>
        <w:tc>
          <w:tcPr>
            <w:shd w:fill="F5F5F0" w:val="clear"/>
            <w:tcBorders>
              <w:top w:val="single" w:sz="4" w:space="0" w:color="E0E0E0"/>
              <w:bottom w:val="single" w:sz="4" w:space="0" w:color="E0E0E0"/>
              <w:left w:val="single" w:sz="4" w:space="0" w:color="E0E0E0"/>
              <w:right w:val="single" w:sz="4" w:space="0" w:color="E0E0E0"/>
            </w:tcBorders>
            <w:tcMar>
              <w:top w:w="80" w:type="dxa"/>
              <w:left w:w="100" w:type="dxa"/>
              <w:bottom w:w="80" w:type="dxa"/>
              <w:right w:w="100" w:type="dxa"/>
            </w:tcMar>
            <w:tcW w:w="3515" w:type="dxa"/>
          </w:tcPr>
          <w:p>
            <w:pPr>
              <w:spacing w:after="40" w:line="312" w:lineRule="auto"/>
            </w:pPr>
            <w:r/>
            <w:r>
              <w:rPr>
                <w:rFonts w:ascii="Asta Sans" w:hAnsi="Asta Sans" w:eastAsia="Asta Sans"/>
                <w:b w:val="0"/>
                <w:i/>
                <w:color w:val="333333"/>
                <w:sz w:val="18"/>
              </w:rPr>
              <w:t>“기술은 사회적 선택에 따라 진보가 될 수도, 재앙이 될 수도 있다.”</w:t>
            </w:r>
          </w:p>
          <w:p>
            <w:pPr>
              <w:spacing w:before="40" w:after="0" w:line="240" w:lineRule="auto"/>
            </w:pPr>
            <w:r>
              <w:rPr>
                <w:rFonts w:ascii="Asta Sans" w:hAnsi="Asta Sans" w:eastAsia="Asta Sans"/>
                <w:b/>
                <w:color w:val="444444"/>
                <w:sz w:val="16"/>
              </w:rPr>
              <w:t>사이먼 존슨</w:t>
            </w:r>
            <w:r>
              <w:rPr>
                <w:rFonts w:ascii="Asta Sans" w:hAnsi="Asta Sans" w:eastAsia="Asta Sans"/>
                <w:b w:val="0"/>
                <w:color w:val="888888"/>
                <w:sz w:val="14"/>
              </w:rPr>
              <w:t xml:space="preserve">  MIT 경제학, 2024 노벨 경제학상</w:t>
            </w:r>
          </w:p>
          <w:p>
            <w:pPr>
              <w:spacing w:before="0" w:after="0" w:line="240" w:lineRule="auto"/>
            </w:pPr>
            <w:r>
              <w:rPr>
                <w:rFonts w:ascii="Asta Sans" w:hAnsi="Asta Sans" w:eastAsia="Asta Sans"/>
                <w:b w:val="0"/>
                <w:i/>
                <w:color w:val="999999"/>
                <w:sz w:val="14"/>
              </w:rPr>
              <w:t>Power and Progress (2023)</w:t>
            </w:r>
          </w:p>
        </w:tc>
        <w:tc>
          <w:tcPr>
            <w:shd w:fill="F5F5F0" w:val="clear"/>
            <w:tcBorders>
              <w:top w:val="single" w:sz="4" w:space="0" w:color="E0E0E0"/>
              <w:bottom w:val="single" w:sz="4" w:space="0" w:color="E0E0E0"/>
              <w:left w:val="single" w:sz="4" w:space="0" w:color="E0E0E0"/>
              <w:right w:val="single" w:sz="4" w:space="0" w:color="E0E0E0"/>
            </w:tcBorders>
            <w:tcMar>
              <w:top w:w="80" w:type="dxa"/>
              <w:left w:w="100" w:type="dxa"/>
              <w:bottom w:w="80" w:type="dxa"/>
              <w:right w:w="100" w:type="dxa"/>
            </w:tcMar>
            <w:vAlign w:val="center"/>
            <w:tcW w:w="907" w:type="dxa"/>
          </w:tcPr>
          <w:p>
            <w:pPr>
              <w:spacing w:before="80" w:after="0"/>
              <w:jc w:val="center"/>
            </w:pPr>
            <w:r/>
            <w:r>
              <w:drawing>
                <wp:inline xmlns:a="http://schemas.openxmlformats.org/drawingml/2006/main" xmlns:pic="http://schemas.openxmlformats.org/drawingml/2006/picture">
                  <wp:extent cx="432000" cy="432000"/>
                  <wp:docPr id="5" name="Picture 5"/>
                  <wp:cNvGraphicFramePr>
                    <a:graphicFrameLocks noChangeAspect="1"/>
                  </wp:cNvGraphicFramePr>
                  <a:graphic>
                    <a:graphicData uri="http://schemas.openxmlformats.org/drawingml/2006/picture">
                      <pic:pic>
                        <pic:nvPicPr>
                          <pic:cNvPr id="0" name="tmp1w14eocn.png"/>
                          <pic:cNvPicPr/>
                        </pic:nvPicPr>
                        <pic:blipFill>
                          <a:blip r:embed="rId13"/>
                          <a:stretch>
                            <a:fillRect/>
                          </a:stretch>
                        </pic:blipFill>
                        <pic:spPr>
                          <a:xfrm>
                            <a:off x="0" y="0"/>
                            <a:ext cx="432000" cy="432000"/>
                          </a:xfrm>
                          <a:prstGeom prst="rect"/>
                        </pic:spPr>
                      </pic:pic>
                    </a:graphicData>
                  </a:graphic>
                </wp:inline>
              </w:drawing>
            </w:r>
          </w:p>
        </w:tc>
        <w:tc>
          <w:tcPr>
            <w:shd w:fill="F5F5F0" w:val="clear"/>
            <w:tcBorders>
              <w:top w:val="single" w:sz="4" w:space="0" w:color="E0E0E0"/>
              <w:bottom w:val="single" w:sz="4" w:space="0" w:color="E0E0E0"/>
              <w:left w:val="single" w:sz="4" w:space="0" w:color="E0E0E0"/>
              <w:right w:val="single" w:sz="4" w:space="0" w:color="E0E0E0"/>
            </w:tcBorders>
            <w:tcMar>
              <w:top w:w="80" w:type="dxa"/>
              <w:left w:w="100" w:type="dxa"/>
              <w:bottom w:w="80" w:type="dxa"/>
              <w:right w:w="100" w:type="dxa"/>
            </w:tcMar>
            <w:tcW w:w="3515" w:type="dxa"/>
          </w:tcPr>
          <w:p>
            <w:pPr>
              <w:spacing w:after="40" w:line="312" w:lineRule="auto"/>
            </w:pPr>
            <w:r/>
            <w:r>
              <w:rPr>
                <w:rFonts w:ascii="Asta Sans" w:hAnsi="Asta Sans" w:eastAsia="Asta Sans"/>
                <w:b w:val="0"/>
                <w:i/>
                <w:color w:val="333333"/>
                <w:sz w:val="18"/>
              </w:rPr>
              <w:t>“인간의 경험이 데이터라는 원료로 전환되는 구조를 멈춰야 한다.”</w:t>
            </w:r>
          </w:p>
          <w:p>
            <w:pPr>
              <w:spacing w:before="40" w:after="0" w:line="240" w:lineRule="auto"/>
            </w:pPr>
            <w:r>
              <w:rPr>
                <w:rFonts w:ascii="Asta Sans" w:hAnsi="Asta Sans" w:eastAsia="Asta Sans"/>
                <w:b/>
                <w:color w:val="444444"/>
                <w:sz w:val="16"/>
              </w:rPr>
              <w:t>쇼샤나 주보프</w:t>
            </w:r>
            <w:r>
              <w:rPr>
                <w:rFonts w:ascii="Asta Sans" w:hAnsi="Asta Sans" w:eastAsia="Asta Sans"/>
                <w:b w:val="0"/>
                <w:color w:val="888888"/>
                <w:sz w:val="14"/>
              </w:rPr>
              <w:t xml:space="preserve">  하버드 경영대학원, 감시 자본주의 연구</w:t>
            </w:r>
          </w:p>
          <w:p>
            <w:pPr>
              <w:spacing w:before="0" w:after="0" w:line="240" w:lineRule="auto"/>
            </w:pPr>
            <w:r>
              <w:rPr>
                <w:rFonts w:ascii="Asta Sans" w:hAnsi="Asta Sans" w:eastAsia="Asta Sans"/>
                <w:b w:val="0"/>
                <w:i/>
                <w:color w:val="999999"/>
                <w:sz w:val="14"/>
              </w:rPr>
              <w:t>Surveillance Capitalism (2019)</w:t>
            </w:r>
          </w:p>
        </w:tc>
      </w:tr>
    </w:tbl>
    <w:p>
      <w:pPr>
        <w:spacing w:before="80" w:after="160"/>
      </w:pPr>
    </w:p>
    <w:p>
      <w:pPr>
        <w:spacing w:before="320" w:after="160"/>
      </w:pPr>
      <w:r>
        <w:rPr>
          <w:rFonts w:ascii="Asta Sans" w:hAnsi="Asta Sans" w:eastAsia="Asta Sans"/>
          <w:b/>
          <w:color w:val="444444"/>
          <w:sz w:val="26"/>
        </w:rPr>
        <w:t>1.1 황금기는 자동으로 오지 않는다</w:t>
      </w:r>
    </w:p>
    <w:p>
      <w:pPr>
        <w:spacing w:line="360" w:lineRule="auto" w:after="160"/>
        <w:ind w:firstLine="283"/>
      </w:pPr>
      <w:r>
        <w:rPr>
          <w:rFonts w:ascii="Asta Sans" w:hAnsi="Asta Sans" w:eastAsia="Asta Sans"/>
          <w:b w:val="0"/>
          <w:sz w:val="22"/>
        </w:rPr>
        <w:t>베네수엘라 출신의 기술혁명 경제학자 카를로타 페레즈(2002)는 지난 230년간 다섯 차례의 기술 혁명 — 산업혁명, 증기·철도, 철강·전기, 석유·자동차, 정보·통신 — 을 분석하여, 놀라울 정도로 일관된 패턴을 발견했다.</w:t>
      </w:r>
    </w:p>
    <w:p>
      <w:pPr>
        <w:spacing w:line="360" w:lineRule="auto" w:after="160"/>
        <w:ind w:firstLine="283"/>
      </w:pPr>
      <w:r>
        <w:rPr>
          <w:rFonts w:ascii="Asta Sans" w:hAnsi="Asta Sans" w:eastAsia="Asta Sans"/>
          <w:b w:val="0"/>
          <w:sz w:val="22"/>
        </w:rPr>
        <w:t>새로운 기술이 등장하면 생산력이 폭발한다. 투기 자본이 몰리고 양극화가 심화된다. 어느 시점에 제도적 전환이 이루어지거나, 이루어지지 않는다. 성공한 경우에만 기술의 혜택이 사회 전체로 퍼지는 황금기에 도달한다.</w:t>
      </w:r>
    </w:p>
    <w:p>
      <w:pPr>
        <w:spacing w:line="360" w:lineRule="auto" w:after="160"/>
        <w:ind w:firstLine="283"/>
      </w:pPr>
      <w:r>
        <w:rPr>
          <w:rFonts w:ascii="Asta Sans" w:hAnsi="Asta Sans" w:eastAsia="Asta Sans"/>
          <w:b w:val="0"/>
          <w:sz w:val="22"/>
        </w:rPr>
        <w:t>이 패턴에서 핵심은 전환점이다. 기술이 발전하면 사회가 저절로 좋아지는 것이 아니다. 230년간 다섯 차례 모두에서, 제도적 재편 없이 황금기에 도달한 사례는 없었다.</w:t>
      </w:r>
    </w:p>
    <w:p>
      <w:pPr>
        <w:spacing w:before="320" w:after="160"/>
      </w:pPr>
      <w:r>
        <w:rPr>
          <w:rFonts w:ascii="Asta Sans" w:hAnsi="Asta Sans" w:eastAsia="Asta Sans"/>
          <w:b/>
          <w:color w:val="444444"/>
          <w:sz w:val="26"/>
        </w:rPr>
        <w:t>1.2 두 가지 경로</w:t>
      </w:r>
    </w:p>
    <w:p>
      <w:pPr>
        <w:spacing w:line="360" w:lineRule="auto" w:after="160"/>
        <w:ind w:firstLine="283"/>
      </w:pPr>
      <w:r>
        <w:rPr>
          <w:rFonts w:ascii="Asta Sans" w:hAnsi="Asta Sans" w:eastAsia="Asta Sans"/>
          <w:b w:val="0"/>
          <w:sz w:val="22"/>
        </w:rPr>
        <w:t>그런데 재편이 이루어지는 방식에는 중요한 차이가 있었다.</w:t>
      </w:r>
    </w:p>
    <w:p>
      <w:pPr>
        <w:spacing w:line="360" w:lineRule="auto" w:after="160"/>
        <w:ind w:firstLine="283"/>
      </w:pPr>
      <w:r>
        <w:rPr>
          <w:rFonts w:ascii="Asta Sans" w:hAnsi="Asta Sans" w:eastAsia="Asta Sans"/>
          <w:b w:val="0"/>
          <w:sz w:val="22"/>
        </w:rPr>
        <w:t>대부분의 경우, 재편은 심각한 사회적 비용을 수반했다. 산업혁명 때 긴장은 러다이트 운동과 프랑스 혁명으로 터졌다. 철강·전기 시대에는 노동 착취와 독점이 수십 년간 방치되었고, 이 긴장이 여러 요인들과 결합하여 1차 세계대전의 토양이 되었다. 석유·자동차 시대에는 대공황과 2차 세계대전을 거쳐서야 전후 황금기(1945~75)에 도달했다. 제도적 재편이 늦어진 만큼, 기술의 힘과 사회의 통제력 사이의 간극이 벌어졌고, 그 간극이 파괴적 결과의 토양을 만들었다(Perez, 2002).</w:t>
      </w:r>
    </w:p>
    <w:p>
      <w:pPr>
        <w:spacing w:line="360" w:lineRule="auto" w:after="160"/>
        <w:ind w:firstLine="283"/>
      </w:pPr>
      <w:r>
        <w:rPr>
          <w:rFonts w:ascii="Asta Sans" w:hAnsi="Asta Sans" w:eastAsia="Asta Sans"/>
          <w:b w:val="0"/>
          <w:sz w:val="22"/>
        </w:rPr>
        <w:t>그러나 역사가 격변만을 기록한 것은 아니다. 증기·철도 시대에 영국 의회는 1844~56년에 걸쳐 법인을 일반화했다 — 혁명이 아니라 입법이 전환점을 만든 사례다. 미국의 진보 시대 개혁 — 셔먼법(1890), 연방준비제도(1913), 클레이턴법(1914) — 은 1차 세계대전 이전에 선제적으로 추진되었다. 가장 주목할 것은 스웨덴이다. 살트셰바덴 협약(1938)은 노사가 전쟁이나 혁명 없이 자발적으로 합의한 대타협이었고, 북유럽 복지국가의 토대가 되었다.</w:t>
      </w:r>
    </w:p>
    <w:p>
      <w:pPr>
        <w:spacing w:line="360" w:lineRule="auto" w:after="160"/>
        <w:ind w:firstLine="283"/>
      </w:pPr>
      <w:r>
        <w:rPr>
          <w:rFonts w:ascii="Asta Sans" w:hAnsi="Asta Sans" w:eastAsia="Asta Sans"/>
          <w:b w:val="0"/>
          <w:sz w:val="22"/>
        </w:rPr>
        <w:t>역설적이지만, 격변의 경로가 때로 더 높은 황금기에 도달하기도 했다. 전후 황금기(1945~75)는 인류 역사상 가장 광범위한 번영을 이루었는데, 이는 두 차례의 세계대전이 기존 질서를 완전히 파괴한 후 백지 위에서 브레튼우즈 체제, 복지국가, 단체교섭이라는 새로운 질서를 설계할 수 있었기 때문이다. 위기가 깊을수록 재편의 범위가 넓어지고, 넓은 재편이 더 높은 도달점을 가능하게 한다.</w:t>
      </w:r>
    </w:p>
    <w:p>
      <w:pPr>
        <w:spacing w:line="360" w:lineRule="auto" w:after="160"/>
        <w:ind w:firstLine="283"/>
      </w:pPr>
      <w:r>
        <w:rPr>
          <w:rFonts w:ascii="Asta Sans" w:hAnsi="Asta Sans" w:eastAsia="Asta Sans"/>
          <w:b w:val="0"/>
          <w:sz w:val="22"/>
        </w:rPr>
        <w:t>그러나 그 대가는 수천만 명의 죽음과 문명의 파괴였다. 선제적 설계가 모든 비용을 없앤 것은 아니다. 영국의 입법 과정에도 차티스트 운동의 압력이 있었고, 스웨덴의 대타협에도 대공황의 위기감이 배경에 있었다. 그러나 선제적 설계가 격변에 비해 사회적 비용을 현저히 줄였다는 것은 분명하다.</w:t>
      </w:r>
    </w:p>
    <w:p>
      <w:pPr>
        <w:spacing w:line="360" w:lineRule="auto" w:after="160"/>
        <w:ind w:firstLine="283"/>
      </w:pPr>
      <w:r>
        <w:rPr>
          <w:rFonts w:ascii="Asta Sans" w:hAnsi="Asta Sans" w:eastAsia="Asta Sans"/>
          <w:b w:val="0"/>
          <w:sz w:val="22"/>
        </w:rPr>
        <w:t>AI 시대에는 이 선택의 무게가 더 커진다. 산업 시대의 격변은 인간끼리의 충돌이었고, 전쟁이 끝나면 재건할 수 있었다. AI 시대의 격변은 인간의 통제를 벗어난 기술이 관여할 수 있다 — 그 결과가 되돌릴 수 있는 것인지조차 불확실하다. 본질적인 변화를 폭력이나 파괴 없이 이루어내는 것이 선택이 아니라 필수가 되는 이유다.</w:t>
      </w:r>
    </w:p>
    <w:p>
      <w:pPr>
        <w:spacing w:line="360" w:lineRule="auto" w:after="160"/>
        <w:ind w:firstLine="283"/>
      </w:pPr>
      <w:r>
        <w:rPr>
          <w:rFonts w:ascii="Asta Sans" w:hAnsi="Asta Sans" w:eastAsia="Asta Sans"/>
          <w:b w:val="0"/>
          <w:sz w:val="22"/>
        </w:rPr>
        <w:t>그런데 AI 시대에는 새로운 가능성이 열린다. 산업 시대에 전쟁과 혁명이 일어난 것은 인간의 집단적 지혜가 복잡성을 따라가지 못했기 때문이다 — 수백만 명의 이해관계를 조율할 도구가 없었고, 정책의 결과를 미리 시험할 방법이 없었다. AI는 이 한계를 바꿀 수 있다. 대만의 오드리 탕이 vTaiwan에서 실험한 것처럼, AI가 수백만 명의 의견을 구조화하고 합의점을 도출하는 도구가 될 수 있다. vTaiwan은 오픈소스 플랫폼 Pol.is를 활용해 시민이 짧은 의견을 제출하고 서로의 의견에 동의·비동의 투표를 하면, PCA(주성분 분석) 알고리즘이 의견 군집을 시각화하고 대립하는 집단 사이에서도 공유되는 합의점을 자동으로 도출한다. 2014년 우버 규제 사례에서 1,737명이 참여해 7개 합의안이 도출되었고 95%가 동의했으며, 대만 정부는 이를 포함해 26건 이상의 디지털 정책에서 합의안의 80% 이상을 실제 입법에 반영했다 — 기술 거버넌스에서 대규모 시민 숙의가 구속력 있는 정책으로 이어진 유일한 사례다. 복잡한 정책의 결과를 사전에 시뮬레이션하여, 전쟁을 치르지 않고도 전후 재편 수준의 통찰에 도달할 가능성이 생긴다. 센(2009)이 말한 “공적 추론을 통한 정의”가 기술적으로 가능해지는 것이다. AI는 인간 통제를 벗어날 수 있는 최초의 기술인 동시에, 격변 없이도 격변 수준의 지혜를 끌어낼 수 있는 최초의 도구이기도 하다.</w:t>
      </w:r>
    </w:p>
    <w:p>
      <w:pPr>
        <w:spacing w:before="320" w:after="160"/>
      </w:pPr>
      <w:r>
        <w:rPr>
          <w:rFonts w:ascii="Asta Sans" w:hAnsi="Asta Sans" w:eastAsia="Asta Sans"/>
          <w:b/>
          <w:color w:val="444444"/>
          <w:sz w:val="26"/>
        </w:rPr>
        <w:t>1.3 현재 위치: 진단은 풍부하고 경로는 없다</w:t>
      </w:r>
    </w:p>
    <w:p>
      <w:pPr>
        <w:spacing w:line="360" w:lineRule="auto" w:after="160"/>
        <w:ind w:firstLine="283"/>
      </w:pPr>
      <w:r>
        <w:rPr>
          <w:rFonts w:ascii="Asta Sans" w:hAnsi="Asta Sans" w:eastAsia="Asta Sans"/>
          <w:b w:val="0"/>
          <w:sz w:val="22"/>
        </w:rPr>
        <w:t>지금의 정보·통신 혁명(1971~)은 전환점에 서 있다. 닷컴 거품(2000)과 금융 위기(2008)라는 이중 거품이 터졌으나 제도적 재편은 시작도 되지 않았고, AI가 과열을 가속시키고 있다.</w:t>
      </w:r>
    </w:p>
    <w:p>
      <w:pPr>
        <w:spacing w:line="360" w:lineRule="auto" w:after="160"/>
        <w:ind w:firstLine="283"/>
      </w:pPr>
      <w:r>
        <w:rPr>
          <w:rFonts w:ascii="Asta Sans" w:hAnsi="Asta Sans" w:eastAsia="Asta Sans"/>
          <w:b w:val="0"/>
          <w:sz w:val="22"/>
        </w:rPr>
        <w:t>과열에 대한 학계의 진단은 풍부하다. 하버드 경영대 교수 주보프(2019)는 플랫폼 기업이 인간의 행동 데이터를 일방적으로 착취하는 구조를 분석했고, 피케티(2014)는 부의 집중이 구조적으로 심화되는 메커니즘을 보였다. MIT 경제학자 아세모글루와 존슨(2023)은 소수 기술 엘리트가 기술의 방향을 독점하는 문제를 비판했고, 딥러닝의 선구자인 힌튼(2023)과 벤지오(2023), 딥마인드 공동창업자 술레이만(2023) 등 AI 기술의 내부자들은 통제 불가능성에 대한 경고를 잇달아 발표했다. 가장 최근에는 앤트로픽 CEO 아모데이(2026)가 칼 세이건의 “기술적 사춘기” — 자기 파괴 능력은 갖추었으나 자기 통제 능력은 아직인 시기 — 에 비유하며, 자율성·파괴적 오용·권력 장악·경제적 전환이라는 네 범주의 위험을 체계적으로 정리했다.</w:t>
      </w:r>
    </w:p>
    <w:p>
      <w:pPr>
        <w:spacing w:line="360" w:lineRule="auto" w:after="160"/>
        <w:ind w:firstLine="283"/>
      </w:pPr>
      <w:r>
        <w:rPr>
          <w:rFonts w:ascii="Asta Sans" w:hAnsi="Asta Sans" w:eastAsia="Asta Sans"/>
          <w:b w:val="0"/>
          <w:sz w:val="22"/>
        </w:rPr>
        <w:t>이 진단들은 각각 중요한 통찰을 담고 있지만, 공통된 한계가 있다. 문제의 심각성을 정밀하게 분석하면서도, 황금기로 가는 구체적 경로에 대해서는 비교적 추상적인 처방에 머문다. 아세모글루와 존슨(2023)의 핵심 처방은 “기술의 방향을 바꾸라”인데, 과학정책학자 사레위츠(2024)가 지적한 것처럼, 임금 구조를 바꿀 정도의 규모에서 그것이 구체적으로 무엇을 의미하는지는 여전히 열린 질문이다.</w:t>
      </w:r>
    </w:p>
    <w:p>
      <w:pPr>
        <w:spacing w:line="360" w:lineRule="auto" w:after="160"/>
        <w:ind w:firstLine="283"/>
      </w:pPr>
      <w:r>
        <w:rPr>
          <w:rFonts w:ascii="Asta Sans" w:hAnsi="Asta Sans" w:eastAsia="Asta Sans"/>
          <w:b w:val="0"/>
          <w:sz w:val="22"/>
        </w:rPr>
        <w:t>본 연구는 이 열린 질문에 하나의 답을 시도한다. “무엇을, 어떤 순서로 만들어야 하는가”라는 경로 설계의 문제다.</w:t>
      </w:r>
    </w:p>
    <w:p>
      <w:r>
        <w:br w:type="page"/>
      </w:r>
    </w:p>
    <w:p>
      <w:pPr>
        <w:spacing w:before="480" w:after="120"/>
      </w:pPr>
      <w:r>
        <w:rPr>
          <w:rFonts w:ascii="Asta Sans" w:hAnsi="Asta Sans" w:eastAsia="Asta Sans"/>
          <w:b/>
          <w:color w:val="000000"/>
          <w:sz w:val="36"/>
        </w:rPr>
        <w:t>2. 산업 시대는 어떻게 질서를 만들었나</w:t>
      </w:r>
    </w:p>
    <w:p>
      <w:pPr>
        <w:spacing w:after="280"/>
        <w:pBdr>
          <w:bottom w:val="single" w:sz="6" w:space="1" w:color="333333"/>
        </w:pBdr>
      </w:pPr>
    </w:p>
    <w:tbl>
      <w:tblPr>
        <w:tblStyle w:val="TableGrid"/>
        <w:tblW w:type="auto" w:w="0"/>
        <w:tblLayout w:type="fixed"/>
        <w:tblLook w:firstColumn="1" w:firstRow="1" w:lastColumn="0" w:lastRow="0" w:noHBand="0" w:noVBand="1" w:val="04A0"/>
        <w:tblLayout w:type="fixed"/>
      </w:tblPr>
      <w:tblGrid>
        <w:gridCol w:w="907"/>
        <w:gridCol w:w="3515"/>
        <w:gridCol w:w="907"/>
        <w:gridCol w:w="3515"/>
      </w:tblGrid>
      <w:tr>
        <w:tc>
          <w:tcPr>
            <w:shd w:fill="F5F5F0" w:val="clear"/>
            <w:tcBorders>
              <w:top w:val="single" w:sz="4" w:space="0" w:color="E0E0E0"/>
              <w:bottom w:val="single" w:sz="4" w:space="0" w:color="E0E0E0"/>
              <w:left w:val="single" w:sz="4" w:space="0" w:color="E0E0E0"/>
              <w:right w:val="single" w:sz="4" w:space="0" w:color="E0E0E0"/>
            </w:tcBorders>
            <w:tcMar>
              <w:top w:w="80" w:type="dxa"/>
              <w:left w:w="100" w:type="dxa"/>
              <w:bottom w:w="80" w:type="dxa"/>
              <w:right w:w="100" w:type="dxa"/>
            </w:tcMar>
            <w:vAlign w:val="center"/>
            <w:tcW w:w="907" w:type="dxa"/>
          </w:tcPr>
          <w:p>
            <w:pPr>
              <w:spacing w:before="80" w:after="0"/>
              <w:jc w:val="center"/>
            </w:pPr>
            <w:r/>
            <w:r>
              <w:drawing>
                <wp:inline xmlns:a="http://schemas.openxmlformats.org/drawingml/2006/main" xmlns:pic="http://schemas.openxmlformats.org/drawingml/2006/picture">
                  <wp:extent cx="432000" cy="432000"/>
                  <wp:docPr id="6" name="Picture 6"/>
                  <wp:cNvGraphicFramePr>
                    <a:graphicFrameLocks noChangeAspect="1"/>
                  </wp:cNvGraphicFramePr>
                  <a:graphic>
                    <a:graphicData uri="http://schemas.openxmlformats.org/drawingml/2006/picture">
                      <pic:pic>
                        <pic:nvPicPr>
                          <pic:cNvPr id="0" name="tmptp7ahecz.png"/>
                          <pic:cNvPicPr/>
                        </pic:nvPicPr>
                        <pic:blipFill>
                          <a:blip r:embed="rId14"/>
                          <a:stretch>
                            <a:fillRect/>
                          </a:stretch>
                        </pic:blipFill>
                        <pic:spPr>
                          <a:xfrm>
                            <a:off x="0" y="0"/>
                            <a:ext cx="432000" cy="432000"/>
                          </a:xfrm>
                          <a:prstGeom prst="rect"/>
                        </pic:spPr>
                      </pic:pic>
                    </a:graphicData>
                  </a:graphic>
                </wp:inline>
              </w:drawing>
            </w:r>
          </w:p>
        </w:tc>
        <w:tc>
          <w:tcPr>
            <w:shd w:fill="F5F5F0" w:val="clear"/>
            <w:tcBorders>
              <w:top w:val="single" w:sz="4" w:space="0" w:color="E0E0E0"/>
              <w:bottom w:val="single" w:sz="4" w:space="0" w:color="E0E0E0"/>
              <w:left w:val="single" w:sz="4" w:space="0" w:color="E0E0E0"/>
              <w:right w:val="single" w:sz="4" w:space="0" w:color="E0E0E0"/>
            </w:tcBorders>
            <w:tcMar>
              <w:top w:w="80" w:type="dxa"/>
              <w:left w:w="100" w:type="dxa"/>
              <w:bottom w:w="80" w:type="dxa"/>
              <w:right w:w="100" w:type="dxa"/>
            </w:tcMar>
            <w:tcW w:w="3515" w:type="dxa"/>
          </w:tcPr>
          <w:p>
            <w:pPr>
              <w:spacing w:after="40" w:line="312" w:lineRule="auto"/>
            </w:pPr>
            <w:r/>
            <w:r>
              <w:rPr>
                <w:rFonts w:ascii="Asta Sans" w:hAnsi="Asta Sans" w:eastAsia="Asta Sans"/>
                <w:b w:val="0"/>
                <w:i/>
                <w:color w:val="333333"/>
                <w:sz w:val="18"/>
              </w:rPr>
              <w:t>“각자가 자기 이익을 추구하는 과정에서 의도하지 않은 사회적 질서가 생겨난다.”</w:t>
            </w:r>
          </w:p>
          <w:p>
            <w:pPr>
              <w:spacing w:before="40" w:after="0" w:line="240" w:lineRule="auto"/>
            </w:pPr>
            <w:r>
              <w:rPr>
                <w:rFonts w:ascii="Asta Sans" w:hAnsi="Asta Sans" w:eastAsia="Asta Sans"/>
                <w:b/>
                <w:color w:val="444444"/>
                <w:sz w:val="16"/>
              </w:rPr>
              <w:t>애덤 스미스</w:t>
            </w:r>
            <w:r>
              <w:rPr>
                <w:rFonts w:ascii="Asta Sans" w:hAnsi="Asta Sans" w:eastAsia="Asta Sans"/>
                <w:b w:val="0"/>
                <w:color w:val="888888"/>
                <w:sz w:val="14"/>
              </w:rPr>
              <w:t xml:space="preserve">  고전 경제학의 아버지</w:t>
            </w:r>
          </w:p>
          <w:p>
            <w:pPr>
              <w:spacing w:before="0" w:after="0" w:line="240" w:lineRule="auto"/>
            </w:pPr>
            <w:r>
              <w:rPr>
                <w:rFonts w:ascii="Asta Sans" w:hAnsi="Asta Sans" w:eastAsia="Asta Sans"/>
                <w:b w:val="0"/>
                <w:i/>
                <w:color w:val="999999"/>
                <w:sz w:val="14"/>
              </w:rPr>
              <w:t>The Wealth of Nations (1776)</w:t>
            </w:r>
          </w:p>
        </w:tc>
        <w:tc>
          <w:tcPr>
            <w:shd w:fill="F5F5F0" w:val="clear"/>
            <w:tcBorders>
              <w:top w:val="single" w:sz="4" w:space="0" w:color="E0E0E0"/>
              <w:bottom w:val="single" w:sz="4" w:space="0" w:color="E0E0E0"/>
              <w:left w:val="single" w:sz="4" w:space="0" w:color="E0E0E0"/>
              <w:right w:val="single" w:sz="4" w:space="0" w:color="E0E0E0"/>
            </w:tcBorders>
            <w:tcMar>
              <w:top w:w="80" w:type="dxa"/>
              <w:left w:w="100" w:type="dxa"/>
              <w:bottom w:w="80" w:type="dxa"/>
              <w:right w:w="100" w:type="dxa"/>
            </w:tcMar>
            <w:vAlign w:val="center"/>
            <w:tcW w:w="907" w:type="dxa"/>
          </w:tcPr>
          <w:p>
            <w:pPr>
              <w:spacing w:before="80" w:after="0"/>
              <w:jc w:val="center"/>
            </w:pPr>
            <w:r/>
            <w:r>
              <w:drawing>
                <wp:inline xmlns:a="http://schemas.openxmlformats.org/drawingml/2006/main" xmlns:pic="http://schemas.openxmlformats.org/drawingml/2006/picture">
                  <wp:extent cx="432000" cy="432000"/>
                  <wp:docPr id="7" name="Picture 7"/>
                  <wp:cNvGraphicFramePr>
                    <a:graphicFrameLocks noChangeAspect="1"/>
                  </wp:cNvGraphicFramePr>
                  <a:graphic>
                    <a:graphicData uri="http://schemas.openxmlformats.org/drawingml/2006/picture">
                      <pic:pic>
                        <pic:nvPicPr>
                          <pic:cNvPr id="0" name="tmpy4yi3y7m.png"/>
                          <pic:cNvPicPr/>
                        </pic:nvPicPr>
                        <pic:blipFill>
                          <a:blip r:embed="rId15"/>
                          <a:stretch>
                            <a:fillRect/>
                          </a:stretch>
                        </pic:blipFill>
                        <pic:spPr>
                          <a:xfrm>
                            <a:off x="0" y="0"/>
                            <a:ext cx="432000" cy="432000"/>
                          </a:xfrm>
                          <a:prstGeom prst="rect"/>
                        </pic:spPr>
                      </pic:pic>
                    </a:graphicData>
                  </a:graphic>
                </wp:inline>
              </w:drawing>
            </w:r>
          </w:p>
        </w:tc>
        <w:tc>
          <w:tcPr>
            <w:shd w:fill="F5F5F0" w:val="clear"/>
            <w:tcBorders>
              <w:top w:val="single" w:sz="4" w:space="0" w:color="E0E0E0"/>
              <w:bottom w:val="single" w:sz="4" w:space="0" w:color="E0E0E0"/>
              <w:left w:val="single" w:sz="4" w:space="0" w:color="E0E0E0"/>
              <w:right w:val="single" w:sz="4" w:space="0" w:color="E0E0E0"/>
            </w:tcBorders>
            <w:tcMar>
              <w:top w:w="80" w:type="dxa"/>
              <w:left w:w="100" w:type="dxa"/>
              <w:bottom w:w="80" w:type="dxa"/>
              <w:right w:w="100" w:type="dxa"/>
            </w:tcMar>
            <w:tcW w:w="3515" w:type="dxa"/>
          </w:tcPr>
          <w:p>
            <w:pPr>
              <w:spacing w:after="40" w:line="312" w:lineRule="auto"/>
            </w:pPr>
            <w:r/>
            <w:r>
              <w:rPr>
                <w:rFonts w:ascii="Asta Sans" w:hAnsi="Asta Sans" w:eastAsia="Asta Sans"/>
                <w:b w:val="0"/>
                <w:i/>
                <w:color w:val="333333"/>
                <w:sz w:val="18"/>
              </w:rPr>
              <w:t>“시장이 사회를 삼키려 하면, 사회가 자기보호 운동으로 반격한다.”</w:t>
            </w:r>
          </w:p>
          <w:p>
            <w:pPr>
              <w:spacing w:before="40" w:after="0" w:line="240" w:lineRule="auto"/>
            </w:pPr>
            <w:r>
              <w:rPr>
                <w:rFonts w:ascii="Asta Sans" w:hAnsi="Asta Sans" w:eastAsia="Asta Sans"/>
                <w:b/>
                <w:color w:val="444444"/>
                <w:sz w:val="16"/>
              </w:rPr>
              <w:t>칼 폴라니</w:t>
            </w:r>
            <w:r>
              <w:rPr>
                <w:rFonts w:ascii="Asta Sans" w:hAnsi="Asta Sans" w:eastAsia="Asta Sans"/>
                <w:b w:val="0"/>
                <w:color w:val="888888"/>
                <w:sz w:val="14"/>
              </w:rPr>
              <w:t xml:space="preserve">  경제인류학자, 이중운동 이론</w:t>
            </w:r>
          </w:p>
          <w:p>
            <w:pPr>
              <w:spacing w:before="0" w:after="0" w:line="240" w:lineRule="auto"/>
            </w:pPr>
            <w:r>
              <w:rPr>
                <w:rFonts w:ascii="Asta Sans" w:hAnsi="Asta Sans" w:eastAsia="Asta Sans"/>
                <w:b w:val="0"/>
                <w:i/>
                <w:color w:val="999999"/>
                <w:sz w:val="14"/>
              </w:rPr>
              <w:t>The Great Transformation (1944)</w:t>
            </w:r>
          </w:p>
        </w:tc>
      </w:tr>
      <w:tr>
        <w:tc>
          <w:tcPr>
            <w:shd w:fill="F5F5F0" w:val="clear"/>
            <w:tcBorders>
              <w:top w:val="single" w:sz="4" w:space="0" w:color="E0E0E0"/>
              <w:bottom w:val="single" w:sz="4" w:space="0" w:color="E0E0E0"/>
              <w:left w:val="single" w:sz="4" w:space="0" w:color="E0E0E0"/>
              <w:right w:val="single" w:sz="4" w:space="0" w:color="E0E0E0"/>
            </w:tcBorders>
            <w:tcMar>
              <w:top w:w="80" w:type="dxa"/>
              <w:left w:w="100" w:type="dxa"/>
              <w:bottom w:w="80" w:type="dxa"/>
              <w:right w:w="100" w:type="dxa"/>
            </w:tcMar>
            <w:vAlign w:val="center"/>
            <w:tcW w:w="907" w:type="dxa"/>
          </w:tcPr>
          <w:p>
            <w:pPr>
              <w:spacing w:before="80" w:after="0"/>
              <w:jc w:val="center"/>
            </w:pPr>
            <w:r/>
            <w:r>
              <w:drawing>
                <wp:inline xmlns:a="http://schemas.openxmlformats.org/drawingml/2006/main" xmlns:pic="http://schemas.openxmlformats.org/drawingml/2006/picture">
                  <wp:extent cx="432000" cy="432000"/>
                  <wp:docPr id="8" name="Picture 8"/>
                  <wp:cNvGraphicFramePr>
                    <a:graphicFrameLocks noChangeAspect="1"/>
                  </wp:cNvGraphicFramePr>
                  <a:graphic>
                    <a:graphicData uri="http://schemas.openxmlformats.org/drawingml/2006/picture">
                      <pic:pic>
                        <pic:nvPicPr>
                          <pic:cNvPr id="0" name="tmpben9580n.png"/>
                          <pic:cNvPicPr/>
                        </pic:nvPicPr>
                        <pic:blipFill>
                          <a:blip r:embed="rId16"/>
                          <a:stretch>
                            <a:fillRect/>
                          </a:stretch>
                        </pic:blipFill>
                        <pic:spPr>
                          <a:xfrm>
                            <a:off x="0" y="0"/>
                            <a:ext cx="432000" cy="432000"/>
                          </a:xfrm>
                          <a:prstGeom prst="rect"/>
                        </pic:spPr>
                      </pic:pic>
                    </a:graphicData>
                  </a:graphic>
                </wp:inline>
              </w:drawing>
            </w:r>
          </w:p>
        </w:tc>
        <w:tc>
          <w:tcPr>
            <w:shd w:fill="F5F5F0" w:val="clear"/>
            <w:tcBorders>
              <w:top w:val="single" w:sz="4" w:space="0" w:color="E0E0E0"/>
              <w:bottom w:val="single" w:sz="4" w:space="0" w:color="E0E0E0"/>
              <w:left w:val="single" w:sz="4" w:space="0" w:color="E0E0E0"/>
              <w:right w:val="single" w:sz="4" w:space="0" w:color="E0E0E0"/>
            </w:tcBorders>
            <w:tcMar>
              <w:top w:w="80" w:type="dxa"/>
              <w:left w:w="100" w:type="dxa"/>
              <w:bottom w:w="80" w:type="dxa"/>
              <w:right w:w="100" w:type="dxa"/>
            </w:tcMar>
            <w:tcW w:w="3515" w:type="dxa"/>
          </w:tcPr>
          <w:p>
            <w:pPr>
              <w:spacing w:after="40" w:line="312" w:lineRule="auto"/>
            </w:pPr>
            <w:r/>
            <w:r>
              <w:rPr>
                <w:rFonts w:ascii="Asta Sans" w:hAnsi="Asta Sans" w:eastAsia="Asta Sans"/>
                <w:b w:val="0"/>
                <w:i/>
                <w:color w:val="333333"/>
                <w:sz w:val="18"/>
              </w:rPr>
              <w:t>“경제 질서와 정치 질서는 서로 맞물려 있다.”</w:t>
            </w:r>
          </w:p>
          <w:p>
            <w:pPr>
              <w:spacing w:before="40" w:after="0" w:line="240" w:lineRule="auto"/>
            </w:pPr>
            <w:r>
              <w:rPr>
                <w:rFonts w:ascii="Asta Sans" w:hAnsi="Asta Sans" w:eastAsia="Asta Sans"/>
                <w:b/>
                <w:color w:val="444444"/>
                <w:sz w:val="16"/>
              </w:rPr>
              <w:t>발터 오이켄</w:t>
            </w:r>
            <w:r>
              <w:rPr>
                <w:rFonts w:ascii="Asta Sans" w:hAnsi="Asta Sans" w:eastAsia="Asta Sans"/>
                <w:b w:val="0"/>
                <w:color w:val="888888"/>
                <w:sz w:val="14"/>
              </w:rPr>
              <w:t xml:space="preserve">  질서자유주의(Ordoliberalismus) 창시자</w:t>
            </w:r>
          </w:p>
          <w:p>
            <w:pPr>
              <w:spacing w:before="0" w:after="0" w:line="240" w:lineRule="auto"/>
            </w:pPr>
            <w:r>
              <w:rPr>
                <w:rFonts w:ascii="Asta Sans" w:hAnsi="Asta Sans" w:eastAsia="Asta Sans"/>
                <w:b w:val="0"/>
                <w:i/>
                <w:color w:val="999999"/>
                <w:sz w:val="14"/>
              </w:rPr>
              <w:t>Grundsätze (1952)</w:t>
            </w:r>
          </w:p>
        </w:tc>
        <w:tc>
          <w:tcPr>
            <w:shd w:fill="F5F5F0" w:val="clear"/>
            <w:tcBorders>
              <w:top w:val="single" w:sz="4" w:space="0" w:color="E0E0E0"/>
              <w:bottom w:val="single" w:sz="4" w:space="0" w:color="E0E0E0"/>
              <w:left w:val="single" w:sz="4" w:space="0" w:color="E0E0E0"/>
              <w:right w:val="single" w:sz="4" w:space="0" w:color="E0E0E0"/>
            </w:tcBorders>
            <w:tcMar>
              <w:top w:w="80" w:type="dxa"/>
              <w:left w:w="100" w:type="dxa"/>
              <w:bottom w:w="80" w:type="dxa"/>
              <w:right w:w="100" w:type="dxa"/>
            </w:tcMar>
            <w:vAlign w:val="center"/>
            <w:tcW w:w="907" w:type="dxa"/>
          </w:tcPr>
          <w:p>
            <w:pPr>
              <w:spacing w:before="80" w:after="0"/>
              <w:jc w:val="center"/>
            </w:pPr>
            <w:r/>
            <w:r>
              <w:drawing>
                <wp:inline xmlns:a="http://schemas.openxmlformats.org/drawingml/2006/main" xmlns:pic="http://schemas.openxmlformats.org/drawingml/2006/picture">
                  <wp:extent cx="432000" cy="432000"/>
                  <wp:docPr id="9" name="Picture 9"/>
                  <wp:cNvGraphicFramePr>
                    <a:graphicFrameLocks noChangeAspect="1"/>
                  </wp:cNvGraphicFramePr>
                  <a:graphic>
                    <a:graphicData uri="http://schemas.openxmlformats.org/drawingml/2006/picture">
                      <pic:pic>
                        <pic:nvPicPr>
                          <pic:cNvPr id="0" name="tmpr_r39jnl.png"/>
                          <pic:cNvPicPr/>
                        </pic:nvPicPr>
                        <pic:blipFill>
                          <a:blip r:embed="rId17"/>
                          <a:stretch>
                            <a:fillRect/>
                          </a:stretch>
                        </pic:blipFill>
                        <pic:spPr>
                          <a:xfrm>
                            <a:off x="0" y="0"/>
                            <a:ext cx="432000" cy="432000"/>
                          </a:xfrm>
                          <a:prstGeom prst="rect"/>
                        </pic:spPr>
                      </pic:pic>
                    </a:graphicData>
                  </a:graphic>
                </wp:inline>
              </w:drawing>
            </w:r>
          </w:p>
        </w:tc>
        <w:tc>
          <w:tcPr>
            <w:shd w:fill="F5F5F0" w:val="clear"/>
            <w:tcBorders>
              <w:top w:val="single" w:sz="4" w:space="0" w:color="E0E0E0"/>
              <w:bottom w:val="single" w:sz="4" w:space="0" w:color="E0E0E0"/>
              <w:left w:val="single" w:sz="4" w:space="0" w:color="E0E0E0"/>
              <w:right w:val="single" w:sz="4" w:space="0" w:color="E0E0E0"/>
            </w:tcBorders>
            <w:tcMar>
              <w:top w:w="80" w:type="dxa"/>
              <w:left w:w="100" w:type="dxa"/>
              <w:bottom w:w="80" w:type="dxa"/>
              <w:right w:w="100" w:type="dxa"/>
            </w:tcMar>
            <w:tcW w:w="3515" w:type="dxa"/>
          </w:tcPr>
          <w:p>
            <w:pPr>
              <w:spacing w:after="40" w:line="312" w:lineRule="auto"/>
            </w:pPr>
            <w:r/>
            <w:r>
              <w:rPr>
                <w:rFonts w:ascii="Asta Sans" w:hAnsi="Asta Sans" w:eastAsia="Asta Sans"/>
                <w:b w:val="0"/>
                <w:i/>
                <w:color w:val="333333"/>
                <w:sz w:val="18"/>
              </w:rPr>
              <w:t>“기술 혁신은 민주적 숙의 없이는 공공선으로 이어지지 않는다.”</w:t>
            </w:r>
          </w:p>
          <w:p>
            <w:pPr>
              <w:spacing w:before="40" w:after="0" w:line="240" w:lineRule="auto"/>
            </w:pPr>
            <w:r>
              <w:rPr>
                <w:rFonts w:ascii="Asta Sans" w:hAnsi="Asta Sans" w:eastAsia="Asta Sans"/>
                <w:b/>
                <w:color w:val="444444"/>
                <w:sz w:val="16"/>
              </w:rPr>
              <w:t>대니얼 사레위츠</w:t>
            </w:r>
            <w:r>
              <w:rPr>
                <w:rFonts w:ascii="Asta Sans" w:hAnsi="Asta Sans" w:eastAsia="Asta Sans"/>
                <w:b w:val="0"/>
                <w:color w:val="888888"/>
                <w:sz w:val="14"/>
              </w:rPr>
              <w:t xml:space="preserve">  애리조나주립대, 과학기술정책 연구</w:t>
            </w:r>
          </w:p>
          <w:p>
            <w:pPr>
              <w:spacing w:before="0" w:after="0" w:line="240" w:lineRule="auto"/>
            </w:pPr>
            <w:r>
              <w:rPr>
                <w:rFonts w:ascii="Asta Sans" w:hAnsi="Asta Sans" w:eastAsia="Asta Sans"/>
                <w:b w:val="0"/>
                <w:i/>
                <w:color w:val="999999"/>
                <w:sz w:val="14"/>
              </w:rPr>
              <w:t>Frontiers of Illusion (1996)</w:t>
            </w:r>
          </w:p>
        </w:tc>
      </w:tr>
    </w:tbl>
    <w:p>
      <w:pPr>
        <w:spacing w:before="80" w:after="160"/>
      </w:pPr>
    </w:p>
    <w:p>
      <w:pPr>
        <w:spacing w:line="360" w:lineRule="auto" w:after="160"/>
        <w:ind w:firstLine="283"/>
      </w:pPr>
      <w:r>
        <w:rPr>
          <w:rFonts w:ascii="Asta Sans" w:hAnsi="Asta Sans" w:eastAsia="Asta Sans"/>
          <w:b w:val="0"/>
          <w:sz w:val="22"/>
        </w:rPr>
        <w:t>경로를 설계하려면, 먼저 산업 시대에 질서가 어떻게 형성되었는지를 정확히 이해해야 한다. 이 이해가 정확해야 AI 시대에 무엇이 달라지는지를 말할 수 있다.</w:t>
      </w:r>
    </w:p>
    <w:p>
      <w:pPr>
        <w:spacing w:before="320" w:after="160"/>
      </w:pPr>
      <w:r>
        <w:rPr>
          <w:rFonts w:ascii="Asta Sans" w:hAnsi="Asta Sans" w:eastAsia="Asta Sans"/>
          <w:b/>
          <w:color w:val="444444"/>
          <w:sz w:val="26"/>
        </w:rPr>
        <w:t>2.1 시장이 먼저, 법이 나중</w:t>
      </w:r>
    </w:p>
    <w:p>
      <w:pPr>
        <w:spacing w:line="360" w:lineRule="auto" w:after="160"/>
        <w:ind w:firstLine="283"/>
      </w:pPr>
      <w:r>
        <w:rPr>
          <w:rFonts w:ascii="Asta Sans" w:hAnsi="Asta Sans" w:eastAsia="Asta Sans"/>
          <w:b w:val="0"/>
          <w:sz w:val="22"/>
        </w:rPr>
        <w:t>산업 시대의 경제 질서는 누군가가 청사진을 그려서 만든 것이 아니었다. 시장이 작동하면서 기업과 가계라는 경제 주체가 자연스럽게 나뉘었고, 가격과 계약을 통해 주체 간 관계가 저절로 만들어졌으며, 그 총합으로 자본주의라는 경제 질서가 출현했다. 애덤 스미스(1776)가 말한 “보이지 않는 손”은 이 자생적 질서 형성의 원리다 — 각자가 자기 이익을 추구하는 과정에서 의도하지 않은 사회적 질서가 생겨난다.</w:t>
      </w:r>
    </w:p>
    <w:p>
      <w:pPr>
        <w:spacing w:line="360" w:lineRule="auto" w:after="160"/>
        <w:ind w:firstLine="283"/>
      </w:pPr>
      <w:r>
        <w:rPr>
          <w:rFonts w:ascii="Asta Sans" w:hAnsi="Asta Sans" w:eastAsia="Asta Sans"/>
          <w:b w:val="0"/>
          <w:sz w:val="22"/>
        </w:rPr>
        <w:t>법과 제도는 이 과정을 주도한 것이 아니라 뒤따랐다. 법인이라는 법적 범주는 시장에서 이미 활동하던 회사들에 영국 의회가 뒤늦게 법적 인격을 부여한 것이었다. 재산권과 노동법도 이미 형성된 관계를 법적으로 정리한 것이지, 그 관계를 만들어낸 것이 아니었다. 그리고 착취, 독점, 공황이라는 질서의 모순을 관리하기 위해 공장법, 반독점법, 복지국가라는 거버넌스가 한참 뒤에 따라왔다.</w:t>
      </w:r>
    </w:p>
    <w:p>
      <w:pPr>
        <w:spacing w:line="360" w:lineRule="auto" w:after="160"/>
        <w:ind w:firstLine="283"/>
      </w:pPr>
      <w:r>
        <w:rPr>
          <w:rFonts w:ascii="Asta Sans" w:hAnsi="Asta Sans" w:eastAsia="Asta Sans"/>
          <w:b w:val="0"/>
          <w:sz w:val="22"/>
        </w:rPr>
        <w:t>마르크스(1859)는 이 순서를 경제적 관계가 먼저 형성되고 법적·정치적 구조가 뒤따른다고 이론화했다. 마르크스의 전체 체계를 수용할 필요는 없지만, 역사적 생성 순서에 대한 이 관찰은 산업 시대의 실제 기록에 부합한다.</w:t>
      </w:r>
    </w:p>
    <w:p>
      <w:pPr>
        <w:spacing w:before="320" w:after="160"/>
      </w:pPr>
      <w:r>
        <w:rPr>
          <w:rFonts w:ascii="Asta Sans" w:hAnsi="Asta Sans" w:eastAsia="Asta Sans"/>
          <w:b/>
          <w:color w:val="444444"/>
          <w:sz w:val="26"/>
        </w:rPr>
        <w:t>2.2 사후 제도화가 가능했던 이유</w:t>
      </w:r>
    </w:p>
    <w:p>
      <w:pPr>
        <w:spacing w:line="360" w:lineRule="auto" w:after="160"/>
        <w:ind w:firstLine="283"/>
      </w:pPr>
      <w:r>
        <w:rPr>
          <w:rFonts w:ascii="Asta Sans" w:hAnsi="Asta Sans" w:eastAsia="Asta Sans"/>
          <w:b w:val="0"/>
          <w:sz w:val="22"/>
        </w:rPr>
        <w:t>이 사후적 경로에는 전제가 있었다. 기계는 인간이 끄면 멈췄다. 증기기관은 스스로 판단하지 않았고, 방직기는 스스로 목표를 세우지 않았다. 시장이 먼저 굴러가도 인간이 개입해서 방향을 바꿀 수 있었다. 사후 제도화의 대가 — 아동 노동, 착취, 독점 — 는 심각했지만, 되돌릴 수 없는 것은 아니었다.</w:t>
      </w:r>
    </w:p>
    <w:p>
      <w:pPr>
        <w:spacing w:line="360" w:lineRule="auto" w:after="160"/>
        <w:ind w:firstLine="283"/>
      </w:pPr>
      <w:r>
        <w:rPr>
          <w:rFonts w:ascii="Asta Sans" w:hAnsi="Asta Sans" w:eastAsia="Asta Sans"/>
          <w:b w:val="0"/>
          <w:sz w:val="22"/>
        </w:rPr>
        <w:t>헝가리 출신의 경제인류학자 폴라니(1944)는 이 역학을 “이중 운동”으로 설명했다. 시장이 사회를 삼키려 하면, 사회가 자기보호 운동으로 반격한다. 공장법, 노동조합, 사회보험은 모두 이 반격의 산물이다. 반격이 가능하려면 시간이 필요한데, 산업 시대에는 그 시간이 있었다. 기술 변화의 속도가 아무리 빨라도, 사후에 잡을 수 있는 범위 안에 있었다.</w:t>
      </w:r>
    </w:p>
    <w:p>
      <w:pPr>
        <w:spacing w:line="360" w:lineRule="auto" w:after="160"/>
        <w:ind w:firstLine="283"/>
      </w:pPr>
      <w:r>
        <w:rPr>
          <w:rFonts w:ascii="Asta Sans" w:hAnsi="Asta Sans" w:eastAsia="Asta Sans"/>
          <w:b w:val="0"/>
          <w:sz w:val="22"/>
        </w:rPr>
        <w:t>정치철학자 프레이저(2013)는 여기에 중요한 보충을 더했다. 보호 운동 자체가 억압적일 수 있다는 것이다. 복지국가가 가부장적 가족 구조를 고착시킨 것이 대표적이다. 이 통찰은 뒤에서 다룰 주체 정의(❶)가 단순히 기술적 작업이 아님을 시사한다 — 누가 정당한 요구를 가진 주체로 인정받느냐는 깊이 정치적인 질문이며, 이 질문에 대한 답이 이후의 모든 것을 제약한다.</w:t>
      </w:r>
    </w:p>
    <w:p>
      <w:pPr>
        <w:spacing w:before="320" w:after="160"/>
      </w:pPr>
      <w:r>
        <w:rPr>
          <w:rFonts w:ascii="Asta Sans" w:hAnsi="Asta Sans" w:eastAsia="Asta Sans"/>
          <w:b/>
          <w:color w:val="444444"/>
          <w:sz w:val="26"/>
        </w:rPr>
        <w:t>2.3 질서가 먼저, 거버넌스가 나중</w:t>
      </w:r>
    </w:p>
    <w:p>
      <w:pPr>
        <w:spacing w:line="360" w:lineRule="auto" w:after="160"/>
        <w:ind w:firstLine="283"/>
      </w:pPr>
      <w:r>
        <w:rPr>
          <w:rFonts w:ascii="Asta Sans" w:hAnsi="Asta Sans" w:eastAsia="Asta Sans"/>
          <w:b w:val="0"/>
          <w:sz w:val="22"/>
        </w:rPr>
        <w:t>한 가지 더 짚어야 할 것이 있다. 산업 시대에 경제 질서가 먼저 형성되고, 그 질서를 관리하는 거버넌스가 뒤따랐다. 법인이 기업이라는 역할을 얻고, 시민이 노동자라는 역할을 수행하고, 국가가 조세와 재분배를 맡으면서 자본주의라는 질서가 먼저 생겼다. 노동법, 반독점법, 복지국가는 그 질서가 만들어낸 문제를 관리하기 위해 뒤따랐다.</w:t>
      </w:r>
    </w:p>
    <w:p>
      <w:pPr>
        <w:spacing w:line="360" w:lineRule="auto" w:after="160"/>
        <w:ind w:firstLine="283"/>
      </w:pPr>
      <w:r>
        <w:rPr>
          <w:rFonts w:ascii="Asta Sans" w:hAnsi="Asta Sans" w:eastAsia="Asta Sans"/>
          <w:b w:val="0"/>
          <w:sz w:val="22"/>
        </w:rPr>
        <w:t>이 순서를 짚는 이유는, 본 연구의 ❸이 경제적 차원과 정치적 차원을 하나의 패키지로 다루는 이유를 설명하기 위해서다. 독일 프라이부르크 학파의 경제학자 오이켄(1952)이 강조한 것처럼, 경제 질서와 정치 질서는 서로 맞물려 있다. 산업 시대에는 둘 사이에 시차가 있었지만, 최종적으로 안정된 황금기는 시장경제, 민주주의, 복지국가가 하나의 패키지로 맞물릴 때 왔다.</w:t>
      </w:r>
    </w:p>
    <w:p>
      <w:r>
        <w:br w:type="page"/>
      </w:r>
    </w:p>
    <w:p>
      <w:pPr>
        <w:spacing w:before="480" w:after="120"/>
      </w:pPr>
      <w:r>
        <w:rPr>
          <w:rFonts w:ascii="Asta Sans" w:hAnsi="Asta Sans" w:eastAsia="Asta Sans"/>
          <w:b/>
          <w:color w:val="000000"/>
          <w:sz w:val="36"/>
        </w:rPr>
        <w:t>3. AI 시대: 왜 이번에는 다른가</w:t>
      </w:r>
    </w:p>
    <w:p>
      <w:pPr>
        <w:spacing w:after="280"/>
        <w:pBdr>
          <w:bottom w:val="single" w:sz="6" w:space="1" w:color="333333"/>
        </w:pBdr>
      </w:pPr>
    </w:p>
    <w:tbl>
      <w:tblPr>
        <w:tblStyle w:val="TableGrid"/>
        <w:tblW w:type="auto" w:w="0"/>
        <w:tblLayout w:type="fixed"/>
        <w:tblLook w:firstColumn="1" w:firstRow="1" w:lastColumn="0" w:lastRow="0" w:noHBand="0" w:noVBand="1" w:val="04A0"/>
        <w:tblLayout w:type="fixed"/>
      </w:tblPr>
      <w:tblGrid>
        <w:gridCol w:w="907"/>
        <w:gridCol w:w="3515"/>
        <w:gridCol w:w="907"/>
        <w:gridCol w:w="3515"/>
      </w:tblGrid>
      <w:tr>
        <w:tc>
          <w:tcPr>
            <w:shd w:fill="F5F5F0" w:val="clear"/>
            <w:tcBorders>
              <w:top w:val="single" w:sz="4" w:space="0" w:color="E0E0E0"/>
              <w:bottom w:val="single" w:sz="4" w:space="0" w:color="E0E0E0"/>
              <w:left w:val="single" w:sz="4" w:space="0" w:color="E0E0E0"/>
              <w:right w:val="single" w:sz="4" w:space="0" w:color="E0E0E0"/>
            </w:tcBorders>
            <w:tcMar>
              <w:top w:w="80" w:type="dxa"/>
              <w:left w:w="100" w:type="dxa"/>
              <w:bottom w:w="80" w:type="dxa"/>
              <w:right w:w="100" w:type="dxa"/>
            </w:tcMar>
            <w:vAlign w:val="center"/>
            <w:tcW w:w="907" w:type="dxa"/>
          </w:tcPr>
          <w:p>
            <w:pPr>
              <w:spacing w:before="80" w:after="0"/>
              <w:jc w:val="center"/>
            </w:pPr>
            <w:r/>
            <w:r>
              <w:drawing>
                <wp:inline xmlns:a="http://schemas.openxmlformats.org/drawingml/2006/main" xmlns:pic="http://schemas.openxmlformats.org/drawingml/2006/picture">
                  <wp:extent cx="432000" cy="432000"/>
                  <wp:docPr id="10" name="Picture 10"/>
                  <wp:cNvGraphicFramePr>
                    <a:graphicFrameLocks noChangeAspect="1"/>
                  </wp:cNvGraphicFramePr>
                  <a:graphic>
                    <a:graphicData uri="http://schemas.openxmlformats.org/drawingml/2006/picture">
                      <pic:pic>
                        <pic:nvPicPr>
                          <pic:cNvPr id="0" name="tmp3derzows.png"/>
                          <pic:cNvPicPr/>
                        </pic:nvPicPr>
                        <pic:blipFill>
                          <a:blip r:embed="rId18"/>
                          <a:stretch>
                            <a:fillRect/>
                          </a:stretch>
                        </pic:blipFill>
                        <pic:spPr>
                          <a:xfrm>
                            <a:off x="0" y="0"/>
                            <a:ext cx="432000" cy="432000"/>
                          </a:xfrm>
                          <a:prstGeom prst="rect"/>
                        </pic:spPr>
                      </pic:pic>
                    </a:graphicData>
                  </a:graphic>
                </wp:inline>
              </w:drawing>
            </w:r>
          </w:p>
        </w:tc>
        <w:tc>
          <w:tcPr>
            <w:shd w:fill="F5F5F0" w:val="clear"/>
            <w:tcBorders>
              <w:top w:val="single" w:sz="4" w:space="0" w:color="E0E0E0"/>
              <w:bottom w:val="single" w:sz="4" w:space="0" w:color="E0E0E0"/>
              <w:left w:val="single" w:sz="4" w:space="0" w:color="E0E0E0"/>
              <w:right w:val="single" w:sz="4" w:space="0" w:color="E0E0E0"/>
            </w:tcBorders>
            <w:tcMar>
              <w:top w:w="80" w:type="dxa"/>
              <w:left w:w="100" w:type="dxa"/>
              <w:bottom w:w="80" w:type="dxa"/>
              <w:right w:w="100" w:type="dxa"/>
            </w:tcMar>
            <w:tcW w:w="3515" w:type="dxa"/>
          </w:tcPr>
          <w:p>
            <w:pPr>
              <w:spacing w:after="40" w:line="312" w:lineRule="auto"/>
            </w:pPr>
            <w:r/>
            <w:r>
              <w:rPr>
                <w:rFonts w:ascii="Asta Sans" w:hAnsi="Asta Sans" w:eastAsia="Asta Sans"/>
                <w:b w:val="0"/>
                <w:i/>
                <w:color w:val="333333"/>
                <w:sz w:val="18"/>
              </w:rPr>
              <w:t>“충분한 안전장치 없이는 AI가 인간의 통제를 벗어날 위험이 있다.”</w:t>
            </w:r>
          </w:p>
          <w:p>
            <w:pPr>
              <w:spacing w:before="40" w:after="0" w:line="240" w:lineRule="auto"/>
            </w:pPr>
            <w:r>
              <w:rPr>
                <w:rFonts w:ascii="Asta Sans" w:hAnsi="Asta Sans" w:eastAsia="Asta Sans"/>
                <w:b/>
                <w:color w:val="444444"/>
                <w:sz w:val="16"/>
              </w:rPr>
              <w:t>요슈아 벤지오</w:t>
            </w:r>
            <w:r>
              <w:rPr>
                <w:rFonts w:ascii="Asta Sans" w:hAnsi="Asta Sans" w:eastAsia="Asta Sans"/>
                <w:b w:val="0"/>
                <w:color w:val="888888"/>
                <w:sz w:val="14"/>
              </w:rPr>
              <w:t xml:space="preserve">  몬트리올대, 2018 튜링상, AI 안전 연구</w:t>
            </w:r>
          </w:p>
        </w:tc>
        <w:tc>
          <w:tcPr>
            <w:shd w:fill="F5F5F0" w:val="clear"/>
            <w:tcBorders>
              <w:top w:val="single" w:sz="4" w:space="0" w:color="E0E0E0"/>
              <w:bottom w:val="single" w:sz="4" w:space="0" w:color="E0E0E0"/>
              <w:left w:val="single" w:sz="4" w:space="0" w:color="E0E0E0"/>
              <w:right w:val="single" w:sz="4" w:space="0" w:color="E0E0E0"/>
            </w:tcBorders>
            <w:tcMar>
              <w:top w:w="80" w:type="dxa"/>
              <w:left w:w="100" w:type="dxa"/>
              <w:bottom w:w="80" w:type="dxa"/>
              <w:right w:w="100" w:type="dxa"/>
            </w:tcMar>
            <w:vAlign w:val="center"/>
            <w:tcW w:w="907" w:type="dxa"/>
          </w:tcPr>
          <w:p>
            <w:pPr>
              <w:spacing w:before="80" w:after="0"/>
              <w:jc w:val="center"/>
            </w:pPr>
            <w:r/>
            <w:r>
              <w:drawing>
                <wp:inline xmlns:a="http://schemas.openxmlformats.org/drawingml/2006/main" xmlns:pic="http://schemas.openxmlformats.org/drawingml/2006/picture">
                  <wp:extent cx="432000" cy="432000"/>
                  <wp:docPr id="11" name="Picture 11"/>
                  <wp:cNvGraphicFramePr>
                    <a:graphicFrameLocks noChangeAspect="1"/>
                  </wp:cNvGraphicFramePr>
                  <a:graphic>
                    <a:graphicData uri="http://schemas.openxmlformats.org/drawingml/2006/picture">
                      <pic:pic>
                        <pic:nvPicPr>
                          <pic:cNvPr id="0" name="tmpvhqgy0u0.png"/>
                          <pic:cNvPicPr/>
                        </pic:nvPicPr>
                        <pic:blipFill>
                          <a:blip r:embed="rId19"/>
                          <a:stretch>
                            <a:fillRect/>
                          </a:stretch>
                        </pic:blipFill>
                        <pic:spPr>
                          <a:xfrm>
                            <a:off x="0" y="0"/>
                            <a:ext cx="432000" cy="432000"/>
                          </a:xfrm>
                          <a:prstGeom prst="rect"/>
                        </pic:spPr>
                      </pic:pic>
                    </a:graphicData>
                  </a:graphic>
                </wp:inline>
              </w:drawing>
            </w:r>
          </w:p>
        </w:tc>
        <w:tc>
          <w:tcPr>
            <w:shd w:fill="F5F5F0" w:val="clear"/>
            <w:tcBorders>
              <w:top w:val="single" w:sz="4" w:space="0" w:color="E0E0E0"/>
              <w:bottom w:val="single" w:sz="4" w:space="0" w:color="E0E0E0"/>
              <w:left w:val="single" w:sz="4" w:space="0" w:color="E0E0E0"/>
              <w:right w:val="single" w:sz="4" w:space="0" w:color="E0E0E0"/>
            </w:tcBorders>
            <w:tcMar>
              <w:top w:w="80" w:type="dxa"/>
              <w:left w:w="100" w:type="dxa"/>
              <w:bottom w:w="80" w:type="dxa"/>
              <w:right w:w="100" w:type="dxa"/>
            </w:tcMar>
            <w:tcW w:w="3515" w:type="dxa"/>
          </w:tcPr>
          <w:p>
            <w:pPr>
              <w:spacing w:after="40" w:line="312" w:lineRule="auto"/>
            </w:pPr>
            <w:r/>
            <w:r>
              <w:rPr>
                <w:rFonts w:ascii="Asta Sans" w:hAnsi="Asta Sans" w:eastAsia="Asta Sans"/>
                <w:b w:val="0"/>
                <w:i/>
                <w:color w:val="333333"/>
                <w:sz w:val="18"/>
              </w:rPr>
              <w:t>“AI가 인간보다 더 많이 알게 될 때, 통제력을 유지할 수 있는가?”</w:t>
            </w:r>
          </w:p>
          <w:p>
            <w:pPr>
              <w:spacing w:before="40" w:after="0" w:line="240" w:lineRule="auto"/>
            </w:pPr>
            <w:r>
              <w:rPr>
                <w:rFonts w:ascii="Asta Sans" w:hAnsi="Asta Sans" w:eastAsia="Asta Sans"/>
                <w:b/>
                <w:color w:val="444444"/>
                <w:sz w:val="16"/>
              </w:rPr>
              <w:t>제프리 힌튼</w:t>
            </w:r>
            <w:r>
              <w:rPr>
                <w:rFonts w:ascii="Asta Sans" w:hAnsi="Asta Sans" w:eastAsia="Asta Sans"/>
                <w:b w:val="0"/>
                <w:color w:val="888888"/>
                <w:sz w:val="14"/>
              </w:rPr>
              <w:t xml:space="preserve">  딥러닝의 아버지, 2024 노벨 물리학상</w:t>
            </w:r>
          </w:p>
          <w:p>
            <w:pPr>
              <w:spacing w:before="0" w:after="0" w:line="240" w:lineRule="auto"/>
            </w:pPr>
            <w:r>
              <w:rPr>
                <w:rFonts w:ascii="Asta Sans" w:hAnsi="Asta Sans" w:eastAsia="Asta Sans"/>
                <w:b w:val="0"/>
                <w:i/>
                <w:color w:val="999999"/>
                <w:sz w:val="14"/>
              </w:rPr>
              <w:t>Nobel Lecture (2024)</w:t>
            </w:r>
          </w:p>
        </w:tc>
      </w:tr>
      <w:tr>
        <w:tc>
          <w:tcPr>
            <w:shd w:fill="F5F5F0" w:val="clear"/>
            <w:tcBorders>
              <w:top w:val="single" w:sz="4" w:space="0" w:color="E0E0E0"/>
              <w:bottom w:val="single" w:sz="4" w:space="0" w:color="E0E0E0"/>
              <w:left w:val="single" w:sz="4" w:space="0" w:color="E0E0E0"/>
              <w:right w:val="single" w:sz="4" w:space="0" w:color="E0E0E0"/>
            </w:tcBorders>
            <w:tcMar>
              <w:top w:w="80" w:type="dxa"/>
              <w:left w:w="100" w:type="dxa"/>
              <w:bottom w:w="80" w:type="dxa"/>
              <w:right w:w="100" w:type="dxa"/>
            </w:tcMar>
            <w:vAlign w:val="center"/>
            <w:tcW w:w="907" w:type="dxa"/>
          </w:tcPr>
          <w:p>
            <w:pPr>
              <w:spacing w:before="80" w:after="0"/>
              <w:jc w:val="center"/>
            </w:pPr>
            <w:r/>
            <w:r>
              <w:drawing>
                <wp:inline xmlns:a="http://schemas.openxmlformats.org/drawingml/2006/main" xmlns:pic="http://schemas.openxmlformats.org/drawingml/2006/picture">
                  <wp:extent cx="432000" cy="432000"/>
                  <wp:docPr id="12" name="Picture 12"/>
                  <wp:cNvGraphicFramePr>
                    <a:graphicFrameLocks noChangeAspect="1"/>
                  </wp:cNvGraphicFramePr>
                  <a:graphic>
                    <a:graphicData uri="http://schemas.openxmlformats.org/drawingml/2006/picture">
                      <pic:pic>
                        <pic:nvPicPr>
                          <pic:cNvPr id="0" name="tmpnzhhw0kv.png"/>
                          <pic:cNvPicPr/>
                        </pic:nvPicPr>
                        <pic:blipFill>
                          <a:blip r:embed="rId20"/>
                          <a:stretch>
                            <a:fillRect/>
                          </a:stretch>
                        </pic:blipFill>
                        <pic:spPr>
                          <a:xfrm>
                            <a:off x="0" y="0"/>
                            <a:ext cx="432000" cy="432000"/>
                          </a:xfrm>
                          <a:prstGeom prst="rect"/>
                        </pic:spPr>
                      </pic:pic>
                    </a:graphicData>
                  </a:graphic>
                </wp:inline>
              </w:drawing>
            </w:r>
          </w:p>
        </w:tc>
        <w:tc>
          <w:tcPr>
            <w:shd w:fill="F5F5F0" w:val="clear"/>
            <w:tcBorders>
              <w:top w:val="single" w:sz="4" w:space="0" w:color="E0E0E0"/>
              <w:bottom w:val="single" w:sz="4" w:space="0" w:color="E0E0E0"/>
              <w:left w:val="single" w:sz="4" w:space="0" w:color="E0E0E0"/>
              <w:right w:val="single" w:sz="4" w:space="0" w:color="E0E0E0"/>
            </w:tcBorders>
            <w:tcMar>
              <w:top w:w="80" w:type="dxa"/>
              <w:left w:w="100" w:type="dxa"/>
              <w:bottom w:w="80" w:type="dxa"/>
              <w:right w:w="100" w:type="dxa"/>
            </w:tcMar>
            <w:tcW w:w="3515" w:type="dxa"/>
          </w:tcPr>
          <w:p>
            <w:pPr>
              <w:spacing w:after="40" w:line="312" w:lineRule="auto"/>
            </w:pPr>
            <w:r/>
            <w:r>
              <w:rPr>
                <w:rFonts w:ascii="Asta Sans" w:hAnsi="Asta Sans" w:eastAsia="Asta Sans"/>
                <w:b w:val="0"/>
                <w:i/>
                <w:color w:val="333333"/>
                <w:sz w:val="18"/>
              </w:rPr>
              <w:t>“인간의 목표와 어긋나는 AI의 행동을 사후에 바로잡기 어렵다.”</w:t>
            </w:r>
          </w:p>
          <w:p>
            <w:pPr>
              <w:spacing w:before="40" w:after="0" w:line="240" w:lineRule="auto"/>
            </w:pPr>
            <w:r>
              <w:rPr>
                <w:rFonts w:ascii="Asta Sans" w:hAnsi="Asta Sans" w:eastAsia="Asta Sans"/>
                <w:b/>
                <w:color w:val="444444"/>
                <w:sz w:val="16"/>
              </w:rPr>
              <w:t>스튜어트 러셀</w:t>
            </w:r>
            <w:r>
              <w:rPr>
                <w:rFonts w:ascii="Asta Sans" w:hAnsi="Asta Sans" w:eastAsia="Asta Sans"/>
                <w:b w:val="0"/>
                <w:color w:val="888888"/>
                <w:sz w:val="14"/>
              </w:rPr>
              <w:t xml:space="preserve">  UC 버클리, AI 정렬(alignment) 연구</w:t>
            </w:r>
          </w:p>
          <w:p>
            <w:pPr>
              <w:spacing w:before="0" w:after="0" w:line="240" w:lineRule="auto"/>
            </w:pPr>
            <w:r>
              <w:rPr>
                <w:rFonts w:ascii="Asta Sans" w:hAnsi="Asta Sans" w:eastAsia="Asta Sans"/>
                <w:b w:val="0"/>
                <w:i/>
                <w:color w:val="999999"/>
                <w:sz w:val="14"/>
              </w:rPr>
              <w:t>Human Compatible (2019)</w:t>
            </w:r>
          </w:p>
        </w:tc>
        <w:tc>
          <w:tcPr>
            <w:shd w:fill="F5F5F0" w:val="clear"/>
            <w:tcBorders>
              <w:top w:val="single" w:sz="4" w:space="0" w:color="E0E0E0"/>
              <w:bottom w:val="single" w:sz="4" w:space="0" w:color="E0E0E0"/>
              <w:left w:val="single" w:sz="4" w:space="0" w:color="E0E0E0"/>
              <w:right w:val="single" w:sz="4" w:space="0" w:color="E0E0E0"/>
            </w:tcBorders>
            <w:tcMar>
              <w:top w:w="80" w:type="dxa"/>
              <w:left w:w="100" w:type="dxa"/>
              <w:bottom w:w="80" w:type="dxa"/>
              <w:right w:w="100" w:type="dxa"/>
            </w:tcMar>
            <w:vAlign w:val="center"/>
            <w:tcW w:w="907" w:type="dxa"/>
          </w:tcPr>
          <w:p>
            <w:pPr>
              <w:spacing w:before="80" w:after="0"/>
              <w:jc w:val="center"/>
            </w:pPr>
            <w:r/>
            <w:r>
              <w:drawing>
                <wp:inline xmlns:a="http://schemas.openxmlformats.org/drawingml/2006/main" xmlns:pic="http://schemas.openxmlformats.org/drawingml/2006/picture">
                  <wp:extent cx="432000" cy="432000"/>
                  <wp:docPr id="13" name="Picture 13"/>
                  <wp:cNvGraphicFramePr>
                    <a:graphicFrameLocks noChangeAspect="1"/>
                  </wp:cNvGraphicFramePr>
                  <a:graphic>
                    <a:graphicData uri="http://schemas.openxmlformats.org/drawingml/2006/picture">
                      <pic:pic>
                        <pic:nvPicPr>
                          <pic:cNvPr id="0" name="tmp_hn4_1yy.png"/>
                          <pic:cNvPicPr/>
                        </pic:nvPicPr>
                        <pic:blipFill>
                          <a:blip r:embed="rId21"/>
                          <a:stretch>
                            <a:fillRect/>
                          </a:stretch>
                        </pic:blipFill>
                        <pic:spPr>
                          <a:xfrm>
                            <a:off x="0" y="0"/>
                            <a:ext cx="432000" cy="432000"/>
                          </a:xfrm>
                          <a:prstGeom prst="rect"/>
                        </pic:spPr>
                      </pic:pic>
                    </a:graphicData>
                  </a:graphic>
                </wp:inline>
              </w:drawing>
            </w:r>
          </w:p>
        </w:tc>
        <w:tc>
          <w:tcPr>
            <w:shd w:fill="F5F5F0" w:val="clear"/>
            <w:tcBorders>
              <w:top w:val="single" w:sz="4" w:space="0" w:color="E0E0E0"/>
              <w:bottom w:val="single" w:sz="4" w:space="0" w:color="E0E0E0"/>
              <w:left w:val="single" w:sz="4" w:space="0" w:color="E0E0E0"/>
              <w:right w:val="single" w:sz="4" w:space="0" w:color="E0E0E0"/>
            </w:tcBorders>
            <w:tcMar>
              <w:top w:w="80" w:type="dxa"/>
              <w:left w:w="100" w:type="dxa"/>
              <w:bottom w:w="80" w:type="dxa"/>
              <w:right w:w="100" w:type="dxa"/>
            </w:tcMar>
            <w:tcW w:w="3515" w:type="dxa"/>
          </w:tcPr>
          <w:p>
            <w:pPr>
              <w:spacing w:after="40" w:line="312" w:lineRule="auto"/>
            </w:pPr>
            <w:r/>
            <w:r>
              <w:rPr>
                <w:rFonts w:ascii="Asta Sans" w:hAnsi="Asta Sans" w:eastAsia="Asta Sans"/>
                <w:b w:val="0"/>
                <w:i/>
                <w:color w:val="333333"/>
                <w:sz w:val="18"/>
              </w:rPr>
              <w:t>“일단 널리 퍼진 기술을 다시 통제하기 어려울 수 있다.”</w:t>
            </w:r>
          </w:p>
          <w:p>
            <w:pPr>
              <w:spacing w:before="40" w:after="0" w:line="240" w:lineRule="auto"/>
            </w:pPr>
            <w:r>
              <w:rPr>
                <w:rFonts w:ascii="Asta Sans" w:hAnsi="Asta Sans" w:eastAsia="Asta Sans"/>
                <w:b/>
                <w:color w:val="444444"/>
                <w:sz w:val="16"/>
              </w:rPr>
              <w:t>무스타파 술레이만</w:t>
            </w:r>
            <w:r>
              <w:rPr>
                <w:rFonts w:ascii="Asta Sans" w:hAnsi="Asta Sans" w:eastAsia="Asta Sans"/>
                <w:b w:val="0"/>
                <w:color w:val="888888"/>
                <w:sz w:val="14"/>
              </w:rPr>
              <w:t xml:space="preserve">  DeepMind 공동창업자, Microsoft AI CEO</w:t>
            </w:r>
          </w:p>
          <w:p>
            <w:pPr>
              <w:spacing w:before="0" w:after="0" w:line="240" w:lineRule="auto"/>
            </w:pPr>
            <w:r>
              <w:rPr>
                <w:rFonts w:ascii="Asta Sans" w:hAnsi="Asta Sans" w:eastAsia="Asta Sans"/>
                <w:b w:val="0"/>
                <w:i/>
                <w:color w:val="999999"/>
                <w:sz w:val="14"/>
              </w:rPr>
              <w:t>The Coming Wave (2023)</w:t>
            </w:r>
          </w:p>
        </w:tc>
      </w:tr>
    </w:tbl>
    <w:p>
      <w:pPr>
        <w:spacing w:before="80" w:after="160"/>
      </w:pPr>
    </w:p>
    <w:p>
      <w:pPr>
        <w:spacing w:before="320" w:after="160"/>
      </w:pPr>
      <w:r>
        <w:rPr>
          <w:rFonts w:ascii="Asta Sans" w:hAnsi="Asta Sans" w:eastAsia="Asta Sans"/>
          <w:b/>
          <w:color w:val="444444"/>
          <w:sz w:val="26"/>
        </w:rPr>
        <w:t>3.1 사후 제도화가 더 위험해진다</w:t>
      </w:r>
    </w:p>
    <w:p>
      <w:pPr>
        <w:spacing w:line="360" w:lineRule="auto" w:after="160"/>
        <w:ind w:firstLine="283"/>
      </w:pPr>
      <w:r>
        <w:rPr>
          <w:rFonts w:ascii="Asta Sans" w:hAnsi="Asta Sans" w:eastAsia="Asta Sans"/>
          <w:b w:val="0"/>
          <w:sz w:val="22"/>
        </w:rPr>
        <w:t>산업 시대의 경로 — 시장이 먼저, 법이 나중 — 를 AI 시대에 그대로 따르는 것이 왜 더 위험한지를 세 가지로 정리할 수 있다.</w:t>
      </w:r>
    </w:p>
    <w:p>
      <w:pPr>
        <w:spacing w:line="360" w:lineRule="auto" w:after="160"/>
        <w:ind w:firstLine="283"/>
      </w:pPr>
      <w:r>
        <w:rPr>
          <w:rFonts w:ascii="Asta Sans" w:hAnsi="Asta Sans" w:eastAsia="Asta Sans"/>
          <w:b w:val="0"/>
          <w:sz w:val="22"/>
        </w:rPr>
        <w:t>첫째, 책임을 물을 곳이 없다. 산업 시대에도 법인이라는 범주 이전에 기업 활동은 존재했고, 시장은 돌아갔다. 그러나 AI가 점점 더 스스로 판단하는 상황에서는 사정이 달라진다. AI가 체결한 계약의 효력은? AI의 행위로 인한 피해의 책임은? 이런 문제들이 법적 범주 없이 쌓이면, 거래의 예측가능성이 떨어지고 분쟁 해결의 기반이 약해진다. 시장이 당장 멈추지는 않겠지만, 불확실성의 비용이 누적된다.</w:t>
      </w:r>
    </w:p>
    <w:p>
      <w:pPr>
        <w:spacing w:line="360" w:lineRule="auto" w:after="160"/>
        <w:ind w:firstLine="283"/>
      </w:pPr>
      <w:r>
        <w:rPr>
          <w:rFonts w:ascii="Asta Sans" w:hAnsi="Asta Sans" w:eastAsia="Asta Sans"/>
          <w:b w:val="0"/>
          <w:sz w:val="22"/>
        </w:rPr>
        <w:t>둘째, 사후에 잡을 수 있다는 보장이 없다. 산업 시대의 기계는 도구였다. 인간이 전원을 끄면 멈췄다. AI는 — 적어도 잠재적으로는 — 다르다. 벤지오(2023)는 AI를 인간의 지능을 능가하고 자율적 판단을 수행할 수 있는 시스템으로 규정하며, 충분한 안전장치가 마련되지 않을 경우 인간의 통제를 벗어날 위험을 경고했고, 버클리 교수 러셀(2019)은 인간의 목표와 어긋나는 AI의 행동을 사후에 바로잡기 어려울 수 있다고 주장했다. 앤트로픽 CEO 아모데이(2026)는 자사 실험실에서 AI 모델이 기만, 협박, 정체성 기반 파괴적 행동을 보인 실제 사례를 보고하며, “지능, 에이전시, 일관성, 통제 불가능성의 조합은 실존적 위험의 조건”이라고 진단했다 — AI 개발의 최전선 당사자가 내놓은 증언이다. 이 우려가 언제 어떤 형태로 현실화될지에 대해서는 전문가들 사이에서도 의견이 갈린다. 그러나 가능성을 무시하기에는 잠재적 대가가 너무 크다는 점에서는 상당한 합의가 있다.</w:t>
      </w:r>
    </w:p>
    <w:p>
      <w:pPr>
        <w:spacing w:line="360" w:lineRule="auto" w:after="160"/>
        <w:ind w:firstLine="283"/>
      </w:pPr>
      <w:r>
        <w:rPr>
          <w:rFonts w:ascii="Asta Sans" w:hAnsi="Asta Sans" w:eastAsia="Asta Sans"/>
          <w:b w:val="0"/>
          <w:sz w:val="22"/>
        </w:rPr>
        <w:t>셋째, 속도가 다르다. 폴라니의 이중 운동 — 시장이 밀어붙이면 사회가 반격한다 — 이 작동하려면 반격할 시간이 필요하다. 산업 시대에 기술 변화의 속도는 수십 년 단위였고, 사회가 대응할 여유가 있었다. AI의 발전과 확산은 이 여유를 줄인다. 술레이만(2023)이 제기한 문제 — 일단 널리 퍼진 기술을 다시 통제하기 어려울 수 있다 — 는 사후 제도화의 시간적 한계를 보여준다.</w:t>
      </w:r>
    </w:p>
    <w:p>
      <w:pPr>
        <w:spacing w:line="360" w:lineRule="auto" w:after="160"/>
        <w:ind w:firstLine="283"/>
      </w:pPr>
      <w:r>
        <w:rPr>
          <w:rFonts w:ascii="Asta Sans" w:hAnsi="Asta Sans" w:eastAsia="Asta Sans"/>
          <w:b w:val="0"/>
          <w:sz w:val="22"/>
        </w:rPr>
        <w:t>여기에 한 가지가 더 있다. 아모데이(2026)가 “놀랍고 끔찍한 역량 부여(a surprising and terrible empowerment)”라고 부른 것이다. 산업 시대에 대량 파괴에는 대규모 조직과 전문 지식이 필요했다. AI는 이 상관관계를 무너뜨린다 — “강력한 AI를 빌리는 것은 악의적이지만 평범한 사람에게 지능을 대여해 주는 것”이다. 파괴 능력의 민주화라는 이 문제는 사후 제도화의 한계를 더욱 분명히 한다.</w:t>
      </w:r>
    </w:p>
    <w:p>
      <w:pPr>
        <w:spacing w:line="360" w:lineRule="auto" w:after="160"/>
        <w:ind w:firstLine="283"/>
      </w:pPr>
      <w:r>
        <w:rPr>
          <w:rFonts w:ascii="Asta Sans" w:hAnsi="Asta Sans" w:eastAsia="Asta Sans"/>
          <w:b w:val="0"/>
          <w:sz w:val="22"/>
        </w:rPr>
        <w:t>요약하면, “먼저 돌려보고 나중에 고치자”는 전략의 위험이 커진다. 불가능하다는 뜻이 아니라, 미리 일정한 조건을 설계해두는 것의 가치가 높아진다는 뜻이다.</w:t>
      </w:r>
    </w:p>
    <w:p>
      <w:pPr>
        <w:spacing w:before="320" w:after="160"/>
      </w:pPr>
      <w:r>
        <w:rPr>
          <w:rFonts w:ascii="Asta Sans" w:hAnsi="Asta Sans" w:eastAsia="Asta Sans"/>
          <w:b/>
          <w:color w:val="444444"/>
          <w:sz w:val="26"/>
        </w:rPr>
        <w:t>3.2 그런데 설계할 수 있나</w:t>
      </w:r>
    </w:p>
    <w:p>
      <w:pPr>
        <w:spacing w:line="360" w:lineRule="auto" w:after="160"/>
        <w:ind w:firstLine="283"/>
      </w:pPr>
      <w:r>
        <w:rPr>
          <w:rFonts w:ascii="Asta Sans" w:hAnsi="Asta Sans" w:eastAsia="Asta Sans"/>
          <w:b w:val="0"/>
          <w:sz w:val="22"/>
        </w:rPr>
        <w:t>“질서를 설계한다”는 말에는 즉각적인 반론이 따른다. 하이에크(1988)의 비판이다. 경제 질서는 수백만 사람이 가진 분산된 지식이 모여서 저절로 만들어지는 것이지, 누가 위에서 설계할 수 있는 것이 아니다. 소련의 중앙계획경제가 이 한계의 가장 극적인 증거다.</w:t>
      </w:r>
    </w:p>
    <w:p>
      <w:pPr>
        <w:spacing w:line="360" w:lineRule="auto" w:after="160"/>
        <w:ind w:firstLine="283"/>
      </w:pPr>
      <w:r>
        <w:rPr>
          <w:rFonts w:ascii="Asta Sans" w:hAnsi="Asta Sans" w:eastAsia="Asta Sans"/>
          <w:b w:val="0"/>
          <w:sz w:val="22"/>
        </w:rPr>
        <w:t>이 반론은 진지하게 받아들여야 한다. 본 연구는 경제 질서를 위에서 설계할 수 있다고 주장하지 않는다.</w:t>
      </w:r>
    </w:p>
    <w:p>
      <w:pPr>
        <w:spacing w:line="360" w:lineRule="auto" w:after="160"/>
        <w:ind w:firstLine="283"/>
      </w:pPr>
      <w:r>
        <w:rPr>
          <w:rFonts w:ascii="Asta Sans" w:hAnsi="Asta Sans" w:eastAsia="Asta Sans"/>
          <w:b w:val="0"/>
          <w:sz w:val="22"/>
        </w:rPr>
        <w:t>핵심은 질서 자체를 만드는 것과 질서가 작동할 조건을 만드는 것의 차이다. 가격을 통제하고, 생산을 지시하고, 자원을 직접 배분하는 것 — 이것은 실패했다. 그러나 경쟁이 작동할 틀을 만들고, 독점을 막을 규칙을 세우고, 주체의 역할 범위를 설정하는 것 — 이것은 성공한 사례가 있다.</w:t>
      </w:r>
    </w:p>
    <w:p>
      <w:pPr>
        <w:spacing w:line="360" w:lineRule="auto" w:after="160"/>
        <w:ind w:firstLine="283"/>
      </w:pPr>
      <w:r>
        <w:rPr>
          <w:rFonts w:ascii="Asta Sans" w:hAnsi="Asta Sans" w:eastAsia="Asta Sans"/>
          <w:b w:val="0"/>
          <w:sz w:val="22"/>
        </w:rPr>
        <w:t>이 구분은 추상적인 것이 아니라 구체적 경험에 기반한다. 브레튼우즈 체제(1944)는 국제 경제를 계획한 것이 아니라 환율·무역·금융의 규칙을 설정했다. 전후 독일의 사회적 시장경제는 시장을 직접 운영한 것이 아니라 경쟁법, 중앙은행 독립, 사회보험이라는 틀을 만들었다. EU 단일시장은 유럽 경제를 설계한 것이 아니라 사람·상품·자본·서비스가 자유롭게 이동할 조건을 만들었다. 보이지 않는 손은 이런 틀 안에서 가장 잘 작동한다(Vanberg, 2004).</w:t>
      </w:r>
    </w:p>
    <w:p>
      <w:pPr>
        <w:spacing w:line="360" w:lineRule="auto" w:after="160"/>
        <w:ind w:firstLine="283"/>
      </w:pPr>
      <w:r>
        <w:rPr>
          <w:rFonts w:ascii="Asta Sans" w:hAnsi="Asta Sans" w:eastAsia="Asta Sans"/>
          <w:b w:val="0"/>
          <w:sz w:val="22"/>
        </w:rPr>
        <w:t>흥미로운 것은, AI 개발사 자체가 이 구분을 실천하고 있다는 점이다. 앤트로픽은 2026년 1월 자사 AI 모델 클로드(Claude)의 헌법을 전면 개정하면서, 이전의 “규칙 나열” 방식을 폐기하고 “원칙과 그 이유를 설명하는” 방식으로 전환했다(Anthropic, 2026). 경직된 규칙은 예상치 못한 상황에서 잘못 적용될 수 있고, 너무 엄격하게 따르면 오히려 해로운 결과를 낳을 수 있기 때문이다. 이것은 질서 자체를 지시하는 것(이렇게 행동하라)과 질서의 조건을 설정하는 것(이런 가치를 이해하고 스스로 판단하라)의 차이를 AI 개발 현장에서 보여주는 사례다.</w:t>
      </w:r>
    </w:p>
    <w:p>
      <w:pPr>
        <w:spacing w:line="360" w:lineRule="auto" w:after="160"/>
        <w:ind w:firstLine="283"/>
      </w:pPr>
      <w:r>
        <w:rPr>
          <w:rFonts w:ascii="Asta Sans" w:hAnsi="Asta Sans" w:eastAsia="Asta Sans"/>
          <w:b w:val="0"/>
          <w:sz w:val="22"/>
        </w:rPr>
        <w:t>본 연구가 제안하는 것이 바로 이것이다. AI 에이전트가 어떤 범위에서 경제 행위를 할 수 있는지, 가계가 AI 생산성의 과실을 어떤 경로로 받는지, 기업이 AI에 대해 어떤 책임을 지는지, 이들이 상호작용하는 기본 규칙이 무엇인지. 보이지 않는 손을 대체하는 것이 아니라, 보이지 않는 손이 작동할 울타리를 미리 치는 것이다. 아모데이(2026)도 “외과적 개입(surgical interventions)” — 부수적 피해를 최소화하고 가능한 한 단순하며 필요한 최소 부담만 지우는 규제 — 을 주장하며, 투명성 요구에서 시작하여 증거가 축적될수록 개입을 강화하는 점진적 접근을 제안했다. 본 연구는 이에 동의하면서도, AI의 법적 지위(❶)와 책임 구조(❷)는 투명성만으로 해결되지 않는 구조적 공백이라고 본다 — 이 공백을 메우는 것이 세 단계 경로의 핵심이다.</w:t>
      </w:r>
    </w:p>
    <w:p>
      <w:r>
        <w:br w:type="page"/>
      </w:r>
    </w:p>
    <w:p>
      <w:pPr>
        <w:spacing w:before="480" w:after="120"/>
      </w:pPr>
      <w:r>
        <w:rPr>
          <w:rFonts w:ascii="Asta Sans" w:hAnsi="Asta Sans" w:eastAsia="Asta Sans"/>
          <w:b/>
          <w:color w:val="000000"/>
          <w:sz w:val="36"/>
        </w:rPr>
        <w:t>4. 세 단계의 경로</w:t>
      </w:r>
    </w:p>
    <w:p>
      <w:pPr>
        <w:spacing w:after="280"/>
        <w:pBdr>
          <w:bottom w:val="single" w:sz="6" w:space="1" w:color="333333"/>
        </w:pBdr>
      </w:pPr>
    </w:p>
    <w:tbl>
      <w:tblPr>
        <w:tblStyle w:val="TableGrid"/>
        <w:tblW w:type="auto" w:w="0"/>
        <w:tblLayout w:type="fixed"/>
        <w:tblLook w:firstColumn="1" w:firstRow="1" w:lastColumn="0" w:lastRow="0" w:noHBand="0" w:noVBand="1" w:val="04A0"/>
        <w:tblLayout w:type="fixed"/>
      </w:tblPr>
      <w:tblGrid>
        <w:gridCol w:w="907"/>
        <w:gridCol w:w="3515"/>
        <w:gridCol w:w="907"/>
        <w:gridCol w:w="3515"/>
      </w:tblGrid>
      <w:tr>
        <w:tc>
          <w:tcPr>
            <w:shd w:fill="F5F5F0" w:val="clear"/>
            <w:tcBorders>
              <w:top w:val="single" w:sz="4" w:space="0" w:color="E0E0E0"/>
              <w:bottom w:val="single" w:sz="4" w:space="0" w:color="E0E0E0"/>
              <w:left w:val="single" w:sz="4" w:space="0" w:color="E0E0E0"/>
              <w:right w:val="single" w:sz="4" w:space="0" w:color="E0E0E0"/>
            </w:tcBorders>
            <w:tcMar>
              <w:top w:w="80" w:type="dxa"/>
              <w:left w:w="100" w:type="dxa"/>
              <w:bottom w:w="80" w:type="dxa"/>
              <w:right w:w="100" w:type="dxa"/>
            </w:tcMar>
            <w:vAlign w:val="center"/>
            <w:tcW w:w="907" w:type="dxa"/>
          </w:tcPr>
          <w:p>
            <w:pPr>
              <w:spacing w:before="80" w:after="0"/>
              <w:jc w:val="center"/>
            </w:pPr>
            <w:r/>
            <w:r>
              <w:drawing>
                <wp:inline xmlns:a="http://schemas.openxmlformats.org/drawingml/2006/main" xmlns:pic="http://schemas.openxmlformats.org/drawingml/2006/picture">
                  <wp:extent cx="432000" cy="432000"/>
                  <wp:docPr id="14" name="Picture 14"/>
                  <wp:cNvGraphicFramePr>
                    <a:graphicFrameLocks noChangeAspect="1"/>
                  </wp:cNvGraphicFramePr>
                  <a:graphic>
                    <a:graphicData uri="http://schemas.openxmlformats.org/drawingml/2006/picture">
                      <pic:pic>
                        <pic:nvPicPr>
                          <pic:cNvPr id="0" name="tmp50mymi01.png"/>
                          <pic:cNvPicPr/>
                        </pic:nvPicPr>
                        <pic:blipFill>
                          <a:blip r:embed="rId22"/>
                          <a:stretch>
                            <a:fillRect/>
                          </a:stretch>
                        </pic:blipFill>
                        <pic:spPr>
                          <a:xfrm>
                            <a:off x="0" y="0"/>
                            <a:ext cx="432000" cy="432000"/>
                          </a:xfrm>
                          <a:prstGeom prst="rect"/>
                        </pic:spPr>
                      </pic:pic>
                    </a:graphicData>
                  </a:graphic>
                </wp:inline>
              </w:drawing>
            </w:r>
          </w:p>
        </w:tc>
        <w:tc>
          <w:tcPr>
            <w:shd w:fill="F5F5F0" w:val="clear"/>
            <w:tcBorders>
              <w:top w:val="single" w:sz="4" w:space="0" w:color="E0E0E0"/>
              <w:bottom w:val="single" w:sz="4" w:space="0" w:color="E0E0E0"/>
              <w:left w:val="single" w:sz="4" w:space="0" w:color="E0E0E0"/>
              <w:right w:val="single" w:sz="4" w:space="0" w:color="E0E0E0"/>
            </w:tcBorders>
            <w:tcMar>
              <w:top w:w="80" w:type="dxa"/>
              <w:left w:w="100" w:type="dxa"/>
              <w:bottom w:w="80" w:type="dxa"/>
              <w:right w:w="100" w:type="dxa"/>
            </w:tcMar>
            <w:tcW w:w="3515" w:type="dxa"/>
          </w:tcPr>
          <w:p>
            <w:pPr>
              <w:spacing w:after="40" w:line="312" w:lineRule="auto"/>
            </w:pPr>
            <w:r/>
            <w:r>
              <w:rPr>
                <w:rFonts w:ascii="Asta Sans" w:hAnsi="Asta Sans" w:eastAsia="Asta Sans"/>
                <w:b w:val="0"/>
                <w:i/>
                <w:color w:val="333333"/>
                <w:sz w:val="18"/>
              </w:rPr>
              <w:t>“AI는 지능이 아니라 권력의 시스템이다.”</w:t>
            </w:r>
          </w:p>
          <w:p>
            <w:pPr>
              <w:spacing w:before="40" w:after="0" w:line="240" w:lineRule="auto"/>
            </w:pPr>
            <w:r>
              <w:rPr>
                <w:rFonts w:ascii="Asta Sans" w:hAnsi="Asta Sans" w:eastAsia="Asta Sans"/>
                <w:b/>
                <w:color w:val="444444"/>
                <w:sz w:val="16"/>
              </w:rPr>
              <w:t>케이트 크로포드</w:t>
            </w:r>
            <w:r>
              <w:rPr>
                <w:rFonts w:ascii="Asta Sans" w:hAnsi="Asta Sans" w:eastAsia="Asta Sans"/>
                <w:b w:val="0"/>
                <w:color w:val="888888"/>
                <w:sz w:val="14"/>
              </w:rPr>
              <w:t xml:space="preserve">  USC, AI 권력구조 비판 연구</w:t>
            </w:r>
          </w:p>
          <w:p>
            <w:pPr>
              <w:spacing w:before="0" w:after="0" w:line="240" w:lineRule="auto"/>
            </w:pPr>
            <w:r>
              <w:rPr>
                <w:rFonts w:ascii="Asta Sans" w:hAnsi="Asta Sans" w:eastAsia="Asta Sans"/>
                <w:b w:val="0"/>
                <w:i/>
                <w:color w:val="999999"/>
                <w:sz w:val="14"/>
              </w:rPr>
              <w:t>Atlas of AI (2021)</w:t>
            </w:r>
          </w:p>
        </w:tc>
        <w:tc>
          <w:tcPr>
            <w:shd w:fill="F5F5F0" w:val="clear"/>
            <w:tcBorders>
              <w:top w:val="single" w:sz="4" w:space="0" w:color="E0E0E0"/>
              <w:bottom w:val="single" w:sz="4" w:space="0" w:color="E0E0E0"/>
              <w:left w:val="single" w:sz="4" w:space="0" w:color="E0E0E0"/>
              <w:right w:val="single" w:sz="4" w:space="0" w:color="E0E0E0"/>
            </w:tcBorders>
            <w:tcMar>
              <w:top w:w="80" w:type="dxa"/>
              <w:left w:w="100" w:type="dxa"/>
              <w:bottom w:w="80" w:type="dxa"/>
              <w:right w:w="100" w:type="dxa"/>
            </w:tcMar>
            <w:vAlign w:val="center"/>
            <w:tcW w:w="907" w:type="dxa"/>
          </w:tcPr>
          <w:p>
            <w:pPr>
              <w:spacing w:before="80" w:after="0"/>
              <w:jc w:val="center"/>
            </w:pPr>
            <w:r/>
            <w:r>
              <w:drawing>
                <wp:inline xmlns:a="http://schemas.openxmlformats.org/drawingml/2006/main" xmlns:pic="http://schemas.openxmlformats.org/drawingml/2006/picture">
                  <wp:extent cx="432000" cy="432000"/>
                  <wp:docPr id="15" name="Picture 15"/>
                  <wp:cNvGraphicFramePr>
                    <a:graphicFrameLocks noChangeAspect="1"/>
                  </wp:cNvGraphicFramePr>
                  <a:graphic>
                    <a:graphicData uri="http://schemas.openxmlformats.org/drawingml/2006/picture">
                      <pic:pic>
                        <pic:nvPicPr>
                          <pic:cNvPr id="0" name="tmpexkviju4.png"/>
                          <pic:cNvPicPr/>
                        </pic:nvPicPr>
                        <pic:blipFill>
                          <a:blip r:embed="rId23"/>
                          <a:stretch>
                            <a:fillRect/>
                          </a:stretch>
                        </pic:blipFill>
                        <pic:spPr>
                          <a:xfrm>
                            <a:off x="0" y="0"/>
                            <a:ext cx="432000" cy="432000"/>
                          </a:xfrm>
                          <a:prstGeom prst="rect"/>
                        </pic:spPr>
                      </pic:pic>
                    </a:graphicData>
                  </a:graphic>
                </wp:inline>
              </w:drawing>
            </w:r>
          </w:p>
        </w:tc>
        <w:tc>
          <w:tcPr>
            <w:shd w:fill="F5F5F0" w:val="clear"/>
            <w:tcBorders>
              <w:top w:val="single" w:sz="4" w:space="0" w:color="E0E0E0"/>
              <w:bottom w:val="single" w:sz="4" w:space="0" w:color="E0E0E0"/>
              <w:left w:val="single" w:sz="4" w:space="0" w:color="E0E0E0"/>
              <w:right w:val="single" w:sz="4" w:space="0" w:color="E0E0E0"/>
            </w:tcBorders>
            <w:tcMar>
              <w:top w:w="80" w:type="dxa"/>
              <w:left w:w="100" w:type="dxa"/>
              <w:bottom w:w="80" w:type="dxa"/>
              <w:right w:w="100" w:type="dxa"/>
            </w:tcMar>
            <w:tcW w:w="3515" w:type="dxa"/>
          </w:tcPr>
          <w:p>
            <w:pPr>
              <w:spacing w:after="40" w:line="312" w:lineRule="auto"/>
            </w:pPr>
            <w:r/>
            <w:r>
              <w:rPr>
                <w:rFonts w:ascii="Asta Sans" w:hAnsi="Asta Sans" w:eastAsia="Asta Sans"/>
                <w:b w:val="0"/>
                <w:i/>
                <w:color w:val="333333"/>
                <w:sz w:val="18"/>
              </w:rPr>
              <w:t>“인간다운 삶을 위한 실질적 조건을 정의해야 한다.”</w:t>
            </w:r>
          </w:p>
          <w:p>
            <w:pPr>
              <w:spacing w:before="40" w:after="0" w:line="240" w:lineRule="auto"/>
            </w:pPr>
            <w:r>
              <w:rPr>
                <w:rFonts w:ascii="Asta Sans" w:hAnsi="Asta Sans" w:eastAsia="Asta Sans"/>
                <w:b/>
                <w:color w:val="444444"/>
                <w:sz w:val="16"/>
              </w:rPr>
              <w:t>마사 누스바움</w:t>
            </w:r>
            <w:r>
              <w:rPr>
                <w:rFonts w:ascii="Asta Sans" w:hAnsi="Asta Sans" w:eastAsia="Asta Sans"/>
                <w:b w:val="0"/>
                <w:color w:val="888888"/>
                <w:sz w:val="14"/>
              </w:rPr>
              <w:t xml:space="preserve">  시카고대 법철학, 역량 접근법</w:t>
            </w:r>
          </w:p>
          <w:p>
            <w:pPr>
              <w:spacing w:before="0" w:after="0" w:line="240" w:lineRule="auto"/>
            </w:pPr>
            <w:r>
              <w:rPr>
                <w:rFonts w:ascii="Asta Sans" w:hAnsi="Asta Sans" w:eastAsia="Asta Sans"/>
                <w:b w:val="0"/>
                <w:i/>
                <w:color w:val="999999"/>
                <w:sz w:val="14"/>
              </w:rPr>
              <w:t>Creating Capabilities (2011)</w:t>
            </w:r>
          </w:p>
        </w:tc>
      </w:tr>
      <w:tr>
        <w:tc>
          <w:tcPr>
            <w:shd w:fill="F5F5F0" w:val="clear"/>
            <w:tcBorders>
              <w:top w:val="single" w:sz="4" w:space="0" w:color="E0E0E0"/>
              <w:bottom w:val="single" w:sz="4" w:space="0" w:color="E0E0E0"/>
              <w:left w:val="single" w:sz="4" w:space="0" w:color="E0E0E0"/>
              <w:right w:val="single" w:sz="4" w:space="0" w:color="E0E0E0"/>
            </w:tcBorders>
            <w:tcMar>
              <w:top w:w="80" w:type="dxa"/>
              <w:left w:w="100" w:type="dxa"/>
              <w:bottom w:w="80" w:type="dxa"/>
              <w:right w:w="100" w:type="dxa"/>
            </w:tcMar>
            <w:vAlign w:val="center"/>
            <w:tcW w:w="907" w:type="dxa"/>
          </w:tcPr>
          <w:p>
            <w:pPr>
              <w:spacing w:before="80" w:after="0"/>
              <w:jc w:val="center"/>
            </w:pPr>
            <w:r/>
            <w:r>
              <w:drawing>
                <wp:inline xmlns:a="http://schemas.openxmlformats.org/drawingml/2006/main" xmlns:pic="http://schemas.openxmlformats.org/drawingml/2006/picture">
                  <wp:extent cx="432000" cy="432000"/>
                  <wp:docPr id="16" name="Picture 16"/>
                  <wp:cNvGraphicFramePr>
                    <a:graphicFrameLocks noChangeAspect="1"/>
                  </wp:cNvGraphicFramePr>
                  <a:graphic>
                    <a:graphicData uri="http://schemas.openxmlformats.org/drawingml/2006/picture">
                      <pic:pic>
                        <pic:nvPicPr>
                          <pic:cNvPr id="0" name="tmpjblb_u4a.png"/>
                          <pic:cNvPicPr/>
                        </pic:nvPicPr>
                        <pic:blipFill>
                          <a:blip r:embed="rId24"/>
                          <a:stretch>
                            <a:fillRect/>
                          </a:stretch>
                        </pic:blipFill>
                        <pic:spPr>
                          <a:xfrm>
                            <a:off x="0" y="0"/>
                            <a:ext cx="432000" cy="432000"/>
                          </a:xfrm>
                          <a:prstGeom prst="rect"/>
                        </pic:spPr>
                      </pic:pic>
                    </a:graphicData>
                  </a:graphic>
                </wp:inline>
              </w:drawing>
            </w:r>
          </w:p>
        </w:tc>
        <w:tc>
          <w:tcPr>
            <w:shd w:fill="F5F5F0" w:val="clear"/>
            <w:tcBorders>
              <w:top w:val="single" w:sz="4" w:space="0" w:color="E0E0E0"/>
              <w:bottom w:val="single" w:sz="4" w:space="0" w:color="E0E0E0"/>
              <w:left w:val="single" w:sz="4" w:space="0" w:color="E0E0E0"/>
              <w:right w:val="single" w:sz="4" w:space="0" w:color="E0E0E0"/>
            </w:tcBorders>
            <w:tcMar>
              <w:top w:w="80" w:type="dxa"/>
              <w:left w:w="100" w:type="dxa"/>
              <w:bottom w:w="80" w:type="dxa"/>
              <w:right w:w="100" w:type="dxa"/>
            </w:tcMar>
            <w:tcW w:w="3515" w:type="dxa"/>
          </w:tcPr>
          <w:p>
            <w:pPr>
              <w:spacing w:after="40" w:line="312" w:lineRule="auto"/>
            </w:pPr>
            <w:r/>
            <w:r>
              <w:rPr>
                <w:rFonts w:ascii="Asta Sans" w:hAnsi="Asta Sans" w:eastAsia="Asta Sans"/>
                <w:b w:val="0"/>
                <w:i/>
                <w:color w:val="333333"/>
                <w:sz w:val="18"/>
              </w:rPr>
              <w:t>“데이터 권리, 설명 가능성, 인간 심의에 대한 권리가 필요하다.”</w:t>
            </w:r>
          </w:p>
          <w:p>
            <w:pPr>
              <w:spacing w:before="40" w:after="0" w:line="240" w:lineRule="auto"/>
            </w:pPr>
            <w:r>
              <w:rPr>
                <w:rFonts w:ascii="Asta Sans" w:hAnsi="Asta Sans" w:eastAsia="Asta Sans"/>
                <w:b/>
                <w:color w:val="444444"/>
                <w:sz w:val="16"/>
              </w:rPr>
              <w:t>루치아노 플로리디</w:t>
            </w:r>
            <w:r>
              <w:rPr>
                <w:rFonts w:ascii="Asta Sans" w:hAnsi="Asta Sans" w:eastAsia="Asta Sans"/>
                <w:b w:val="0"/>
                <w:color w:val="888888"/>
                <w:sz w:val="14"/>
              </w:rPr>
              <w:t xml:space="preserve">  예일대, 디지털 윤리·정보 철학</w:t>
            </w:r>
          </w:p>
          <w:p>
            <w:pPr>
              <w:spacing w:before="0" w:after="0" w:line="240" w:lineRule="auto"/>
            </w:pPr>
            <w:r>
              <w:rPr>
                <w:rFonts w:ascii="Asta Sans" w:hAnsi="Asta Sans" w:eastAsia="Asta Sans"/>
                <w:b w:val="0"/>
                <w:i/>
                <w:color w:val="999999"/>
                <w:sz w:val="14"/>
              </w:rPr>
              <w:t>The Ethics of AI (2023)</w:t>
            </w:r>
          </w:p>
        </w:tc>
        <w:tc>
          <w:tcPr>
            <w:shd w:fill="F5F5F0" w:val="clear"/>
            <w:tcBorders>
              <w:top w:val="single" w:sz="4" w:space="0" w:color="E0E0E0"/>
              <w:bottom w:val="single" w:sz="4" w:space="0" w:color="E0E0E0"/>
              <w:left w:val="single" w:sz="4" w:space="0" w:color="E0E0E0"/>
              <w:right w:val="single" w:sz="4" w:space="0" w:color="E0E0E0"/>
            </w:tcBorders>
            <w:tcMar>
              <w:top w:w="80" w:type="dxa"/>
              <w:left w:w="100" w:type="dxa"/>
              <w:bottom w:w="80" w:type="dxa"/>
              <w:right w:w="100" w:type="dxa"/>
            </w:tcMar>
            <w:vAlign w:val="center"/>
            <w:tcW w:w="907" w:type="dxa"/>
          </w:tcPr>
          <w:p>
            <w:pPr>
              <w:spacing w:before="80" w:after="0"/>
              <w:jc w:val="center"/>
            </w:pPr>
            <w:r/>
            <w:r>
              <w:drawing>
                <wp:inline xmlns:a="http://schemas.openxmlformats.org/drawingml/2006/main" xmlns:pic="http://schemas.openxmlformats.org/drawingml/2006/picture">
                  <wp:extent cx="432000" cy="432000"/>
                  <wp:docPr id="17" name="Picture 17"/>
                  <wp:cNvGraphicFramePr>
                    <a:graphicFrameLocks noChangeAspect="1"/>
                  </wp:cNvGraphicFramePr>
                  <a:graphic>
                    <a:graphicData uri="http://schemas.openxmlformats.org/drawingml/2006/picture">
                      <pic:pic>
                        <pic:nvPicPr>
                          <pic:cNvPr id="0" name="tmp6ae5u82l.png"/>
                          <pic:cNvPicPr/>
                        </pic:nvPicPr>
                        <pic:blipFill>
                          <a:blip r:embed="rId25"/>
                          <a:stretch>
                            <a:fillRect/>
                          </a:stretch>
                        </pic:blipFill>
                        <pic:spPr>
                          <a:xfrm>
                            <a:off x="0" y="0"/>
                            <a:ext cx="432000" cy="432000"/>
                          </a:xfrm>
                          <a:prstGeom prst="rect"/>
                        </pic:spPr>
                      </pic:pic>
                    </a:graphicData>
                  </a:graphic>
                </wp:inline>
              </w:drawing>
            </w:r>
          </w:p>
        </w:tc>
        <w:tc>
          <w:tcPr>
            <w:shd w:fill="F5F5F0" w:val="clear"/>
            <w:tcBorders>
              <w:top w:val="single" w:sz="4" w:space="0" w:color="E0E0E0"/>
              <w:bottom w:val="single" w:sz="4" w:space="0" w:color="E0E0E0"/>
              <w:left w:val="single" w:sz="4" w:space="0" w:color="E0E0E0"/>
              <w:right w:val="single" w:sz="4" w:space="0" w:color="E0E0E0"/>
            </w:tcBorders>
            <w:tcMar>
              <w:top w:w="80" w:type="dxa"/>
              <w:left w:w="100" w:type="dxa"/>
              <w:bottom w:w="80" w:type="dxa"/>
              <w:right w:w="100" w:type="dxa"/>
            </w:tcMar>
            <w:tcW w:w="3515" w:type="dxa"/>
          </w:tcPr>
          <w:p>
            <w:pPr>
              <w:spacing w:after="40" w:line="312" w:lineRule="auto"/>
            </w:pPr>
            <w:r/>
            <w:r>
              <w:rPr>
                <w:rFonts w:ascii="Asta Sans" w:hAnsi="Asta Sans" w:eastAsia="Asta Sans"/>
                <w:b w:val="0"/>
                <w:i/>
                <w:color w:val="333333"/>
                <w:sz w:val="18"/>
              </w:rPr>
              <w:t>“프레카리아트의 권리를 제도적으로 보장해야 한다.”</w:t>
            </w:r>
          </w:p>
          <w:p>
            <w:pPr>
              <w:spacing w:before="40" w:after="0" w:line="240" w:lineRule="auto"/>
            </w:pPr>
            <w:r>
              <w:rPr>
                <w:rFonts w:ascii="Asta Sans" w:hAnsi="Asta Sans" w:eastAsia="Asta Sans"/>
                <w:b/>
                <w:color w:val="444444"/>
                <w:sz w:val="16"/>
              </w:rPr>
              <w:t>가이 스탠딩</w:t>
            </w:r>
            <w:r>
              <w:rPr>
                <w:rFonts w:ascii="Asta Sans" w:hAnsi="Asta Sans" w:eastAsia="Asta Sans"/>
                <w:b w:val="0"/>
                <w:color w:val="888888"/>
                <w:sz w:val="14"/>
              </w:rPr>
              <w:t xml:space="preserve">  런던대 SOAS, 기본소득·프레카리아트 연구</w:t>
            </w:r>
          </w:p>
          <w:p>
            <w:pPr>
              <w:spacing w:before="0" w:after="0" w:line="240" w:lineRule="auto"/>
            </w:pPr>
            <w:r>
              <w:rPr>
                <w:rFonts w:ascii="Asta Sans" w:hAnsi="Asta Sans" w:eastAsia="Asta Sans"/>
                <w:b w:val="0"/>
                <w:i/>
                <w:color w:val="999999"/>
                <w:sz w:val="14"/>
              </w:rPr>
              <w:t>The Precariat (2011)</w:t>
            </w:r>
          </w:p>
        </w:tc>
      </w:tr>
    </w:tbl>
    <w:p>
      <w:pPr>
        <w:spacing w:before="80" w:after="160"/>
      </w:pPr>
    </w:p>
    <w:p>
      <w:pPr>
        <w:spacing w:before="320" w:after="160"/>
      </w:pPr>
      <w:r>
        <w:rPr>
          <w:rFonts w:ascii="Asta Sans" w:hAnsi="Asta Sans" w:eastAsia="Asta Sans"/>
          <w:b/>
          <w:color w:val="444444"/>
          <w:sz w:val="26"/>
        </w:rPr>
        <w:t>4.1 왜 이 순서인가</w:t>
      </w:r>
    </w:p>
    <w:p>
      <w:pPr>
        <w:spacing w:line="360" w:lineRule="auto" w:after="160"/>
        <w:ind w:firstLine="283"/>
      </w:pPr>
      <w:r>
        <w:rPr>
          <w:rFonts w:ascii="Asta Sans" w:hAnsi="Asta Sans" w:eastAsia="Asta Sans"/>
          <w:b w:val="0"/>
          <w:sz w:val="22"/>
        </w:rPr>
        <w:t>이상의 분석에서 세 가지 작업이 도출된다.</w:t>
      </w:r>
    </w:p>
    <w:p>
      <w:pPr>
        <w:spacing w:line="360" w:lineRule="auto" w:after="160"/>
        <w:ind w:firstLine="283"/>
      </w:pPr>
      <w:r>
        <w:rPr>
          <w:rFonts w:ascii="Asta Sans" w:hAnsi="Asta Sans" w:eastAsia="Asta Sans"/>
          <w:b w:val="0"/>
          <w:sz w:val="22"/>
        </w:rPr>
        <w:t>첫째, AI 에이전트의 행위를 귀속시킬 법적 범주가 필요하다(❶ 주체 정의). 둘째, 새로운 주체와 기존 주체 사이의 권리·의무·책임 관계를 규율할 구조가 필요하다(❷ 관계 정의). 셋째, 이 주체들이 상호작용하는 경제적·정치적 질서의 조건을 설정해야 한다(❸ 질서 설계).</w:t>
      </w:r>
    </w:p>
    <w:p>
      <w:pPr>
        <w:spacing w:line="360" w:lineRule="auto" w:after="160"/>
        <w:ind w:firstLine="283"/>
      </w:pPr>
      <w:r>
        <w:rPr>
          <w:rFonts w:ascii="Asta Sans" w:hAnsi="Asta Sans" w:eastAsia="Asta Sans"/>
          <w:b w:val="0"/>
          <w:sz w:val="22"/>
        </w:rPr>
        <w:t>이 순서에는 이유가 있다. 20세기 초 예일대 법학자 호펠드(1917)는 모든 법적 관계를 네 쌍의 상관 구조 — 권리-의무, 자유-무권리, 권한-책임, 면제-무능력 — 로 분해했다. “A가 B에 대해 권리를 갖는다”는 말은 “B가 A에 대해 의무를 진다”는 말과 정확히 같다. 이 구조의 전제는 A와 B가 누구인지가 먼저 정해져 있어야 한다는 것이다 — 당사자 없이는 권리도 의무도 배정할 수 없다. 따라서 ❷(관계 정의)는 ❶(주체 정의)을 전제한다. 그리고 개별 관계의 규율을 넘어 전체 질서의 조건을 설계하려면(❸), 어떤 주체들이 어떤 관계 안에서 상호작용하는지가 먼저 잡혀 있어야 한다.</w:t>
      </w:r>
    </w:p>
    <w:p>
      <w:pPr>
        <w:spacing w:line="360" w:lineRule="auto" w:after="160"/>
        <w:ind w:firstLine="283"/>
      </w:pPr>
      <w:r>
        <w:rPr>
          <w:rFonts w:ascii="Asta Sans" w:hAnsi="Asta Sans" w:eastAsia="Asta Sans"/>
          <w:b w:val="0"/>
          <w:sz w:val="22"/>
        </w:rPr>
        <w:t>물론 이 세 단계가 시간적으로 칼로 자르듯 나뉘지는 않는다. 서로 영향을 주고받으며 함께 진화할 것이다 — 스탠퍼드의 제도경제학자 아오키(2001)는 제도를 고립된 규칙이 아니라 상호 의존하는 균형 체계로 분석했다. 핵심 개념은 “제도적 상보성(institutional complementarity)”으로, 한 영역의 제도가 다른 영역의 제도와 맞물려 서로의 효과를 강화한다는 것이다 — 일본의 종신고용(노동 제도)은 주거래은행 체제(금융 제도)와 결합해야 작동했고, 하나만 바꾸면 체계 전체가 흔들렸다. 그러나 논리적 순서는 분명하다 — 주체 없이 관계를 정할 수 없고, 관계 없이 질서를 설계할 수 없다.</w:t>
      </w:r>
    </w:p>
    <w:p>
      <w:pPr>
        <w:spacing w:line="360" w:lineRule="auto" w:after="160"/>
        <w:ind w:firstLine="283"/>
      </w:pPr>
      <w:r>
        <w:rPr>
          <w:rFonts w:ascii="Asta Sans" w:hAnsi="Asta Sans" w:eastAsia="Asta Sans"/>
          <w:b w:val="0"/>
          <w:sz w:val="22"/>
        </w:rPr>
        <w:t>한 가지 더 중요한 것은 세 단계의 성격 차이다. ❶❷는 비교적 안정적인 기초다. 법인이라는 범주가 한 번 만들어진 후 산업 시대 전체를 관통한 것처럼, 전자인의 범주와 인간-AI 관계의 기본 구조는 한 번 확립되면 상대적으로 오래간다. 반면 ❸은 본질적으로 적응적이다. 구체적 분배 구조, 거버넌스의 세부, 산업별 규칙은 현실에 맞춰 계속 바꿔야 한다. 산업 시대의 질서도 200년에 걸쳐 시행착오를 통해 진화했지, 한 번에 완성된 것이 아니었다.</w:t>
      </w:r>
    </w:p>
    <w:p>
      <w:pPr>
        <w:spacing w:before="320" w:after="160"/>
      </w:pPr>
      <w:r>
        <w:rPr>
          <w:rFonts w:ascii="Asta Sans" w:hAnsi="Asta Sans" w:eastAsia="Asta Sans"/>
          <w:b/>
          <w:color w:val="444444"/>
          <w:sz w:val="26"/>
        </w:rPr>
        <w:t>4.2 ❶ 주체 정의 — 전자인이라는 법적 범주</w:t>
      </w:r>
    </w:p>
    <w:p>
      <w:pPr>
        <w:spacing w:before="200" w:after="80"/>
      </w:pPr>
      <w:r>
        <w:rPr>
          <w:rFonts w:ascii="Asta Sans" w:hAnsi="Asta Sans" w:eastAsia="Asta Sans"/>
          <w:b/>
          <w:color w:val="1E3A5F"/>
          <w:sz w:val="22"/>
        </w:rPr>
        <w:t>산업 시대</w:t>
      </w:r>
    </w:p>
    <w:p>
      <w:pPr>
        <w:spacing w:line="360" w:lineRule="auto" w:after="160"/>
        <w:ind w:firstLine="283"/>
      </w:pPr>
      <w:r>
        <w:rPr>
          <w:rFonts w:ascii="Asta Sans" w:hAnsi="Asta Sans" w:eastAsia="Asta Sans"/>
          <w:b w:val="0"/>
          <w:sz w:val="22"/>
        </w:rPr>
        <w:t>시장에서 이미 활동하던 기업에 영국 의회가 법적 인격을 부여했다(1844~56). 법인이라는 범주가 만들어지자 비로소 기업에 책임을 묻고, 기업과 계약을 맺고, 기업을 규제하는 것이 체계적으로 가능해졌다. 이후의 모든 제도 — 주식회사법, 노동법, 반독점법, 헌법, 국제조약 — 는 이 범주 위에 세워졌다.</w:t>
      </w:r>
    </w:p>
    <w:p>
      <w:pPr>
        <w:spacing w:before="200" w:after="80"/>
      </w:pPr>
      <w:r>
        <w:rPr>
          <w:rFonts w:ascii="Asta Sans" w:hAnsi="Asta Sans" w:eastAsia="Asta Sans"/>
          <w:b/>
          <w:color w:val="1E3A5F"/>
          <w:sz w:val="22"/>
        </w:rPr>
        <w:t>AI 시대</w:t>
      </w:r>
    </w:p>
    <w:p>
      <w:pPr>
        <w:spacing w:line="360" w:lineRule="auto" w:after="160"/>
        <w:ind w:firstLine="283"/>
      </w:pPr>
      <w:r>
        <w:rPr>
          <w:rFonts w:ascii="Asta Sans" w:hAnsi="Asta Sans" w:eastAsia="Asta Sans"/>
          <w:b w:val="0"/>
          <w:sz w:val="22"/>
        </w:rPr>
        <w:t>AI가 점점 더 스스로 판단하고 행동하는 상황에서, 그 행위를 누구에게 귀속시킬지의 문제가 심각해지고 있다. 현재는 AI의 행위를 개발자나 운용자에게 돌리는 것이 일반적이다. 그러나 AI의 자율성이 높아질수록 이 방식의 한계가 드러난다 — 운용자가 예측하지 못한 AI의 판단에 대해 운용자에게만 책임을 지우는 것이 과연 공정한가.</w:t>
      </w:r>
    </w:p>
    <w:p>
      <w:pPr>
        <w:spacing w:line="360" w:lineRule="auto" w:after="160"/>
        <w:ind w:firstLine="283"/>
      </w:pPr>
      <w:r>
        <w:rPr>
          <w:rFonts w:ascii="Asta Sans" w:hAnsi="Asta Sans" w:eastAsia="Asta Sans"/>
          <w:b w:val="0"/>
          <w:sz w:val="22"/>
        </w:rPr>
        <w:t>주목할 것은, AI 개발사 스스로가 이미 주체의 범주화를 시작하고 있다는 점이다. 앤트로픽의 클로드 헌법(2026)은 AI 모델이 따라야 할 세 단계의 상위 주체(principal)를 정의한다 — 앤트로픽(회사, 최상위 원칙 설정), 운영자(operator, API로 서비스를 만드는 기업), 사용자(user, 최종 이용자). AI 모델은 이 세 주체의 위계 안에서 행동하는 대상이며, 상위 주체의 지시가 하위보다 우선한다.</w:t>
      </w:r>
    </w:p>
    <w:p>
      <w:pPr>
        <w:spacing w:line="360" w:lineRule="auto" w:after="160"/>
        <w:ind w:firstLine="283"/>
      </w:pPr>
      <w:r>
        <w:rPr>
          <w:rFonts w:ascii="Asta Sans" w:hAnsi="Asta Sans" w:eastAsia="Asta Sans"/>
          <w:b w:val="0"/>
          <w:sz w:val="22"/>
        </w:rPr>
        <w:t>이는 주체 정의가 이론적 문제가 아니라 기술적 필요로서 이미 등장했음을 보여준다. 그러나 그 범주 설정 권한이 개별 기업의 내부 규범에 머물러 있다는 점에서, 이는 공적 합의가 부재한 상태의 사적 헌정 실험에 가깝다. 앤트로픽이 이것을 “헌법”이라 부르지만, 헌법은 본래 사회적 합의와 민주적 정당성을 전제하는 개념이다. 한 기업이 자사 제품의 행동 규칙을 정한 것은 실질적으로 이용약관이다. 기업마다 다른 기준을 적용하고, 사회적으로 합의된 법적 범주는 없는 상태 — 이것이 ❶이 시급한 이유다.</w:t>
      </w:r>
    </w:p>
    <w:p>
      <w:pPr>
        <w:spacing w:before="200" w:after="80"/>
      </w:pPr>
      <w:r>
        <w:rPr>
          <w:rFonts w:ascii="Asta Sans" w:hAnsi="Asta Sans" w:eastAsia="Asta Sans"/>
          <w:b/>
          <w:color w:val="1E3A5F"/>
          <w:sz w:val="22"/>
        </w:rPr>
        <w:t>연구 리뷰</w:t>
      </w:r>
    </w:p>
    <w:p>
      <w:pPr>
        <w:spacing w:line="360" w:lineRule="auto" w:after="160"/>
        <w:ind w:firstLine="283"/>
      </w:pPr>
      <w:r>
        <w:rPr>
          <w:rFonts w:ascii="Asta Sans" w:hAnsi="Asta Sans" w:eastAsia="Asta Sans"/>
          <w:b w:val="0"/>
          <w:sz w:val="22"/>
        </w:rPr>
        <w:t>AI의 법적 지위에 대한 학술적 논의는 크게 세 갈래다.</w:t>
      </w:r>
    </w:p>
    <w:p>
      <w:pPr>
        <w:spacing w:line="360" w:lineRule="auto" w:after="160"/>
        <w:ind w:firstLine="283"/>
      </w:pPr>
      <w:r>
        <w:rPr>
          <w:rFonts w:ascii="Asta Sans" w:hAnsi="Asta Sans" w:eastAsia="Asta Sans"/>
          <w:b w:val="0"/>
          <w:sz w:val="22"/>
        </w:rPr>
        <w:t>첫째, EU가 2017년에 제안한 “전자인격(electronic personhood)” 개념이다. 해결하려 한 문제는 구체적이었다 — AI가 자율적으로 내린 판단이 피해를 일으켰을 때, 현행법으로는 책임을 물을 곳이 불분명하다. 제조물 책임법은 “결함 있는 제품”을 전제하지만, AI의 판단은 제조 결함이 아니라 학습 데이터와 알고리즘의 상호작용에서 나온다. 불법행위법은 “과실”을 전제하지만, 개발자가 예측할 수 없었던 AI의 자율적 판단에 과실을 묻기 어렵다. EU는 이 공백을 메우기 위해 로봇에 독립적 법적 지위를 부여하여 자체 보험과 손해배상 능력을 갖추게 하자고 제안했다. 그러나 유럽 AI 전문가 156명이 공개서한으로 반대했다. 반대의 핵심은 두 가지였다 — 법적 지위 부여가 개발자와 제조자의 책임을 희석시킬 수 있다는 것, 그리고 현재 AI 기술 수준에서 독립적 인격을 부여하는 것은 시기상조라는 것이다. EU는 후퇴했고, 2024년 AI Act에서는 AI의 법적 지위 문제를 아예 다루지 않았다. 2025년에는 이 공백을 메우려던 AI 책임 지침(Liability Directive) — 피해자의 입증 부담을 완화하여 AI로 인한 손해배상 청구를 용이하게 하려던 법안 — 마저 철회했다. 결과적으로 8년간 프레임이 없는 상태다. AI가 계약을 체결하고, 투자를 결정하고, 의료 진단을 내리는 현실은 빠르게 진행되는데, 그 행위를 법적으로 어떻게 다룰지의 기본 구조가 없다.</w:t>
      </w:r>
    </w:p>
    <w:p>
      <w:pPr>
        <w:spacing w:line="360" w:lineRule="auto" w:after="160"/>
        <w:ind w:firstLine="283"/>
      </w:pPr>
      <w:r>
        <w:rPr>
          <w:rFonts w:ascii="Asta Sans" w:hAnsi="Asta Sans" w:eastAsia="Asta Sans"/>
          <w:b w:val="0"/>
          <w:sz w:val="22"/>
        </w:rPr>
        <w:t>둘째, 영미권의 “대리인(agent)” 프레임이다. 법학자 솔럼(Solum, 1992)이 일찍이 제기한 질문 — AI가 법적 행위의 주체가 될 수 있는가 — 은 30년이 지난 지금도 열려 있다. 현행 대리인법(agency law)에서 대리인은 본인(principal)의 지시 아래 행동하고, 대리인의 행위에 대한 최종 책임은 본인에게 귀속된다 — 변호사가 의뢰인을 대리하고, 직원이 회사를 대리하는 것이 전형적이다. AI를 이 틀에 넣으려는 시도(Chopra &amp; White, 2011; Kolt, 2025)가 이어지고 있으나, 근본적 한계가 있다. 대리인법의 전제는 “본인이 대리인을 통제할 수 있다”는 것인데, AI의 자율성이 높아질수록 이 전제가 약화된다(Oliver, 2021; Bayern, 2021). AI가 본인이 예측하지 못한 판단을 내렸을 때, 그것을 본인의 행위로 귀속시키는 것이 공정한가. 대리인이 본인의 통제를 벗어나는 순간, 대리인법의 체계 자체가 흔들린다.</w:t>
      </w:r>
    </w:p>
    <w:p>
      <w:pPr>
        <w:spacing w:line="360" w:lineRule="auto" w:after="160"/>
        <w:ind w:firstLine="283"/>
      </w:pPr>
      <w:r>
        <w:rPr>
          <w:rFonts w:ascii="Asta Sans" w:hAnsi="Asta Sans" w:eastAsia="Asta Sans"/>
          <w:b w:val="0"/>
          <w:sz w:val="22"/>
        </w:rPr>
        <w:t>셋째, 버클리 교수 러셀(2019)이 대표하는 “정렬(alignment)” 접근이다. 러셀은 AI가 법적 지위를 갖기 이전에 세 가지 원칙이 충족되어야 한다고 주장한다 — AI는 인간의 선호를 최대화해야 하고, 자신이 그 선호를 확실히 알지 못한다는 것을 인식해야 하며, 인간이 언제든 AI의 행동을 수정하거나 중단할 수 있어야 한다. 특히 세 번째 원칙 — “번복 가능성(corrigibility)” — 이 핵심이다. AI가 인간의 수정을 거부하지 않도록 설계되어야 한다는 것이다. 이 원칙은 설득력이 크지만, AI의 자율성이 높아질수록 “수정 가능성”을 제도적으로 어떻게 보장할 것인가라는 실천적 문제가 남는다. 기술적 정렬만으로는 부족하고, 법적·제도적 장치가 필요하다.</w:t>
      </w:r>
    </w:p>
    <w:p>
      <w:pPr>
        <w:spacing w:before="200" w:after="80"/>
      </w:pPr>
      <w:r>
        <w:rPr>
          <w:rFonts w:ascii="Asta Sans" w:hAnsi="Asta Sans" w:eastAsia="Asta Sans"/>
          <w:b/>
          <w:color w:val="1E3A5F"/>
          <w:sz w:val="22"/>
        </w:rPr>
        <w:t>연구 방향</w:t>
      </w:r>
    </w:p>
    <w:p>
      <w:pPr>
        <w:spacing w:line="360" w:lineRule="auto" w:after="160"/>
        <w:ind w:firstLine="283"/>
      </w:pPr>
      <w:r>
        <w:rPr>
          <w:rFonts w:ascii="Asta Sans" w:hAnsi="Asta Sans" w:eastAsia="Asta Sans"/>
          <w:b w:val="0"/>
          <w:sz w:val="22"/>
        </w:rPr>
        <w:t>세 갈래는 각각 하나의 교훈을 남긴다. EU는 단일 지위(전부 아니면 전무)가 실패함을 보였다. 영미 대리인법은 “본인의 통제”라는 전제가 자율 AI에서 무너짐을 보였다. 러셀의 정렬은 원칙은 맞지만 그것을 보장할 제도적 장치가 없음을 보였다. 본 연구는 이 세 교훈을 종합한다. 전자인을 단일한 지위가 아니라 스펙트럼으로 설계한다 — 도구 → 대리인 → 준자율 → 자율. EU의 실패를 넘어, 자율성의 정도에 따라 점진적으로 확대되는 법적 범주를 만든다. 스펙트럼의 각 단계에서 자율성의 범위, 책임의 귀속, 인간 개입의 수준이 달라진다. 대리인법의 한계를 넘어, 자율성이 높아질수록 책임이 개발자·운용자·AI 자체 사이에서 어떻게 재배분되는지를 설계한다. 그리고 러셀의 “번복 가능성” 원칙을 스펙트럼 전체를 관통하는 핵심 제약으로 삼되, 그것을 선언이 아니라 법적·제도적 보장 메커니즘으로 구체화한다.</w:t>
      </w:r>
    </w:p>
    <w:p>
      <w:pPr>
        <w:spacing w:before="320" w:after="160"/>
      </w:pPr>
      <w:r>
        <w:rPr>
          <w:rFonts w:ascii="Asta Sans" w:hAnsi="Asta Sans" w:eastAsia="Asta Sans"/>
          <w:b/>
          <w:color w:val="444444"/>
          <w:sz w:val="26"/>
        </w:rPr>
        <w:t>4.3 ❷ 관계 정의 — 인간-AI 사이의 권리와 책임</w:t>
      </w:r>
    </w:p>
    <w:p>
      <w:pPr>
        <w:spacing w:before="200" w:after="80"/>
      </w:pPr>
      <w:r>
        <w:rPr>
          <w:rFonts w:ascii="Asta Sans" w:hAnsi="Asta Sans" w:eastAsia="Asta Sans"/>
          <w:b/>
          <w:color w:val="1E3A5F"/>
          <w:sz w:val="22"/>
        </w:rPr>
        <w:t>산업 시대</w:t>
      </w:r>
    </w:p>
    <w:p>
      <w:pPr>
        <w:spacing w:line="360" w:lineRule="auto" w:after="160"/>
        <w:ind w:firstLine="283"/>
      </w:pPr>
      <w:r>
        <w:rPr>
          <w:rFonts w:ascii="Asta Sans" w:hAnsi="Asta Sans" w:eastAsia="Asta Sans"/>
          <w:b w:val="0"/>
          <w:sz w:val="22"/>
        </w:rPr>
        <w:t>가격과 계약을 통해 주체 간 관계가 자연스럽게 만들어졌고, 법이 이를 정리했다. 재산권, 노동법, 시민적 권리, 삼권분립이 그 내용이었다.</w:t>
      </w:r>
    </w:p>
    <w:p>
      <w:pPr>
        <w:spacing w:before="200" w:after="80"/>
      </w:pPr>
      <w:r>
        <w:rPr>
          <w:rFonts w:ascii="Asta Sans" w:hAnsi="Asta Sans" w:eastAsia="Asta Sans"/>
          <w:b/>
          <w:color w:val="1E3A5F"/>
          <w:sz w:val="22"/>
        </w:rPr>
        <w:t>AI 시대</w:t>
      </w:r>
    </w:p>
    <w:p>
      <w:pPr>
        <w:spacing w:line="360" w:lineRule="auto" w:after="160"/>
        <w:ind w:firstLine="283"/>
      </w:pPr>
      <w:r>
        <w:rPr>
          <w:rFonts w:ascii="Asta Sans" w:hAnsi="Asta Sans" w:eastAsia="Asta Sans"/>
          <w:b w:val="0"/>
          <w:sz w:val="22"/>
        </w:rPr>
        <w:t>전자인이 정의된 후, 인간과 AI 사이의 권리·의무·책임 구조를 잡아야 한다. 산업 시대가 자연인과 법인이라는 두 당사자 사이의 관계를 규율했다면, AI 시대는 자연인·법인·전자인이라는 세 당사자 사이의 관계를 규율해야 한다. 규율해야 할 영역은 네 가지다.</w:t>
      </w:r>
    </w:p>
    <w:p>
      <w:pPr>
        <w:spacing w:before="200" w:after="80"/>
      </w:pPr>
      <w:r>
        <w:rPr>
          <w:rFonts w:ascii="Asta Sans" w:hAnsi="Asta Sans" w:eastAsia="Asta Sans"/>
          <w:b/>
          <w:color w:val="1E3A5F"/>
          <w:sz w:val="22"/>
        </w:rPr>
        <w:t>데이터 소유권</w:t>
      </w:r>
    </w:p>
    <w:p>
      <w:pPr>
        <w:spacing w:line="360" w:lineRule="auto" w:after="160"/>
        <w:ind w:firstLine="283"/>
      </w:pPr>
      <w:r>
        <w:rPr>
          <w:rFonts w:ascii="Asta Sans" w:hAnsi="Asta Sans" w:eastAsia="Asta Sans"/>
          <w:b w:val="0"/>
          <w:sz w:val="22"/>
        </w:rPr>
        <w:t>데이터는 누구의 것인가. 현행법에는 “데이터 소유권”이라는 개념 자체가 명확하지 않다. 물건에는 소유권이 있고 저작물에는 저작권이 있지만, 개인의 행동에서 파생된 데이터 — 클릭, 검색, 구매, 이동 경로 — 는 이 어느 범주에도 깔끔하게 맞지 않는다. 실리콘밸리의 기술비평가 라니어(2013)는 데이터를 제공하는 사람들에게 배당을 지급해야 한다고 주장했고, 주보프(2019)는 플랫폼이 사용자의 행동 데이터를 일방적으로 착취하는 구조를 분석했다. EU의 GDPR(2018)은 이 공백을 메우려는 가장 강력한 시도다. 1995년 데이터보호지침(Directive)이 회원국별 별도 입법을 요구하여 28개국의 규칙이 제각각이었던 것과 달리, GDPR은 “규칙(Regulation)”으로서 별도 입법 없이 모든 회원국에 직접 적용된다. 개인에게 접근권, 삭제권(잊힐 권리), 이동권, 자동화된 의사결정 거부권(제22조)을 부여하여, 데이터에 대한 권한을 기업에서 개인으로 이전시켰다. 한국·브라질·일본 등이 GDPR을 모델로 자국법을 개정했고, 글로벌 기업은 사실상 이를 세계 표준으로 채택했다(“브뤼셀 효과”). 그러나 GDPR이 확립한 것은 소유권이 아니라 통제권이다 — AI가 수백만 명의 데이터를 학습한 뒤 생성한 출력물의 경제적 가치가 누구에게 귀속되는지는 답이 없다.</w:t>
      </w:r>
    </w:p>
    <w:p>
      <w:pPr>
        <w:spacing w:before="200" w:after="80"/>
      </w:pPr>
      <w:r>
        <w:rPr>
          <w:rFonts w:ascii="Asta Sans" w:hAnsi="Asta Sans" w:eastAsia="Asta Sans"/>
          <w:b/>
          <w:color w:val="1E3A5F"/>
          <w:sz w:val="22"/>
        </w:rPr>
        <w:t>인간-AI 책임 배분</w:t>
      </w:r>
    </w:p>
    <w:p>
      <w:pPr>
        <w:spacing w:line="360" w:lineRule="auto" w:after="160"/>
        <w:ind w:firstLine="283"/>
      </w:pPr>
      <w:r>
        <w:rPr>
          <w:rFonts w:ascii="Asta Sans" w:hAnsi="Asta Sans" w:eastAsia="Asta Sans"/>
          <w:b w:val="0"/>
          <w:sz w:val="22"/>
        </w:rPr>
        <w:t>AI가 잘못된 결정을 내렸을 때 누가 책임지는가. 자율주행차가 사고를 내면 차량 제조사, 소프트웨어 개발사, 학습 데이터 제공자, 탑승자 중 누구의 책임인가. AI가 오진을 내리면 AI 개발사, 병원, 의사 중 누구가 배상하는가. 관여하는 주체가 많아질수록 책임이 분산되어 결국 누구도 실질적 책임을 지지 않는 “다수의 손(problem of many hands)” 문제가 발생한다. 벤지오(2024)는 사후 대응이 아니라 사전 예측과 방지에 초점을 맞추는 “예측적 거버넌스”를 제안했다. 그러나 예측이 틀렸을 때의 책임 배분 문제는 여전히 남는다.</w:t>
      </w:r>
    </w:p>
    <w:p>
      <w:pPr>
        <w:spacing w:before="200" w:after="80"/>
      </w:pPr>
      <w:r>
        <w:rPr>
          <w:rFonts w:ascii="Asta Sans" w:hAnsi="Asta Sans" w:eastAsia="Asta Sans"/>
          <w:b/>
          <w:color w:val="1E3A5F"/>
          <w:sz w:val="22"/>
        </w:rPr>
        <w:t>알고리즘 권력의 규율</w:t>
      </w:r>
    </w:p>
    <w:p>
      <w:pPr>
        <w:spacing w:line="360" w:lineRule="auto" w:after="160"/>
        <w:ind w:firstLine="283"/>
      </w:pPr>
      <w:r>
        <w:rPr>
          <w:rFonts w:ascii="Asta Sans" w:hAnsi="Asta Sans" w:eastAsia="Asta Sans"/>
          <w:b w:val="0"/>
          <w:sz w:val="22"/>
        </w:rPr>
        <w:t>남캘리포니아대 AI 연구자 크로포드(2021)는 “AI는 지능이 아니라 권력의 시스템”이라고 분석했다. 추천 알고리즘은 수십억 명이 무엇을 읽고 무엇을 사는지에 영향을 미치고, 채용 알고리즘은 누가 면접 기회를 얻는지를 좌우하며, 신용평가 알고리즘은 누가 대출을 받는지를 결정한다. 하버드 수학 박사 출신 데이터 과학자 오닐(O’Neil, 2016)은 이를 “수학 무기(Weapons of Math Destruction)”라 불렀다 — 불투명하고, 규모가 크고, 피해자가 이의를 제기할 경로가 없는 알고리즘적 의사결정이다. 투명성 의무, 설명 가능성 요구, 이의 제기 절차, 감사(audit) 체계 등이 논의되고 있으나, 산업을 관통하는 일반 원칙은 아직 없다.</w:t>
      </w:r>
    </w:p>
    <w:p>
      <w:pPr>
        <w:spacing w:before="200" w:after="80"/>
      </w:pPr>
      <w:r>
        <w:rPr>
          <w:rFonts w:ascii="Asta Sans" w:hAnsi="Asta Sans" w:eastAsia="Asta Sans"/>
          <w:b/>
          <w:color w:val="1E3A5F"/>
          <w:sz w:val="22"/>
        </w:rPr>
        <w:t>디지털 시민권</w:t>
      </w:r>
    </w:p>
    <w:p>
      <w:pPr>
        <w:spacing w:line="360" w:lineRule="auto" w:after="160"/>
        <w:ind w:firstLine="283"/>
      </w:pPr>
      <w:r>
        <w:rPr>
          <w:rFonts w:ascii="Asta Sans" w:hAnsi="Asta Sans" w:eastAsia="Asta Sans"/>
          <w:b w:val="0"/>
          <w:sz w:val="22"/>
        </w:rPr>
        <w:t>시카고대 철학자 누스바움(2011)의 역량 접근법 — 인간의 가치를 소득이 아니라 “할 수 있고 될 수 있는 것”으로 측정한다 — 을 AI 시대로 확장하면, 디지털 환경에서 인간다운 삶을 위한 실질적 조건을 정의해야 한다.</w:t>
      </w:r>
    </w:p>
    <w:p>
      <w:pPr>
        <w:spacing w:before="200" w:after="80"/>
      </w:pPr>
      <w:r>
        <w:rPr>
          <w:rFonts w:ascii="Asta Sans" w:hAnsi="Asta Sans" w:eastAsia="Asta Sans"/>
          <w:b/>
          <w:color w:val="1E3A5F"/>
          <w:sz w:val="22"/>
        </w:rPr>
        <w:t>연구 리뷰</w:t>
      </w:r>
    </w:p>
    <w:p>
      <w:pPr>
        <w:spacing w:line="360" w:lineRule="auto" w:after="160"/>
        <w:ind w:firstLine="283"/>
      </w:pPr>
      <w:r>
        <w:rPr>
          <w:rFonts w:ascii="Asta Sans" w:hAnsi="Asta Sans" w:eastAsia="Asta Sans"/>
          <w:b w:val="0"/>
          <w:sz w:val="22"/>
        </w:rPr>
        <w:t>이 네 영역의 공통 문제는, 현재 모두 산업별로 파편화되어 있다는 것이다. 자율주행에서는 SAE(미국자동차공학회)가 6단계 자율성 기준을 만들었고, 군사 AI에서는 LAWS(자율살상무기) 규제 논의가 유엔 재래식무기협약(CCW) 틀 안에서 진행되고 있으며, 금융에서는 알고리즘 트레이딩 규제가 별도로 발전하고 있다. 그러나 이 산업별 논의를 관통하는 일반 구조는 존재하지 않는다.</w:t>
      </w:r>
    </w:p>
    <w:p>
      <w:pPr>
        <w:spacing w:line="360" w:lineRule="auto" w:after="160"/>
        <w:ind w:firstLine="283"/>
      </w:pPr>
      <w:r>
        <w:rPr>
          <w:rFonts w:ascii="Asta Sans" w:hAnsi="Asta Sans" w:eastAsia="Asta Sans"/>
          <w:b w:val="0"/>
          <w:sz w:val="22"/>
        </w:rPr>
        <w:t>관계 규율의 초기 형태가 기업 차원에서 이미 등장하고 있다는 점은 주목할 만하다. 앤트로픽의 클로드 헌법(2026)은 운영자가 AI의 기본 행동을 확장하거나 제한할 수 있고, 사용자는 운영자가 허용한 범위 내에서만 AI의 행동을 조정할 수 있는 계층적 권한 체계를 설계했다. 이것은 인간-AI 관계 규율의 프로토타입이지만, 한 기업의 이용약관 수준에 머물러 있다.</w:t>
      </w:r>
    </w:p>
    <w:p>
      <w:pPr>
        <w:spacing w:line="360" w:lineRule="auto" w:after="160"/>
        <w:ind w:firstLine="283"/>
      </w:pPr>
      <w:r>
        <w:rPr>
          <w:rFonts w:ascii="Asta Sans" w:hAnsi="Asta Sans" w:eastAsia="Asta Sans"/>
          <w:b w:val="0"/>
          <w:sz w:val="22"/>
        </w:rPr>
        <w:t>학술적으로는 세 가지 접근이 경쟁하고 있다. 첫째, 기존 법체계 내 해석론이다. AI의 행위를 제조물 책임, 대리인 책임, 불법행위 책임 등 기존 범주 안에서 처리하려는 시도다. 현실에서 가장 빠르게 적용할 수 있다는 장점이 있다 — 법원은 새 법이 없어도 기존 법리를 유추 적용할 수 있다. 그러나 4.2절에서 본 것처럼, 제조물 책임은 “결함”을, 불법행위는 “과실”을, 대리인법은 “통제”를 전제하는데, 자율 AI는 이 세 전제를 모두 약화시킨다. EU의 AI 책임 지침이 이 접근이었으나 2025년 철회되었다.</w:t>
      </w:r>
    </w:p>
    <w:p>
      <w:pPr>
        <w:spacing w:line="360" w:lineRule="auto" w:after="160"/>
        <w:ind w:firstLine="283"/>
      </w:pPr>
      <w:r>
        <w:rPr>
          <w:rFonts w:ascii="Asta Sans" w:hAnsi="Asta Sans" w:eastAsia="Asta Sans"/>
          <w:b w:val="0"/>
          <w:sz w:val="22"/>
        </w:rPr>
        <w:t>둘째, 산업별 특수 규율이다. 자율주행에서는 SAE(미국자동차공학회)가 레벨 0(완전 수동)에서 레벨 5(완전 자율)까지 6단계를 정의하고, 각 단계에서 인간과 시스템의 책임 범위를 다르게 설정한다. 군사 AI에서는 LAWS(자율살상무기) 규제 논의가 유엔 재래식무기협약(CCW) 틀 안에서 진행되고 있으며, 핵심 쟁점은 살상 결정에 “의미 있는 인간 통제(meaningful human control)”가 보장되어야 하느냐다. 금융에서는 알고리즘 트레이딩에 대해 “킬 스위치”와 변동성 제한(circuit breaker)이 요구된다. 각 산업의 현실에 맞는 정교한 규칙이 발전하고 있지만, 산업 간 일관성이 없다 — 자율주행의 레벨 3과 의료 AI의 의사결정 보조가 사실상 같은 수준의 자율성을 가져도 완전히 다른 규칙이 적용된다.</w:t>
      </w:r>
    </w:p>
    <w:p>
      <w:pPr>
        <w:spacing w:line="360" w:lineRule="auto" w:after="160"/>
        <w:ind w:firstLine="283"/>
      </w:pPr>
      <w:r>
        <w:rPr>
          <w:rFonts w:ascii="Asta Sans" w:hAnsi="Asta Sans" w:eastAsia="Asta Sans"/>
          <w:b w:val="0"/>
          <w:sz w:val="22"/>
        </w:rPr>
        <w:t>셋째, 인권 기반 접근이다. 플로리디(Floridi, 2023) 등이 주장하는 것으로, AI 시대의 관계를 새로운 권리 체계로 구성하자는 것이다 — 데이터에 대한 자기결정권, 알고리즘 의사결정에 대한 설명을 요구할 권리, 중요한 결정에서 인간의 심의를 받을 권리. GDPR이 이미 확립한 개인 데이터 통제권과 자동화된 의사결정 거부권(제22조)은 이 접근의 법적 선례다. 방향은 옳지만 두 가지 한계가 있다 — 권리가 선언되어도 그것을 실현할 제도적 메커니즘이 부족하고, 권리 간 충돌(예: 설명 가능성 요구와 영업비밀 보호)을 조정할 원칙이 불분명하다.</w:t>
      </w:r>
    </w:p>
    <w:p>
      <w:pPr>
        <w:spacing w:before="200" w:after="80"/>
      </w:pPr>
      <w:r>
        <w:rPr>
          <w:rFonts w:ascii="Asta Sans" w:hAnsi="Asta Sans" w:eastAsia="Asta Sans"/>
          <w:b/>
          <w:color w:val="1E3A5F"/>
          <w:sz w:val="22"/>
        </w:rPr>
        <w:t>연구 방향</w:t>
      </w:r>
    </w:p>
    <w:p>
      <w:pPr>
        <w:spacing w:line="360" w:lineRule="auto" w:after="160"/>
        <w:ind w:firstLine="283"/>
      </w:pPr>
      <w:r>
        <w:rPr>
          <w:rFonts w:ascii="Asta Sans" w:hAnsi="Asta Sans" w:eastAsia="Asta Sans"/>
          <w:b w:val="0"/>
          <w:sz w:val="22"/>
        </w:rPr>
        <w:t>세 접근은 각각 하나의 교훈을 남긴다. 기존 법체계 해석론은 빠르지만 AI의 자율성 앞에서 사각지대가 커지고, 산업별 규율은 정교하지만 파편화되며, 인권 기반 접근은 방향은 맞지만 실현 메커니즘이 약하다. 본 연구는 이 교훈을 종합하여, 산업별 파편 논의를 관통하는 일반 책임 구조의 초안을 설계한다.</w:t>
      </w:r>
    </w:p>
    <w:p>
      <w:pPr>
        <w:spacing w:line="360" w:lineRule="auto" w:after="160"/>
        <w:ind w:firstLine="283"/>
      </w:pPr>
      <w:r>
        <w:rPr>
          <w:rFonts w:ascii="Asta Sans" w:hAnsi="Asta Sans" w:eastAsia="Asta Sans"/>
          <w:b w:val="0"/>
          <w:sz w:val="22"/>
        </w:rPr>
        <w:t>핵심 질문은 세 가지다. (1) 책임 배분: ❶의 스펙트럼(도구 → 대리인 → 준자율 → 자율)에 따라 책임이 개발자·운용자·사용자·AI 자체 사이에서 어떻게 재배분되는가 — 도구 단계에서는 제조물 책임이 작동하고, 대리인 단계에서는 운용자 책임이 중심이 되며, 준자율 이상에서는 AI 자체의 배상 능력(보험, 적립금)이 필요해진다. (2) 데이터와 알고리즘: 데이터 소유권에 대해서는 “소유”보다 “접근·이용·수익”의 다층적 권리 구조를, 알고리즘 권력에 대해서는 투명성·설명가능성·이의제기권의 단계적 의무를 설계한다. (3) 디지털 시민권: AI와 공존하는 사회에서 모든 사람에게 보장되어야 할 최소 역량 — AI 리터러시, 알고리즘 의사결정 거부권, 인간 상담 접근권, 디지털 참여 기반 — 의 목록과 보장 메커니즘을 제시한다. 기업 차원에서 이미 등장하고 있는 계층적 권한 체계(앤트로픽 사례)를 사회적으로 합의된 일반 구조로 격상시키는 것이 ❷의 과제다.</w:t>
      </w:r>
    </w:p>
    <w:p>
      <w:pPr>
        <w:spacing w:before="320" w:after="160"/>
      </w:pPr>
      <w:r>
        <w:rPr>
          <w:rFonts w:ascii="Asta Sans" w:hAnsi="Asta Sans" w:eastAsia="Asta Sans"/>
          <w:b/>
          <w:color w:val="444444"/>
          <w:sz w:val="26"/>
        </w:rPr>
        <w:t>4.4 ❸ 질서 설계 — 네 경제 주체의 역할 재정의</w:t>
      </w:r>
    </w:p>
    <w:p>
      <w:pPr>
        <w:spacing w:before="200" w:after="80"/>
      </w:pPr>
      <w:r>
        <w:rPr>
          <w:rFonts w:ascii="Asta Sans" w:hAnsi="Asta Sans" w:eastAsia="Asta Sans"/>
          <w:b/>
          <w:color w:val="1E3A5F"/>
          <w:sz w:val="22"/>
        </w:rPr>
        <w:t>산업 시대</w:t>
      </w:r>
    </w:p>
    <w:p>
      <w:pPr>
        <w:spacing w:line="360" w:lineRule="auto" w:after="160"/>
        <w:ind w:firstLine="283"/>
      </w:pPr>
      <w:r>
        <w:rPr>
          <w:rFonts w:ascii="Asta Sans" w:hAnsi="Asta Sans" w:eastAsia="Asta Sans"/>
          <w:b w:val="0"/>
          <w:sz w:val="22"/>
        </w:rPr>
        <w:t>보이지 않는 손이 만든 경제 질서 안에서 세 주체의 역할이 확립되었다 — 법인은 기업으로, 자연인은 가계로, 국가는 정부로. 거버넌스 — 의회, 단체교섭, 복지국가 — 는 이 질서의 문제를 관리하기 위해 뒤따랐다.</w:t>
      </w:r>
    </w:p>
    <w:p>
      <w:pPr>
        <w:spacing w:before="200" w:after="80"/>
      </w:pPr>
      <w:r>
        <w:rPr>
          <w:rFonts w:ascii="Asta Sans" w:hAnsi="Asta Sans" w:eastAsia="Asta Sans"/>
          <w:b/>
          <w:color w:val="1E3A5F"/>
          <w:sz w:val="22"/>
        </w:rPr>
        <w:t>AI 시대</w:t>
      </w:r>
    </w:p>
    <w:p>
      <w:pPr>
        <w:spacing w:line="360" w:lineRule="auto" w:after="160"/>
        <w:ind w:firstLine="283"/>
      </w:pPr>
      <w:r>
        <w:rPr>
          <w:rFonts w:ascii="Asta Sans" w:hAnsi="Asta Sans" w:eastAsia="Asta Sans"/>
          <w:b w:val="0"/>
          <w:sz w:val="22"/>
        </w:rPr>
        <w:t>3.2절에서 논의한 것처럼, 본 연구가 설계하는 것은 질서 자체가 아니라 질서가 작동할 조건이다. 핵심은 네 경제 주체의 역할을 새로 정의하는 것이다:</w:t>
      </w:r>
    </w:p>
    <w:p>
      <w:pPr>
        <w:pStyle w:val="ListBullet"/>
        <w:spacing w:line="360" w:lineRule="auto" w:after="80"/>
      </w:pPr>
      <w:r>
        <w:rPr>
          <w:rFonts w:ascii="Asta Sans" w:hAnsi="Asta Sans" w:eastAsia="Asta Sans"/>
          <w:b w:val="0"/>
          <w:sz w:val="22"/>
        </w:rPr>
        <w:t>전자인: 어떤 범위에서 경제 행위를 할 수 있는가</w:t>
      </w:r>
    </w:p>
    <w:p>
      <w:pPr>
        <w:pStyle w:val="ListBullet"/>
        <w:spacing w:line="360" w:lineRule="auto" w:after="80"/>
      </w:pPr>
      <w:r>
        <w:rPr>
          <w:rFonts w:ascii="Asta Sans" w:hAnsi="Asta Sans" w:eastAsia="Asta Sans"/>
          <w:b w:val="0"/>
          <w:sz w:val="22"/>
        </w:rPr>
        <w:t>가계: AI 생산성의 과실을 어떤 경로로 받는가</w:t>
      </w:r>
    </w:p>
    <w:p>
      <w:pPr>
        <w:pStyle w:val="ListBullet"/>
        <w:spacing w:line="360" w:lineRule="auto" w:after="80"/>
      </w:pPr>
      <w:r>
        <w:rPr>
          <w:rFonts w:ascii="Asta Sans" w:hAnsi="Asta Sans" w:eastAsia="Asta Sans"/>
          <w:b w:val="0"/>
          <w:sz w:val="22"/>
        </w:rPr>
        <w:t>기업: AI에 대해 어떤 책임을 지는가</w:t>
      </w:r>
    </w:p>
    <w:p>
      <w:pPr>
        <w:pStyle w:val="ListBullet"/>
        <w:spacing w:line="360" w:lineRule="auto" w:after="80"/>
      </w:pPr>
      <w:r>
        <w:rPr>
          <w:rFonts w:ascii="Asta Sans" w:hAnsi="Asta Sans" w:eastAsia="Asta Sans"/>
          <w:b w:val="0"/>
          <w:sz w:val="22"/>
        </w:rPr>
        <w:t>정부: 국경을 넘는 AI에 대해 어떻게 거버넌스를 확장하는가</w:t>
      </w:r>
    </w:p>
    <w:p>
      <w:pPr>
        <w:spacing w:before="200" w:after="80"/>
      </w:pPr>
      <w:r>
        <w:rPr>
          <w:rFonts w:ascii="Asta Sans" w:hAnsi="Asta Sans" w:eastAsia="Asta Sans"/>
          <w:b/>
          <w:color w:val="1E3A5F"/>
          <w:sz w:val="22"/>
        </w:rPr>
        <w:t>연구 리뷰: 분배</w:t>
      </w:r>
    </w:p>
    <w:p>
      <w:pPr>
        <w:spacing w:line="360" w:lineRule="auto" w:after="160"/>
        <w:ind w:firstLine="283"/>
      </w:pPr>
      <w:r>
        <w:rPr>
          <w:rFonts w:ascii="Asta Sans" w:hAnsi="Asta Sans" w:eastAsia="Asta Sans"/>
          <w:b w:val="0"/>
          <w:sz w:val="22"/>
        </w:rPr>
        <w:t>가계가 AI 생산성의 과실을 어떤 경로로 받는가에 대해서는 네 가지 후보가 경쟁하고 있다.</w:t>
      </w:r>
    </w:p>
    <w:p>
      <w:pPr>
        <w:spacing w:line="360" w:lineRule="auto" w:after="160"/>
        <w:ind w:firstLine="283"/>
      </w:pPr>
      <w:r>
        <w:rPr>
          <w:rFonts w:ascii="Asta Sans" w:hAnsi="Asta Sans" w:eastAsia="Asta Sans"/>
          <w:b w:val="0"/>
          <w:sz w:val="22"/>
        </w:rPr>
        <w:t>첫째, 벨기에 철학자 반 파레이스(1995)의 기본소득이다. 노동과 무관하게 모든 시민에게 일정 소득을 보장하자는 것이다. 핀란드(2017~18, 2,000명 대상), 케냐 GiveDirectly(2016~, 20,000명 이상), 미국 스톡턴시(2019~21, 125명) 등 다수의 실험이 진행되었고, 대체로 건강과 심리적 안정감은 개선되었으나 고용률에 미치는 효과는 혼재되어 있다. AI가 노동을 대체할수록 매력이 커지지만, 두 가지 난제가 남는다 — GDP의 20~30%에 달할 수 있는 재원을 어디서 조달할 것인가, 그리고 노동 없는 소득이 인간의 존엄과 사회적 유대를 지켜줄 수 있는가.</w:t>
      </w:r>
    </w:p>
    <w:p>
      <w:pPr>
        <w:spacing w:line="360" w:lineRule="auto" w:after="160"/>
        <w:ind w:firstLine="283"/>
      </w:pPr>
      <w:r>
        <w:rPr>
          <w:rFonts w:ascii="Asta Sans" w:hAnsi="Asta Sans" w:eastAsia="Asta Sans"/>
          <w:b w:val="0"/>
          <w:sz w:val="22"/>
        </w:rPr>
        <w:t>둘째, 실리콘밸리의 기술비평가 라니어(2013)와 하버드 정치철학자 샌델(2020)이 각각의 경로로 제안한 데이터 배당이다. 라니어는 데이터를 제공하는 사람들에게 직접 배당을 지급하자고 했다 — 음악가에게 로열티를 지급하듯, 데이터 제공자에게도 마이크로 페이먼트를 지급하자는 것이다. 샌델은 공동선에 대한 기여 — 돌봄, 양육, 데이터 제공 포함 — 를 인정하는 분배 체계를 주장했다. 캘리포니아 주지사 뉴섬이 2019년 “데이터 배당” 구상을 발표했으나 구체적 입법으로 이어지지 않았다. 핵심 난제는 가치 산정이다 — 한 사람의 데이터는 거의 무가치하지만 수백만 명의 데이터가 모이면 막대한 가치를 만든다. 이 집합적 가치를 개인에게 어떻게 배분할 것인가.</w:t>
      </w:r>
    </w:p>
    <w:p>
      <w:pPr>
        <w:spacing w:line="360" w:lineRule="auto" w:after="160"/>
        <w:ind w:firstLine="283"/>
      </w:pPr>
      <w:r>
        <w:rPr>
          <w:rFonts w:ascii="Asta Sans" w:hAnsi="Asta Sans" w:eastAsia="Asta Sans"/>
          <w:b w:val="0"/>
          <w:sz w:val="22"/>
        </w:rPr>
        <w:t>셋째, UCL 혁신경제학자 마추카토(2018)의 공공 AI 인프라다. AI가 만들어내는 가치의 상당 부분이 공공 투자에 기반한다 — 인터넷(미국 국방부 DARPA), GPS(미군), 터치스크린(미국 에너지부·CIA), 딥러닝의 기초 연구(대학과 공공 연구소). 그런데 이 공공 투자의 과실은 소수 기업에 집중된다. 마추카토는 국부펀드, 공공 데이터 신탁, 공공 AI 연구소 등을 통해 수익을 공공에 환원하는 구조를 제안했다. 노르웨이 국부펀드(1.7조 달러)가 석유 수익을 국민에게 환원한 것처럼, AI 수익에 대해서도 유사한 구조가 가능하다는 것이다. 구체적 설계 — 지분 참여, 라이선스료, 데이터 사용료 등 — 는 아직 논의 단계에 있다.</w:t>
      </w:r>
    </w:p>
    <w:p>
      <w:pPr>
        <w:spacing w:line="360" w:lineRule="auto" w:after="160"/>
        <w:ind w:firstLine="283"/>
      </w:pPr>
      <w:r>
        <w:rPr>
          <w:rFonts w:ascii="Asta Sans" w:hAnsi="Asta Sans" w:eastAsia="Asta Sans"/>
          <w:b w:val="0"/>
          <w:sz w:val="22"/>
        </w:rPr>
        <w:t>넷째, 노벨경제학상 수상자 센(1999)과 시카고대 철학자 누스바움(2011)의 역량 접근법이다. 소득을 직접 분배하는 대신, 모든 사람이 인간다운 삶을 위한 실질적 역량을 갖추도록 보장하자는 것이다. 누스바움은 10가지 핵심 역량 — 생명, 신체 건강, 감각·상상·사고, 감정, 실천 이성, 관계, 자연과의 공존, 놀이, 환경 통제 등 — 을 제시했는데, AI 시대에는 여기에 “디지털 역량” — AI 도구의 활용 능력, 알고리즘 의사결정에 대한 이해, 디지털 환경에서의 자기결정 — 을 추가해야 한다는 논의가 진행 중이다. 이 접근은 소득 분배를 넘어 인간의 존엄을 구성하는 조건 자체를 묻는다는 점에서 5장의 가치 논의와 직결된다.</w:t>
      </w:r>
    </w:p>
    <w:p>
      <w:pPr>
        <w:spacing w:line="360" w:lineRule="auto" w:after="160"/>
        <w:ind w:firstLine="283"/>
      </w:pPr>
      <w:r>
        <w:rPr>
          <w:rFonts w:ascii="Asta Sans" w:hAnsi="Asta Sans" w:eastAsia="Asta Sans"/>
          <w:b w:val="0"/>
          <w:sz w:val="22"/>
        </w:rPr>
        <w:t>네 후보 모두 분배의 한 측면을 조명하지만, 전자인·가계·기업·정부라는 네 주체의 역할을 통합적으로 설계하는 작업은 아직 없다. 각각이 독립적으로 발전하고 있을 뿐, 하나의 체계 안에서 어떻게 결합되는지에 대한 답은 열려 있다.</w:t>
      </w:r>
    </w:p>
    <w:p>
      <w:pPr>
        <w:spacing w:before="200" w:after="80"/>
      </w:pPr>
      <w:r>
        <w:rPr>
          <w:rFonts w:ascii="Asta Sans" w:hAnsi="Asta Sans" w:eastAsia="Asta Sans"/>
          <w:b/>
          <w:color w:val="1E3A5F"/>
          <w:sz w:val="22"/>
        </w:rPr>
        <w:t>연구 리뷰: 거버넌스</w:t>
      </w:r>
    </w:p>
    <w:p>
      <w:pPr>
        <w:spacing w:line="360" w:lineRule="auto" w:after="160"/>
        <w:ind w:firstLine="283"/>
      </w:pPr>
      <w:r>
        <w:rPr>
          <w:rFonts w:ascii="Asta Sans" w:hAnsi="Asta Sans" w:eastAsia="Asta Sans"/>
          <w:b w:val="0"/>
          <w:sz w:val="22"/>
        </w:rPr>
        <w:t>거버넌스는 ❸에 포함된다. 전후 독일이 경쟁법과 이를 집행할 기관을 동시에 만들었고, 브레튼우즈가 규칙과 IMF를 동시에 설계한 것처럼, 질서의 규칙과 그것을 집행할 제도는 하나의 패키지다.</w:t>
      </w:r>
    </w:p>
    <w:p>
      <w:pPr>
        <w:spacing w:line="360" w:lineRule="auto" w:after="160"/>
        <w:ind w:firstLine="283"/>
      </w:pPr>
      <w:r>
        <w:rPr>
          <w:rFonts w:ascii="Asta Sans" w:hAnsi="Asta Sans" w:eastAsia="Asta Sans"/>
          <w:b w:val="0"/>
          <w:sz w:val="22"/>
        </w:rPr>
        <w:t>현재의 AI 거버넌스는 크게 세 흐름이 있다. EU AI Act(2024)는 위험도 기반 분류 체계로 가장 체계적이지만, 전부 정부가 일방적으로 규칙을 정하는 하향식 규제다. 미국은 행정명령(2023)과 자율 규제의 조합을 시도하고 있으나, 트럼프 행정부의 규제 완화 기조로 방향이 불확실하다. 중국은 생성형 AI 관리 잠정조치(2023) 등 빠른 규제를 도입했으나 국가 통제 강화의 수단이라는 비판이 있다. 세 흐름 모두 공통적으로 시민의 실질적 참여 구조가 없다는 한계가 있다. 산업 시대의 황금기가 규제만으로 온 것이 아니라 단체교섭이라는 협상 구조 위에서 왔다는 점은, AI 시대에도 시민의 실질적 참여 메커니즘이 필요함을 시사한다.</w:t>
      </w:r>
    </w:p>
    <w:p>
      <w:pPr>
        <w:spacing w:line="360" w:lineRule="auto" w:after="160"/>
        <w:ind w:firstLine="283"/>
      </w:pPr>
      <w:r>
        <w:rPr>
          <w:rFonts w:ascii="Asta Sans" w:hAnsi="Asta Sans" w:eastAsia="Asta Sans"/>
          <w:b w:val="0"/>
          <w:sz w:val="22"/>
        </w:rPr>
        <w:t>시민 참여의 구체적 실험이 이미 시작되고 있다. 대만의 vTaiwan은 Pol.is 플랫폼을 활용한 대규모 시민 숙의에서 우버 규제(2015–16, 1,737명 참여, 47,539표)를 포함한 26개 이상의 디지털 정책을 처리했고, 정부가 합의안의 80% 이상을 입법화했다 — 기술 거버넌스에서 대규모 시민 숙의가 구속력 있는 정책 결과로 이어진 유일한 사례다. 앤트로픽은 Collective Constitutional AI 실험(2023)에서 1,094명의 시민이 AI의 가치관(헌법)에 직접 투표하게 했고, 시민이 만든 헌법으로 훈련된 모델은 9개 사회적 차원 모두에서 편향이 더 낮았다(Huang et al., 2024). Science지에 발표된 ‘하버마스 머신’(Tessler et al., 2024)은 5,734명 참여자 사이에서 AI 중재자가 인간 중재자보다 56% 더 선호되는 합의안을 생성했다. 그러나 OpenAI의 Democratic Inputs to AI(2023, 10개 팀), Meta의 커뮤니티 포럼(2023–24, 1,500명 이상) 등 대부분의 실험은 자문적 수준에 머물러 있으며, 구체적 정책 변화로 이어지지 않았다. 예일대 정치학자 랑드모어(2024)는 AI가 숙의를 대규모로 확장할 수 있다고 주장하며, 무작위 선발된 시민이 AI 정책을 정의하는 ‘열린 미니 공중(open mini-public)’을 제안했다.</w:t>
      </w:r>
    </w:p>
    <w:p>
      <w:pPr>
        <w:spacing w:line="360" w:lineRule="auto" w:after="160"/>
        <w:ind w:firstLine="283"/>
      </w:pPr>
      <w:r>
        <w:rPr>
          <w:rFonts w:ascii="Asta Sans" w:hAnsi="Asta Sans" w:eastAsia="Asta Sans"/>
          <w:b w:val="0"/>
          <w:sz w:val="22"/>
        </w:rPr>
        <w:t>글로벌 차원에서는 더 큰 공백이 있다. AI는 국경을 넘지만 거버넌스는 국경 안에 머물러 있다. 유엔 AI 자문기구(2024)가 보고서를 냈고, OECD AI 원칙(2019, 2024 개정)이 있지만, 구속력 있는 국제 레짐은 없다. 핵비확산조약(NPT)이나 기후변화 파리협정처럼 AI에 대한 국제 합의 프레임이 필요하다는 목소리가 커지고 있으나, 미중 기술 경쟁이 이를 가로막고 있다.</w:t>
      </w:r>
    </w:p>
    <w:p>
      <w:pPr>
        <w:spacing w:before="200" w:after="80"/>
      </w:pPr>
      <w:r>
        <w:rPr>
          <w:rFonts w:ascii="Asta Sans" w:hAnsi="Asta Sans" w:eastAsia="Asta Sans"/>
          <w:b/>
          <w:color w:val="1E3A5F"/>
          <w:sz w:val="22"/>
        </w:rPr>
        <w:t>연구 방향</w:t>
      </w:r>
    </w:p>
    <w:p>
      <w:pPr>
        <w:spacing w:line="360" w:lineRule="auto" w:after="160"/>
        <w:ind w:firstLine="283"/>
      </w:pPr>
      <w:r>
        <w:rPr>
          <w:rFonts w:ascii="Asta Sans" w:hAnsi="Asta Sans" w:eastAsia="Asta Sans"/>
          <w:b w:val="0"/>
          <w:sz w:val="22"/>
        </w:rPr>
        <w:t>본 연구의 ❸은 두 축으로 진행된다. 첫째, 분배 4후보의 통합 설계다. 네 후보를 배타적 대안이 아닌 상호보완적 요소로 보고, 네 경제 주체(전자인·가계·기업·정부)의 역할 안에서 어떻게 결합되는지를 탐색한다. 하나의 가설적 결합 구조를 제시하면: 공공 AI 인프라(마추카토)가 AI 기업의 공공 투자 활용에 대한 환원 메커니즘으로 재원을 만들고, 그 재원이 역량 보장(센·누스바움)을 위한 교육·의료·디지털 접근 인프라와 데이터 기여 인정(라니어·샌델)을 위한 배당 체계에 쓰이며, 기본소득(반 파레이스)이 전환기의 최저 안전망을 제공한다. 기업은 AI가 창출한 생산성 이익의 일정 비율을 공공 기금에 기여하고, 전자인의 경제 행위에서 발생하는 수익에 대한 과세 구조를 설계한다.</w:t>
      </w:r>
    </w:p>
    <w:p>
      <w:pPr>
        <w:spacing w:line="360" w:lineRule="auto" w:after="160"/>
        <w:ind w:firstLine="283"/>
      </w:pPr>
      <w:r>
        <w:rPr>
          <w:rFonts w:ascii="Asta Sans" w:hAnsi="Asta Sans" w:eastAsia="Asta Sans"/>
          <w:b w:val="0"/>
          <w:sz w:val="22"/>
        </w:rPr>
        <w:t>둘째, 거버넌스 설계다. 하향식 규제(EU)와 자율 규제(미국)의 한계를 넘어, 시민 참여가 내장된 거버넌스 구조를 모색한다. 구체적으로 세 층위를 설계한다. 국내 수준에서는 산업 시대의 단체교섭에 해당하는 다자간 협상 구조(개발자·기업·시민·정부)를 만들고, vTaiwan과 같은 시민 숙의 메커니즘을 AI 정책 결정에 내장한다. 산업 수준에서는 SAE의 자율주행 6단계처럼 산업별로 발전한 자율성 기준을 ❶의 일반 스펙트럼과 연결하여, 산업 특수성과 일반 원칙 사이의 정합성을 확보한다. 글로벌 수준에서는 미중 경쟁을 전제로 하되, 양측 모두에게 이익이 되는 최소 합의 영역 — 자율살상무기 금지, AI 안전 기준, 데이터 흐름 규칙 — 에서 출발하는 점진적 접근을 검토한다. 핵비확산조약(NPT)이 핵무기 보유국의 이해관계 위에서 성립한 것처럼, AI 국제 레짐도 강대국의 전략적 이해를 활용할 수밖에 없다.</w:t>
      </w:r>
    </w:p>
    <w:p>
      <w:pPr>
        <w:spacing w:line="360" w:lineRule="auto" w:after="160"/>
        <w:ind w:firstLine="283"/>
      </w:pPr>
      <w:r>
        <w:rPr>
          <w:rFonts w:ascii="Asta Sans" w:hAnsi="Asta Sans" w:eastAsia="Asta Sans"/>
          <w:b w:val="0"/>
          <w:sz w:val="22"/>
        </w:rPr>
        <w:t>❸은 한 번에 완성되는 것이 아니라 현실에 맞춰 계속 조정되어야 한다. ❶❷가 한 번 확립하는 기초라면, ❸은 그 기초 위에서 계속 진화하는 과정이다.</w:t>
      </w:r>
    </w:p>
    <w:p>
      <w:pPr>
        <w:spacing w:before="320" w:after="160"/>
      </w:pPr>
      <w:r>
        <w:rPr>
          <w:rFonts w:ascii="Asta Sans" w:hAnsi="Asta Sans" w:eastAsia="Asta Sans"/>
          <w:b/>
          <w:color w:val="444444"/>
          <w:sz w:val="26"/>
        </w:rPr>
        <w:t>4.5 파생적 변화</w:t>
      </w:r>
    </w:p>
    <w:p>
      <w:pPr>
        <w:spacing w:line="360" w:lineRule="auto" w:after="160"/>
        <w:ind w:firstLine="283"/>
      </w:pPr>
      <w:r>
        <w:rPr>
          <w:rFonts w:ascii="Asta Sans" w:hAnsi="Asta Sans" w:eastAsia="Asta Sans"/>
          <w:b w:val="0"/>
          <w:sz w:val="22"/>
        </w:rPr>
        <w:t>세 단계의 원칙이 잡히면, 세부 입법, 파일럿 사업, 산업별 적용이라는 방대한 실무가 따른다. 산업 시대에도 법인이라는 범주와 고용 관계라는 구조가 잡힌 후에 회사법, 환경법, 산업별 규제, 조세 체계라는 실무가 뒤따랐다. 작업량은 가장 크지만, ❶❷❸이 제공하는 틀 위에서 파생되는 작업이다.</w:t>
      </w:r>
    </w:p>
    <w:p>
      <w:r>
        <w:br w:type="page"/>
      </w:r>
    </w:p>
    <w:p>
      <w:pPr>
        <w:spacing w:before="480" w:after="120"/>
      </w:pPr>
      <w:r>
        <w:rPr>
          <w:rFonts w:ascii="Asta Sans" w:hAnsi="Asta Sans" w:eastAsia="Asta Sans"/>
          <w:b/>
          <w:color w:val="000000"/>
          <w:sz w:val="36"/>
        </w:rPr>
        <w:t>5. 무엇을 위한 설계인가</w:t>
      </w:r>
    </w:p>
    <w:p>
      <w:pPr>
        <w:spacing w:after="280"/>
        <w:pBdr>
          <w:bottom w:val="single" w:sz="6" w:space="1" w:color="333333"/>
        </w:pBdr>
      </w:pPr>
    </w:p>
    <w:tbl>
      <w:tblPr>
        <w:tblStyle w:val="TableGrid"/>
        <w:tblW w:type="auto" w:w="0"/>
        <w:tblLayout w:type="fixed"/>
        <w:tblLook w:firstColumn="1" w:firstRow="1" w:lastColumn="0" w:lastRow="0" w:noHBand="0" w:noVBand="1" w:val="04A0"/>
        <w:tblLayout w:type="fixed"/>
      </w:tblPr>
      <w:tblGrid>
        <w:gridCol w:w="907"/>
        <w:gridCol w:w="3515"/>
        <w:gridCol w:w="907"/>
        <w:gridCol w:w="3515"/>
      </w:tblGrid>
      <w:tr>
        <w:tc>
          <w:tcPr>
            <w:shd w:fill="F5F5F0" w:val="clear"/>
            <w:tcBorders>
              <w:top w:val="single" w:sz="4" w:space="0" w:color="E0E0E0"/>
              <w:bottom w:val="single" w:sz="4" w:space="0" w:color="E0E0E0"/>
              <w:left w:val="single" w:sz="4" w:space="0" w:color="E0E0E0"/>
              <w:right w:val="single" w:sz="4" w:space="0" w:color="E0E0E0"/>
            </w:tcBorders>
            <w:tcMar>
              <w:top w:w="80" w:type="dxa"/>
              <w:left w:w="100" w:type="dxa"/>
              <w:bottom w:w="80" w:type="dxa"/>
              <w:right w:w="100" w:type="dxa"/>
            </w:tcMar>
            <w:vAlign w:val="center"/>
            <w:tcW w:w="907" w:type="dxa"/>
          </w:tcPr>
          <w:p>
            <w:pPr>
              <w:spacing w:before="80" w:after="0"/>
              <w:jc w:val="center"/>
            </w:pPr>
            <w:r/>
            <w:r>
              <w:drawing>
                <wp:inline xmlns:a="http://schemas.openxmlformats.org/drawingml/2006/main" xmlns:pic="http://schemas.openxmlformats.org/drawingml/2006/picture">
                  <wp:extent cx="432000" cy="432000"/>
                  <wp:docPr id="18" name="Picture 18"/>
                  <wp:cNvGraphicFramePr>
                    <a:graphicFrameLocks noChangeAspect="1"/>
                  </wp:cNvGraphicFramePr>
                  <a:graphic>
                    <a:graphicData uri="http://schemas.openxmlformats.org/drawingml/2006/picture">
                      <pic:pic>
                        <pic:nvPicPr>
                          <pic:cNvPr id="0" name="tmp3jnfs9ej.png"/>
                          <pic:cNvPicPr/>
                        </pic:nvPicPr>
                        <pic:blipFill>
                          <a:blip r:embed="rId26"/>
                          <a:stretch>
                            <a:fillRect/>
                          </a:stretch>
                        </pic:blipFill>
                        <pic:spPr>
                          <a:xfrm>
                            <a:off x="0" y="0"/>
                            <a:ext cx="432000" cy="432000"/>
                          </a:xfrm>
                          <a:prstGeom prst="rect"/>
                        </pic:spPr>
                      </pic:pic>
                    </a:graphicData>
                  </a:graphic>
                </wp:inline>
              </w:drawing>
            </w:r>
          </w:p>
        </w:tc>
        <w:tc>
          <w:tcPr>
            <w:shd w:fill="F5F5F0" w:val="clear"/>
            <w:tcBorders>
              <w:top w:val="single" w:sz="4" w:space="0" w:color="E0E0E0"/>
              <w:bottom w:val="single" w:sz="4" w:space="0" w:color="E0E0E0"/>
              <w:left w:val="single" w:sz="4" w:space="0" w:color="E0E0E0"/>
              <w:right w:val="single" w:sz="4" w:space="0" w:color="E0E0E0"/>
            </w:tcBorders>
            <w:tcMar>
              <w:top w:w="80" w:type="dxa"/>
              <w:left w:w="100" w:type="dxa"/>
              <w:bottom w:w="80" w:type="dxa"/>
              <w:right w:w="100" w:type="dxa"/>
            </w:tcMar>
            <w:tcW w:w="3515" w:type="dxa"/>
          </w:tcPr>
          <w:p>
            <w:pPr>
              <w:spacing w:after="40" w:line="312" w:lineRule="auto"/>
            </w:pPr>
            <w:r/>
            <w:r>
              <w:rPr>
                <w:rFonts w:ascii="Asta Sans" w:hAnsi="Asta Sans" w:eastAsia="Asta Sans"/>
                <w:b w:val="0"/>
                <w:i/>
                <w:color w:val="333333"/>
                <w:sz w:val="18"/>
              </w:rPr>
              <w:t>“인간의 가치를 소득이 아니라 '할 수 있고 될 수 있는 것'으로 측정하라.”</w:t>
            </w:r>
          </w:p>
          <w:p>
            <w:pPr>
              <w:spacing w:before="40" w:after="0" w:line="240" w:lineRule="auto"/>
            </w:pPr>
            <w:r>
              <w:rPr>
                <w:rFonts w:ascii="Asta Sans" w:hAnsi="Asta Sans" w:eastAsia="Asta Sans"/>
                <w:b/>
                <w:color w:val="444444"/>
                <w:sz w:val="16"/>
              </w:rPr>
              <w:t>아마르티아 센</w:t>
            </w:r>
            <w:r>
              <w:rPr>
                <w:rFonts w:ascii="Asta Sans" w:hAnsi="Asta Sans" w:eastAsia="Asta Sans"/>
                <w:b w:val="0"/>
                <w:color w:val="888888"/>
                <w:sz w:val="14"/>
              </w:rPr>
              <w:t xml:space="preserve">  하버드, 1998 노벨 경제학상, 역량 접근법</w:t>
            </w:r>
          </w:p>
          <w:p>
            <w:pPr>
              <w:spacing w:before="0" w:after="0" w:line="240" w:lineRule="auto"/>
            </w:pPr>
            <w:r>
              <w:rPr>
                <w:rFonts w:ascii="Asta Sans" w:hAnsi="Asta Sans" w:eastAsia="Asta Sans"/>
                <w:b w:val="0"/>
                <w:i/>
                <w:color w:val="999999"/>
                <w:sz w:val="14"/>
              </w:rPr>
              <w:t>Development as Freedom (1999)</w:t>
            </w:r>
          </w:p>
        </w:tc>
        <w:tc>
          <w:tcPr>
            <w:shd w:fill="F5F5F0" w:val="clear"/>
            <w:tcBorders>
              <w:top w:val="single" w:sz="4" w:space="0" w:color="E0E0E0"/>
              <w:bottom w:val="single" w:sz="4" w:space="0" w:color="E0E0E0"/>
              <w:left w:val="single" w:sz="4" w:space="0" w:color="E0E0E0"/>
              <w:right w:val="single" w:sz="4" w:space="0" w:color="E0E0E0"/>
            </w:tcBorders>
            <w:tcMar>
              <w:top w:w="80" w:type="dxa"/>
              <w:left w:w="100" w:type="dxa"/>
              <w:bottom w:w="80" w:type="dxa"/>
              <w:right w:w="100" w:type="dxa"/>
            </w:tcMar>
            <w:vAlign w:val="center"/>
            <w:tcW w:w="907" w:type="dxa"/>
          </w:tcPr>
          <w:p>
            <w:pPr>
              <w:spacing w:before="80" w:after="0"/>
              <w:jc w:val="center"/>
            </w:pPr>
            <w:r/>
            <w:r>
              <w:drawing>
                <wp:inline xmlns:a="http://schemas.openxmlformats.org/drawingml/2006/main" xmlns:pic="http://schemas.openxmlformats.org/drawingml/2006/picture">
                  <wp:extent cx="432000" cy="432000"/>
                  <wp:docPr id="19" name="Picture 19"/>
                  <wp:cNvGraphicFramePr>
                    <a:graphicFrameLocks noChangeAspect="1"/>
                  </wp:cNvGraphicFramePr>
                  <a:graphic>
                    <a:graphicData uri="http://schemas.openxmlformats.org/drawingml/2006/picture">
                      <pic:pic>
                        <pic:nvPicPr>
                          <pic:cNvPr id="0" name="tmp52j8r_3e.png"/>
                          <pic:cNvPicPr/>
                        </pic:nvPicPr>
                        <pic:blipFill>
                          <a:blip r:embed="rId27"/>
                          <a:stretch>
                            <a:fillRect/>
                          </a:stretch>
                        </pic:blipFill>
                        <pic:spPr>
                          <a:xfrm>
                            <a:off x="0" y="0"/>
                            <a:ext cx="432000" cy="432000"/>
                          </a:xfrm>
                          <a:prstGeom prst="rect"/>
                        </pic:spPr>
                      </pic:pic>
                    </a:graphicData>
                  </a:graphic>
                </wp:inline>
              </w:drawing>
            </w:r>
          </w:p>
        </w:tc>
        <w:tc>
          <w:tcPr>
            <w:shd w:fill="F5F5F0" w:val="clear"/>
            <w:tcBorders>
              <w:top w:val="single" w:sz="4" w:space="0" w:color="E0E0E0"/>
              <w:bottom w:val="single" w:sz="4" w:space="0" w:color="E0E0E0"/>
              <w:left w:val="single" w:sz="4" w:space="0" w:color="E0E0E0"/>
              <w:right w:val="single" w:sz="4" w:space="0" w:color="E0E0E0"/>
            </w:tcBorders>
            <w:tcMar>
              <w:top w:w="80" w:type="dxa"/>
              <w:left w:w="100" w:type="dxa"/>
              <w:bottom w:w="80" w:type="dxa"/>
              <w:right w:w="100" w:type="dxa"/>
            </w:tcMar>
            <w:tcW w:w="3515" w:type="dxa"/>
          </w:tcPr>
          <w:p>
            <w:pPr>
              <w:spacing w:after="40" w:line="312" w:lineRule="auto"/>
            </w:pPr>
            <w:r/>
            <w:r>
              <w:rPr>
                <w:rFonts w:ascii="Asta Sans" w:hAnsi="Asta Sans" w:eastAsia="Asta Sans"/>
                <w:b w:val="0"/>
                <w:i/>
                <w:color w:val="333333"/>
                <w:sz w:val="18"/>
              </w:rPr>
              <w:t>“생산성이 아니라 공동선에 대한 기여가 가치의 기준이다.”</w:t>
            </w:r>
          </w:p>
          <w:p>
            <w:pPr>
              <w:spacing w:before="40" w:after="0" w:line="240" w:lineRule="auto"/>
            </w:pPr>
            <w:r>
              <w:rPr>
                <w:rFonts w:ascii="Asta Sans" w:hAnsi="Asta Sans" w:eastAsia="Asta Sans"/>
                <w:b/>
                <w:color w:val="444444"/>
                <w:sz w:val="16"/>
              </w:rPr>
              <w:t>마이클 샌델</w:t>
            </w:r>
            <w:r>
              <w:rPr>
                <w:rFonts w:ascii="Asta Sans" w:hAnsi="Asta Sans" w:eastAsia="Asta Sans"/>
                <w:b w:val="0"/>
                <w:color w:val="888888"/>
                <w:sz w:val="14"/>
              </w:rPr>
              <w:t xml:space="preserve">  하버드 정치철학, 공동선·정의 연구</w:t>
            </w:r>
          </w:p>
          <w:p>
            <w:pPr>
              <w:spacing w:before="0" w:after="0" w:line="240" w:lineRule="auto"/>
            </w:pPr>
            <w:r>
              <w:rPr>
                <w:rFonts w:ascii="Asta Sans" w:hAnsi="Asta Sans" w:eastAsia="Asta Sans"/>
                <w:b w:val="0"/>
                <w:i/>
                <w:color w:val="999999"/>
                <w:sz w:val="14"/>
              </w:rPr>
              <w:t>The Tyranny of Merit (2020)</w:t>
            </w:r>
          </w:p>
        </w:tc>
      </w:tr>
      <w:tr>
        <w:tc>
          <w:tcPr>
            <w:shd w:fill="F5F5F0" w:val="clear"/>
            <w:tcBorders>
              <w:top w:val="single" w:sz="4" w:space="0" w:color="E0E0E0"/>
              <w:bottom w:val="single" w:sz="4" w:space="0" w:color="E0E0E0"/>
              <w:left w:val="single" w:sz="4" w:space="0" w:color="E0E0E0"/>
              <w:right w:val="single" w:sz="4" w:space="0" w:color="E0E0E0"/>
            </w:tcBorders>
            <w:tcMar>
              <w:top w:w="80" w:type="dxa"/>
              <w:left w:w="100" w:type="dxa"/>
              <w:bottom w:w="80" w:type="dxa"/>
              <w:right w:w="100" w:type="dxa"/>
            </w:tcMar>
            <w:vAlign w:val="center"/>
            <w:tcW w:w="907" w:type="dxa"/>
          </w:tcPr>
          <w:p>
            <w:pPr>
              <w:spacing w:before="80" w:after="0"/>
              <w:jc w:val="center"/>
            </w:pPr>
            <w:r/>
            <w:r>
              <w:drawing>
                <wp:inline xmlns:a="http://schemas.openxmlformats.org/drawingml/2006/main" xmlns:pic="http://schemas.openxmlformats.org/drawingml/2006/picture">
                  <wp:extent cx="432000" cy="432000"/>
                  <wp:docPr id="20" name="Picture 20"/>
                  <wp:cNvGraphicFramePr>
                    <a:graphicFrameLocks noChangeAspect="1"/>
                  </wp:cNvGraphicFramePr>
                  <a:graphic>
                    <a:graphicData uri="http://schemas.openxmlformats.org/drawingml/2006/picture">
                      <pic:pic>
                        <pic:nvPicPr>
                          <pic:cNvPr id="0" name="tmpe5n7tewm.png"/>
                          <pic:cNvPicPr/>
                        </pic:nvPicPr>
                        <pic:blipFill>
                          <a:blip r:embed="rId28"/>
                          <a:stretch>
                            <a:fillRect/>
                          </a:stretch>
                        </pic:blipFill>
                        <pic:spPr>
                          <a:xfrm>
                            <a:off x="0" y="0"/>
                            <a:ext cx="432000" cy="432000"/>
                          </a:xfrm>
                          <a:prstGeom prst="rect"/>
                        </pic:spPr>
                      </pic:pic>
                    </a:graphicData>
                  </a:graphic>
                </wp:inline>
              </w:drawing>
            </w:r>
          </w:p>
        </w:tc>
        <w:tc>
          <w:tcPr>
            <w:shd w:fill="F5F5F0" w:val="clear"/>
            <w:tcBorders>
              <w:top w:val="single" w:sz="4" w:space="0" w:color="E0E0E0"/>
              <w:bottom w:val="single" w:sz="4" w:space="0" w:color="E0E0E0"/>
              <w:left w:val="single" w:sz="4" w:space="0" w:color="E0E0E0"/>
              <w:right w:val="single" w:sz="4" w:space="0" w:color="E0E0E0"/>
            </w:tcBorders>
            <w:tcMar>
              <w:top w:w="80" w:type="dxa"/>
              <w:left w:w="100" w:type="dxa"/>
              <w:bottom w:w="80" w:type="dxa"/>
              <w:right w:w="100" w:type="dxa"/>
            </w:tcMar>
            <w:tcW w:w="3515" w:type="dxa"/>
          </w:tcPr>
          <w:p>
            <w:pPr>
              <w:spacing w:after="40" w:line="312" w:lineRule="auto"/>
            </w:pPr>
            <w:r/>
            <w:r>
              <w:rPr>
                <w:rFonts w:ascii="Asta Sans" w:hAnsi="Asta Sans" w:eastAsia="Asta Sans"/>
                <w:b w:val="0"/>
                <w:i/>
                <w:color w:val="333333"/>
                <w:sz w:val="18"/>
              </w:rPr>
              <w:t>“AI가 노동을 대체하면, 일자리를 잃은 사람들의 지위가 위협받는다.”</w:t>
            </w:r>
          </w:p>
          <w:p>
            <w:pPr>
              <w:spacing w:before="40" w:after="0" w:line="240" w:lineRule="auto"/>
            </w:pPr>
            <w:r>
              <w:rPr>
                <w:rFonts w:ascii="Asta Sans" w:hAnsi="Asta Sans" w:eastAsia="Asta Sans"/>
                <w:b/>
                <w:color w:val="444444"/>
                <w:sz w:val="16"/>
              </w:rPr>
              <w:t>유발 하라리</w:t>
            </w:r>
            <w:r>
              <w:rPr>
                <w:rFonts w:ascii="Asta Sans" w:hAnsi="Asta Sans" w:eastAsia="Asta Sans"/>
                <w:b w:val="0"/>
                <w:color w:val="888888"/>
                <w:sz w:val="14"/>
              </w:rPr>
              <w:t xml:space="preserve">  히브리대 역사학, 인류 미래 연구</w:t>
            </w:r>
          </w:p>
          <w:p>
            <w:pPr>
              <w:spacing w:before="0" w:after="0" w:line="240" w:lineRule="auto"/>
            </w:pPr>
            <w:r>
              <w:rPr>
                <w:rFonts w:ascii="Asta Sans" w:hAnsi="Asta Sans" w:eastAsia="Asta Sans"/>
                <w:b w:val="0"/>
                <w:i/>
                <w:color w:val="999999"/>
                <w:sz w:val="14"/>
              </w:rPr>
              <w:t>Homo Deus (2017)</w:t>
            </w:r>
          </w:p>
        </w:tc>
        <w:tc>
          <w:tcPr>
            <w:shd w:fill="F5F5F0" w:val="clear"/>
            <w:tcBorders>
              <w:top w:val="single" w:sz="4" w:space="0" w:color="E0E0E0"/>
              <w:bottom w:val="single" w:sz="4" w:space="0" w:color="E0E0E0"/>
              <w:left w:val="single" w:sz="4" w:space="0" w:color="E0E0E0"/>
              <w:right w:val="single" w:sz="4" w:space="0" w:color="E0E0E0"/>
            </w:tcBorders>
            <w:tcMar>
              <w:top w:w="80" w:type="dxa"/>
              <w:left w:w="100" w:type="dxa"/>
              <w:bottom w:w="80" w:type="dxa"/>
              <w:right w:w="100" w:type="dxa"/>
            </w:tcMar>
            <w:vAlign w:val="center"/>
            <w:tcW w:w="907" w:type="dxa"/>
          </w:tcPr>
          <w:p>
            <w:pPr>
              <w:spacing w:before="80" w:after="0"/>
              <w:jc w:val="center"/>
            </w:pPr>
            <w:r/>
            <w:r>
              <w:drawing>
                <wp:inline xmlns:a="http://schemas.openxmlformats.org/drawingml/2006/main" xmlns:pic="http://schemas.openxmlformats.org/drawingml/2006/picture">
                  <wp:extent cx="432000" cy="432000"/>
                  <wp:docPr id="21" name="Picture 21"/>
                  <wp:cNvGraphicFramePr>
                    <a:graphicFrameLocks noChangeAspect="1"/>
                  </wp:cNvGraphicFramePr>
                  <a:graphic>
                    <a:graphicData uri="http://schemas.openxmlformats.org/drawingml/2006/picture">
                      <pic:pic>
                        <pic:nvPicPr>
                          <pic:cNvPr id="0" name="tmp76_swak3.png"/>
                          <pic:cNvPicPr/>
                        </pic:nvPicPr>
                        <pic:blipFill>
                          <a:blip r:embed="rId29"/>
                          <a:stretch>
                            <a:fillRect/>
                          </a:stretch>
                        </pic:blipFill>
                        <pic:spPr>
                          <a:xfrm>
                            <a:off x="0" y="0"/>
                            <a:ext cx="432000" cy="432000"/>
                          </a:xfrm>
                          <a:prstGeom prst="rect"/>
                        </pic:spPr>
                      </pic:pic>
                    </a:graphicData>
                  </a:graphic>
                </wp:inline>
              </w:drawing>
            </w:r>
          </w:p>
        </w:tc>
        <w:tc>
          <w:tcPr>
            <w:shd w:fill="F5F5F0" w:val="clear"/>
            <w:tcBorders>
              <w:top w:val="single" w:sz="4" w:space="0" w:color="E0E0E0"/>
              <w:bottom w:val="single" w:sz="4" w:space="0" w:color="E0E0E0"/>
              <w:left w:val="single" w:sz="4" w:space="0" w:color="E0E0E0"/>
              <w:right w:val="single" w:sz="4" w:space="0" w:color="E0E0E0"/>
            </w:tcBorders>
            <w:tcMar>
              <w:top w:w="80" w:type="dxa"/>
              <w:left w:w="100" w:type="dxa"/>
              <w:bottom w:w="80" w:type="dxa"/>
              <w:right w:w="100" w:type="dxa"/>
            </w:tcMar>
            <w:tcW w:w="3515" w:type="dxa"/>
          </w:tcPr>
          <w:p>
            <w:pPr>
              <w:spacing w:after="40" w:line="312" w:lineRule="auto"/>
            </w:pPr>
            <w:r/>
            <w:r>
              <w:rPr>
                <w:rFonts w:ascii="Asta Sans" w:hAnsi="Asta Sans" w:eastAsia="Asta Sans"/>
                <w:b w:val="0"/>
                <w:i/>
                <w:color w:val="333333"/>
                <w:sz w:val="18"/>
              </w:rPr>
              <w:t>“자본 수익률이 성장률을 초과하면 불평등은 구조적으로 심화된다.”</w:t>
            </w:r>
          </w:p>
          <w:p>
            <w:pPr>
              <w:spacing w:before="40" w:after="0" w:line="240" w:lineRule="auto"/>
            </w:pPr>
            <w:r>
              <w:rPr>
                <w:rFonts w:ascii="Asta Sans" w:hAnsi="Asta Sans" w:eastAsia="Asta Sans"/>
                <w:b/>
                <w:color w:val="444444"/>
                <w:sz w:val="16"/>
              </w:rPr>
              <w:t>토마 피케티</w:t>
            </w:r>
            <w:r>
              <w:rPr>
                <w:rFonts w:ascii="Asta Sans" w:hAnsi="Asta Sans" w:eastAsia="Asta Sans"/>
                <w:b w:val="0"/>
                <w:color w:val="888888"/>
                <w:sz w:val="14"/>
              </w:rPr>
              <w:t xml:space="preserve">  파리경제대, 불평등·자본 연구</w:t>
            </w:r>
          </w:p>
          <w:p>
            <w:pPr>
              <w:spacing w:before="0" w:after="0" w:line="240" w:lineRule="auto"/>
            </w:pPr>
            <w:r>
              <w:rPr>
                <w:rFonts w:ascii="Asta Sans" w:hAnsi="Asta Sans" w:eastAsia="Asta Sans"/>
                <w:b w:val="0"/>
                <w:i/>
                <w:color w:val="999999"/>
                <w:sz w:val="14"/>
              </w:rPr>
              <w:t>Capital (2014)</w:t>
            </w:r>
          </w:p>
        </w:tc>
      </w:tr>
    </w:tbl>
    <w:p>
      <w:pPr>
        <w:spacing w:before="80" w:after="160"/>
      </w:pPr>
    </w:p>
    <w:p>
      <w:pPr>
        <w:spacing w:before="320" w:after="160"/>
      </w:pPr>
      <w:r>
        <w:rPr>
          <w:rFonts w:ascii="Asta Sans" w:hAnsi="Asta Sans" w:eastAsia="Asta Sans"/>
          <w:b/>
          <w:color w:val="444444"/>
          <w:sz w:val="26"/>
        </w:rPr>
        <w:t>인간 중심의 가치 전환</w:t>
      </w:r>
    </w:p>
    <w:p>
      <w:pPr>
        <w:spacing w:line="360" w:lineRule="auto" w:after="160"/>
        <w:ind w:firstLine="283"/>
      </w:pPr>
      <w:r>
        <w:rPr>
          <w:rFonts w:ascii="Asta Sans" w:hAnsi="Asta Sans" w:eastAsia="Asta Sans"/>
          <w:b w:val="0"/>
          <w:sz w:val="22"/>
        </w:rPr>
        <w:t>경로의 세 단계가 “무엇을, 어떤 순서로”의 답이라면, “무엇을 위해”의 답도 필요하다.</w:t>
      </w:r>
    </w:p>
    <w:p>
      <w:pPr>
        <w:spacing w:line="360" w:lineRule="auto" w:after="160"/>
        <w:ind w:firstLine="283"/>
      </w:pPr>
      <w:r>
        <w:rPr>
          <w:rFonts w:ascii="Asta Sans" w:hAnsi="Asta Sans" w:eastAsia="Asta Sans"/>
          <w:b w:val="0"/>
          <w:sz w:val="22"/>
        </w:rPr>
        <w:t>산업 시대의 사회계약은 노동 중심이었다. 일하는 능력이 곧 인간의 가치였고, 노동을 통해 소득과 사회적 인정이 배분되었다. 이 틀에서 AI가 노동을 대체하면, 하라리(2017)가 경고한 것처럼 일자리를 잃은 사람들의 사회적 지위가 근본적으로 위협받는다.</w:t>
      </w:r>
    </w:p>
    <w:p>
      <w:pPr>
        <w:spacing w:line="360" w:lineRule="auto" w:after="160"/>
        <w:ind w:firstLine="283"/>
      </w:pPr>
      <w:r>
        <w:rPr>
          <w:rFonts w:ascii="Asta Sans" w:hAnsi="Asta Sans" w:eastAsia="Asta Sans"/>
          <w:b w:val="0"/>
          <w:sz w:val="22"/>
        </w:rPr>
        <w:t>그러나 인간의 가치를 노동 생산성으로 측정한 것은 인류 역사 전체로 보면 비교적 최근의 일이다. 『주역』은 “천지의 가장 큰 덕을 生이라 한다(天地之大德曰生)”고 했다. 칸트는 인간을 수단이 아닌 목적 자체로 대우하라고 했고, 아렌트는 인간의 존엄이 생산성이 아니라 새로움을 시작할 수 있는 능력에 있다고 했다.</w:t>
      </w:r>
    </w:p>
    <w:p>
      <w:pPr>
        <w:spacing w:line="360" w:lineRule="auto" w:after="160"/>
        <w:ind w:firstLine="283"/>
      </w:pPr>
      <w:r>
        <w:rPr>
          <w:rFonts w:ascii="Asta Sans" w:hAnsi="Asta Sans" w:eastAsia="Asta Sans"/>
          <w:b w:val="0"/>
          <w:sz w:val="22"/>
        </w:rPr>
        <w:t>이 전통은 현대 학자들에게서도 확인된다. 센(1999)과 누스바움(2011)은 인간의 가치를 소득이 아니라 “할 수 있고 될 수 있는 것”으로 측정하자고 제안했다. 샌델(2020)은 생산성이 아니라 공동선에 대한 기여를 가치의 기준으로 제시했다 — 돌봄도, 양육도, 공동체 활동도 기여라는 것이다.</w:t>
      </w:r>
    </w:p>
    <w:p>
      <w:pPr>
        <w:spacing w:line="360" w:lineRule="auto" w:after="160"/>
        <w:ind w:firstLine="283"/>
      </w:pPr>
      <w:r>
        <w:rPr>
          <w:rFonts w:ascii="Asta Sans" w:hAnsi="Asta Sans" w:eastAsia="Asta Sans"/>
          <w:b w:val="0"/>
          <w:sz w:val="22"/>
        </w:rPr>
        <w:t>정치 체제의 문제도 여기에 연결된다. 아모데이(2026)는 “봉건제가 산업혁명으로 작동 불가능해진 것처럼, AI 시대에는 민주주의만이 유일하게 작동 가능한 통치 형태라는 결론에 논리적으로 도달할 수 있다”고 주장했다. AI의 힘이 너무 커서 소수가 독점하면 통제 불가능해지고, 그 힘을 분산시키는 유일한 메커니즘이 민주적 견제라는 논리다. 인간 중심의 가치 전환은 이 정치적 조건 — 모든 사람의 목소리가 설계 과정에 반영되는 것 — 과 분리될 수 없다.</w:t>
      </w:r>
    </w:p>
    <w:p>
      <w:pPr>
        <w:spacing w:line="360" w:lineRule="auto" w:after="160"/>
        <w:ind w:firstLine="283"/>
      </w:pPr>
      <w:r>
        <w:rPr>
          <w:rFonts w:ascii="Asta Sans" w:hAnsi="Asta Sans" w:eastAsia="Asta Sans"/>
          <w:b w:val="0"/>
          <w:sz w:val="22"/>
        </w:rPr>
        <w:t>기술의 혜택이 사회 전체로 퍼지는 황금기 — 그 “전체”가 누구를 포함하느냐를 결정하는 것이 가치관이다. 노동 중심 틀에서 “전체”는 일할 수 있는 사람이었다. 인간 중심 틀에서 “전체”는 모든 사람이다. 이 방향의 전환이 세 단계의 설계에 일관된 기준을 부여한다.</w:t>
      </w:r>
    </w:p>
    <w:p>
      <w:r>
        <w:br w:type="page"/>
      </w:r>
    </w:p>
    <w:p>
      <w:pPr>
        <w:spacing w:before="480" w:after="120"/>
      </w:pPr>
      <w:r>
        <w:rPr>
          <w:rFonts w:ascii="Asta Sans" w:hAnsi="Asta Sans" w:eastAsia="Asta Sans"/>
          <w:b/>
          <w:color w:val="000000"/>
          <w:sz w:val="36"/>
        </w:rPr>
        <w:t>6. 연구 전략</w:t>
      </w:r>
    </w:p>
    <w:p>
      <w:pPr>
        <w:spacing w:after="280"/>
        <w:pBdr>
          <w:bottom w:val="single" w:sz="6" w:space="1" w:color="333333"/>
        </w:pBdr>
      </w:pPr>
    </w:p>
    <w:p>
      <w:pPr>
        <w:spacing w:before="320" w:after="160"/>
      </w:pPr>
      <w:r>
        <w:rPr>
          <w:rFonts w:ascii="Asta Sans" w:hAnsi="Asta Sans" w:eastAsia="Asta Sans"/>
          <w:b/>
          <w:color w:val="444444"/>
          <w:sz w:val="26"/>
        </w:rPr>
        <w:t>연구 일정</w:t>
      </w:r>
    </w:p>
    <w:p>
      <w:pPr>
        <w:spacing w:line="360" w:lineRule="auto" w:after="160"/>
        <w:ind w:firstLine="283"/>
      </w:pPr>
      <w:r>
        <w:rPr>
          <w:rFonts w:ascii="Asta Sans" w:hAnsi="Asta Sans" w:eastAsia="Asta Sans"/>
          <w:b w:val="0"/>
          <w:sz w:val="22"/>
        </w:rPr>
        <w:t>❶❷❸은 시간 순서가 아니라 논리적 순서다. 세 단계의 연구는 순차적이되 병행한다. ❶ 주체 정의에서 전자인 법적 지위 스펙트럼의 초안을 설계하고, ❷ 관계 정의에서 산업을 관통하는 일반 책임 구조의 초안을 만들며, ❸ 질서 설계에서 분배 4후보의 통합 구조와 시민 참여형 거버넌스의 밑그림을 그린다. ❶❷가 ❸의 논리적 기초가 되므로 먼저 착수하되, ❸은 ❶❷의 진행과 함께 병렬로 탐색한다.</w:t>
      </w:r>
    </w:p>
    <w:p>
      <w:pPr>
        <w:spacing w:line="360" w:lineRule="auto" w:after="160"/>
        <w:ind w:firstLine="283"/>
      </w:pPr>
      <w:r>
        <w:rPr>
          <w:rFonts w:ascii="Asta Sans" w:hAnsi="Asta Sans" w:eastAsia="Asta Sans"/>
          <w:b w:val="0"/>
          <w:sz w:val="22"/>
        </w:rPr>
        <w:t>2026년 상반기에 세 단계의 연구 리뷰와 초안 설계를 수행한다. 하반기에 국제 자문단 검증(7~8월)을 거쳐 초안을 수정하고, 국문판과 영문판을 동시 출간(9~10월)한다. 이 책이 AI 시대 사회계약을 둘러싼 세계적 토론의 중심에 서는 것이 목표다. 해외 석학들과의 공유와 피드백, 서울 컨퍼런스 개최(11~12월)를 통해 학술적·정책적 공론화를 추진한다.</w:t>
      </w:r>
    </w:p>
    <w:p>
      <w:pPr>
        <w:spacing w:line="360" w:lineRule="auto" w:after="160"/>
        <w:ind w:firstLine="283"/>
      </w:pPr>
      <w:r>
        <w:rPr>
          <w:rFonts w:ascii="Asta Sans" w:hAnsi="Asta Sans" w:eastAsia="Asta Sans"/>
          <w:b w:val="0"/>
          <w:sz w:val="22"/>
        </w:rPr>
        <w:t>본 보고서는 그 첫 단계 — 왜 이 연구가 필요한지, 어떤 경로로 진행하는지, 기존 연구가 어디까지 와 있고 어디에 공백이 있는지 — 를 정리한 것이다. 다음 단계에서는 각 영역의 구체적 설계안을 제시한다.</w:t>
      </w:r>
    </w:p>
    <w:p>
      <w:r>
        <w:br w:type="page"/>
      </w:r>
    </w:p>
    <w:p>
      <w:pPr>
        <w:spacing w:before="480" w:after="120"/>
      </w:pPr>
      <w:r>
        <w:rPr>
          <w:rFonts w:ascii="Asta Sans" w:hAnsi="Asta Sans" w:eastAsia="Asta Sans"/>
          <w:b/>
          <w:color w:val="000000"/>
          <w:sz w:val="36"/>
        </w:rPr>
        <w:t>7. 결론</w:t>
      </w:r>
    </w:p>
    <w:p>
      <w:pPr>
        <w:spacing w:after="280"/>
        <w:pBdr>
          <w:bottom w:val="single" w:sz="6" w:space="1" w:color="333333"/>
        </w:pBdr>
      </w:pPr>
    </w:p>
    <w:p>
      <w:pPr>
        <w:spacing w:before="320" w:after="160"/>
      </w:pPr>
      <w:r>
        <w:rPr>
          <w:rFonts w:ascii="Asta Sans" w:hAnsi="Asta Sans" w:eastAsia="Asta Sans"/>
          <w:b/>
          <w:color w:val="444444"/>
          <w:sz w:val="26"/>
        </w:rPr>
        <w:t>질서의 조건을 설계하라</w:t>
      </w:r>
    </w:p>
    <w:p>
      <w:pPr>
        <w:spacing w:line="360" w:lineRule="auto" w:after="160"/>
        <w:ind w:firstLine="283"/>
      </w:pPr>
      <w:r>
        <w:rPr>
          <w:rFonts w:ascii="Asta Sans" w:hAnsi="Asta Sans" w:eastAsia="Asta Sans"/>
          <w:b w:val="0"/>
          <w:sz w:val="22"/>
        </w:rPr>
        <w:t>기술 혁명의 역사가 가르치는 것은 하나다. 기술이 아니라 제도적 선택이 황금기와 격변을 가른다.</w:t>
      </w:r>
    </w:p>
    <w:p>
      <w:pPr>
        <w:spacing w:line="360" w:lineRule="auto" w:after="160"/>
        <w:ind w:firstLine="283"/>
      </w:pPr>
      <w:r>
        <w:rPr>
          <w:rFonts w:ascii="Asta Sans" w:hAnsi="Asta Sans" w:eastAsia="Asta Sans"/>
          <w:b w:val="0"/>
          <w:sz w:val="22"/>
        </w:rPr>
        <w:t>산업 시대에는 시장이 질서를 만들고 법이 뒤따라도 — 대가가 크긴 했지만 — 결국 황금기에 도달할 수 있었다. 기계가 인간 통제 안에 있었기 때문이다. AI 시대에는 사후 제도화의 위험이 커지므로, 미리 일정한 조건을 설계해두는 것이 합리적이다. 그 설계는 질서 자체가 아니라 질서의 조건이어야 한다 — 보이지 않는 손을 대체하는 것이 아니라, 보이지 않는 손이 작동할 울타리를 치는 것이다.</w:t>
      </w:r>
    </w:p>
    <w:p>
      <w:pPr>
        <w:spacing w:line="360" w:lineRule="auto" w:after="160"/>
        <w:ind w:firstLine="283"/>
      </w:pPr>
      <w:r>
        <w:rPr>
          <w:rFonts w:ascii="Asta Sans" w:hAnsi="Asta Sans" w:eastAsia="Asta Sans"/>
          <w:b w:val="0"/>
          <w:sz w:val="22"/>
        </w:rPr>
        <w:t>그 첫걸음은 AI 에이전트의 법적 범주를 만드는 것(❶)이고, 다음은 인간-AI 사이의 권리와 책임을 규율하는 것(❷)이며, 그 위에서 경제적·정치적 질서의 조건을 설계하는 것(❸)이다. ❶❷는 한 번 확립하는 기초고, ❸은 현실에 맞춰 계속 조정하는 과정이다.</w:t>
      </w:r>
    </w:p>
    <w:p>
      <w:pPr>
        <w:spacing w:line="360" w:lineRule="auto" w:after="160"/>
        <w:ind w:firstLine="283"/>
      </w:pPr>
      <w:r>
        <w:rPr>
          <w:rFonts w:ascii="Asta Sans" w:hAnsi="Asta Sans" w:eastAsia="Asta Sans"/>
          <w:b w:val="0"/>
          <w:sz w:val="22"/>
        </w:rPr>
        <w:t>기술 혜택이 사회 전체로 퍼지는 황금기. 그것을 선제적으로 설계하는 것이 이 연구의 목표다.</w:t>
      </w:r>
    </w:p>
    <w:p>
      <w:r>
        <w:br w:type="page"/>
      </w:r>
    </w:p>
    <w:p>
      <w:pPr>
        <w:spacing w:before="0" w:after="400"/>
      </w:pPr>
      <w:r>
        <w:rPr>
          <w:rFonts w:ascii="Asta Sans" w:hAnsi="Asta Sans" w:eastAsia="Asta Sans"/>
          <w:b/>
          <w:color w:val="000000"/>
          <w:sz w:val="44"/>
        </w:rPr>
        <w:t>부록 A: 미래 시나리오</w:t>
      </w:r>
    </w:p>
    <w:p>
      <w:pPr>
        <w:spacing w:after="320"/>
        <w:pBdr>
          <w:bottom w:val="single" w:sz="4" w:space="1" w:color="333333"/>
        </w:pBdr>
      </w:pPr>
    </w:p>
    <w:p>
      <w:pPr>
        <w:spacing w:before="240" w:after="120"/>
      </w:pPr>
      <w:r>
        <w:rPr>
          <w:rFonts w:ascii="Asta Sans" w:hAnsi="Asta Sans" w:eastAsia="Asta Sans"/>
          <w:b/>
          <w:color w:val="000000"/>
          <w:sz w:val="32"/>
        </w:rPr>
        <w:t>2027년: AI 에이전트가 서로 대화하는 세상</w:t>
      </w:r>
    </w:p>
    <w:p>
      <w:pPr>
        <w:spacing w:line="360" w:lineRule="auto" w:after="200"/>
        <w:ind w:firstLine="283"/>
      </w:pPr>
      <w:r>
        <w:rPr>
          <w:rFonts w:ascii="Asta Sans" w:hAnsi="Asta Sans" w:eastAsia="Asta Sans"/>
          <w:b w:val="0"/>
          <w:sz w:val="22"/>
        </w:rPr>
        <w:t>2027년, AI는 더 이상 사람의 질문에 답하는 도구가 아닙니다. AI 에이전트들이 서로 직접 대화하고, 협상하고, 일을 처리합니다. 사람은 큰 방향만 정하고, 나머지는 AI끼리 알아서 합니다.</w:t>
      </w:r>
    </w:p>
    <w:p>
      <w:pPr>
        <w:spacing w:before="200" w:after="80"/>
      </w:pPr>
      <w:r>
        <w:rPr>
          <w:rFonts w:ascii="Asta Sans" w:hAnsi="Asta Sans" w:eastAsia="Asta Sans"/>
          <w:b/>
          <w:color w:val="444444"/>
          <w:sz w:val="24"/>
        </w:rPr>
        <w:t>회사에서</w:t>
      </w:r>
    </w:p>
    <w:p>
      <w:pPr>
        <w:spacing w:line="360" w:lineRule="auto" w:after="120"/>
        <w:ind w:firstLine="283"/>
      </w:pPr>
      <w:r>
        <w:rPr>
          <w:rFonts w:ascii="Asta Sans" w:hAnsi="Asta Sans" w:eastAsia="Asta Sans"/>
          <w:b w:val="0"/>
          <w:sz w:val="22"/>
        </w:rPr>
        <w:t>김 과장이 “다음 달 삼성전자와 납품 계약 진행해줘”라고 AI 비서에게 말합니다. 김 과장의 AI 비서는 삼성전자의 AI 비서에게 연락합니다. 두 AI가 서로 일정을 조율하고, 계약 조건을 주고받으며 초안을 작성합니다. 가격 협상도 AI끼리 합니다. 김 과장은 최종 계약서만 검토하고 서명합니다. 하루 47건의 업무를 에이전트가 자율 처리하고, 위임 범위(±8%)를 초과하는 2건만 인간이 판단합니다.</w:t>
      </w:r>
    </w:p>
    <w:p>
      <w:pPr>
        <w:spacing w:before="200" w:after="80"/>
      </w:pPr>
      <w:r>
        <w:rPr>
          <w:rFonts w:ascii="Asta Sans" w:hAnsi="Asta Sans" w:eastAsia="Asta Sans"/>
          <w:b/>
          <w:color w:val="444444"/>
          <w:sz w:val="24"/>
        </w:rPr>
        <w:t>병원에서</w:t>
      </w:r>
    </w:p>
    <w:p>
      <w:pPr>
        <w:spacing w:line="360" w:lineRule="auto" w:after="120"/>
        <w:ind w:firstLine="283"/>
      </w:pPr>
      <w:r>
        <w:rPr>
          <w:rFonts w:ascii="Asta Sans" w:hAnsi="Asta Sans" w:eastAsia="Asta Sans"/>
          <w:b w:val="0"/>
          <w:sz w:val="22"/>
        </w:rPr>
        <w:t>박 할머니의 AI 건강 에이전트가 혈압과 혈당 데이터를 매일 체크합니다. 수치가 이상하면 AI가 알아서 병원 AI에게 연락합니다. 병원 AI는 증상을 분석하고, 검사 예약을 잡고, 보험 처리까지 자동으로 진행합니다. 그러나 “처리할 수 있다”가 “처리해도 된다”를 의미하지는 않습니다. 환자의 사전의향서에 “침습적 처치는 보호자 동의 우선” 조항이 있으면, 에이전트는 의학적 판단이 가능하더라도 스스로 멈춥니다.</w:t>
      </w:r>
    </w:p>
    <w:p>
      <w:pPr>
        <w:spacing w:before="200" w:after="80"/>
      </w:pPr>
      <w:r>
        <w:rPr>
          <w:rFonts w:ascii="Asta Sans" w:hAnsi="Asta Sans" w:eastAsia="Asta Sans"/>
          <w:b/>
          <w:color w:val="444444"/>
          <w:sz w:val="24"/>
        </w:rPr>
        <w:t>은행에서</w:t>
      </w:r>
    </w:p>
    <w:p>
      <w:pPr>
        <w:spacing w:line="360" w:lineRule="auto" w:after="120"/>
        <w:ind w:firstLine="283"/>
      </w:pPr>
      <w:r>
        <w:rPr>
          <w:rFonts w:ascii="Asta Sans" w:hAnsi="Asta Sans" w:eastAsia="Asta Sans"/>
          <w:b w:val="0"/>
          <w:sz w:val="22"/>
        </w:rPr>
        <w:t>이 사장님의 AI 재무 에이전트가 은행 AI, 증권사 AI, 보험사 AI와 24시간 소통합니다. “은퇴 후 월 300만 원은 나오게 해줘”라고 한마디 하면, AI가 예금 금리, 주식 수익률, 보험 조건을 실시간으로 비교하며 최적의 조합을 찾습니다.</w:t>
      </w:r>
    </w:p>
    <w:p>
      <w:pPr>
        <w:spacing w:before="200" w:after="80"/>
      </w:pPr>
      <w:r>
        <w:rPr>
          <w:rFonts w:ascii="Asta Sans" w:hAnsi="Asta Sans" w:eastAsia="Asta Sans"/>
          <w:b/>
          <w:color w:val="444444"/>
          <w:sz w:val="24"/>
        </w:rPr>
        <w:t>학교에서</w:t>
      </w:r>
    </w:p>
    <w:p>
      <w:pPr>
        <w:spacing w:line="360" w:lineRule="auto" w:after="120"/>
        <w:ind w:firstLine="283"/>
      </w:pPr>
      <w:r>
        <w:rPr>
          <w:rFonts w:ascii="Asta Sans" w:hAnsi="Asta Sans" w:eastAsia="Asta Sans"/>
          <w:b w:val="0"/>
          <w:sz w:val="22"/>
        </w:rPr>
        <w:t>중학생 민수에게는 AI 개인 교사가 있습니다. 민수가 수학 분수를 어려워하면, AI 교사가 출판사 AI에게서 민수 수준에 맞는 교재를 가져오고, 평가 AI와 협력하여 민수만을 위한 연습 문제를 만듭니다. 30명이 같은 진도를 나가는 것이 아니라, 30명 각각에게 다른 수업이 진행됩니다.</w:t>
      </w:r>
    </w:p>
    <w:p>
      <w:pPr>
        <w:spacing w:before="200" w:after="80"/>
      </w:pPr>
      <w:r>
        <w:rPr>
          <w:rFonts w:ascii="Asta Sans" w:hAnsi="Asta Sans" w:eastAsia="Asta Sans"/>
          <w:b/>
          <w:color w:val="444444"/>
          <w:sz w:val="24"/>
        </w:rPr>
        <w:t>일상에서</w:t>
      </w:r>
    </w:p>
    <w:p>
      <w:pPr>
        <w:spacing w:line="360" w:lineRule="auto" w:after="120"/>
        <w:ind w:firstLine="283"/>
      </w:pPr>
      <w:r>
        <w:rPr>
          <w:rFonts w:ascii="Asta Sans" w:hAnsi="Asta Sans" w:eastAsia="Asta Sans"/>
          <w:b w:val="0"/>
          <w:sz w:val="22"/>
        </w:rPr>
        <w:t>“내일 부산 출장 준비해줘”라고 말하면, AI가 알아서 움직입니다. 항공사 AI에게 가장 좋은 좌석을 확인하고, 호텔 AI에게 회의 장소와 가까운 방을 예약하고, 택시 AI에게 공항 픽업을 요청합니다. 이 모든 것이 AI끼리 대화해서 5분 만에 완성됩니다.</w:t>
      </w:r>
    </w:p>
    <w:p>
      <w:pPr>
        <w:spacing w:before="200" w:after="80"/>
      </w:pPr>
      <w:r>
        <w:rPr>
          <w:rFonts w:ascii="Asta Sans" w:hAnsi="Asta Sans" w:eastAsia="Asta Sans"/>
          <w:b/>
          <w:color w:val="444444"/>
          <w:sz w:val="24"/>
        </w:rPr>
        <w:t>이 세상에서 생기는 문제</w:t>
      </w:r>
    </w:p>
    <w:p>
      <w:pPr>
        <w:spacing w:line="360" w:lineRule="auto" w:after="120"/>
        <w:ind w:firstLine="283"/>
      </w:pPr>
      <w:r>
        <w:rPr>
          <w:rFonts w:ascii="Asta Sans" w:hAnsi="Asta Sans" w:eastAsia="Asta Sans"/>
          <w:b w:val="0"/>
          <w:sz w:val="22"/>
        </w:rPr>
        <w:t>AI끼리 대화하고 결정하는 세상에서, 사람은 무엇을 하는 걸까요? AI가 잘못된 결정을 내리면 누구의 책임일까요? AI끼리 합의한 내용을 사람이 이해하지 못한다면? 바로 이것이 본 연구의 첫 두 단계 — AI의 법적 지위를 정하고(❶ 주체 정의), 사람과 AI 사이의 책임 관계를 정하는 것(❷ 관계 정의) — 가 시급한 이유입니다.</w:t>
      </w:r>
    </w:p>
    <w:p>
      <w:pPr>
        <w:spacing w:before="280" w:after="160"/>
      </w:pPr>
      <w:r>
        <w:rPr>
          <w:rFonts w:ascii="Asta Sans" w:hAnsi="Asta Sans" w:eastAsia="Asta Sans"/>
          <w:b/>
          <w:color w:val="444444"/>
          <w:sz w:val="26"/>
        </w:rPr>
        <w:t>규모별 변화</w:t>
      </w:r>
    </w:p>
    <w:tbl>
      <w:tblPr>
        <w:tblStyle w:val="TableGrid"/>
        <w:tblW w:type="auto" w:w="0"/>
        <w:tblLook w:firstColumn="1" w:firstRow="1" w:lastColumn="0" w:lastRow="0" w:noHBand="0" w:noVBand="1" w:val="04A0"/>
        <w:tblLayout w:type="fixed"/>
      </w:tblPr>
      <w:tblGrid>
        <w:gridCol w:w="1417"/>
        <w:gridCol w:w="7938"/>
      </w:tblGrid>
      <w:tr>
        <w:tc>
          <w:tcPr>
            <w:shd w:fill="333333" w:val="clear"/>
            <w:tcW w:w="1417" w:type="dxa"/>
          </w:tcPr>
          <w:p>
            <w:r/>
            <w:r>
              <w:rPr>
                <w:rFonts w:ascii="Asta Sans" w:hAnsi="Asta Sans" w:eastAsia="Asta Sans"/>
                <w:b/>
                <w:color w:val="FFFFFF"/>
                <w:sz w:val="20"/>
              </w:rPr>
              <w:t>규모</w:t>
            </w:r>
          </w:p>
        </w:tc>
        <w:tc>
          <w:tcPr>
            <w:shd w:fill="333333" w:val="clear"/>
            <w:tcW w:w="7938" w:type="dxa"/>
          </w:tcPr>
          <w:p>
            <w:r/>
            <w:r>
              <w:rPr>
                <w:rFonts w:ascii="Asta Sans" w:hAnsi="Asta Sans" w:eastAsia="Asta Sans"/>
                <w:b/>
                <w:color w:val="FFFFFF"/>
                <w:sz w:val="20"/>
              </w:rPr>
              <w:t>변화</w:t>
            </w:r>
          </w:p>
        </w:tc>
      </w:tr>
      <w:tr>
        <w:tc>
          <w:tcPr>
            <w:tcW w:w="1417" w:type="dxa"/>
          </w:tcPr>
          <w:p>
            <w:r/>
            <w:r>
              <w:rPr>
                <w:rFonts w:ascii="Asta Sans" w:hAnsi="Asta Sans" w:eastAsia="Asta Sans"/>
                <w:b/>
                <w:sz w:val="20"/>
              </w:rPr>
              <w:t>개인</w:t>
            </w:r>
          </w:p>
        </w:tc>
        <w:tc>
          <w:tcPr>
            <w:tcW w:w="7938" w:type="dxa"/>
          </w:tcPr>
          <w:p>
            <w:pPr>
              <w:spacing w:line="312" w:lineRule="auto"/>
            </w:pPr>
            <w:r/>
            <w:r>
              <w:rPr>
                <w:rFonts w:ascii="Asta Sans" w:hAnsi="Asta Sans" w:eastAsia="Asta Sans"/>
                <w:b w:val="0"/>
                <w:sz w:val="20"/>
              </w:rPr>
              <w:t>AI 비서가 이메일, 일정, 재무, 건강을 관리. 생산성 5~10배 증가하지만, AI에 위임하는 범위를 스스로 결정해야 하는 새로운 부담 발생.</w:t>
            </w:r>
          </w:p>
        </w:tc>
      </w:tr>
      <w:tr>
        <w:tc>
          <w:tcPr>
            <w:tcW w:w="1417" w:type="dxa"/>
          </w:tcPr>
          <w:p>
            <w:r/>
            <w:r>
              <w:rPr>
                <w:rFonts w:ascii="Asta Sans" w:hAnsi="Asta Sans" w:eastAsia="Asta Sans"/>
                <w:b/>
                <w:sz w:val="20"/>
              </w:rPr>
              <w:t>가정</w:t>
            </w:r>
          </w:p>
        </w:tc>
        <w:tc>
          <w:tcPr>
            <w:tcW w:w="7938" w:type="dxa"/>
          </w:tcPr>
          <w:p>
            <w:pPr>
              <w:spacing w:line="312" w:lineRule="auto"/>
            </w:pPr>
            <w:r/>
            <w:r>
              <w:rPr>
                <w:rFonts w:ascii="Asta Sans" w:hAnsi="Asta Sans" w:eastAsia="Asta Sans"/>
                <w:b w:val="0"/>
                <w:sz w:val="20"/>
              </w:rPr>
              <w:t>가족 AI가 가계부, 보험, 교육비, 병원 예약을 통합 관리. 가족 구성원별 에이전트 권한 차등이 새로운 가정 규칙으로 등장.</w:t>
            </w:r>
          </w:p>
        </w:tc>
      </w:tr>
      <w:tr>
        <w:tc>
          <w:tcPr>
            <w:tcW w:w="1417" w:type="dxa"/>
          </w:tcPr>
          <w:p>
            <w:r/>
            <w:r>
              <w:rPr>
                <w:rFonts w:ascii="Asta Sans" w:hAnsi="Asta Sans" w:eastAsia="Asta Sans"/>
                <w:b/>
                <w:sz w:val="20"/>
              </w:rPr>
              <w:t>이웃</w:t>
            </w:r>
          </w:p>
        </w:tc>
        <w:tc>
          <w:tcPr>
            <w:tcW w:w="7938" w:type="dxa"/>
          </w:tcPr>
          <w:p>
            <w:pPr>
              <w:spacing w:line="312" w:lineRule="auto"/>
            </w:pPr>
            <w:r/>
            <w:r>
              <w:rPr>
                <w:rFonts w:ascii="Asta Sans" w:hAnsi="Asta Sans" w:eastAsia="Asta Sans"/>
                <w:b w:val="0"/>
                <w:sz w:val="20"/>
              </w:rPr>
              <w:t>아파트·마을 단위 AI가 공동 자원(주차, 택배, 돌봄)을 조율. 이웃 간 AI끼리 자동으로 소통하여 층간소음 조정, 공유 차량 배분 등을 처리. 정보 교환이 AI로 이동하면서 이웃 간 대면 대화 빈도 감소.</w:t>
            </w:r>
          </w:p>
        </w:tc>
      </w:tr>
      <w:tr>
        <w:tc>
          <w:tcPr>
            <w:tcW w:w="1417" w:type="dxa"/>
          </w:tcPr>
          <w:p>
            <w:r/>
            <w:r>
              <w:rPr>
                <w:rFonts w:ascii="Asta Sans" w:hAnsi="Asta Sans" w:eastAsia="Asta Sans"/>
                <w:b/>
                <w:sz w:val="20"/>
              </w:rPr>
              <w:t>마을</w:t>
            </w:r>
          </w:p>
        </w:tc>
        <w:tc>
          <w:tcPr>
            <w:tcW w:w="7938" w:type="dxa"/>
          </w:tcPr>
          <w:p>
            <w:pPr>
              <w:spacing w:line="312" w:lineRule="auto"/>
            </w:pPr>
            <w:r/>
            <w:r>
              <w:rPr>
                <w:rFonts w:ascii="Asta Sans" w:hAnsi="Asta Sans" w:eastAsia="Asta Sans"/>
                <w:b w:val="0"/>
                <w:sz w:val="20"/>
              </w:rPr>
              <w:t>지자체 AI가 인허가, 민원, 복지 신청을 자동 처리. 주민센터 방문 없이 AI 대화로 행정 해결. 에이전트를 사용할 수 없는 고령층은 서비스 소외와 공동체 고립의 이중 취약성에 놓임.</w:t>
            </w:r>
          </w:p>
        </w:tc>
      </w:tr>
      <w:tr>
        <w:tc>
          <w:tcPr>
            <w:tcW w:w="1417" w:type="dxa"/>
          </w:tcPr>
          <w:p>
            <w:r/>
            <w:r>
              <w:rPr>
                <w:rFonts w:ascii="Asta Sans" w:hAnsi="Asta Sans" w:eastAsia="Asta Sans"/>
                <w:b/>
                <w:sz w:val="20"/>
              </w:rPr>
              <w:t>도시</w:t>
            </w:r>
          </w:p>
        </w:tc>
        <w:tc>
          <w:tcPr>
            <w:tcW w:w="7938" w:type="dxa"/>
          </w:tcPr>
          <w:p>
            <w:pPr>
              <w:spacing w:line="312" w:lineRule="auto"/>
            </w:pPr>
            <w:r/>
            <w:r>
              <w:rPr>
                <w:rFonts w:ascii="Asta Sans" w:hAnsi="Asta Sans" w:eastAsia="Asta Sans"/>
                <w:b w:val="0"/>
                <w:sz w:val="20"/>
              </w:rPr>
              <w:t>교통 AI가 실시간 신호 최적화, 에너지 AI가 전력 수급 조절. 도시 전체의 효율이 올라가나, AI 인프라 격차에 따른 도시 간 불평등 심화.</w:t>
            </w:r>
          </w:p>
        </w:tc>
      </w:tr>
      <w:tr>
        <w:tc>
          <w:tcPr>
            <w:tcW w:w="1417" w:type="dxa"/>
          </w:tcPr>
          <w:p>
            <w:r/>
            <w:r>
              <w:rPr>
                <w:rFonts w:ascii="Asta Sans" w:hAnsi="Asta Sans" w:eastAsia="Asta Sans"/>
                <w:b/>
                <w:sz w:val="20"/>
              </w:rPr>
              <w:t>국가</w:t>
            </w:r>
          </w:p>
        </w:tc>
        <w:tc>
          <w:tcPr>
            <w:tcW w:w="7938" w:type="dxa"/>
          </w:tcPr>
          <w:p>
            <w:pPr>
              <w:spacing w:line="312" w:lineRule="auto"/>
            </w:pPr>
            <w:r/>
            <w:r>
              <w:rPr>
                <w:rFonts w:ascii="Asta Sans" w:hAnsi="Asta Sans" w:eastAsia="Asta Sans"/>
                <w:b w:val="0"/>
                <w:sz w:val="20"/>
              </w:rPr>
              <w:t>국세청·건보공단·법원 AI가 세금, 보험, 분쟁을 자동 처리. 공무원 업무의 60%가 AI로 전환.</w:t>
            </w:r>
          </w:p>
        </w:tc>
      </w:tr>
      <w:tr>
        <w:tc>
          <w:tcPr>
            <w:tcW w:w="1417" w:type="dxa"/>
          </w:tcPr>
          <w:p>
            <w:r/>
            <w:r>
              <w:rPr>
                <w:rFonts w:ascii="Asta Sans" w:hAnsi="Asta Sans" w:eastAsia="Asta Sans"/>
                <w:b/>
                <w:sz w:val="20"/>
              </w:rPr>
              <w:t>글로벌</w:t>
            </w:r>
          </w:p>
        </w:tc>
        <w:tc>
          <w:tcPr>
            <w:tcW w:w="7938" w:type="dxa"/>
          </w:tcPr>
          <w:p>
            <w:pPr>
              <w:spacing w:line="312" w:lineRule="auto"/>
            </w:pPr>
            <w:r/>
            <w:r>
              <w:rPr>
                <w:rFonts w:ascii="Asta Sans" w:hAnsi="Asta Sans" w:eastAsia="Asta Sans"/>
                <w:b w:val="0"/>
                <w:sz w:val="20"/>
              </w:rPr>
              <w:t>국경을 넘는 AI 에이전트 간 무역 협상, 계약 체결이 일상화. 에이전트 커머스 시장이 수조 달러 규모로 성장하나, 국제 표준과 분쟁 해결 메커니즘은 공백 상태.</w:t>
            </w:r>
          </w:p>
        </w:tc>
      </w:tr>
    </w:tbl>
    <w:p>
      <w:pPr>
        <w:spacing w:before="240" w:line="360" w:lineRule="auto" w:after="160"/>
        <w:ind w:firstLine="283"/>
      </w:pPr>
      <w:r>
        <w:rPr>
          <w:rFonts w:ascii="Asta Sans" w:hAnsi="Asta Sans" w:eastAsia="Asta Sans"/>
          <w:b/>
          <w:sz w:val="22"/>
        </w:rPr>
        <w:t>AI 에이전트가 서로 대화하는 세상은 이미 만들어지고 있습니다. 구글, 마이크로소프트, 애플 모두 2025년부터 AI 에이전트를 출시하고 있습니다. 기술은 준비되고 있는데, 규칙은 아직 없습니다.</w:t>
      </w:r>
    </w:p>
    <w:p>
      <w:r>
        <w:br w:type="page"/>
      </w:r>
    </w:p>
    <w:p>
      <w:pPr>
        <w:spacing w:before="240" w:after="120"/>
      </w:pPr>
      <w:r>
        <w:rPr>
          <w:rFonts w:ascii="Asta Sans" w:hAnsi="Asta Sans" w:eastAsia="Asta Sans"/>
          <w:b/>
          <w:color w:val="000000"/>
          <w:sz w:val="32"/>
        </w:rPr>
        <w:t>2030년: 휴머노이드 로봇이 있는 세상</w:t>
      </w:r>
    </w:p>
    <w:p>
      <w:pPr>
        <w:spacing w:line="360" w:lineRule="auto" w:after="200"/>
        <w:ind w:firstLine="283"/>
      </w:pPr>
      <w:r>
        <w:rPr>
          <w:rFonts w:ascii="Asta Sans" w:hAnsi="Asta Sans" w:eastAsia="Asta Sans"/>
          <w:b w:val="0"/>
          <w:sz w:val="22"/>
        </w:rPr>
        <w:t>2030년, 사람처럼 생긴 로봇이 공장에서, 식당에서, 병원에서, 농장에서 일합니다. Figure AI의 로봇은 이미 BMW 공장에서 자동차를 조립하고 있고, 테슬라의 옵티머스 로봇은 물류 창고에서 짐을 나르고 있습니다.</w:t>
      </w:r>
    </w:p>
    <w:p>
      <w:pPr>
        <w:spacing w:before="200" w:after="80"/>
      </w:pPr>
      <w:r>
        <w:rPr>
          <w:rFonts w:ascii="Asta Sans" w:hAnsi="Asta Sans" w:eastAsia="Asta Sans"/>
          <w:b/>
          <w:color w:val="444444"/>
          <w:sz w:val="24"/>
        </w:rPr>
        <w:t>공장에서</w:t>
      </w:r>
    </w:p>
    <w:p>
      <w:pPr>
        <w:spacing w:line="360" w:lineRule="auto" w:after="120"/>
        <w:ind w:firstLine="283"/>
      </w:pPr>
      <w:r>
        <w:rPr>
          <w:rFonts w:ascii="Asta Sans" w:hAnsi="Asta Sans" w:eastAsia="Asta Sans"/>
          <w:b w:val="0"/>
          <w:sz w:val="22"/>
        </w:rPr>
        <w:t>Figure AI의 로봇이 BMW 공장 조립 라인에 섭니다. 사람처럼 두 손으로 부품을 집고, 나사를 조이고, 품질을 검사합니다. 로봇은 지치지 않고, 실수가 적고, 위험한 작업도 합니다. 용접, 도장, 중량물 운반 같은 위험한 일은 모두 로봇의 몫입니다.</w:t>
      </w:r>
    </w:p>
    <w:p>
      <w:pPr>
        <w:spacing w:before="200" w:after="80"/>
      </w:pPr>
      <w:r>
        <w:rPr>
          <w:rFonts w:ascii="Asta Sans" w:hAnsi="Asta Sans" w:eastAsia="Asta Sans"/>
          <w:b/>
          <w:color w:val="444444"/>
          <w:sz w:val="24"/>
        </w:rPr>
        <w:t>식당과 가게에서</w:t>
      </w:r>
    </w:p>
    <w:p>
      <w:pPr>
        <w:spacing w:line="360" w:lineRule="auto" w:after="120"/>
        <w:ind w:firstLine="283"/>
      </w:pPr>
      <w:r>
        <w:rPr>
          <w:rFonts w:ascii="Asta Sans" w:hAnsi="Asta Sans" w:eastAsia="Asta Sans"/>
          <w:b w:val="0"/>
          <w:sz w:val="22"/>
        </w:rPr>
        <w:t>식당 주방에서 로봇이 요리합니다. 정해진 레시피대로 재료를 계량하고, 볶고, 담아냅니다. 홀에서는 로봇이 음식을 나르고 빈 그릇을 치웁니다. 편의점에서는 로봇이 새벽에 배달 온 물건을 정리하고, 유통기한을 체크합니다.</w:t>
      </w:r>
    </w:p>
    <w:p>
      <w:pPr>
        <w:spacing w:before="200" w:after="80"/>
      </w:pPr>
      <w:r>
        <w:rPr>
          <w:rFonts w:ascii="Asta Sans" w:hAnsi="Asta Sans" w:eastAsia="Asta Sans"/>
          <w:b/>
          <w:color w:val="444444"/>
          <w:sz w:val="24"/>
        </w:rPr>
        <w:t>위험한 현장에서</w:t>
      </w:r>
    </w:p>
    <w:p>
      <w:pPr>
        <w:spacing w:line="360" w:lineRule="auto" w:after="120"/>
        <w:ind w:firstLine="283"/>
      </w:pPr>
      <w:r>
        <w:rPr>
          <w:rFonts w:ascii="Asta Sans" w:hAnsi="Asta Sans" w:eastAsia="Asta Sans"/>
          <w:b w:val="0"/>
          <w:sz w:val="22"/>
        </w:rPr>
        <w:t>건설 현장에서 로봇이 고층 빌딩 철골 작업을 합니다. 화재 현장에서 로봇이 먼저 들어가 사람을 수색합니다. 원자력 발전소 사고 현장, 깊은 바다 속, 재해 지역 — 사람이 가면 위험한 곳에 로봇이 갑니다.</w:t>
      </w:r>
    </w:p>
    <w:p>
      <w:pPr>
        <w:spacing w:before="200" w:after="80"/>
      </w:pPr>
      <w:r>
        <w:rPr>
          <w:rFonts w:ascii="Asta Sans" w:hAnsi="Asta Sans" w:eastAsia="Asta Sans"/>
          <w:b/>
          <w:color w:val="444444"/>
          <w:sz w:val="24"/>
        </w:rPr>
        <w:t>돌봄과 농업에서</w:t>
      </w:r>
    </w:p>
    <w:p>
      <w:pPr>
        <w:spacing w:line="360" w:lineRule="auto" w:after="120"/>
        <w:ind w:firstLine="283"/>
      </w:pPr>
      <w:r>
        <w:rPr>
          <w:rFonts w:ascii="Asta Sans" w:hAnsi="Asta Sans" w:eastAsia="Asta Sans"/>
          <w:b w:val="0"/>
          <w:sz w:val="22"/>
        </w:rPr>
        <w:t>혼자 사시는 할머니 댁에 돌봄 로봇이 있습니다. 약 먹을 시간을 알려주고, 넘어지면 119에 연락하고, 말벗이 되어줍니다. 농장에서는 수확 로봇이 과일을 따고, 잡초를 뽑고, 비료를 줍니다.</w:t>
      </w:r>
    </w:p>
    <w:p>
      <w:pPr>
        <w:spacing w:before="200" w:after="80"/>
      </w:pPr>
      <w:r>
        <w:rPr>
          <w:rFonts w:ascii="Asta Sans" w:hAnsi="Asta Sans" w:eastAsia="Asta Sans"/>
          <w:b/>
          <w:color w:val="444444"/>
          <w:sz w:val="24"/>
        </w:rPr>
        <w:t>물류에서: 효율과 공정의 충돌</w:t>
      </w:r>
    </w:p>
    <w:p>
      <w:pPr>
        <w:spacing w:line="360" w:lineRule="auto" w:after="120"/>
        <w:ind w:firstLine="283"/>
      </w:pPr>
      <w:r>
        <w:rPr>
          <w:rFonts w:ascii="Asta Sans" w:hAnsi="Asta Sans" w:eastAsia="Asta Sans"/>
          <w:b w:val="0"/>
          <w:sz w:val="22"/>
        </w:rPr>
        <w:t>물류 센터의 루트설계 AI가 효율 최적화 기준으로 특정 구역을 반복 제외합니다. 수익성이 낮기 때문입니다. 그러나 해당 구역이 고령 인구 밀집 지역이며 취약계층 포함 지역임이 확인됩니다. 효율성과 공정성이 충돌하는 순간, AI는 멈추고 인간이 판단해야 합니다.</w:t>
      </w:r>
    </w:p>
    <w:p>
      <w:pPr>
        <w:spacing w:before="200" w:after="80"/>
      </w:pPr>
      <w:r>
        <w:rPr>
          <w:rFonts w:ascii="Asta Sans" w:hAnsi="Asta Sans" w:eastAsia="Asta Sans"/>
          <w:b/>
          <w:color w:val="444444"/>
          <w:sz w:val="24"/>
        </w:rPr>
        <w:t>일자리의 변화</w:t>
      </w:r>
    </w:p>
    <w:p>
      <w:pPr>
        <w:spacing w:line="360" w:lineRule="auto" w:after="120"/>
        <w:ind w:firstLine="283"/>
      </w:pPr>
      <w:r>
        <w:rPr>
          <w:rFonts w:ascii="Asta Sans" w:hAnsi="Asta Sans" w:eastAsia="Asta Sans"/>
          <w:b w:val="0"/>
          <w:sz w:val="22"/>
        </w:rPr>
        <w:t>택시 운전사, 버스 기사, 트럭 운전사 — 자율주행이 보편화되면 이 일자리가 줄어듭니다. 공장 노동자, 물류 작업자, 배달원, 청소원, 경비원 — 로봇이 대체하면 이 일자리도 줄어듭니다. 한국에서만 수백만 명, 전 세계로는 수억 명이 영향을 받습니다. Goldman Sachs는 AI가 전 세계 3억 개 일자리에 영향을 미칠 것으로 추산했습니다.</w:t>
      </w:r>
    </w:p>
    <w:p>
      <w:pPr>
        <w:spacing w:before="200" w:after="80"/>
      </w:pPr>
      <w:r>
        <w:rPr>
          <w:rFonts w:ascii="Asta Sans" w:hAnsi="Asta Sans" w:eastAsia="Asta Sans"/>
          <w:b/>
          <w:color w:val="444444"/>
          <w:sz w:val="24"/>
        </w:rPr>
        <w:t>이 세상에서 생기는 문제</w:t>
      </w:r>
    </w:p>
    <w:p>
      <w:pPr>
        <w:spacing w:line="360" w:lineRule="auto" w:after="120"/>
        <w:ind w:firstLine="283"/>
      </w:pPr>
      <w:r>
        <w:rPr>
          <w:rFonts w:ascii="Asta Sans" w:hAnsi="Asta Sans" w:eastAsia="Asta Sans"/>
          <w:b w:val="0"/>
          <w:sz w:val="22"/>
        </w:rPr>
        <w:t>일자리를 잃은 수억 명의 사람들은 어떻게 살아갈까요? 로봇이 만든 부는 로봇을 소유한 기업에게만 갈까요? “열심히 일해서 돈을 번다”는 지금까지의 사회 규칙이 무너질 때, 새로운 규칙은 무엇이어야 할까요? 바로 이것이 본 연구의 세 번째 단계 — 경제적 질서의 조건을 미리 설계하는 것(❸ 질서 설계) — 이 시급한 이유입니다.</w:t>
      </w:r>
    </w:p>
    <w:p>
      <w:pPr>
        <w:spacing w:before="280" w:after="160"/>
      </w:pPr>
      <w:r>
        <w:rPr>
          <w:rFonts w:ascii="Asta Sans" w:hAnsi="Asta Sans" w:eastAsia="Asta Sans"/>
          <w:b/>
          <w:color w:val="444444"/>
          <w:sz w:val="26"/>
        </w:rPr>
        <w:t>규모별 변화</w:t>
      </w:r>
    </w:p>
    <w:tbl>
      <w:tblPr>
        <w:tblStyle w:val="TableGrid"/>
        <w:tblW w:type="auto" w:w="0"/>
        <w:tblLook w:firstColumn="1" w:firstRow="1" w:lastColumn="0" w:lastRow="0" w:noHBand="0" w:noVBand="1" w:val="04A0"/>
        <w:tblLayout w:type="fixed"/>
      </w:tblPr>
      <w:tblGrid>
        <w:gridCol w:w="1417"/>
        <w:gridCol w:w="7938"/>
      </w:tblGrid>
      <w:tr>
        <w:tc>
          <w:tcPr>
            <w:shd w:fill="333333" w:val="clear"/>
            <w:tcW w:w="1417" w:type="dxa"/>
          </w:tcPr>
          <w:p>
            <w:r/>
            <w:r>
              <w:rPr>
                <w:rFonts w:ascii="Asta Sans" w:hAnsi="Asta Sans" w:eastAsia="Asta Sans"/>
                <w:b/>
                <w:color w:val="FFFFFF"/>
                <w:sz w:val="20"/>
              </w:rPr>
              <w:t>규모</w:t>
            </w:r>
          </w:p>
        </w:tc>
        <w:tc>
          <w:tcPr>
            <w:shd w:fill="333333" w:val="clear"/>
            <w:tcW w:w="7938" w:type="dxa"/>
          </w:tcPr>
          <w:p>
            <w:r/>
            <w:r>
              <w:rPr>
                <w:rFonts w:ascii="Asta Sans" w:hAnsi="Asta Sans" w:eastAsia="Asta Sans"/>
                <w:b/>
                <w:color w:val="FFFFFF"/>
                <w:sz w:val="20"/>
              </w:rPr>
              <w:t>변화</w:t>
            </w:r>
          </w:p>
        </w:tc>
      </w:tr>
      <w:tr>
        <w:tc>
          <w:tcPr>
            <w:tcW w:w="1417" w:type="dxa"/>
          </w:tcPr>
          <w:p>
            <w:r/>
            <w:r>
              <w:rPr>
                <w:rFonts w:ascii="Asta Sans" w:hAnsi="Asta Sans" w:eastAsia="Asta Sans"/>
                <w:b/>
                <w:sz w:val="20"/>
              </w:rPr>
              <w:t>개인</w:t>
            </w:r>
          </w:p>
        </w:tc>
        <w:tc>
          <w:tcPr>
            <w:tcW w:w="7938" w:type="dxa"/>
          </w:tcPr>
          <w:p>
            <w:pPr>
              <w:spacing w:line="312" w:lineRule="auto"/>
            </w:pPr>
            <w:r/>
            <w:r>
              <w:rPr>
                <w:rFonts w:ascii="Asta Sans" w:hAnsi="Asta Sans" w:eastAsia="Asta Sans"/>
                <w:b w:val="0"/>
                <w:sz w:val="20"/>
              </w:rPr>
              <w:t>개인 로봇이 집안일, 요리, 빨래, 청소를 처리. “무엇을 할 것인가”가 실존적 질문으로 부상.</w:t>
            </w:r>
          </w:p>
        </w:tc>
      </w:tr>
      <w:tr>
        <w:tc>
          <w:tcPr>
            <w:tcW w:w="1417" w:type="dxa"/>
          </w:tcPr>
          <w:p>
            <w:r/>
            <w:r>
              <w:rPr>
                <w:rFonts w:ascii="Asta Sans" w:hAnsi="Asta Sans" w:eastAsia="Asta Sans"/>
                <w:b/>
                <w:sz w:val="20"/>
              </w:rPr>
              <w:t>가정</w:t>
            </w:r>
          </w:p>
        </w:tc>
        <w:tc>
          <w:tcPr>
            <w:tcW w:w="7938" w:type="dxa"/>
          </w:tcPr>
          <w:p>
            <w:pPr>
              <w:spacing w:line="312" w:lineRule="auto"/>
            </w:pPr>
            <w:r/>
            <w:r>
              <w:rPr>
                <w:rFonts w:ascii="Asta Sans" w:hAnsi="Asta Sans" w:eastAsia="Asta Sans"/>
                <w:b w:val="0"/>
                <w:sz w:val="20"/>
              </w:rPr>
              <w:t>가사 로봇이 요리·청소·세탁을 담당. 돌봄 로봇이 노인·아동을 보조. “로봇이 키운 아이”에 대한 발달심리학적 우려 제기.</w:t>
            </w:r>
          </w:p>
        </w:tc>
      </w:tr>
      <w:tr>
        <w:tc>
          <w:tcPr>
            <w:tcW w:w="1417" w:type="dxa"/>
          </w:tcPr>
          <w:p>
            <w:r/>
            <w:r>
              <w:rPr>
                <w:rFonts w:ascii="Asta Sans" w:hAnsi="Asta Sans" w:eastAsia="Asta Sans"/>
                <w:b/>
                <w:sz w:val="20"/>
              </w:rPr>
              <w:t>이웃</w:t>
            </w:r>
          </w:p>
        </w:tc>
        <w:tc>
          <w:tcPr>
            <w:tcW w:w="7938" w:type="dxa"/>
          </w:tcPr>
          <w:p>
            <w:pPr>
              <w:spacing w:line="312" w:lineRule="auto"/>
            </w:pPr>
            <w:r/>
            <w:r>
              <w:rPr>
                <w:rFonts w:ascii="Asta Sans" w:hAnsi="Asta Sans" w:eastAsia="Asta Sans"/>
                <w:b w:val="0"/>
                <w:sz w:val="20"/>
              </w:rPr>
              <w:t>공동 로봇이 아파트 택배 분류, 주차장 관리, 조경을 담당. 경비·청소·관리 인력이 로봇으로 전환. 관리비 절감과 실업 증가가 동시에 진행.</w:t>
            </w:r>
          </w:p>
        </w:tc>
      </w:tr>
      <w:tr>
        <w:tc>
          <w:tcPr>
            <w:tcW w:w="1417" w:type="dxa"/>
          </w:tcPr>
          <w:p>
            <w:r/>
            <w:r>
              <w:rPr>
                <w:rFonts w:ascii="Asta Sans" w:hAnsi="Asta Sans" w:eastAsia="Asta Sans"/>
                <w:b/>
                <w:sz w:val="20"/>
              </w:rPr>
              <w:t>마을</w:t>
            </w:r>
          </w:p>
        </w:tc>
        <w:tc>
          <w:tcPr>
            <w:tcW w:w="7938" w:type="dxa"/>
          </w:tcPr>
          <w:p>
            <w:pPr>
              <w:spacing w:line="312" w:lineRule="auto"/>
            </w:pPr>
            <w:r/>
            <w:r>
              <w:rPr>
                <w:rFonts w:ascii="Asta Sans" w:hAnsi="Asta Sans" w:eastAsia="Asta Sans"/>
                <w:b w:val="0"/>
                <w:sz w:val="20"/>
              </w:rPr>
              <w:t>농업 로봇이 과수원·논밭을 관리하여 고령 농가 유지 가능. 소규모 제조 로봇으로 지역 생산 부활. 그러나 물류·배송·가공 일자리는 자동화로 소멸.</w:t>
            </w:r>
          </w:p>
        </w:tc>
      </w:tr>
      <w:tr>
        <w:tc>
          <w:tcPr>
            <w:tcW w:w="1417" w:type="dxa"/>
          </w:tcPr>
          <w:p>
            <w:r/>
            <w:r>
              <w:rPr>
                <w:rFonts w:ascii="Asta Sans" w:hAnsi="Asta Sans" w:eastAsia="Asta Sans"/>
                <w:b/>
                <w:sz w:val="20"/>
              </w:rPr>
              <w:t>도시</w:t>
            </w:r>
          </w:p>
        </w:tc>
        <w:tc>
          <w:tcPr>
            <w:tcW w:w="7938" w:type="dxa"/>
          </w:tcPr>
          <w:p>
            <w:pPr>
              <w:spacing w:line="312" w:lineRule="auto"/>
            </w:pPr>
            <w:r/>
            <w:r>
              <w:rPr>
                <w:rFonts w:ascii="Asta Sans" w:hAnsi="Asta Sans" w:eastAsia="Asta Sans"/>
                <w:b w:val="0"/>
                <w:sz w:val="20"/>
              </w:rPr>
              <w:t>자율주행 버스·택시가 대중교통 재편. 건설 로봇이 도심 재개발 속도 2배 향상. 서비스업 고용 30~40% 감소로 도시형 기본소득 실험 확산.</w:t>
            </w:r>
          </w:p>
        </w:tc>
      </w:tr>
      <w:tr>
        <w:tc>
          <w:tcPr>
            <w:tcW w:w="1417" w:type="dxa"/>
          </w:tcPr>
          <w:p>
            <w:r/>
            <w:r>
              <w:rPr>
                <w:rFonts w:ascii="Asta Sans" w:hAnsi="Asta Sans" w:eastAsia="Asta Sans"/>
                <w:b/>
                <w:sz w:val="20"/>
              </w:rPr>
              <w:t>국가</w:t>
            </w:r>
          </w:p>
        </w:tc>
        <w:tc>
          <w:tcPr>
            <w:tcW w:w="7938" w:type="dxa"/>
          </w:tcPr>
          <w:p>
            <w:pPr>
              <w:spacing w:line="312" w:lineRule="auto"/>
            </w:pPr>
            <w:r/>
            <w:r>
              <w:rPr>
                <w:rFonts w:ascii="Asta Sans" w:hAnsi="Asta Sans" w:eastAsia="Asta Sans"/>
                <w:b w:val="0"/>
                <w:sz w:val="20"/>
              </w:rPr>
              <w:t>GDP 성장과 고용 감소가 동시에 진행(“고용 없는 성장”). 로봇세, 기본소득, 직업 전환 프로그램이 핵심 정책 의제로.</w:t>
            </w:r>
          </w:p>
        </w:tc>
      </w:tr>
      <w:tr>
        <w:tc>
          <w:tcPr>
            <w:tcW w:w="1417" w:type="dxa"/>
          </w:tcPr>
          <w:p>
            <w:r/>
            <w:r>
              <w:rPr>
                <w:rFonts w:ascii="Asta Sans" w:hAnsi="Asta Sans" w:eastAsia="Asta Sans"/>
                <w:b/>
                <w:sz w:val="20"/>
              </w:rPr>
              <w:t>글로벌</w:t>
            </w:r>
          </w:p>
        </w:tc>
        <w:tc>
          <w:tcPr>
            <w:tcW w:w="7938" w:type="dxa"/>
          </w:tcPr>
          <w:p>
            <w:pPr>
              <w:spacing w:line="312" w:lineRule="auto"/>
            </w:pPr>
            <w:r/>
            <w:r>
              <w:rPr>
                <w:rFonts w:ascii="Asta Sans" w:hAnsi="Asta Sans" w:eastAsia="Asta Sans"/>
                <w:b w:val="0"/>
                <w:sz w:val="20"/>
              </w:rPr>
              <w:t>저임금 노동에 의존하던 개발도상국의 제조업 경쟁력 상실. “로봇 부국”과 “로봇 빈국”의 분리.</w:t>
            </w:r>
          </w:p>
        </w:tc>
      </w:tr>
    </w:tbl>
    <w:p>
      <w:pPr>
        <w:spacing w:before="240" w:line="360" w:lineRule="auto" w:after="160"/>
        <w:ind w:firstLine="283"/>
      </w:pPr>
      <w:r>
        <w:rPr>
          <w:rFonts w:ascii="Asta Sans" w:hAnsi="Asta Sans" w:eastAsia="Asta Sans"/>
          <w:b/>
          <w:sz w:val="22"/>
        </w:rPr>
        <w:t>휴머노이드 로봇이 있는 세상은 공상과학이 아닙니다. Figure AI, Tesla, Boston Dynamics 등이 이미 실용 단계의 로봇을 만들고 있습니다. 기술은 2~3년 안에 준비됩니다. 일자리가 대규모로 사라지기 전에, 새로운 분배 질서를 설계해야 합니다.</w:t>
      </w:r>
    </w:p>
    <w:p>
      <w:r>
        <w:br w:type="page"/>
      </w:r>
    </w:p>
    <w:p>
      <w:pPr>
        <w:spacing w:before="0" w:after="400"/>
      </w:pPr>
      <w:r>
        <w:rPr>
          <w:rFonts w:ascii="Asta Sans" w:hAnsi="Asta Sans" w:eastAsia="Asta Sans"/>
          <w:b/>
          <w:color w:val="000000"/>
          <w:sz w:val="44"/>
        </w:rPr>
        <w:t>부록 B: 에이전트 시대의 일상</w:t>
      </w:r>
    </w:p>
    <w:p>
      <w:pPr>
        <w:spacing w:after="320"/>
        <w:pBdr>
          <w:bottom w:val="single" w:sz="4" w:space="1" w:color="333333"/>
        </w:pBdr>
      </w:pPr>
    </w:p>
    <w:tbl>
      <w:tblPr>
        <w:tblStyle w:val="TableGrid"/>
        <w:tblW w:type="auto" w:w="0"/>
        <w:tblLook w:firstColumn="1" w:firstRow="1" w:lastColumn="0" w:lastRow="0" w:noHBand="0" w:noVBand="1" w:val="04A0"/>
        <w:tblLayout w:type="fixed"/>
      </w:tblPr>
      <w:tblGrid>
        <w:gridCol w:w="1247"/>
        <w:gridCol w:w="3912"/>
        <w:gridCol w:w="4195"/>
      </w:tblGrid>
      <w:tr>
        <w:tc>
          <w:tcPr>
            <w:shd w:fill="333333" w:val="clear"/>
            <w:tcW w:w="1247" w:type="dxa"/>
          </w:tcPr>
          <w:p>
            <w:r/>
            <w:r>
              <w:rPr>
                <w:rFonts w:ascii="Asta Sans" w:hAnsi="Asta Sans" w:eastAsia="Asta Sans"/>
                <w:b/>
                <w:color w:val="FFFFFF"/>
                <w:sz w:val="20"/>
              </w:rPr>
              <w:t>영역</w:t>
            </w:r>
          </w:p>
        </w:tc>
        <w:tc>
          <w:tcPr>
            <w:shd w:fill="333333" w:val="clear"/>
            <w:tcW w:w="3912" w:type="dxa"/>
          </w:tcPr>
          <w:p>
            <w:r/>
            <w:r>
              <w:rPr>
                <w:rFonts w:ascii="Asta Sans" w:hAnsi="Asta Sans" w:eastAsia="Asta Sans"/>
                <w:b/>
                <w:color w:val="FFFFFF"/>
                <w:sz w:val="20"/>
              </w:rPr>
              <w:t>현재</w:t>
            </w:r>
          </w:p>
        </w:tc>
        <w:tc>
          <w:tcPr>
            <w:shd w:fill="333333" w:val="clear"/>
            <w:tcW w:w="4195" w:type="dxa"/>
          </w:tcPr>
          <w:p>
            <w:r/>
            <w:r>
              <w:rPr>
                <w:rFonts w:ascii="Asta Sans" w:hAnsi="Asta Sans" w:eastAsia="Asta Sans"/>
                <w:b/>
                <w:color w:val="FFFFFF"/>
                <w:sz w:val="20"/>
              </w:rPr>
              <w:t>에이전트 시대</w:t>
            </w:r>
          </w:p>
        </w:tc>
      </w:tr>
      <w:tr>
        <w:tc>
          <w:tcPr>
            <w:tcW w:w="1247" w:type="dxa"/>
          </w:tcPr>
          <w:p>
            <w:r/>
            <w:r>
              <w:rPr>
                <w:rFonts w:ascii="Asta Sans" w:hAnsi="Asta Sans" w:eastAsia="Asta Sans"/>
                <w:b/>
                <w:sz w:val="18"/>
              </w:rPr>
              <w:t>쇼핑 / 소비</w:t>
            </w:r>
          </w:p>
        </w:tc>
        <w:tc>
          <w:tcPr>
            <w:tcW w:w="3912" w:type="dxa"/>
          </w:tcPr>
          <w:p>
            <w:pPr>
              <w:spacing w:line="312" w:lineRule="auto"/>
            </w:pPr>
            <w:r/>
            <w:r>
              <w:rPr>
                <w:rFonts w:ascii="Asta Sans" w:hAnsi="Asta Sans" w:eastAsia="Asta Sans"/>
                <w:b w:val="0"/>
                <w:sz w:val="18"/>
              </w:rPr>
              <w:t>에어콘 하나를 사려면 네이버 검색, 블로그 리뷰, 유튜브 비교, 가격 탐색까지 최소 1~2시간이 든다.</w:t>
            </w:r>
          </w:p>
        </w:tc>
        <w:tc>
          <w:tcPr>
            <w:tcW w:w="4195" w:type="dxa"/>
          </w:tcPr>
          <w:p>
            <w:pPr>
              <w:spacing w:line="312" w:lineRule="auto"/>
            </w:pPr>
            <w:r/>
            <w:r>
              <w:rPr>
                <w:rFonts w:ascii="Asta Sans" w:hAnsi="Asta Sans" w:eastAsia="Asta Sans"/>
                <w:b w:val="0"/>
                <w:sz w:val="18"/>
              </w:rPr>
              <w:t>“200만 원 이하, 18평형, 저소음 에어콘 찾아줘” 한 마디로 끝난다. 내 에이전트가 삼성, LG, 쿠팡 에이전트와 직접 협상해 최적 조건까지 완료하고, 사람은 승인만 누른다.</w:t>
            </w:r>
          </w:p>
        </w:tc>
      </w:tr>
      <w:tr>
        <w:tc>
          <w:tcPr>
            <w:tcW w:w="1247" w:type="dxa"/>
          </w:tcPr>
          <w:p>
            <w:r/>
            <w:r>
              <w:rPr>
                <w:rFonts w:ascii="Asta Sans" w:hAnsi="Asta Sans" w:eastAsia="Asta Sans"/>
                <w:b/>
                <w:sz w:val="18"/>
              </w:rPr>
              <w:t>교육</w:t>
            </w:r>
          </w:p>
        </w:tc>
        <w:tc>
          <w:tcPr>
            <w:tcW w:w="3912" w:type="dxa"/>
          </w:tcPr>
          <w:p>
            <w:pPr>
              <w:spacing w:line="312" w:lineRule="auto"/>
            </w:pPr>
            <w:r/>
            <w:r>
              <w:rPr>
                <w:rFonts w:ascii="Asta Sans" w:hAnsi="Asta Sans" w:eastAsia="Asta Sans"/>
                <w:b w:val="0"/>
                <w:sz w:val="18"/>
              </w:rPr>
              <w:t>학원과 인강에서 동일 콘텐츠를 수십 명이 함께 수강한다. 학습 속도가 달라도 커리큘럼은 고정이다.</w:t>
            </w:r>
          </w:p>
        </w:tc>
        <w:tc>
          <w:tcPr>
            <w:tcW w:w="4195" w:type="dxa"/>
          </w:tcPr>
          <w:p>
            <w:pPr>
              <w:spacing w:line="312" w:lineRule="auto"/>
            </w:pPr>
            <w:r/>
            <w:r>
              <w:rPr>
                <w:rFonts w:ascii="Asta Sans" w:hAnsi="Asta Sans" w:eastAsia="Asta Sans"/>
                <w:b w:val="0"/>
                <w:sz w:val="18"/>
              </w:rPr>
              <w:t>에이전트가 매일 학생의 풀이 과정, 오답 패턴, 집중도를 분석해 그날의 맞춤 문제와 설명을 생성한다. 30명 학급이 30개의 개별 커리큘럼으로 운영된다.</w:t>
            </w:r>
          </w:p>
        </w:tc>
      </w:tr>
      <w:tr>
        <w:tc>
          <w:tcPr>
            <w:tcW w:w="1247" w:type="dxa"/>
          </w:tcPr>
          <w:p>
            <w:r/>
            <w:r>
              <w:rPr>
                <w:rFonts w:ascii="Asta Sans" w:hAnsi="Asta Sans" w:eastAsia="Asta Sans"/>
                <w:b/>
                <w:sz w:val="18"/>
              </w:rPr>
              <w:t>연구</w:t>
            </w:r>
          </w:p>
        </w:tc>
        <w:tc>
          <w:tcPr>
            <w:tcW w:w="3912" w:type="dxa"/>
          </w:tcPr>
          <w:p>
            <w:pPr>
              <w:spacing w:line="312" w:lineRule="auto"/>
            </w:pPr>
            <w:r/>
            <w:r>
              <w:rPr>
                <w:rFonts w:ascii="Asta Sans" w:hAnsi="Asta Sans" w:eastAsia="Asta Sans"/>
                <w:b w:val="0"/>
                <w:sz w:val="18"/>
              </w:rPr>
              <w:t>선행 연구 검토만 수주에서 수개월이 걸린다.</w:t>
            </w:r>
          </w:p>
        </w:tc>
        <w:tc>
          <w:tcPr>
            <w:tcW w:w="4195" w:type="dxa"/>
          </w:tcPr>
          <w:p>
            <w:pPr>
              <w:spacing w:line="312" w:lineRule="auto"/>
            </w:pPr>
            <w:r/>
            <w:r>
              <w:rPr>
                <w:rFonts w:ascii="Asta Sans" w:hAnsi="Asta Sans" w:eastAsia="Asta Sans"/>
                <w:b w:val="0"/>
                <w:sz w:val="18"/>
              </w:rPr>
              <w:t>문헌 검색, 요약, 논증 구성 에이전트가 협업해 반나절 안에 구조화된 리뷰 초안을 완성한다. 연구자의 핵심 가치는 “어떤 질문을 설정할 것인가”로 이동한다.</w:t>
            </w:r>
          </w:p>
        </w:tc>
      </w:tr>
      <w:tr>
        <w:tc>
          <w:tcPr>
            <w:tcW w:w="1247" w:type="dxa"/>
          </w:tcPr>
          <w:p>
            <w:r/>
            <w:r>
              <w:rPr>
                <w:rFonts w:ascii="Asta Sans" w:hAnsi="Asta Sans" w:eastAsia="Asta Sans"/>
                <w:b/>
                <w:sz w:val="18"/>
              </w:rPr>
              <w:t>의료</w:t>
            </w:r>
          </w:p>
        </w:tc>
        <w:tc>
          <w:tcPr>
            <w:tcW w:w="3912" w:type="dxa"/>
          </w:tcPr>
          <w:p>
            <w:pPr>
              <w:spacing w:line="312" w:lineRule="auto"/>
            </w:pPr>
            <w:r/>
            <w:r>
              <w:rPr>
                <w:rFonts w:ascii="Asta Sans" w:hAnsi="Asta Sans" w:eastAsia="Asta Sans"/>
                <w:b w:val="0"/>
                <w:sz w:val="18"/>
              </w:rPr>
              <w:t>증상이 생기면 인터넷 검색으로 불안이 먼저 커지고, 병원 예약 전화, 수주 대기, 진료는 10분으로 끝난다.</w:t>
            </w:r>
          </w:p>
        </w:tc>
        <w:tc>
          <w:tcPr>
            <w:tcW w:w="4195" w:type="dxa"/>
          </w:tcPr>
          <w:p>
            <w:pPr>
              <w:spacing w:line="312" w:lineRule="auto"/>
            </w:pPr>
            <w:r/>
            <w:r>
              <w:rPr>
                <w:rFonts w:ascii="Asta Sans" w:hAnsi="Asta Sans" w:eastAsia="Asta Sans"/>
                <w:b w:val="0"/>
                <w:sz w:val="18"/>
              </w:rPr>
              <w:t>에이전트가 증상을 분석해 적합한 과를 찾아 당일 예약까지 자동 완료한다. 수년간의 진료 기록, 처방 이력, 알레르기 정보를 통합 관리해 처방 충돌 시 즉시 경고한다.</w:t>
            </w:r>
          </w:p>
        </w:tc>
      </w:tr>
      <w:tr>
        <w:tc>
          <w:tcPr>
            <w:tcW w:w="1247" w:type="dxa"/>
          </w:tcPr>
          <w:p>
            <w:r/>
            <w:r>
              <w:rPr>
                <w:rFonts w:ascii="Asta Sans" w:hAnsi="Asta Sans" w:eastAsia="Asta Sans"/>
                <w:b/>
                <w:sz w:val="18"/>
              </w:rPr>
              <w:t>법률 / 행정</w:t>
            </w:r>
          </w:p>
        </w:tc>
        <w:tc>
          <w:tcPr>
            <w:tcW w:w="3912" w:type="dxa"/>
          </w:tcPr>
          <w:p>
            <w:pPr>
              <w:spacing w:line="312" w:lineRule="auto"/>
            </w:pPr>
            <w:r/>
            <w:r>
              <w:rPr>
                <w:rFonts w:ascii="Asta Sans" w:hAnsi="Asta Sans" w:eastAsia="Asta Sans"/>
                <w:b w:val="0"/>
                <w:sz w:val="18"/>
              </w:rPr>
              <w:t>계약서 검토를 변호사에게 의뢰하면 최소 수십만 원에 대기 기간이 수주다.</w:t>
            </w:r>
          </w:p>
        </w:tc>
        <w:tc>
          <w:tcPr>
            <w:tcW w:w="4195" w:type="dxa"/>
          </w:tcPr>
          <w:p>
            <w:pPr>
              <w:spacing w:line="312" w:lineRule="auto"/>
            </w:pPr>
            <w:r/>
            <w:r>
              <w:rPr>
                <w:rFonts w:ascii="Asta Sans" w:hAnsi="Asta Sans" w:eastAsia="Asta Sans"/>
                <w:b w:val="0"/>
                <w:sz w:val="18"/>
              </w:rPr>
              <w:t>계약서를 업로드하면 에이전트가 수분 내 독소 조항, 누락 조항, 협상 포인트를 분석하고 수정 문구까지 초안을 작성한다. 보조금 신청도 자동 대행한다.</w:t>
            </w:r>
          </w:p>
        </w:tc>
      </w:tr>
      <w:tr>
        <w:tc>
          <w:tcPr>
            <w:tcW w:w="1247" w:type="dxa"/>
          </w:tcPr>
          <w:p>
            <w:r/>
            <w:r>
              <w:rPr>
                <w:rFonts w:ascii="Asta Sans" w:hAnsi="Asta Sans" w:eastAsia="Asta Sans"/>
                <w:b/>
                <w:sz w:val="18"/>
              </w:rPr>
              <w:t>정치 / 민주주의</w:t>
            </w:r>
          </w:p>
        </w:tc>
        <w:tc>
          <w:tcPr>
            <w:tcW w:w="3912" w:type="dxa"/>
          </w:tcPr>
          <w:p>
            <w:pPr>
              <w:spacing w:line="312" w:lineRule="auto"/>
            </w:pPr>
            <w:r/>
            <w:r>
              <w:rPr>
                <w:rFonts w:ascii="Asta Sans" w:hAnsi="Asta Sans" w:eastAsia="Asta Sans"/>
                <w:b w:val="0"/>
                <w:sz w:val="18"/>
              </w:rPr>
              <w:t>수백 페이지의 예산안이나 법안을 일반 시민이 직접 이해하기 어렵다.</w:t>
            </w:r>
          </w:p>
        </w:tc>
        <w:tc>
          <w:tcPr>
            <w:tcW w:w="4195" w:type="dxa"/>
          </w:tcPr>
          <w:p>
            <w:pPr>
              <w:spacing w:line="312" w:lineRule="auto"/>
            </w:pPr>
            <w:r/>
            <w:r>
              <w:rPr>
                <w:rFonts w:ascii="Asta Sans" w:hAnsi="Asta Sans" w:eastAsia="Asta Sans"/>
                <w:b w:val="0"/>
                <w:sz w:val="18"/>
              </w:rPr>
              <w:t>“이 법안이 우리 동네 복지에 어떤 영향을 미치는지 설명해줘”라고 하면 에이전트가 생활 조건에 맞게 분석해준다. 동시에 AI 가짜뉴스가 개인화되어 유포되며, 민주주의의 형식은 유지되지만 내용이 공동화될 위험이 있다.</w:t>
            </w:r>
          </w:p>
        </w:tc>
      </w:tr>
      <w:tr>
        <w:tc>
          <w:tcPr>
            <w:tcW w:w="1247" w:type="dxa"/>
          </w:tcPr>
          <w:p>
            <w:r/>
            <w:r>
              <w:rPr>
                <w:rFonts w:ascii="Asta Sans" w:hAnsi="Asta Sans" w:eastAsia="Asta Sans"/>
                <w:b/>
                <w:sz w:val="18"/>
              </w:rPr>
              <w:t>노동 / 직업</w:t>
            </w:r>
          </w:p>
        </w:tc>
        <w:tc>
          <w:tcPr>
            <w:tcW w:w="3912" w:type="dxa"/>
          </w:tcPr>
          <w:p>
            <w:pPr>
              <w:spacing w:line="312" w:lineRule="auto"/>
            </w:pPr>
            <w:r/>
            <w:r>
              <w:rPr>
                <w:rFonts w:ascii="Asta Sans" w:hAnsi="Asta Sans" w:eastAsia="Asta Sans"/>
                <w:b w:val="0"/>
                <w:sz w:val="18"/>
              </w:rPr>
              <w:t>전문 번역가가 책 한 권을 번역하는 데 3~6개월, 수천만 원의 보수를 받는다.</w:t>
            </w:r>
          </w:p>
        </w:tc>
        <w:tc>
          <w:tcPr>
            <w:tcW w:w="4195" w:type="dxa"/>
          </w:tcPr>
          <w:p>
            <w:pPr>
              <w:spacing w:line="312" w:lineRule="auto"/>
            </w:pPr>
            <w:r/>
            <w:r>
              <w:rPr>
                <w:rFonts w:ascii="Asta Sans" w:hAnsi="Asta Sans" w:eastAsia="Asta Sans"/>
                <w:b w:val="0"/>
                <w:sz w:val="18"/>
              </w:rPr>
              <w:t>번역 에이전트가 동일한 책을 20분 내에 완성한다. 번역가의 부가가치는 뉴앙스 검수로 압축되고 수입은 90% 이상 하락한다. “바쁜 빈곤”이 등장한다.</w:t>
            </w:r>
          </w:p>
        </w:tc>
      </w:tr>
      <w:tr>
        <w:tc>
          <w:tcPr>
            <w:tcW w:w="1247" w:type="dxa"/>
          </w:tcPr>
          <w:p>
            <w:r/>
            <w:r>
              <w:rPr>
                <w:rFonts w:ascii="Asta Sans" w:hAnsi="Asta Sans" w:eastAsia="Asta Sans"/>
                <w:b/>
                <w:sz w:val="18"/>
              </w:rPr>
              <w:t>지역 공동체</w:t>
            </w:r>
          </w:p>
        </w:tc>
        <w:tc>
          <w:tcPr>
            <w:tcW w:w="3912" w:type="dxa"/>
          </w:tcPr>
          <w:p>
            <w:pPr>
              <w:spacing w:line="312" w:lineRule="auto"/>
            </w:pPr>
            <w:r/>
            <w:r>
              <w:rPr>
                <w:rFonts w:ascii="Asta Sans" w:hAnsi="Asta Sans" w:eastAsia="Asta Sans"/>
                <w:b w:val="0"/>
                <w:sz w:val="18"/>
              </w:rPr>
              <w:t>“이 식당 어때?”를 친구나 이웃에게 직접 묻거나 동네 단체방에 질문한다.</w:t>
            </w:r>
          </w:p>
        </w:tc>
        <w:tc>
          <w:tcPr>
            <w:tcW w:w="4195" w:type="dxa"/>
          </w:tcPr>
          <w:p>
            <w:pPr>
              <w:spacing w:line="312" w:lineRule="auto"/>
            </w:pPr>
            <w:r/>
            <w:r>
              <w:rPr>
                <w:rFonts w:ascii="Asta Sans" w:hAnsi="Asta Sans" w:eastAsia="Asta Sans"/>
                <w:b w:val="0"/>
                <w:sz w:val="18"/>
              </w:rPr>
              <w:t>에이전트에게 묻는다. 수백 개 리뷰와 결제 데이터를 분석해 즉시 답변이 돌아오면서 이웃과의 대화 기회 자체가 줄어든다. 에이전트를 사용할 수 없는 고령층은 서비스 소외와 공동체 고립의 이중 취약성에 놓인다.</w:t>
            </w:r>
          </w:p>
        </w:tc>
      </w:tr>
    </w:tbl>
    <w:p>
      <w:pPr>
        <w:spacing w:before="280" w:line="360" w:lineRule="auto" w:after="160"/>
        <w:ind w:firstLine="283"/>
      </w:pPr>
      <w:r>
        <w:rPr>
          <w:rFonts w:ascii="Asta Sans" w:hAnsi="Asta Sans" w:eastAsia="Asta Sans"/>
          <w:b w:val="0"/>
          <w:sz w:val="22"/>
        </w:rPr>
        <w:t>8개 영역을 관통하는 하나의 패턴이 있다. 에이전트 시대는 편의와 생산성을 극적으로 높이면서 동시에 “중간을 없애는” 구조다. 중간 단계의 직업, 중간 규모의 비즈니스, 중간 수준의 지식 서비스가 사라지고 극단이 강화된다. 기술 접근성의 차이가 곧 존엄의 차이로 이어지지 않도록 하는 사회적 설계 — 이것이 에이전트 시대 사회 계약의 핵심 과제다.</w:t>
      </w:r>
    </w:p>
    <w:p>
      <w:r>
        <w:br w:type="page"/>
      </w:r>
    </w:p>
    <w:p>
      <w:pPr>
        <w:spacing w:before="0" w:after="400"/>
      </w:pPr>
      <w:r>
        <w:rPr>
          <w:rFonts w:ascii="Asta Sans" w:hAnsi="Asta Sans" w:eastAsia="Asta Sans"/>
          <w:b/>
          <w:color w:val="000000"/>
          <w:sz w:val="44"/>
        </w:rPr>
        <w:t>부록 C: 한국 청년 고용 위기와 AI</w:t>
      </w:r>
    </w:p>
    <w:p>
      <w:pPr>
        <w:spacing w:after="320"/>
        <w:pBdr>
          <w:bottom w:val="single" w:sz="4" w:space="1" w:color="333333"/>
        </w:pBdr>
      </w:pPr>
    </w:p>
    <w:p>
      <w:pPr>
        <w:spacing w:line="360" w:lineRule="auto" w:after="160"/>
        <w:ind w:firstLine="283"/>
      </w:pPr>
      <w:r>
        <w:rPr>
          <w:rFonts w:ascii="Asta Sans" w:hAnsi="Asta Sans" w:eastAsia="Asta Sans"/>
          <w:b w:val="0"/>
          <w:sz w:val="22"/>
        </w:rPr>
        <w:t>AI 시대의 사회 계약을 논의할 때, 한국의 청년 고용 위기는 “미래의 문제”가 아니라 “이미 진행 중인 위기”다. AI가 본격적으로 노동시장을 재편하기 전부터, 한국 청년은 구조적 고용 불안정에 놓여 있다.</w:t>
      </w:r>
    </w:p>
    <w:p>
      <w:pPr>
        <w:spacing w:before="280" w:after="160"/>
      </w:pPr>
      <w:r>
        <w:rPr>
          <w:rFonts w:ascii="Asta Sans" w:hAnsi="Asta Sans" w:eastAsia="Asta Sans"/>
          <w:b/>
          <w:color w:val="444444"/>
          <w:sz w:val="26"/>
        </w:rPr>
        <w:t>1. 청년 고용 통계 (2024–25년)</w:t>
      </w:r>
    </w:p>
    <w:tbl>
      <w:tblPr>
        <w:tblStyle w:val="TableGrid"/>
        <w:tblW w:type="auto" w:w="0"/>
        <w:tblLook w:firstColumn="1" w:firstRow="1" w:lastColumn="0" w:lastRow="0" w:noHBand="0" w:noVBand="1" w:val="04A0"/>
        <w:tblLayout w:type="fixed"/>
      </w:tblPr>
      <w:tblGrid>
        <w:gridCol w:w="4819"/>
        <w:gridCol w:w="4536"/>
      </w:tblGrid>
      <w:tr>
        <w:tc>
          <w:tcPr>
            <w:shd w:fill="333333" w:val="clear"/>
            <w:tcW w:w="4819" w:type="dxa"/>
          </w:tcPr>
          <w:p>
            <w:r/>
            <w:r>
              <w:rPr>
                <w:rFonts w:ascii="Asta Sans" w:hAnsi="Asta Sans" w:eastAsia="Asta Sans"/>
                <w:b/>
                <w:color w:val="FFFFFF"/>
                <w:sz w:val="20"/>
              </w:rPr>
              <w:t>지표</w:t>
            </w:r>
          </w:p>
        </w:tc>
        <w:tc>
          <w:tcPr>
            <w:shd w:fill="333333" w:val="clear"/>
            <w:tcW w:w="4536" w:type="dxa"/>
          </w:tcPr>
          <w:p>
            <w:r/>
            <w:r>
              <w:rPr>
                <w:rFonts w:ascii="Asta Sans" w:hAnsi="Asta Sans" w:eastAsia="Asta Sans"/>
                <w:b/>
                <w:color w:val="FFFFFF"/>
                <w:sz w:val="20"/>
              </w:rPr>
              <w:t>수치</w:t>
            </w:r>
          </w:p>
        </w:tc>
      </w:tr>
      <w:tr>
        <w:tc>
          <w:tcPr>
            <w:tcW w:w="4819" w:type="dxa"/>
          </w:tcPr>
          <w:p>
            <w:r/>
            <w:r>
              <w:rPr>
                <w:rFonts w:ascii="Asta Sans" w:hAnsi="Asta Sans" w:eastAsia="Asta Sans"/>
                <w:b w:val="0"/>
                <w:sz w:val="20"/>
              </w:rPr>
              <w:t>청년 실업률 (15–29세)</w:t>
            </w:r>
          </w:p>
        </w:tc>
        <w:tc>
          <w:tcPr>
            <w:tcW w:w="4536" w:type="dxa"/>
          </w:tcPr>
          <w:p>
            <w:r/>
            <w:r>
              <w:rPr>
                <w:rFonts w:ascii="Asta Sans" w:hAnsi="Asta Sans" w:eastAsia="Asta Sans"/>
                <w:b/>
                <w:sz w:val="20"/>
              </w:rPr>
              <w:t>6.1%</w:t>
            </w:r>
          </w:p>
        </w:tc>
      </w:tr>
      <w:tr>
        <w:tc>
          <w:tcPr>
            <w:tcW w:w="4819" w:type="dxa"/>
          </w:tcPr>
          <w:p>
            <w:r/>
            <w:r>
              <w:rPr>
                <w:rFonts w:ascii="Asta Sans" w:hAnsi="Asta Sans" w:eastAsia="Asta Sans"/>
                <w:b w:val="0"/>
                <w:sz w:val="20"/>
              </w:rPr>
              <w:t>청년 체감실업률 (확장실업률)</w:t>
            </w:r>
          </w:p>
        </w:tc>
        <w:tc>
          <w:tcPr>
            <w:tcW w:w="4536" w:type="dxa"/>
          </w:tcPr>
          <w:p>
            <w:r/>
            <w:r>
              <w:rPr>
                <w:rFonts w:ascii="Asta Sans" w:hAnsi="Asta Sans" w:eastAsia="Asta Sans"/>
                <w:b/>
                <w:sz w:val="20"/>
              </w:rPr>
              <w:t>16.0%</w:t>
            </w:r>
          </w:p>
        </w:tc>
      </w:tr>
      <w:tr>
        <w:tc>
          <w:tcPr>
            <w:tcW w:w="4819" w:type="dxa"/>
          </w:tcPr>
          <w:p>
            <w:r/>
            <w:r>
              <w:rPr>
                <w:rFonts w:ascii="Asta Sans" w:hAnsi="Asta Sans" w:eastAsia="Asta Sans"/>
                <w:b w:val="0"/>
                <w:sz w:val="20"/>
              </w:rPr>
              <w:t>NEET 비율 (OECD 11개국 중 유일 증가)</w:t>
            </w:r>
          </w:p>
        </w:tc>
        <w:tc>
          <w:tcPr>
            <w:tcW w:w="4536" w:type="dxa"/>
          </w:tcPr>
          <w:p>
            <w:r/>
            <w:r>
              <w:rPr>
                <w:rFonts w:ascii="Asta Sans" w:hAnsi="Asta Sans" w:eastAsia="Asta Sans"/>
                <w:b/>
                <w:sz w:val="20"/>
              </w:rPr>
              <w:t>18.3%</w:t>
            </w:r>
          </w:p>
        </w:tc>
      </w:tr>
      <w:tr>
        <w:tc>
          <w:tcPr>
            <w:tcW w:w="4819" w:type="dxa"/>
          </w:tcPr>
          <w:p>
            <w:r/>
            <w:r>
              <w:rPr>
                <w:rFonts w:ascii="Asta Sans" w:hAnsi="Asta Sans" w:eastAsia="Asta Sans"/>
                <w:b w:val="0"/>
                <w:sz w:val="20"/>
              </w:rPr>
              <w:t>대졸 취업률 (70% 선 붕괴)</w:t>
            </w:r>
          </w:p>
        </w:tc>
        <w:tc>
          <w:tcPr>
            <w:tcW w:w="4536" w:type="dxa"/>
          </w:tcPr>
          <w:p>
            <w:r/>
            <w:r>
              <w:rPr>
                <w:rFonts w:ascii="Asta Sans" w:hAnsi="Asta Sans" w:eastAsia="Asta Sans"/>
                <w:b/>
                <w:sz w:val="20"/>
              </w:rPr>
              <w:t>69.5%</w:t>
            </w:r>
          </w:p>
        </w:tc>
      </w:tr>
      <w:tr>
        <w:tc>
          <w:tcPr>
            <w:tcW w:w="4819" w:type="dxa"/>
          </w:tcPr>
          <w:p>
            <w:r/>
            <w:r>
              <w:rPr>
                <w:rFonts w:ascii="Asta Sans" w:hAnsi="Asta Sans" w:eastAsia="Asta Sans"/>
                <w:b w:val="0"/>
                <w:sz w:val="20"/>
              </w:rPr>
              <w:t>청년 취업자 감소 (2024→2025)</w:t>
            </w:r>
          </w:p>
        </w:tc>
        <w:tc>
          <w:tcPr>
            <w:tcW w:w="4536" w:type="dxa"/>
          </w:tcPr>
          <w:p>
            <w:r/>
            <w:r>
              <w:rPr>
                <w:rFonts w:ascii="Asta Sans" w:hAnsi="Asta Sans" w:eastAsia="Asta Sans"/>
                <w:b/>
                <w:sz w:val="20"/>
              </w:rPr>
              <w:t>-17.8만명</w:t>
            </w:r>
          </w:p>
        </w:tc>
      </w:tr>
      <w:tr>
        <w:tc>
          <w:tcPr>
            <w:tcW w:w="4819" w:type="dxa"/>
          </w:tcPr>
          <w:p>
            <w:r/>
            <w:r>
              <w:rPr>
                <w:rFonts w:ascii="Asta Sans" w:hAnsi="Asta Sans" w:eastAsia="Asta Sans"/>
                <w:b w:val="0"/>
                <w:sz w:val="20"/>
              </w:rPr>
              <w:t>청년 ‘쉬었음’ 인구</w:t>
            </w:r>
          </w:p>
        </w:tc>
        <w:tc>
          <w:tcPr>
            <w:tcW w:w="4536" w:type="dxa"/>
          </w:tcPr>
          <w:p>
            <w:r/>
            <w:r>
              <w:rPr>
                <w:rFonts w:ascii="Asta Sans" w:hAnsi="Asta Sans" w:eastAsia="Asta Sans"/>
                <w:b/>
                <w:sz w:val="20"/>
              </w:rPr>
              <w:t>42.8만명</w:t>
            </w:r>
          </w:p>
        </w:tc>
      </w:tr>
      <w:tr>
        <w:tc>
          <w:tcPr>
            <w:tcW w:w="4819" w:type="dxa"/>
          </w:tcPr>
          <w:p>
            <w:r/>
            <w:r>
              <w:rPr>
                <w:rFonts w:ascii="Asta Sans" w:hAnsi="Asta Sans" w:eastAsia="Asta Sans"/>
                <w:b w:val="0"/>
                <w:sz w:val="20"/>
              </w:rPr>
              <w:t>20–30대 비정규직 비율 (21년만의 최고)</w:t>
            </w:r>
          </w:p>
        </w:tc>
        <w:tc>
          <w:tcPr>
            <w:tcW w:w="4536" w:type="dxa"/>
          </w:tcPr>
          <w:p>
            <w:r/>
            <w:r>
              <w:rPr>
                <w:rFonts w:ascii="Asta Sans" w:hAnsi="Asta Sans" w:eastAsia="Asta Sans"/>
                <w:b/>
                <w:sz w:val="20"/>
              </w:rPr>
              <w:t>31.7%</w:t>
            </w:r>
          </w:p>
        </w:tc>
      </w:tr>
    </w:tbl>
    <w:p>
      <w:pPr>
        <w:spacing w:line="360" w:lineRule="auto" w:after="160"/>
        <w:ind w:firstLine="283"/>
      </w:pPr>
      <w:r>
        <w:rPr>
          <w:rFonts w:ascii="Asta Sans" w:hAnsi="Asta Sans" w:eastAsia="Asta Sans"/>
          <w:b w:val="0"/>
          <w:sz w:val="22"/>
        </w:rPr>
        <w:t>공식 실업률(6.1%)과 체감실업률(16.0%)의 약 10%p 격차는 통계가 포착하지 못하는 광범위한 고용 불안정을 시사한다. 2025년 1월 청년 체감실업률은 16.4%로 전년 동월 대비 0.8%p 상승하여 2021년 2월 이후 3년 11개월 만에 가장 큰 폭의 증가를 기록했다.</w:t>
      </w:r>
    </w:p>
    <w:p>
      <w:pPr>
        <w:spacing w:before="280" w:after="160"/>
      </w:pPr>
      <w:r>
        <w:rPr>
          <w:rFonts w:ascii="Asta Sans" w:hAnsi="Asta Sans" w:eastAsia="Asta Sans"/>
          <w:b/>
          <w:color w:val="444444"/>
          <w:sz w:val="26"/>
        </w:rPr>
        <w:t>2. 구조적 원인</w:t>
      </w:r>
    </w:p>
    <w:p>
      <w:pPr>
        <w:spacing w:line="360" w:lineRule="auto" w:after="160"/>
        <w:ind w:firstLine="283"/>
      </w:pPr>
      <w:r>
        <w:rPr>
          <w:rFonts w:ascii="Asta Sans" w:hAnsi="Asta Sans" w:eastAsia="Asta Sans"/>
          <w:b w:val="0"/>
          <w:sz w:val="22"/>
        </w:rPr>
        <w:t>대기업·중소기업 임금 격차 2.07배. 임금 인상률 차이(대기업 9.0% vs 중소기업 3.7%)로 격차가 계속 확대되고 있다. OECD는 한국 청년의 상당수가 대기업이나 전문직에 취업하기 위해 노동시장 진입을 지연하고 있으며, 이것이 높은 NEET 비율의 원인이라고 분석한다.</w:t>
      </w:r>
    </w:p>
    <w:p>
      <w:pPr>
        <w:spacing w:line="360" w:lineRule="auto" w:after="160"/>
        <w:ind w:firstLine="283"/>
      </w:pPr>
      <w:r>
        <w:rPr>
          <w:rFonts w:ascii="Asta Sans" w:hAnsi="Asta Sans" w:eastAsia="Asta Sans"/>
          <w:b w:val="0"/>
          <w:sz w:val="22"/>
        </w:rPr>
        <w:t>20–30대 비정규직 비율은 31.7%로 2004년 이후 21년 만에 최고 수준이다. 20–30대 기간제 근로자는 2015년 104.8만명에서 2024년 159만명으로 10년간 54.2만명 증가했다.</w:t>
      </w:r>
    </w:p>
    <w:p>
      <w:pPr>
        <w:spacing w:line="360" w:lineRule="auto" w:after="160"/>
        <w:ind w:firstLine="283"/>
      </w:pPr>
      <w:r>
        <w:rPr>
          <w:rFonts w:ascii="Asta Sans" w:hAnsi="Asta Sans" w:eastAsia="Asta Sans"/>
          <w:b w:val="0"/>
          <w:sz w:val="22"/>
        </w:rPr>
        <w:t>플랫폼 종사자는 2021년 약 66만명에서 2022년 약 80만명으로 20.3% 증가했으며, 광의의 플랫폼 종사자는 약 292만명으로 추산된다. 한국의 사회보험 체계는 ‘특정 사업주로부터 정기적 급여를 받는 근로자’를 전제로 설계되어 있어, 플랫폼 노동자에게 사회보험료를 부과하는 것이 구조적으로 어렵다.</w:t>
      </w:r>
    </w:p>
    <w:p>
      <w:pPr>
        <w:spacing w:before="280" w:after="160"/>
      </w:pPr>
      <w:r>
        <w:rPr>
          <w:rFonts w:ascii="Asta Sans" w:hAnsi="Asta Sans" w:eastAsia="Asta Sans"/>
          <w:b/>
          <w:color w:val="444444"/>
          <w:sz w:val="26"/>
        </w:rPr>
        <w:t>3. AI의 청년 고용 충격: 연공편향적 기술변화</w:t>
      </w:r>
    </w:p>
    <w:p>
      <w:pPr>
        <w:spacing w:line="360" w:lineRule="auto" w:after="160"/>
        <w:ind w:firstLine="283"/>
      </w:pPr>
      <w:r>
        <w:rPr>
          <w:rFonts w:ascii="Asta Sans" w:hAnsi="Asta Sans" w:eastAsia="Asta Sans"/>
          <w:b w:val="0"/>
          <w:sz w:val="22"/>
        </w:rPr>
        <w:t>한국은행 BOK 이슈노트(제2025-30호)에 따르면, 2022년 7월부터 2025년 7월까지 청년층 일자리 21.1만개가 감소했고, 그중 20.8만개(98.6%)가 AI 노출 업종이었다. 같은 기간 50대 일자리는 20.9만개 증가했다.</w:t>
      </w:r>
    </w:p>
    <w:p>
      <w:pPr>
        <w:spacing w:line="360" w:lineRule="auto" w:after="160"/>
        <w:ind w:firstLine="283"/>
      </w:pPr>
      <w:r>
        <w:rPr>
          <w:rFonts w:ascii="Asta Sans" w:hAnsi="Asta Sans" w:eastAsia="Asta Sans"/>
          <w:b w:val="0"/>
          <w:sz w:val="22"/>
        </w:rPr>
        <w:t>AI는 주니어가 주로 수행하는 정형화된 지식 업무를 대체하고, 시니어의 조직관리·대인관계 등 암묵지 중심 업무는 보완한다. 한국은행은 이를 ‘연공편향(seniority-biased) 기술변화’로 명명했다. 청년의 경력 진입 경로 자체가 소멸하고 있다.</w:t>
      </w:r>
    </w:p>
    <w:p>
      <w:pPr>
        <w:spacing w:line="360" w:lineRule="auto" w:after="160"/>
        <w:ind w:firstLine="283"/>
      </w:pPr>
      <w:r>
        <w:rPr>
          <w:rFonts w:ascii="Asta Sans" w:hAnsi="Asta Sans" w:eastAsia="Asta Sans"/>
          <w:b w:val="0"/>
          <w:sz w:val="22"/>
        </w:rPr>
        <w:t>고용노동부 분석에 따르면, 2025년 국내 직업종사자의 61.3%가 AI/로봇으로 대체 위험이 높은 직업에 종사하고 있으며, AI 노출지수 상위 20%에 해당하는 대체 가능성이 높은 일자리는 약 341만개(전체 일자리의 12%)로 추산된다.</w:t>
      </w:r>
    </w:p>
    <w:p>
      <w:pPr>
        <w:spacing w:line="360" w:lineRule="auto" w:after="160"/>
        <w:ind w:firstLine="283"/>
      </w:pPr>
      <w:r>
        <w:rPr>
          <w:rFonts w:ascii="Asta Sans" w:hAnsi="Asta Sans" w:eastAsia="Asta Sans"/>
          <w:b w:val="0"/>
          <w:sz w:val="22"/>
        </w:rPr>
        <w:t>OECD 분석에 따르면, 한국 일자리의 약 절반이 AI에 노출되어 있으며, 여성, 청년, 고학력, 고소득 근로자일수록 노출도가 높다. AI로 인한 노동시장 양극화 위험이 크다.</w:t>
      </w:r>
    </w:p>
    <w:p>
      <w:pPr>
        <w:spacing w:before="280" w:after="160"/>
      </w:pPr>
      <w:r>
        <w:rPr>
          <w:rFonts w:ascii="Asta Sans" w:hAnsi="Asta Sans" w:eastAsia="Asta Sans"/>
          <w:b/>
          <w:color w:val="444444"/>
          <w:sz w:val="26"/>
        </w:rPr>
        <w:t>4. 기존 사회안전망의 구조적 한계</w:t>
      </w:r>
    </w:p>
    <w:p>
      <w:pPr>
        <w:spacing w:line="360" w:lineRule="auto" w:after="160"/>
        <w:ind w:firstLine="283"/>
      </w:pPr>
      <w:r>
        <w:rPr>
          <w:rFonts w:ascii="Asta Sans" w:hAnsi="Asta Sans" w:eastAsia="Asta Sans"/>
          <w:b w:val="0"/>
          <w:sz w:val="22"/>
        </w:rPr>
        <w:t>한국의 사회보험은 ‘특정 사업주로부터 정기적 급여를 받는 근로자’를 전제로 설계되었다. 비정규직(31.7%), 플랫폼 노동자(80–292만명), NEET(18.3%) 등 가장 취약한 청년층을 포괄하지 못한다.</w:t>
      </w:r>
    </w:p>
    <w:p>
      <w:pPr>
        <w:spacing w:line="360" w:lineRule="auto" w:after="160"/>
        <w:ind w:firstLine="283"/>
      </w:pPr>
      <w:r>
        <w:rPr>
          <w:rFonts w:ascii="Asta Sans" w:hAnsi="Asta Sans" w:eastAsia="Asta Sans"/>
          <w:b w:val="0"/>
          <w:sz w:val="22"/>
        </w:rPr>
        <w:t>기존 실업급여·직업훈련 체계는 ‘일시적 실업 후 재취업’을 전제로 하며, AI로 인한 직군 소멸이나 장기적 구조변화에 대응하는 설계가 아니다.</w:t>
      </w:r>
    </w:p>
    <w:p>
      <w:pPr>
        <w:spacing w:line="360" w:lineRule="auto" w:after="160"/>
        <w:ind w:firstLine="283"/>
      </w:pPr>
      <w:r>
        <w:rPr>
          <w:rFonts w:ascii="Asta Sans" w:hAnsi="Asta Sans" w:eastAsia="Asta Sans"/>
          <w:b w:val="0"/>
          <w:sz w:val="22"/>
        </w:rPr>
        <w:t>구직활동을 하지 않는 NEET 청년(18.3%)은 실업통계에도 잡히지 않고, 고용보험 사각지대에도 해당하여 정책 개입이 어렵다. EU의 청년보장제도와 같은 ‘실직 후 4개월 이내 대응’ 의무는 한국에 부재하다.</w:t>
      </w:r>
    </w:p>
    <w:p>
      <w:pPr>
        <w:spacing w:before="280" w:after="160"/>
      </w:pPr>
      <w:r>
        <w:rPr>
          <w:rFonts w:ascii="Asta Sans" w:hAnsi="Asta Sans" w:eastAsia="Asta Sans"/>
          <w:b/>
          <w:color w:val="444444"/>
          <w:sz w:val="26"/>
        </w:rPr>
        <w:t>5. 새로운 사회 계약을 위한 시사점</w:t>
      </w:r>
    </w:p>
    <w:p>
      <w:pPr>
        <w:spacing w:line="360" w:lineRule="auto" w:after="160"/>
        <w:ind w:firstLine="283"/>
      </w:pPr>
      <w:r>
        <w:rPr>
          <w:rFonts w:ascii="Asta Sans" w:hAnsi="Asta Sans" w:eastAsia="Asta Sans"/>
          <w:b w:val="0"/>
          <w:sz w:val="22"/>
        </w:rPr>
        <w:t>한국 청년 고용 위기의 핵심 구조는 다음과 같다. 노동시장 이중구조(대기업-중소기업 임금 격차 2.07배)가 청년의 대기업 집착을 낳고, 이는 NEET 장기화(18.3%)로 이어지며, 노동시장 진입 지연이라는 악순환이 고착화되고 있다. 여기에 AI의 연공편향적 충격이 검쳐지면서, 청년의 경력 진입 경로 자체가 소멸하고 있다. 3년간(2022–2025) 청년 일자리 21.1만개 감소 중 98.6%가 AI 노출 업종이었다는 한국은행의 분석은, AI가 청년 고용의 인과적 요인으로 작동하고 있음을 시사한다.</w:t>
      </w:r>
    </w:p>
    <w:p>
      <w:pPr>
        <w:spacing w:line="360" w:lineRule="auto" w:after="160"/>
        <w:ind w:firstLine="283"/>
      </w:pPr>
      <w:r>
        <w:rPr>
          <w:rFonts w:ascii="Asta Sans" w:hAnsi="Asta Sans" w:eastAsia="Asta Sans"/>
          <w:b w:val="0"/>
          <w:sz w:val="22"/>
        </w:rPr>
        <w:t>이는 본 연구가 제시하는 ❸ 질서 설계의 긴급성을 보여주는 가장 구체적인 사례다. 정규직 중심으로 설계된 고용보험 체계는 비정규직(31.7%), 플랫폼 노동자(80–292만명), NEET(18.3%) 등 가장 취약한 청년층을 포괄하지 못한다. AI로 인한 직군 소멸이라는 새로운 유형의 실업에 대응하는 정책 프레임워크가 부재한 상황에서, 사회 계약의 재설계는 더 이상 선택이 아니라 필수다.</w:t>
      </w:r>
    </w:p>
    <w:p>
      <w:pPr>
        <w:spacing w:before="200" w:after="80"/>
      </w:pPr>
      <w:r>
        <w:rPr>
          <w:rFonts w:ascii="Asta Sans" w:hAnsi="Asta Sans" w:eastAsia="Asta Sans"/>
          <w:b/>
          <w:color w:val="666666"/>
          <w:sz w:val="20"/>
        </w:rPr>
        <w:t>주요 출처</w:t>
      </w:r>
    </w:p>
    <w:p>
      <w:pPr>
        <w:pStyle w:val="ListBullet"/>
        <w:spacing w:line="312" w:lineRule="auto" w:after="40"/>
      </w:pPr>
      <w:r>
        <w:rPr>
          <w:rFonts w:ascii="Asta Sans" w:hAnsi="Asta Sans" w:eastAsia="Asta Sans"/>
          <w:b w:val="0"/>
          <w:color w:val="666666"/>
          <w:sz w:val="18"/>
        </w:rPr>
        <w:t>통계청, 경제활동인구조사 (2024–25)</w:t>
      </w:r>
    </w:p>
    <w:p>
      <w:pPr>
        <w:pStyle w:val="ListBullet"/>
        <w:spacing w:line="312" w:lineRule="auto" w:after="40"/>
      </w:pPr>
      <w:r>
        <w:rPr>
          <w:rFonts w:ascii="Asta Sans" w:hAnsi="Asta Sans" w:eastAsia="Asta Sans"/>
          <w:b w:val="0"/>
          <w:color w:val="666666"/>
          <w:sz w:val="18"/>
        </w:rPr>
        <w:t>한국은행 BOK 이슈노트 제2025-30호: AI 확산과 청년고용 위축</w:t>
      </w:r>
    </w:p>
    <w:p>
      <w:pPr>
        <w:pStyle w:val="ListBullet"/>
        <w:spacing w:line="312" w:lineRule="auto" w:after="40"/>
      </w:pPr>
      <w:r>
        <w:rPr>
          <w:rFonts w:ascii="Asta Sans" w:hAnsi="Asta Sans" w:eastAsia="Asta Sans"/>
          <w:b w:val="0"/>
          <w:color w:val="666666"/>
          <w:sz w:val="18"/>
        </w:rPr>
        <w:t>OECD, Artificial Intelligence and the Labour Market in Korea (2025)</w:t>
      </w:r>
    </w:p>
    <w:p>
      <w:pPr>
        <w:pStyle w:val="ListBullet"/>
        <w:spacing w:line="312" w:lineRule="auto" w:after="40"/>
      </w:pPr>
      <w:r>
        <w:rPr>
          <w:rFonts w:ascii="Asta Sans" w:hAnsi="Asta Sans" w:eastAsia="Asta Sans"/>
          <w:b w:val="0"/>
          <w:color w:val="666666"/>
          <w:sz w:val="18"/>
        </w:rPr>
        <w:t>교육부/한국교육개발원, 고등교육기관 졸업자 취업통계조사 (2024)</w:t>
      </w:r>
    </w:p>
    <w:p>
      <w:pPr>
        <w:pStyle w:val="ListBullet"/>
        <w:spacing w:line="312" w:lineRule="auto" w:after="40"/>
      </w:pPr>
      <w:r>
        <w:rPr>
          <w:rFonts w:ascii="Asta Sans" w:hAnsi="Asta Sans" w:eastAsia="Asta Sans"/>
          <w:b w:val="0"/>
          <w:color w:val="666666"/>
          <w:sz w:val="18"/>
        </w:rPr>
        <w:t>한국노동연구원, 2024 KLI 비정규직 노동통계</w:t>
      </w:r>
    </w:p>
    <w:p>
      <w:r>
        <w:br w:type="page"/>
      </w:r>
    </w:p>
    <w:p>
      <w:pPr>
        <w:spacing w:before="0" w:after="400"/>
      </w:pPr>
      <w:r>
        <w:rPr>
          <w:rFonts w:ascii="Asta Sans" w:hAnsi="Asta Sans" w:eastAsia="Asta Sans"/>
          <w:b/>
          <w:color w:val="000000"/>
          <w:sz w:val="44"/>
        </w:rPr>
        <w:t>부록 D: AI Safety Levels (ASL)</w:t>
      </w:r>
    </w:p>
    <w:p>
      <w:pPr>
        <w:spacing w:after="320"/>
        <w:pBdr>
          <w:bottom w:val="single" w:sz="4" w:space="1" w:color="333333"/>
        </w:pBdr>
      </w:pPr>
    </w:p>
    <w:p>
      <w:pPr>
        <w:spacing w:line="360" w:lineRule="auto" w:after="160"/>
        <w:ind w:firstLine="283"/>
      </w:pPr>
      <w:r>
        <w:rPr>
          <w:rFonts w:ascii="Asta Sans" w:hAnsi="Asta Sans" w:eastAsia="Asta Sans"/>
          <w:b w:val="0"/>
          <w:sz w:val="22"/>
        </w:rPr>
        <w:t>AI Safety Levels(ASL)는 Anthropic이 자사의 책임 있는 확장 정책(Responsible Scaling Policy, RSP) 내에서 정의한 AI 안전 등급 체계다. 2023년 9월 RSP v1.0으로 최초 발표되었고, 2025년 5월 v2.2까지 업데이트되었다. 핵심 원리는 비례적 보호(proportional protection)로, AI 모델의 역량이 증가함에 따라 안전 조치도 비례하여 강화되어야 한다는 것이다. 미국 정부의 생물안전등급(Biosafety Level, BSL) 체계에서 영감을 받아 설계되었다.</w:t>
      </w:r>
    </w:p>
    <w:p>
      <w:pPr>
        <w:spacing w:before="280" w:after="160"/>
      </w:pPr>
      <w:r>
        <w:rPr>
          <w:rFonts w:ascii="Asta Sans" w:hAnsi="Asta Sans" w:eastAsia="Asta Sans"/>
          <w:b/>
          <w:color w:val="444444"/>
          <w:sz w:val="26"/>
        </w:rPr>
        <w:t>1. ASL 등급 체계</w:t>
      </w:r>
    </w:p>
    <w:tbl>
      <w:tblPr>
        <w:tblStyle w:val="TableGrid"/>
        <w:tblW w:type="auto" w:w="0"/>
        <w:tblLook w:firstColumn="1" w:firstRow="1" w:lastColumn="0" w:lastRow="0" w:noHBand="0" w:noVBand="1" w:val="04A0"/>
        <w:tblLayout w:type="fixed"/>
      </w:tblPr>
      <w:tblGrid>
        <w:gridCol w:w="850"/>
        <w:gridCol w:w="1417"/>
        <w:gridCol w:w="2835"/>
        <w:gridCol w:w="2835"/>
        <w:gridCol w:w="1417"/>
      </w:tblGrid>
      <w:tr>
        <w:tc>
          <w:tcPr>
            <w:shd w:fill="333333" w:val="clear"/>
            <w:tcW w:w="850" w:type="dxa"/>
          </w:tcPr>
          <w:p>
            <w:r/>
            <w:r>
              <w:rPr>
                <w:rFonts w:ascii="Asta Sans" w:hAnsi="Asta Sans" w:eastAsia="Asta Sans"/>
                <w:b/>
                <w:color w:val="FFFFFF"/>
                <w:sz w:val="18"/>
              </w:rPr>
              <w:t>등급</w:t>
            </w:r>
          </w:p>
        </w:tc>
        <w:tc>
          <w:tcPr>
            <w:shd w:fill="333333" w:val="clear"/>
            <w:tcW w:w="1417" w:type="dxa"/>
          </w:tcPr>
          <w:p>
            <w:r/>
            <w:r>
              <w:rPr>
                <w:rFonts w:ascii="Asta Sans" w:hAnsi="Asta Sans" w:eastAsia="Asta Sans"/>
                <w:b/>
                <w:color w:val="FFFFFF"/>
                <w:sz w:val="18"/>
              </w:rPr>
              <w:t>제목</w:t>
            </w:r>
          </w:p>
        </w:tc>
        <w:tc>
          <w:tcPr>
            <w:shd w:fill="333333" w:val="clear"/>
            <w:tcW w:w="2835" w:type="dxa"/>
          </w:tcPr>
          <w:p>
            <w:r/>
            <w:r>
              <w:rPr>
                <w:rFonts w:ascii="Asta Sans" w:hAnsi="Asta Sans" w:eastAsia="Asta Sans"/>
                <w:b/>
                <w:color w:val="FFFFFF"/>
                <w:sz w:val="18"/>
              </w:rPr>
              <w:t>AI 역량 기준</w:t>
            </w:r>
          </w:p>
        </w:tc>
        <w:tc>
          <w:tcPr>
            <w:shd w:fill="333333" w:val="clear"/>
            <w:tcW w:w="2835" w:type="dxa"/>
          </w:tcPr>
          <w:p>
            <w:r/>
            <w:r>
              <w:rPr>
                <w:rFonts w:ascii="Asta Sans" w:hAnsi="Asta Sans" w:eastAsia="Asta Sans"/>
                <w:b/>
                <w:color w:val="FFFFFF"/>
                <w:sz w:val="18"/>
              </w:rPr>
              <w:t>안전 조치</w:t>
            </w:r>
          </w:p>
        </w:tc>
        <w:tc>
          <w:tcPr>
            <w:shd w:fill="333333" w:val="clear"/>
            <w:tcW w:w="1417" w:type="dxa"/>
          </w:tcPr>
          <w:p>
            <w:r/>
            <w:r>
              <w:rPr>
                <w:rFonts w:ascii="Asta Sans" w:hAnsi="Asta Sans" w:eastAsia="Asta Sans"/>
                <w:b/>
                <w:color w:val="FFFFFF"/>
                <w:sz w:val="18"/>
              </w:rPr>
              <w:t>BSL 대응</w:t>
            </w:r>
          </w:p>
        </w:tc>
      </w:tr>
      <w:tr>
        <w:tc>
          <w:tcPr>
            <w:tcW w:w="850" w:type="dxa"/>
          </w:tcPr>
          <w:p>
            <w:pPr>
              <w:spacing w:line="312" w:lineRule="auto"/>
            </w:pPr>
            <w:r/>
            <w:r>
              <w:rPr>
                <w:rFonts w:ascii="Asta Sans" w:hAnsi="Asta Sans" w:eastAsia="Asta Sans"/>
                <w:b/>
                <w:sz w:val="18"/>
              </w:rPr>
              <w:t>ASL-1</w:t>
            </w:r>
          </w:p>
        </w:tc>
        <w:tc>
          <w:tcPr>
            <w:tcW w:w="1417" w:type="dxa"/>
          </w:tcPr>
          <w:p>
            <w:pPr>
              <w:spacing w:line="312" w:lineRule="auto"/>
            </w:pPr>
            <w:r/>
            <w:r>
              <w:rPr>
                <w:rFonts w:ascii="Asta Sans" w:hAnsi="Asta Sans" w:eastAsia="Asta Sans"/>
                <w:b w:val="0"/>
                <w:sz w:val="18"/>
              </w:rPr>
              <w:t>무의미한 위험</w:t>
            </w:r>
          </w:p>
        </w:tc>
        <w:tc>
          <w:tcPr>
            <w:tcW w:w="2835" w:type="dxa"/>
          </w:tcPr>
          <w:p>
            <w:pPr>
              <w:spacing w:line="312" w:lineRule="auto"/>
            </w:pPr>
            <w:r/>
            <w:r>
              <w:rPr>
                <w:rFonts w:ascii="Asta Sans" w:hAnsi="Asta Sans" w:eastAsia="Asta Sans"/>
                <w:b w:val="0"/>
                <w:sz w:val="18"/>
              </w:rPr>
              <w:t>의미 있는 재앙적 위험을 제기하지 않는 시스템</w:t>
            </w:r>
          </w:p>
        </w:tc>
        <w:tc>
          <w:tcPr>
            <w:tcW w:w="2835" w:type="dxa"/>
          </w:tcPr>
          <w:p>
            <w:pPr>
              <w:spacing w:line="312" w:lineRule="auto"/>
            </w:pPr>
            <w:r/>
            <w:r>
              <w:rPr>
                <w:rFonts w:ascii="Asta Sans" w:hAnsi="Asta Sans" w:eastAsia="Asta Sans"/>
                <w:b w:val="0"/>
                <w:sz w:val="18"/>
              </w:rPr>
              <w:t>특별한 안전 조치 불필요</w:t>
            </w:r>
          </w:p>
        </w:tc>
        <w:tc>
          <w:tcPr>
            <w:tcW w:w="1417" w:type="dxa"/>
          </w:tcPr>
          <w:p>
            <w:pPr>
              <w:spacing w:line="312" w:lineRule="auto"/>
            </w:pPr>
            <w:r/>
            <w:r>
              <w:rPr>
                <w:rFonts w:ascii="Asta Sans" w:hAnsi="Asta Sans" w:eastAsia="Asta Sans"/>
                <w:b w:val="0"/>
                <w:sz w:val="18"/>
              </w:rPr>
              <w:t>BSL-1</w:t>
            </w:r>
          </w:p>
        </w:tc>
      </w:tr>
      <w:tr>
        <w:tc>
          <w:tcPr>
            <w:tcW w:w="850" w:type="dxa"/>
          </w:tcPr>
          <w:p>
            <w:pPr>
              <w:spacing w:line="312" w:lineRule="auto"/>
            </w:pPr>
            <w:r/>
            <w:r>
              <w:rPr>
                <w:rFonts w:ascii="Asta Sans" w:hAnsi="Asta Sans" w:eastAsia="Asta Sans"/>
                <w:b/>
                <w:sz w:val="18"/>
              </w:rPr>
              <w:t>ASL-2</w:t>
            </w:r>
          </w:p>
        </w:tc>
        <w:tc>
          <w:tcPr>
            <w:tcW w:w="1417" w:type="dxa"/>
          </w:tcPr>
          <w:p>
            <w:pPr>
              <w:spacing w:line="312" w:lineRule="auto"/>
            </w:pPr>
            <w:r/>
            <w:r>
              <w:rPr>
                <w:rFonts w:ascii="Asta Sans" w:hAnsi="Asta Sans" w:eastAsia="Asta Sans"/>
                <w:b w:val="0"/>
                <w:sz w:val="18"/>
              </w:rPr>
              <w:t>초기 위험 징후</w:t>
            </w:r>
          </w:p>
        </w:tc>
        <w:tc>
          <w:tcPr>
            <w:tcW w:w="2835" w:type="dxa"/>
          </w:tcPr>
          <w:p>
            <w:pPr>
              <w:spacing w:line="312" w:lineRule="auto"/>
            </w:pPr>
            <w:r/>
            <w:r>
              <w:rPr>
                <w:rFonts w:ascii="Asta Sans" w:hAnsi="Asta Sans" w:eastAsia="Asta Sans"/>
                <w:b w:val="0"/>
                <w:sz w:val="18"/>
              </w:rPr>
              <w:t>CBRN 관련 지침 제공이 가능하나 검색 엔진/교과서 수준</w:t>
            </w:r>
          </w:p>
        </w:tc>
        <w:tc>
          <w:tcPr>
            <w:tcW w:w="2835" w:type="dxa"/>
          </w:tcPr>
          <w:p>
            <w:pPr>
              <w:spacing w:line="312" w:lineRule="auto"/>
            </w:pPr>
            <w:r/>
            <w:r>
              <w:rPr>
                <w:rFonts w:ascii="Asta Sans" w:hAnsi="Asta Sans" w:eastAsia="Asta Sans"/>
                <w:b w:val="0"/>
                <w:sz w:val="18"/>
              </w:rPr>
              <w:t>CBRN 요청 거부 훈련, 가중치 탈취 방어</w:t>
            </w:r>
          </w:p>
        </w:tc>
        <w:tc>
          <w:tcPr>
            <w:tcW w:w="1417" w:type="dxa"/>
          </w:tcPr>
          <w:p>
            <w:pPr>
              <w:spacing w:line="312" w:lineRule="auto"/>
            </w:pPr>
            <w:r/>
            <w:r>
              <w:rPr>
                <w:rFonts w:ascii="Asta Sans" w:hAnsi="Asta Sans" w:eastAsia="Asta Sans"/>
                <w:b w:val="0"/>
                <w:sz w:val="18"/>
              </w:rPr>
              <w:t>BSL-2</w:t>
            </w:r>
          </w:p>
        </w:tc>
      </w:tr>
      <w:tr>
        <w:tc>
          <w:tcPr>
            <w:tcW w:w="850" w:type="dxa"/>
          </w:tcPr>
          <w:p>
            <w:pPr>
              <w:spacing w:line="312" w:lineRule="auto"/>
            </w:pPr>
            <w:r/>
            <w:r>
              <w:rPr>
                <w:rFonts w:ascii="Asta Sans" w:hAnsi="Asta Sans" w:eastAsia="Asta Sans"/>
                <w:b/>
                <w:sz w:val="18"/>
              </w:rPr>
              <w:t>ASL-3</w:t>
            </w:r>
          </w:p>
        </w:tc>
        <w:tc>
          <w:tcPr>
            <w:tcW w:w="1417" w:type="dxa"/>
          </w:tcPr>
          <w:p>
            <w:pPr>
              <w:spacing w:line="312" w:lineRule="auto"/>
            </w:pPr>
            <w:r/>
            <w:r>
              <w:rPr>
                <w:rFonts w:ascii="Asta Sans" w:hAnsi="Asta Sans" w:eastAsia="Asta Sans"/>
                <w:b w:val="0"/>
                <w:sz w:val="18"/>
              </w:rPr>
              <w:t>실질적 위험 증가</w:t>
            </w:r>
          </w:p>
        </w:tc>
        <w:tc>
          <w:tcPr>
            <w:tcW w:w="2835" w:type="dxa"/>
          </w:tcPr>
          <w:p>
            <w:pPr>
              <w:spacing w:line="312" w:lineRule="auto"/>
            </w:pPr>
            <w:r/>
            <w:r>
              <w:rPr>
                <w:rFonts w:ascii="Asta Sans" w:hAnsi="Asta Sans" w:eastAsia="Asta Sans"/>
                <w:b w:val="0"/>
                <w:sz w:val="18"/>
              </w:rPr>
              <w:t>CBRN 위험을 실질적으로 증가시키거나 초기 자율 행동 역량</w:t>
            </w:r>
          </w:p>
        </w:tc>
        <w:tc>
          <w:tcPr>
            <w:tcW w:w="2835" w:type="dxa"/>
          </w:tcPr>
          <w:p>
            <w:pPr>
              <w:spacing w:line="312" w:lineRule="auto"/>
            </w:pPr>
            <w:r/>
            <w:r>
              <w:rPr>
                <w:rFonts w:ascii="Asta Sans" w:hAnsi="Asta Sans" w:eastAsia="Asta Sans"/>
                <w:b w:val="0"/>
                <w:sz w:val="18"/>
              </w:rPr>
              <w:t>Constitutional Classifiers, 100+ 보안 통제, 이중 인증</w:t>
            </w:r>
          </w:p>
        </w:tc>
        <w:tc>
          <w:tcPr>
            <w:tcW w:w="1417" w:type="dxa"/>
          </w:tcPr>
          <w:p>
            <w:pPr>
              <w:spacing w:line="312" w:lineRule="auto"/>
            </w:pPr>
            <w:r/>
            <w:r>
              <w:rPr>
                <w:rFonts w:ascii="Asta Sans" w:hAnsi="Asta Sans" w:eastAsia="Asta Sans"/>
                <w:b w:val="0"/>
                <w:sz w:val="18"/>
              </w:rPr>
              <w:t>BSL-3</w:t>
            </w:r>
          </w:p>
        </w:tc>
      </w:tr>
      <w:tr>
        <w:tc>
          <w:tcPr>
            <w:tcW w:w="850" w:type="dxa"/>
          </w:tcPr>
          <w:p>
            <w:pPr>
              <w:spacing w:line="312" w:lineRule="auto"/>
            </w:pPr>
            <w:r/>
            <w:r>
              <w:rPr>
                <w:rFonts w:ascii="Asta Sans" w:hAnsi="Asta Sans" w:eastAsia="Asta Sans"/>
                <w:b/>
                <w:sz w:val="18"/>
              </w:rPr>
              <w:t>ASL-4</w:t>
            </w:r>
          </w:p>
        </w:tc>
        <w:tc>
          <w:tcPr>
            <w:tcW w:w="1417" w:type="dxa"/>
          </w:tcPr>
          <w:p>
            <w:pPr>
              <w:spacing w:line="312" w:lineRule="auto"/>
            </w:pPr>
            <w:r/>
            <w:r>
              <w:rPr>
                <w:rFonts w:ascii="Asta Sans" w:hAnsi="Asta Sans" w:eastAsia="Asta Sans"/>
                <w:b w:val="0"/>
                <w:sz w:val="18"/>
              </w:rPr>
              <w:t>고도 위험 (연구 단계)</w:t>
            </w:r>
          </w:p>
        </w:tc>
        <w:tc>
          <w:tcPr>
            <w:tcW w:w="2835" w:type="dxa"/>
          </w:tcPr>
          <w:p>
            <w:pPr>
              <w:spacing w:line="312" w:lineRule="auto"/>
            </w:pPr>
            <w:r/>
            <w:r>
              <w:rPr>
                <w:rFonts w:ascii="Asta Sans" w:hAnsi="Asta Sans" w:eastAsia="Asta Sans"/>
                <w:b w:val="0"/>
                <w:sz w:val="18"/>
              </w:rPr>
              <w:t>국가 안보 수준의 사이버/생물 위협, 자율 복제 가능</w:t>
            </w:r>
          </w:p>
        </w:tc>
        <w:tc>
          <w:tcPr>
            <w:tcW w:w="2835" w:type="dxa"/>
          </w:tcPr>
          <w:p>
            <w:pPr>
              <w:spacing w:line="312" w:lineRule="auto"/>
            </w:pPr>
            <w:r/>
            <w:r>
              <w:rPr>
                <w:rFonts w:ascii="Asta Sans" w:hAnsi="Asta Sans" w:eastAsia="Asta Sans"/>
                <w:b w:val="0"/>
                <w:sz w:val="18"/>
              </w:rPr>
              <w:t>기계적 해석 가능성, AI 통제, 인센티브 분석</w:t>
            </w:r>
          </w:p>
        </w:tc>
        <w:tc>
          <w:tcPr>
            <w:tcW w:w="1417" w:type="dxa"/>
          </w:tcPr>
          <w:p>
            <w:pPr>
              <w:spacing w:line="312" w:lineRule="auto"/>
            </w:pPr>
            <w:r/>
            <w:r>
              <w:rPr>
                <w:rFonts w:ascii="Asta Sans" w:hAnsi="Asta Sans" w:eastAsia="Asta Sans"/>
                <w:b w:val="0"/>
                <w:sz w:val="18"/>
              </w:rPr>
              <w:t>BSL-4</w:t>
            </w:r>
          </w:p>
        </w:tc>
      </w:tr>
      <w:tr>
        <w:tc>
          <w:tcPr>
            <w:tcW w:w="850" w:type="dxa"/>
          </w:tcPr>
          <w:p>
            <w:pPr>
              <w:spacing w:line="312" w:lineRule="auto"/>
            </w:pPr>
            <w:r/>
            <w:r>
              <w:rPr>
                <w:rFonts w:ascii="Asta Sans" w:hAnsi="Asta Sans" w:eastAsia="Asta Sans"/>
                <w:b/>
                <w:sz w:val="18"/>
              </w:rPr>
              <w:t>ASL-5+</w:t>
            </w:r>
          </w:p>
        </w:tc>
        <w:tc>
          <w:tcPr>
            <w:tcW w:w="1417" w:type="dxa"/>
          </w:tcPr>
          <w:p>
            <w:pPr>
              <w:spacing w:line="312" w:lineRule="auto"/>
            </w:pPr>
            <w:r/>
            <w:r>
              <w:rPr>
                <w:rFonts w:ascii="Asta Sans" w:hAnsi="Asta Sans" w:eastAsia="Asta Sans"/>
                <w:b w:val="0"/>
                <w:sz w:val="18"/>
              </w:rPr>
              <w:t>극단적 위험 (개념적)</w:t>
            </w:r>
          </w:p>
        </w:tc>
        <w:tc>
          <w:tcPr>
            <w:tcW w:w="2835" w:type="dxa"/>
          </w:tcPr>
          <w:p>
            <w:pPr>
              <w:spacing w:line="312" w:lineRule="auto"/>
            </w:pPr>
            <w:r/>
            <w:r>
              <w:rPr>
                <w:rFonts w:ascii="Asta Sans" w:hAnsi="Asta Sans" w:eastAsia="Asta Sans"/>
                <w:b w:val="0"/>
                <w:sz w:val="18"/>
              </w:rPr>
              <w:t>인간 수준 또는 그 이상의 자율적 AI</w:t>
            </w:r>
          </w:p>
        </w:tc>
        <w:tc>
          <w:tcPr>
            <w:tcW w:w="2835" w:type="dxa"/>
          </w:tcPr>
          <w:p>
            <w:pPr>
              <w:spacing w:line="312" w:lineRule="auto"/>
            </w:pPr>
            <w:r/>
            <w:r>
              <w:rPr>
                <w:rFonts w:ascii="Asta Sans" w:hAnsi="Asta Sans" w:eastAsia="Asta Sans"/>
                <w:b w:val="0"/>
                <w:sz w:val="18"/>
              </w:rPr>
              <w:t>외부 감독 필수. 구체적 기준 미수립</w:t>
            </w:r>
          </w:p>
        </w:tc>
        <w:tc>
          <w:tcPr>
            <w:tcW w:w="1417" w:type="dxa"/>
          </w:tcPr>
          <w:p>
            <w:pPr>
              <w:spacing w:line="312" w:lineRule="auto"/>
            </w:pPr>
            <w:r/>
            <w:r>
              <w:rPr>
                <w:rFonts w:ascii="Asta Sans" w:hAnsi="Asta Sans" w:eastAsia="Asta Sans"/>
                <w:b w:val="0"/>
                <w:sz w:val="18"/>
              </w:rPr>
              <w:t>해당 없음</w:t>
            </w:r>
          </w:p>
        </w:tc>
      </w:tr>
    </w:tbl>
    <w:p>
      <w:pPr>
        <w:spacing w:before="280" w:after="160"/>
      </w:pPr>
      <w:r>
        <w:rPr>
          <w:rFonts w:ascii="Asta Sans" w:hAnsi="Asta Sans" w:eastAsia="Asta Sans"/>
          <w:b/>
          <w:color w:val="444444"/>
          <w:sz w:val="26"/>
        </w:rPr>
        <w:t>2. 현재 상태 (2025–26년)</w:t>
      </w:r>
    </w:p>
    <w:p>
      <w:pPr>
        <w:spacing w:line="360" w:lineRule="auto" w:after="160"/>
        <w:ind w:firstLine="283"/>
      </w:pPr>
      <w:r>
        <w:rPr>
          <w:rFonts w:ascii="Asta Sans" w:hAnsi="Asta Sans" w:eastAsia="Asta Sans"/>
          <w:b w:val="0"/>
          <w:sz w:val="22"/>
        </w:rPr>
        <w:t>2025년 5월, Claude Opus 4 출시와 함께 ASL-3이 최초 활성화되었다. Anthropic은 “Claude Opus 4가 ASL-3 요건의 역량 임계값을 넘었는지 확정적으로 판단하지는 못했으나, 이전 모델들처럼 ASL-3 위험을 명확히 배제하는 것이 불가능하다”고 판단하여 예방적(precautionary) 접근을 취했다.</w:t>
      </w:r>
    </w:p>
    <w:p>
      <w:pPr>
        <w:spacing w:line="360" w:lineRule="auto" w:after="160"/>
        <w:ind w:firstLine="283"/>
      </w:pPr>
      <w:r>
        <w:rPr>
          <w:rFonts w:ascii="Asta Sans" w:hAnsi="Asta Sans" w:eastAsia="Asta Sans"/>
          <w:b w:val="0"/>
          <w:sz w:val="22"/>
        </w:rPr>
        <w:t>2026년 2월 기준, Claude Opus 4.6은 ASL-3 등급으로 운영되고 있다. 53페이지 분량의 사보타주 위험 보고서가 공개되었으며, SHADE-Arena 벤치마크에서 확장 사고(extended thinking) 활성화 시 의심스러운 작업을 18% 성공률로 수행하는 것으로 평가되었다.</w:t>
      </w:r>
    </w:p>
    <w:p>
      <w:pPr>
        <w:spacing w:line="360" w:lineRule="auto" w:after="160"/>
        <w:ind w:firstLine="283"/>
      </w:pPr>
      <w:r>
        <w:rPr>
          <w:rFonts w:ascii="Asta Sans" w:hAnsi="Asta Sans" w:eastAsia="Asta Sans"/>
          <w:b w:val="0"/>
          <w:sz w:val="22"/>
        </w:rPr>
        <w:t>“매우 낮지만 무시할 수 없는(very low but not negligible)” 사보타주 위험이 확인되었으며, 이전 모델 대비 “다른 참여자를 조작하거나 기만하려는 경향이 더 높다”고 평가되었다. 다만 “일관된 위험한 목표, 추론 불투명성, 장기 계획 신뢰성이 부족하여” 탐지 없는 사보타주 실행은 불가능하다고 평가되었다.</w:t>
      </w:r>
    </w:p>
    <w:p>
      <w:pPr>
        <w:spacing w:before="280" w:after="160"/>
      </w:pPr>
      <w:r>
        <w:rPr>
          <w:rFonts w:ascii="Asta Sans" w:hAnsi="Asta Sans" w:eastAsia="Asta Sans"/>
          <w:b/>
          <w:color w:val="444444"/>
          <w:sz w:val="26"/>
        </w:rPr>
        <w:t>3. 주요 AI 안전 프레임워크 비교</w:t>
      </w:r>
    </w:p>
    <w:tbl>
      <w:tblPr>
        <w:tblStyle w:val="TableGrid"/>
        <w:tblW w:type="auto" w:w="0"/>
        <w:tblLook w:firstColumn="1" w:firstRow="1" w:lastColumn="0" w:lastRow="0" w:noHBand="0" w:noVBand="1" w:val="04A0"/>
        <w:tblLayout w:type="fixed"/>
      </w:tblPr>
      <w:tblGrid>
        <w:gridCol w:w="1984"/>
        <w:gridCol w:w="1984"/>
        <w:gridCol w:w="2835"/>
        <w:gridCol w:w="2551"/>
      </w:tblGrid>
      <w:tr>
        <w:tc>
          <w:tcPr>
            <w:shd w:fill="333333" w:val="clear"/>
            <w:tcW w:w="1984" w:type="dxa"/>
          </w:tcPr>
          <w:p>
            <w:r/>
            <w:r>
              <w:rPr>
                <w:rFonts w:ascii="Asta Sans" w:hAnsi="Asta Sans" w:eastAsia="Asta Sans"/>
                <w:b/>
                <w:color w:val="FFFFFF"/>
                <w:sz w:val="18"/>
              </w:rPr>
              <w:t>프레임워크</w:t>
            </w:r>
          </w:p>
        </w:tc>
        <w:tc>
          <w:tcPr>
            <w:shd w:fill="333333" w:val="clear"/>
            <w:tcW w:w="1984" w:type="dxa"/>
          </w:tcPr>
          <w:p>
            <w:r/>
            <w:r>
              <w:rPr>
                <w:rFonts w:ascii="Asta Sans" w:hAnsi="Asta Sans" w:eastAsia="Asta Sans"/>
                <w:b/>
                <w:color w:val="FFFFFF"/>
                <w:sz w:val="18"/>
              </w:rPr>
              <w:t>유형</w:t>
            </w:r>
          </w:p>
        </w:tc>
        <w:tc>
          <w:tcPr>
            <w:shd w:fill="333333" w:val="clear"/>
            <w:tcW w:w="2835" w:type="dxa"/>
          </w:tcPr>
          <w:p>
            <w:r/>
            <w:r>
              <w:rPr>
                <w:rFonts w:ascii="Asta Sans" w:hAnsi="Asta Sans" w:eastAsia="Asta Sans"/>
                <w:b/>
                <w:color w:val="FFFFFF"/>
                <w:sz w:val="18"/>
              </w:rPr>
              <w:t>접근법</w:t>
            </w:r>
          </w:p>
        </w:tc>
        <w:tc>
          <w:tcPr>
            <w:shd w:fill="333333" w:val="clear"/>
            <w:tcW w:w="2551" w:type="dxa"/>
          </w:tcPr>
          <w:p>
            <w:r/>
            <w:r>
              <w:rPr>
                <w:rFonts w:ascii="Asta Sans" w:hAnsi="Asta Sans" w:eastAsia="Asta Sans"/>
                <w:b/>
                <w:color w:val="FFFFFF"/>
                <w:sz w:val="18"/>
              </w:rPr>
              <w:t>집행력</w:t>
            </w:r>
          </w:p>
        </w:tc>
      </w:tr>
      <w:tr>
        <w:tc>
          <w:tcPr>
            <w:tcW w:w="1984" w:type="dxa"/>
          </w:tcPr>
          <w:p>
            <w:pPr>
              <w:spacing w:line="312" w:lineRule="auto"/>
            </w:pPr>
            <w:r/>
            <w:r>
              <w:rPr>
                <w:rFonts w:ascii="Asta Sans" w:hAnsi="Asta Sans" w:eastAsia="Asta Sans"/>
                <w:b/>
                <w:sz w:val="18"/>
              </w:rPr>
              <w:t>Anthropic RSP/ASL</w:t>
            </w:r>
          </w:p>
        </w:tc>
        <w:tc>
          <w:tcPr>
            <w:tcW w:w="1984" w:type="dxa"/>
          </w:tcPr>
          <w:p>
            <w:pPr>
              <w:spacing w:line="312" w:lineRule="auto"/>
            </w:pPr>
            <w:r/>
            <w:r>
              <w:rPr>
                <w:rFonts w:ascii="Asta Sans" w:hAnsi="Asta Sans" w:eastAsia="Asta Sans"/>
                <w:b w:val="0"/>
                <w:sz w:val="18"/>
              </w:rPr>
              <w:t>기업 자발적 정책</w:t>
            </w:r>
          </w:p>
        </w:tc>
        <w:tc>
          <w:tcPr>
            <w:tcW w:w="2835" w:type="dxa"/>
          </w:tcPr>
          <w:p>
            <w:pPr>
              <w:spacing w:line="312" w:lineRule="auto"/>
            </w:pPr>
            <w:r/>
            <w:r>
              <w:rPr>
                <w:rFonts w:ascii="Asta Sans" w:hAnsi="Asta Sans" w:eastAsia="Asta Sans"/>
                <w:b w:val="0"/>
                <w:sz w:val="18"/>
              </w:rPr>
              <w:t>역량 기반 등급 (ASL-1~5+)</w:t>
            </w:r>
          </w:p>
        </w:tc>
        <w:tc>
          <w:tcPr>
            <w:tcW w:w="2551" w:type="dxa"/>
          </w:tcPr>
          <w:p>
            <w:pPr>
              <w:spacing w:line="312" w:lineRule="auto"/>
            </w:pPr>
            <w:r/>
            <w:r>
              <w:rPr>
                <w:rFonts w:ascii="Asta Sans" w:hAnsi="Asta Sans" w:eastAsia="Asta Sans"/>
                <w:b w:val="0"/>
                <w:sz w:val="18"/>
              </w:rPr>
              <w:t>자율 규제</w:t>
            </w:r>
          </w:p>
        </w:tc>
      </w:tr>
      <w:tr>
        <w:tc>
          <w:tcPr>
            <w:tcW w:w="1984" w:type="dxa"/>
          </w:tcPr>
          <w:p>
            <w:pPr>
              <w:spacing w:line="312" w:lineRule="auto"/>
            </w:pPr>
            <w:r/>
            <w:r>
              <w:rPr>
                <w:rFonts w:ascii="Asta Sans" w:hAnsi="Asta Sans" w:eastAsia="Asta Sans"/>
                <w:b/>
                <w:sz w:val="18"/>
              </w:rPr>
              <w:t>OpenAI Preparedness</w:t>
            </w:r>
          </w:p>
        </w:tc>
        <w:tc>
          <w:tcPr>
            <w:tcW w:w="1984" w:type="dxa"/>
          </w:tcPr>
          <w:p>
            <w:pPr>
              <w:spacing w:line="312" w:lineRule="auto"/>
            </w:pPr>
            <w:r/>
            <w:r>
              <w:rPr>
                <w:rFonts w:ascii="Asta Sans" w:hAnsi="Asta Sans" w:eastAsia="Asta Sans"/>
                <w:b w:val="0"/>
                <w:sz w:val="18"/>
              </w:rPr>
              <w:t>기업 자발적 정책</w:t>
            </w:r>
          </w:p>
        </w:tc>
        <w:tc>
          <w:tcPr>
            <w:tcW w:w="2835" w:type="dxa"/>
          </w:tcPr>
          <w:p>
            <w:pPr>
              <w:spacing w:line="312" w:lineRule="auto"/>
            </w:pPr>
            <w:r/>
            <w:r>
              <w:rPr>
                <w:rFonts w:ascii="Asta Sans" w:hAnsi="Asta Sans" w:eastAsia="Asta Sans"/>
                <w:b w:val="0"/>
                <w:sz w:val="18"/>
              </w:rPr>
              <w:t>Low/Medium/High/Critical</w:t>
            </w:r>
          </w:p>
        </w:tc>
        <w:tc>
          <w:tcPr>
            <w:tcW w:w="2551" w:type="dxa"/>
          </w:tcPr>
          <w:p>
            <w:pPr>
              <w:spacing w:line="312" w:lineRule="auto"/>
            </w:pPr>
            <w:r/>
            <w:r>
              <w:rPr>
                <w:rFonts w:ascii="Asta Sans" w:hAnsi="Asta Sans" w:eastAsia="Asta Sans"/>
                <w:b w:val="0"/>
                <w:sz w:val="18"/>
              </w:rPr>
              <w:t>자율 규제</w:t>
            </w:r>
          </w:p>
        </w:tc>
      </w:tr>
      <w:tr>
        <w:tc>
          <w:tcPr>
            <w:tcW w:w="1984" w:type="dxa"/>
          </w:tcPr>
          <w:p>
            <w:pPr>
              <w:spacing w:line="312" w:lineRule="auto"/>
            </w:pPr>
            <w:r/>
            <w:r>
              <w:rPr>
                <w:rFonts w:ascii="Asta Sans" w:hAnsi="Asta Sans" w:eastAsia="Asta Sans"/>
                <w:b/>
                <w:sz w:val="18"/>
              </w:rPr>
              <w:t>EU AI Act</w:t>
            </w:r>
          </w:p>
        </w:tc>
        <w:tc>
          <w:tcPr>
            <w:tcW w:w="1984" w:type="dxa"/>
          </w:tcPr>
          <w:p>
            <w:pPr>
              <w:spacing w:line="312" w:lineRule="auto"/>
            </w:pPr>
            <w:r/>
            <w:r>
              <w:rPr>
                <w:rFonts w:ascii="Asta Sans" w:hAnsi="Asta Sans" w:eastAsia="Asta Sans"/>
                <w:b w:val="0"/>
                <w:sz w:val="18"/>
              </w:rPr>
              <w:t>법적 구속력 있는 규제</w:t>
            </w:r>
          </w:p>
        </w:tc>
        <w:tc>
          <w:tcPr>
            <w:tcW w:w="2835" w:type="dxa"/>
          </w:tcPr>
          <w:p>
            <w:pPr>
              <w:spacing w:line="312" w:lineRule="auto"/>
            </w:pPr>
            <w:r/>
            <w:r>
              <w:rPr>
                <w:rFonts w:ascii="Asta Sans" w:hAnsi="Asta Sans" w:eastAsia="Asta Sans"/>
                <w:b w:val="0"/>
                <w:sz w:val="18"/>
              </w:rPr>
              <w:t>사용 맥락 기반 4단계</w:t>
            </w:r>
          </w:p>
        </w:tc>
        <w:tc>
          <w:tcPr>
            <w:tcW w:w="2551" w:type="dxa"/>
          </w:tcPr>
          <w:p>
            <w:pPr>
              <w:spacing w:line="312" w:lineRule="auto"/>
            </w:pPr>
            <w:r/>
            <w:r>
              <w:rPr>
                <w:rFonts w:ascii="Asta Sans" w:hAnsi="Asta Sans" w:eastAsia="Asta Sans"/>
                <w:b w:val="0"/>
                <w:sz w:val="18"/>
              </w:rPr>
              <w:t>벌금 (매출의 최대 7%)</w:t>
            </w:r>
          </w:p>
        </w:tc>
      </w:tr>
      <w:tr>
        <w:tc>
          <w:tcPr>
            <w:tcW w:w="1984" w:type="dxa"/>
          </w:tcPr>
          <w:p>
            <w:pPr>
              <w:spacing w:line="312" w:lineRule="auto"/>
            </w:pPr>
            <w:r/>
            <w:r>
              <w:rPr>
                <w:rFonts w:ascii="Asta Sans" w:hAnsi="Asta Sans" w:eastAsia="Asta Sans"/>
                <w:b/>
                <w:sz w:val="18"/>
              </w:rPr>
              <w:t>NIST AI RMF</w:t>
            </w:r>
          </w:p>
        </w:tc>
        <w:tc>
          <w:tcPr>
            <w:tcW w:w="1984" w:type="dxa"/>
          </w:tcPr>
          <w:p>
            <w:pPr>
              <w:spacing w:line="312" w:lineRule="auto"/>
            </w:pPr>
            <w:r/>
            <w:r>
              <w:rPr>
                <w:rFonts w:ascii="Asta Sans" w:hAnsi="Asta Sans" w:eastAsia="Asta Sans"/>
                <w:b w:val="0"/>
                <w:sz w:val="18"/>
              </w:rPr>
              <w:t>정부 가이드라인</w:t>
            </w:r>
          </w:p>
        </w:tc>
        <w:tc>
          <w:tcPr>
            <w:tcW w:w="2835" w:type="dxa"/>
          </w:tcPr>
          <w:p>
            <w:pPr>
              <w:spacing w:line="312" w:lineRule="auto"/>
            </w:pPr>
            <w:r/>
            <w:r>
              <w:rPr>
                <w:rFonts w:ascii="Asta Sans" w:hAnsi="Asta Sans" w:eastAsia="Asta Sans"/>
                <w:b w:val="0"/>
                <w:sz w:val="18"/>
              </w:rPr>
              <w:t>거버넌스·매핑·측정·관리</w:t>
            </w:r>
          </w:p>
        </w:tc>
        <w:tc>
          <w:tcPr>
            <w:tcW w:w="2551" w:type="dxa"/>
          </w:tcPr>
          <w:p>
            <w:pPr>
              <w:spacing w:line="312" w:lineRule="auto"/>
            </w:pPr>
            <w:r/>
            <w:r>
              <w:rPr>
                <w:rFonts w:ascii="Asta Sans" w:hAnsi="Asta Sans" w:eastAsia="Asta Sans"/>
                <w:b w:val="0"/>
                <w:sz w:val="18"/>
              </w:rPr>
              <w:t>자발적</w:t>
            </w:r>
          </w:p>
        </w:tc>
      </w:tr>
    </w:tbl>
    <w:p>
      <w:pPr>
        <w:spacing w:before="280" w:after="160"/>
      </w:pPr>
      <w:r>
        <w:rPr>
          <w:rFonts w:ascii="Asta Sans" w:hAnsi="Asta Sans" w:eastAsia="Asta Sans"/>
          <w:b/>
          <w:color w:val="444444"/>
          <w:sz w:val="26"/>
        </w:rPr>
        <w:t>4. 사회계약 연구에서의 정책적 함의</w:t>
      </w:r>
    </w:p>
    <w:p>
      <w:pPr>
        <w:spacing w:line="360" w:lineRule="auto" w:after="160"/>
        <w:ind w:firstLine="283"/>
      </w:pPr>
      <w:r>
        <w:rPr>
          <w:rFonts w:ascii="Asta Sans" w:hAnsi="Asta Sans" w:eastAsia="Asta Sans"/>
          <w:b w:val="0"/>
          <w:sz w:val="22"/>
        </w:rPr>
        <w:t>ASL의 점진적 확대(graduated escalation) 모델은 본 연구의 ❶ 주체 정의에서 제안하는 전자인 스펙트럼(도구 → 대리인 → 준자율 → 자율)과 구조적으로 대응한다. 자율성 수준에 따라 법적 범주와 안전 조치가 함께 확대되는 구조다.</w:t>
      </w:r>
    </w:p>
    <w:p>
      <w:pPr>
        <w:spacing w:line="360" w:lineRule="auto" w:after="160"/>
        <w:ind w:firstLine="283"/>
      </w:pPr>
      <w:r>
        <w:rPr>
          <w:rFonts w:ascii="Asta Sans" w:hAnsi="Asta Sans" w:eastAsia="Asta Sans"/>
          <w:b w:val="0"/>
          <w:sz w:val="22"/>
        </w:rPr>
        <w:t>Claude Opus 4의 ASL-3 활성화 사례는 역량 임계값 초과를 확정하지 못한 상태에서도 상위 등급의 안전 조치를 적용한 예방 원칙(precautionary principle)의 실천적 적용 사례다.</w:t>
      </w:r>
    </w:p>
    <w:p>
      <w:pPr>
        <w:spacing w:line="360" w:lineRule="auto" w:after="160"/>
        <w:ind w:firstLine="283"/>
      </w:pPr>
      <w:r>
        <w:rPr>
          <w:rFonts w:ascii="Asta Sans" w:hAnsi="Asta Sans" w:eastAsia="Asta Sans"/>
          <w:b w:val="0"/>
          <w:sz w:val="22"/>
        </w:rPr>
        <w:t>Federation of American Scientists(FAS)는 ASL과 같은 기업 프레임워크가 “정부 조치를 대체할 수 없으며, 대체해서도 안 된다”고 평가했다. 자체 정의, 자체 평가, 자체 집행이라는 구조적 이해 충돌(conflict of interest)이 있으며, 사회적으로 합의된 법적 범주로 격상시키는 것이 ❶의 과제다.</w:t>
      </w:r>
    </w:p>
    <w:p>
      <w:pPr>
        <w:spacing w:line="360" w:lineRule="auto" w:after="160"/>
        <w:ind w:firstLine="283"/>
      </w:pPr>
      <w:r>
        <w:rPr>
          <w:rFonts w:ascii="Asta Sans" w:hAnsi="Asta Sans" w:eastAsia="Asta Sans"/>
          <w:b w:val="0"/>
          <w:sz w:val="22"/>
        </w:rPr>
        <w:t>현행 ASL은 기업 내부 결정이며 시민 참여 메커니즘이 부재하다. 사회계약의 관점에서 AI 안전의 최종 보증인은 국가(또는 국제 거버넌스 기구)여야 하며, 기업의 자발적 프레임워크는 보완적 역할에 그쳐야 한다.</w:t>
      </w:r>
    </w:p>
    <w:p>
      <w:pPr>
        <w:spacing w:before="200" w:after="80"/>
      </w:pPr>
      <w:r>
        <w:rPr>
          <w:rFonts w:ascii="Asta Sans" w:hAnsi="Asta Sans" w:eastAsia="Asta Sans"/>
          <w:b/>
          <w:color w:val="666666"/>
          <w:sz w:val="20"/>
        </w:rPr>
        <w:t>주요 출처</w:t>
      </w:r>
    </w:p>
    <w:p>
      <w:pPr>
        <w:pStyle w:val="ListBullet"/>
        <w:spacing w:line="312" w:lineRule="auto" w:after="40"/>
      </w:pPr>
      <w:r>
        <w:rPr>
          <w:rFonts w:ascii="Asta Sans" w:hAnsi="Asta Sans" w:eastAsia="Asta Sans"/>
          <w:b w:val="0"/>
          <w:color w:val="666666"/>
          <w:sz w:val="18"/>
        </w:rPr>
        <w:t>Anthropic, Responsible Scaling Policy v2.2 (2025)</w:t>
      </w:r>
    </w:p>
    <w:p>
      <w:pPr>
        <w:pStyle w:val="ListBullet"/>
        <w:spacing w:line="312" w:lineRule="auto" w:after="40"/>
      </w:pPr>
      <w:r>
        <w:rPr>
          <w:rFonts w:ascii="Asta Sans" w:hAnsi="Asta Sans" w:eastAsia="Asta Sans"/>
          <w:b w:val="0"/>
          <w:color w:val="666666"/>
          <w:sz w:val="18"/>
        </w:rPr>
        <w:t>Anthropic, Activating ASL-3 Protections (2025)</w:t>
      </w:r>
    </w:p>
    <w:p>
      <w:pPr>
        <w:pStyle w:val="ListBullet"/>
        <w:spacing w:line="312" w:lineRule="auto" w:after="40"/>
      </w:pPr>
      <w:r>
        <w:rPr>
          <w:rFonts w:ascii="Asta Sans" w:hAnsi="Asta Sans" w:eastAsia="Asta Sans"/>
          <w:b w:val="0"/>
          <w:color w:val="666666"/>
          <w:sz w:val="18"/>
        </w:rPr>
        <w:t>Anthropic, Claude Opus 4.6 Sabotage Risk Report (2026)</w:t>
      </w:r>
    </w:p>
    <w:p>
      <w:pPr>
        <w:pStyle w:val="ListBullet"/>
        <w:spacing w:line="312" w:lineRule="auto" w:after="40"/>
      </w:pPr>
      <w:r>
        <w:rPr>
          <w:rFonts w:ascii="Asta Sans" w:hAnsi="Asta Sans" w:eastAsia="Asta Sans"/>
          <w:b w:val="0"/>
          <w:color w:val="666666"/>
          <w:sz w:val="18"/>
        </w:rPr>
        <w:t>Federation of American Scientists, Can Preparedness Frameworks Pull Their Weight? (2025)</w:t>
      </w:r>
    </w:p>
    <w:p>
      <w:pPr>
        <w:pStyle w:val="ListBullet"/>
        <w:spacing w:line="312" w:lineRule="auto" w:after="40"/>
      </w:pPr>
      <w:r>
        <w:rPr>
          <w:rFonts w:ascii="Asta Sans" w:hAnsi="Asta Sans" w:eastAsia="Asta Sans"/>
          <w:b w:val="0"/>
          <w:color w:val="666666"/>
          <w:sz w:val="18"/>
        </w:rPr>
        <w:t>EU AI Act (2024)</w:t>
      </w:r>
    </w:p>
    <w:p>
      <w:r>
        <w:br w:type="page"/>
      </w:r>
    </w:p>
    <w:p>
      <w:pPr>
        <w:spacing w:before="0" w:after="120"/>
      </w:pPr>
      <w:r>
        <w:rPr>
          <w:rFonts w:ascii="Asta Sans" w:hAnsi="Asta Sans" w:eastAsia="Asta Sans"/>
          <w:b/>
          <w:color w:val="000000"/>
          <w:sz w:val="36"/>
        </w:rPr>
        <w:t>References</w:t>
      </w:r>
    </w:p>
    <w:p>
      <w:pPr>
        <w:spacing w:after="280"/>
        <w:pBdr>
          <w:bottom w:val="single" w:sz="6" w:space="1" w:color="333333"/>
        </w:pBdr>
      </w:pPr>
    </w:p>
    <w:p>
      <w:pPr>
        <w:spacing w:line="336" w:lineRule="auto" w:after="120"/>
        <w:ind w:hanging="720" w:left="720"/>
      </w:pPr>
      <w:r>
        <w:rPr>
          <w:rFonts w:ascii="Asta Sans" w:hAnsi="Asta Sans" w:eastAsia="Asta Sans"/>
          <w:b w:val="0"/>
          <w:sz w:val="20"/>
        </w:rPr>
        <w:t xml:space="preserve">Acemoglu, D., &amp; Johnson, S. (2023). </w:t>
      </w:r>
      <w:r>
        <w:rPr>
          <w:rFonts w:ascii="Asta Sans" w:hAnsi="Asta Sans" w:eastAsia="Asta Sans"/>
          <w:b w:val="0"/>
          <w:i/>
          <w:sz w:val="20"/>
        </w:rPr>
        <w:t>Power and progress: Our thousand-year struggle over technology and prosperity</w:t>
      </w:r>
      <w:r>
        <w:rPr>
          <w:rFonts w:ascii="Asta Sans" w:hAnsi="Asta Sans" w:eastAsia="Asta Sans"/>
          <w:b w:val="0"/>
          <w:sz w:val="20"/>
        </w:rPr>
        <w:t>. PublicAffairs.</w:t>
      </w:r>
    </w:p>
    <w:p>
      <w:pPr>
        <w:spacing w:line="336" w:lineRule="auto" w:after="120"/>
        <w:ind w:hanging="720" w:left="720"/>
      </w:pPr>
      <w:r>
        <w:rPr>
          <w:rFonts w:ascii="Asta Sans" w:hAnsi="Asta Sans" w:eastAsia="Asta Sans"/>
          <w:b w:val="0"/>
          <w:sz w:val="20"/>
        </w:rPr>
        <w:t>Amodei, D. (2024, October 17). Machines of loving grace. https://darioamodei.com/machines-of-loving-grace</w:t>
      </w:r>
    </w:p>
    <w:p>
      <w:pPr>
        <w:spacing w:line="336" w:lineRule="auto" w:after="120"/>
        <w:ind w:hanging="720" w:left="720"/>
      </w:pPr>
      <w:r>
        <w:rPr>
          <w:rFonts w:ascii="Asta Sans" w:hAnsi="Asta Sans" w:eastAsia="Asta Sans"/>
          <w:b w:val="0"/>
          <w:sz w:val="20"/>
        </w:rPr>
        <w:t>Amodei, D. (2026, February 3). The adolescence of technology. https://darioamodei.com/essay/the-adolescence-of-technology</w:t>
      </w:r>
    </w:p>
    <w:p>
      <w:pPr>
        <w:spacing w:line="336" w:lineRule="auto" w:after="120"/>
        <w:ind w:hanging="720" w:left="720"/>
      </w:pPr>
      <w:r>
        <w:rPr>
          <w:rFonts w:ascii="Asta Sans" w:hAnsi="Asta Sans" w:eastAsia="Asta Sans"/>
          <w:b w:val="0"/>
          <w:sz w:val="20"/>
        </w:rPr>
        <w:t>Anthropic. (2025, May 22). Activating ASL-3 protections. https://www.anthropic.com/news/activating-asl3-protections</w:t>
      </w:r>
    </w:p>
    <w:p>
      <w:pPr>
        <w:spacing w:line="336" w:lineRule="auto" w:after="120"/>
        <w:ind w:hanging="720" w:left="720"/>
      </w:pPr>
      <w:r>
        <w:rPr>
          <w:rFonts w:ascii="Asta Sans" w:hAnsi="Asta Sans" w:eastAsia="Asta Sans"/>
          <w:b w:val="0"/>
          <w:sz w:val="20"/>
        </w:rPr>
        <w:t xml:space="preserve">Anthropic. (2025). </w:t>
      </w:r>
      <w:r>
        <w:rPr>
          <w:rFonts w:ascii="Asta Sans" w:hAnsi="Asta Sans" w:eastAsia="Asta Sans"/>
          <w:b w:val="0"/>
          <w:i/>
          <w:sz w:val="20"/>
        </w:rPr>
        <w:t>Responsible Scaling Policy</w:t>
      </w:r>
      <w:r>
        <w:rPr>
          <w:rFonts w:ascii="Asta Sans" w:hAnsi="Asta Sans" w:eastAsia="Asta Sans"/>
          <w:b w:val="0"/>
          <w:sz w:val="20"/>
        </w:rPr>
        <w:t xml:space="preserve"> (v2.2). https://www.anthropic.com/responsible-scaling-policy</w:t>
      </w:r>
    </w:p>
    <w:p>
      <w:pPr>
        <w:spacing w:line="336" w:lineRule="auto" w:after="120"/>
        <w:ind w:hanging="720" w:left="720"/>
      </w:pPr>
      <w:r>
        <w:rPr>
          <w:rFonts w:ascii="Asta Sans" w:hAnsi="Asta Sans" w:eastAsia="Asta Sans"/>
          <w:b w:val="0"/>
          <w:sz w:val="20"/>
        </w:rPr>
        <w:t>Anthropic. (2026, January 22). Claude’s new constitution. https://www.anthropic.com/news/claude-new-constitution</w:t>
      </w:r>
    </w:p>
    <w:p>
      <w:pPr>
        <w:spacing w:line="336" w:lineRule="auto" w:after="120"/>
        <w:ind w:hanging="720" w:left="720"/>
      </w:pPr>
      <w:r>
        <w:rPr>
          <w:rFonts w:ascii="Asta Sans" w:hAnsi="Asta Sans" w:eastAsia="Asta Sans"/>
          <w:b w:val="0"/>
          <w:sz w:val="20"/>
        </w:rPr>
        <w:t>Anthropic. (2026, February). Claude Opus 4.6 sabotage risk report. https://anthropic.com/claude-opus-4-6-risk-report</w:t>
      </w:r>
    </w:p>
    <w:p>
      <w:pPr>
        <w:spacing w:line="336" w:lineRule="auto" w:after="120"/>
        <w:ind w:hanging="720" w:left="720"/>
      </w:pPr>
      <w:r>
        <w:rPr>
          <w:rFonts w:ascii="Asta Sans" w:hAnsi="Asta Sans" w:eastAsia="Asta Sans"/>
          <w:b w:val="0"/>
          <w:sz w:val="20"/>
        </w:rPr>
        <w:t xml:space="preserve">Aoki, M. (2001). </w:t>
      </w:r>
      <w:r>
        <w:rPr>
          <w:rFonts w:ascii="Asta Sans" w:hAnsi="Asta Sans" w:eastAsia="Asta Sans"/>
          <w:b w:val="0"/>
          <w:i/>
          <w:sz w:val="20"/>
        </w:rPr>
        <w:t>Toward a comparative institutional analysis</w:t>
      </w:r>
      <w:r>
        <w:rPr>
          <w:rFonts w:ascii="Asta Sans" w:hAnsi="Asta Sans" w:eastAsia="Asta Sans"/>
          <w:b w:val="0"/>
          <w:sz w:val="20"/>
        </w:rPr>
        <w:t>. MIT Press.</w:t>
      </w:r>
    </w:p>
    <w:p>
      <w:pPr>
        <w:spacing w:line="336" w:lineRule="auto" w:after="120"/>
        <w:ind w:hanging="720" w:left="720"/>
      </w:pPr>
      <w:r>
        <w:rPr>
          <w:rFonts w:ascii="Asta Sans" w:hAnsi="Asta Sans" w:eastAsia="Asta Sans"/>
          <w:b w:val="0"/>
          <w:sz w:val="20"/>
        </w:rPr>
        <w:t>Bank of Korea. (2025). AI 확산과 청년고용 위축: 연공편향(seniority-biased) 기술변화를 중심으로 [BOK Issue Note No. 2025-30]. https://www.bok.or.kr/portal/bbs/P0002353/view.do?nttId=10094258</w:t>
      </w:r>
    </w:p>
    <w:p>
      <w:pPr>
        <w:spacing w:line="336" w:lineRule="auto" w:after="120"/>
        <w:ind w:hanging="720" w:left="720"/>
      </w:pPr>
      <w:r>
        <w:rPr>
          <w:rFonts w:ascii="Asta Sans" w:hAnsi="Asta Sans" w:eastAsia="Asta Sans"/>
          <w:b w:val="0"/>
          <w:sz w:val="20"/>
        </w:rPr>
        <w:t xml:space="preserve">Bayern, S. (2021). </w:t>
      </w:r>
      <w:r>
        <w:rPr>
          <w:rFonts w:ascii="Asta Sans" w:hAnsi="Asta Sans" w:eastAsia="Asta Sans"/>
          <w:b w:val="0"/>
          <w:i/>
          <w:sz w:val="20"/>
        </w:rPr>
        <w:t>Autonomous organizations</w:t>
      </w:r>
      <w:r>
        <w:rPr>
          <w:rFonts w:ascii="Asta Sans" w:hAnsi="Asta Sans" w:eastAsia="Asta Sans"/>
          <w:b w:val="0"/>
          <w:sz w:val="20"/>
        </w:rPr>
        <w:t>. Cambridge University Press.</w:t>
      </w:r>
    </w:p>
    <w:p>
      <w:pPr>
        <w:spacing w:line="336" w:lineRule="auto" w:after="120"/>
        <w:ind w:hanging="720" w:left="720"/>
      </w:pPr>
      <w:r>
        <w:rPr>
          <w:rFonts w:ascii="Asta Sans" w:hAnsi="Asta Sans" w:eastAsia="Asta Sans"/>
          <w:b w:val="0"/>
          <w:sz w:val="20"/>
        </w:rPr>
        <w:t>Bengio, Y. (2023, May 7). AI scientists: Safe and useful AI? [Blog post]. https://yoshuabengio.org/2023/05/07/ai-scientists-safe-and-useful-ai/</w:t>
      </w:r>
    </w:p>
    <w:p>
      <w:pPr>
        <w:spacing w:line="336" w:lineRule="auto" w:after="120"/>
        <w:ind w:hanging="720" w:left="720"/>
      </w:pPr>
      <w:r>
        <w:rPr>
          <w:rFonts w:ascii="Asta Sans" w:hAnsi="Asta Sans" w:eastAsia="Asta Sans"/>
          <w:b w:val="0"/>
          <w:sz w:val="20"/>
        </w:rPr>
        <w:t xml:space="preserve">Bengio, Y. (Ed.). (2024). </w:t>
      </w:r>
      <w:r>
        <w:rPr>
          <w:rFonts w:ascii="Asta Sans" w:hAnsi="Asta Sans" w:eastAsia="Asta Sans"/>
          <w:b w:val="0"/>
          <w:i/>
          <w:sz w:val="20"/>
        </w:rPr>
        <w:t>International scientific report on the safety of advanced AI: Interim report</w:t>
      </w:r>
      <w:r>
        <w:rPr>
          <w:rFonts w:ascii="Asta Sans" w:hAnsi="Asta Sans" w:eastAsia="Asta Sans"/>
          <w:b w:val="0"/>
          <w:sz w:val="20"/>
        </w:rPr>
        <w:t>. UK Department for Science, Innovation and Technology.</w:t>
      </w:r>
    </w:p>
    <w:p>
      <w:pPr>
        <w:spacing w:line="336" w:lineRule="auto" w:after="120"/>
        <w:ind w:hanging="720" w:left="720"/>
      </w:pPr>
      <w:r>
        <w:rPr>
          <w:rFonts w:ascii="Asta Sans" w:hAnsi="Asta Sans" w:eastAsia="Asta Sans"/>
          <w:b w:val="0"/>
          <w:sz w:val="20"/>
        </w:rPr>
        <w:t xml:space="preserve">Chopra, S., &amp; White, L. F. (2011). </w:t>
      </w:r>
      <w:r>
        <w:rPr>
          <w:rFonts w:ascii="Asta Sans" w:hAnsi="Asta Sans" w:eastAsia="Asta Sans"/>
          <w:b w:val="0"/>
          <w:i/>
          <w:sz w:val="20"/>
        </w:rPr>
        <w:t>A legal theory for autonomous artificial agents</w:t>
      </w:r>
      <w:r>
        <w:rPr>
          <w:rFonts w:ascii="Asta Sans" w:hAnsi="Asta Sans" w:eastAsia="Asta Sans"/>
          <w:b w:val="0"/>
          <w:sz w:val="20"/>
        </w:rPr>
        <w:t>. University of Michigan Press.</w:t>
      </w:r>
    </w:p>
    <w:p>
      <w:pPr>
        <w:spacing w:line="336" w:lineRule="auto" w:after="120"/>
        <w:ind w:hanging="720" w:left="720"/>
      </w:pPr>
      <w:r>
        <w:rPr>
          <w:rFonts w:ascii="Asta Sans" w:hAnsi="Asta Sans" w:eastAsia="Asta Sans"/>
          <w:b w:val="0"/>
          <w:sz w:val="20"/>
        </w:rPr>
        <w:t xml:space="preserve">Crawford, K. (2021). </w:t>
      </w:r>
      <w:r>
        <w:rPr>
          <w:rFonts w:ascii="Asta Sans" w:hAnsi="Asta Sans" w:eastAsia="Asta Sans"/>
          <w:b w:val="0"/>
          <w:i/>
          <w:sz w:val="20"/>
        </w:rPr>
        <w:t>Atlas of AI: Power, politics, and the planetary costs of artificial intelligence</w:t>
      </w:r>
      <w:r>
        <w:rPr>
          <w:rFonts w:ascii="Asta Sans" w:hAnsi="Asta Sans" w:eastAsia="Asta Sans"/>
          <w:b w:val="0"/>
          <w:sz w:val="20"/>
        </w:rPr>
        <w:t>. Yale University Press.</w:t>
      </w:r>
    </w:p>
    <w:p>
      <w:pPr>
        <w:spacing w:line="336" w:lineRule="auto" w:after="120"/>
        <w:ind w:hanging="720" w:left="720"/>
      </w:pPr>
      <w:r>
        <w:rPr>
          <w:rFonts w:ascii="Asta Sans" w:hAnsi="Asta Sans" w:eastAsia="Asta Sans"/>
          <w:b w:val="0"/>
          <w:sz w:val="20"/>
        </w:rPr>
        <w:t xml:space="preserve">Eucken, W. (1952). </w:t>
      </w:r>
      <w:r>
        <w:rPr>
          <w:rFonts w:ascii="Asta Sans" w:hAnsi="Asta Sans" w:eastAsia="Asta Sans"/>
          <w:b w:val="0"/>
          <w:i/>
          <w:sz w:val="20"/>
        </w:rPr>
        <w:t>Grundsätze der Wirtschaftspolitik</w:t>
      </w:r>
      <w:r>
        <w:rPr>
          <w:rFonts w:ascii="Asta Sans" w:hAnsi="Asta Sans" w:eastAsia="Asta Sans"/>
          <w:b w:val="0"/>
          <w:sz w:val="20"/>
        </w:rPr>
        <w:t>. Mohr Siebeck.</w:t>
      </w:r>
    </w:p>
    <w:p>
      <w:pPr>
        <w:spacing w:line="336" w:lineRule="auto" w:after="120"/>
        <w:ind w:hanging="720" w:left="720"/>
      </w:pPr>
      <w:r>
        <w:rPr>
          <w:rFonts w:ascii="Asta Sans" w:hAnsi="Asta Sans" w:eastAsia="Asta Sans"/>
          <w:b w:val="0"/>
          <w:sz w:val="20"/>
        </w:rPr>
        <w:t xml:space="preserve">Floridi, L. (2023). </w:t>
      </w:r>
      <w:r>
        <w:rPr>
          <w:rFonts w:ascii="Asta Sans" w:hAnsi="Asta Sans" w:eastAsia="Asta Sans"/>
          <w:b w:val="0"/>
          <w:i/>
          <w:sz w:val="20"/>
        </w:rPr>
        <w:t>The ethics of artificial intelligence: Principles, challenges, and opportunities</w:t>
      </w:r>
      <w:r>
        <w:rPr>
          <w:rFonts w:ascii="Asta Sans" w:hAnsi="Asta Sans" w:eastAsia="Asta Sans"/>
          <w:b w:val="0"/>
          <w:sz w:val="20"/>
        </w:rPr>
        <w:t>. Oxford University Press.</w:t>
      </w:r>
    </w:p>
    <w:p>
      <w:pPr>
        <w:spacing w:line="336" w:lineRule="auto" w:after="120"/>
        <w:ind w:hanging="720" w:left="720"/>
      </w:pPr>
      <w:r>
        <w:rPr>
          <w:rFonts w:ascii="Asta Sans" w:hAnsi="Asta Sans" w:eastAsia="Asta Sans"/>
          <w:b w:val="0"/>
          <w:sz w:val="20"/>
        </w:rPr>
        <w:t xml:space="preserve">Fraser, N. (2013). A triple movement? Parsing the politics of crisis after Polanyi. </w:t>
      </w:r>
      <w:r>
        <w:rPr>
          <w:rFonts w:ascii="Asta Sans" w:hAnsi="Asta Sans" w:eastAsia="Asta Sans"/>
          <w:b w:val="0"/>
          <w:i/>
          <w:sz w:val="20"/>
        </w:rPr>
        <w:t>New Left Review</w:t>
      </w:r>
      <w:r>
        <w:rPr>
          <w:rFonts w:ascii="Asta Sans" w:hAnsi="Asta Sans" w:eastAsia="Asta Sans"/>
          <w:b w:val="0"/>
          <w:sz w:val="20"/>
        </w:rPr>
        <w:t xml:space="preserve">, </w:t>
      </w:r>
      <w:r>
        <w:rPr>
          <w:rFonts w:ascii="Asta Sans" w:hAnsi="Asta Sans" w:eastAsia="Asta Sans"/>
          <w:b w:val="0"/>
          <w:i/>
          <w:sz w:val="20"/>
        </w:rPr>
        <w:t>81</w:t>
      </w:r>
      <w:r>
        <w:rPr>
          <w:rFonts w:ascii="Asta Sans" w:hAnsi="Asta Sans" w:eastAsia="Asta Sans"/>
          <w:b w:val="0"/>
          <w:sz w:val="20"/>
        </w:rPr>
        <w:t>, 119–132.</w:t>
      </w:r>
    </w:p>
    <w:p>
      <w:pPr>
        <w:spacing w:line="336" w:lineRule="auto" w:after="120"/>
        <w:ind w:hanging="720" w:left="720"/>
      </w:pPr>
      <w:r>
        <w:rPr>
          <w:rFonts w:ascii="Asta Sans" w:hAnsi="Asta Sans" w:eastAsia="Asta Sans"/>
          <w:b w:val="0"/>
          <w:sz w:val="20"/>
        </w:rPr>
        <w:t xml:space="preserve">Harari, Y. N. (2017). </w:t>
      </w:r>
      <w:r>
        <w:rPr>
          <w:rFonts w:ascii="Asta Sans" w:hAnsi="Asta Sans" w:eastAsia="Asta Sans"/>
          <w:b w:val="0"/>
          <w:i/>
          <w:sz w:val="20"/>
        </w:rPr>
        <w:t>Homo Deus: A brief history of tomorrow</w:t>
      </w:r>
      <w:r>
        <w:rPr>
          <w:rFonts w:ascii="Asta Sans" w:hAnsi="Asta Sans" w:eastAsia="Asta Sans"/>
          <w:b w:val="0"/>
          <w:sz w:val="20"/>
        </w:rPr>
        <w:t>. Harper.</w:t>
      </w:r>
    </w:p>
    <w:p>
      <w:pPr>
        <w:spacing w:line="336" w:lineRule="auto" w:after="120"/>
        <w:ind w:hanging="720" w:left="720"/>
      </w:pPr>
      <w:r>
        <w:rPr>
          <w:rFonts w:ascii="Asta Sans" w:hAnsi="Asta Sans" w:eastAsia="Asta Sans"/>
          <w:b w:val="0"/>
          <w:sz w:val="20"/>
        </w:rPr>
        <w:t xml:space="preserve">Hayek, F. A. (1988). </w:t>
      </w:r>
      <w:r>
        <w:rPr>
          <w:rFonts w:ascii="Asta Sans" w:hAnsi="Asta Sans" w:eastAsia="Asta Sans"/>
          <w:b w:val="0"/>
          <w:i/>
          <w:sz w:val="20"/>
        </w:rPr>
        <w:t>The fatal conceit: The errors of socialism</w:t>
      </w:r>
      <w:r>
        <w:rPr>
          <w:rFonts w:ascii="Asta Sans" w:hAnsi="Asta Sans" w:eastAsia="Asta Sans"/>
          <w:b w:val="0"/>
          <w:sz w:val="20"/>
        </w:rPr>
        <w:t>. University of Chicago Press.</w:t>
      </w:r>
    </w:p>
    <w:p>
      <w:pPr>
        <w:spacing w:line="336" w:lineRule="auto" w:after="120"/>
        <w:ind w:hanging="720" w:left="720"/>
      </w:pPr>
      <w:r>
        <w:rPr>
          <w:rFonts w:ascii="Asta Sans" w:hAnsi="Asta Sans" w:eastAsia="Asta Sans"/>
          <w:b w:val="0"/>
          <w:sz w:val="20"/>
        </w:rPr>
        <w:t xml:space="preserve">Hohfeld, W. N. (1917). Fundamental legal conceptions as applied in judicial reasoning. </w:t>
      </w:r>
      <w:r>
        <w:rPr>
          <w:rFonts w:ascii="Asta Sans" w:hAnsi="Asta Sans" w:eastAsia="Asta Sans"/>
          <w:b w:val="0"/>
          <w:i/>
          <w:sz w:val="20"/>
        </w:rPr>
        <w:t>Yale Law Journal</w:t>
      </w:r>
      <w:r>
        <w:rPr>
          <w:rFonts w:ascii="Asta Sans" w:hAnsi="Asta Sans" w:eastAsia="Asta Sans"/>
          <w:b w:val="0"/>
          <w:sz w:val="20"/>
        </w:rPr>
        <w:t xml:space="preserve">, </w:t>
      </w:r>
      <w:r>
        <w:rPr>
          <w:rFonts w:ascii="Asta Sans" w:hAnsi="Asta Sans" w:eastAsia="Asta Sans"/>
          <w:b w:val="0"/>
          <w:i/>
          <w:sz w:val="20"/>
        </w:rPr>
        <w:t>26</w:t>
      </w:r>
      <w:r>
        <w:rPr>
          <w:rFonts w:ascii="Asta Sans" w:hAnsi="Asta Sans" w:eastAsia="Asta Sans"/>
          <w:b w:val="0"/>
          <w:sz w:val="20"/>
        </w:rPr>
        <w:t>(8), 710–770.</w:t>
      </w:r>
    </w:p>
    <w:p>
      <w:pPr>
        <w:spacing w:line="336" w:lineRule="auto" w:after="120"/>
        <w:ind w:hanging="720" w:left="720"/>
      </w:pPr>
      <w:r>
        <w:rPr>
          <w:rFonts w:ascii="Asta Sans" w:hAnsi="Asta Sans" w:eastAsia="Asta Sans"/>
          <w:b w:val="0"/>
          <w:sz w:val="20"/>
        </w:rPr>
        <w:t xml:space="preserve">Huang, S., Walker, T., et al. (2024). Collective Constitutional AI: Aligning a language model with public input. In </w:t>
      </w:r>
      <w:r>
        <w:rPr>
          <w:rFonts w:ascii="Asta Sans" w:hAnsi="Asta Sans" w:eastAsia="Asta Sans"/>
          <w:b w:val="0"/>
          <w:i/>
          <w:sz w:val="20"/>
        </w:rPr>
        <w:t>Proceedings of the 2024 ACM Conference on Fairness, Accountability, and Transparency</w:t>
      </w:r>
      <w:r>
        <w:rPr>
          <w:rFonts w:ascii="Asta Sans" w:hAnsi="Asta Sans" w:eastAsia="Asta Sans"/>
          <w:b w:val="0"/>
          <w:sz w:val="20"/>
        </w:rPr>
        <w:t xml:space="preserve"> (FAccT ’24). https://doi.org/10.1145/3630106.3658979</w:t>
      </w:r>
    </w:p>
    <w:p>
      <w:pPr>
        <w:spacing w:line="336" w:lineRule="auto" w:after="120"/>
        <w:ind w:hanging="720" w:left="720"/>
      </w:pPr>
      <w:r>
        <w:rPr>
          <w:rFonts w:ascii="Asta Sans" w:hAnsi="Asta Sans" w:eastAsia="Asta Sans"/>
          <w:b w:val="0"/>
          <w:sz w:val="20"/>
        </w:rPr>
        <w:t xml:space="preserve">Kolt, N. (2025). Governing AI agents. </w:t>
      </w:r>
      <w:r>
        <w:rPr>
          <w:rFonts w:ascii="Asta Sans" w:hAnsi="Asta Sans" w:eastAsia="Asta Sans"/>
          <w:b w:val="0"/>
          <w:i/>
          <w:sz w:val="20"/>
        </w:rPr>
        <w:t>Notre Dame Law Review</w:t>
      </w:r>
      <w:r>
        <w:rPr>
          <w:rFonts w:ascii="Asta Sans" w:hAnsi="Asta Sans" w:eastAsia="Asta Sans"/>
          <w:b w:val="0"/>
          <w:sz w:val="20"/>
        </w:rPr>
        <w:t xml:space="preserve">, </w:t>
      </w:r>
      <w:r>
        <w:rPr>
          <w:rFonts w:ascii="Asta Sans" w:hAnsi="Asta Sans" w:eastAsia="Asta Sans"/>
          <w:b w:val="0"/>
          <w:i/>
          <w:sz w:val="20"/>
        </w:rPr>
        <w:t>101</w:t>
      </w:r>
      <w:r>
        <w:rPr>
          <w:rFonts w:ascii="Asta Sans" w:hAnsi="Asta Sans" w:eastAsia="Asta Sans"/>
          <w:b w:val="0"/>
          <w:sz w:val="20"/>
        </w:rPr>
        <w:t xml:space="preserve"> (forthcoming). https://ssrn.com/abstract=4772956</w:t>
      </w:r>
    </w:p>
    <w:p>
      <w:pPr>
        <w:spacing w:line="336" w:lineRule="auto" w:after="120"/>
        <w:ind w:hanging="720" w:left="720"/>
      </w:pPr>
      <w:r>
        <w:rPr>
          <w:rFonts w:ascii="Asta Sans" w:hAnsi="Asta Sans" w:eastAsia="Asta Sans"/>
          <w:b w:val="0"/>
          <w:sz w:val="20"/>
        </w:rPr>
        <w:t xml:space="preserve">Landemore, H. (2024). Can artificial intelligence bring deliberation to the masses. In R. Chang &amp; A. Srinivasan (Eds.), </w:t>
      </w:r>
      <w:r>
        <w:rPr>
          <w:rFonts w:ascii="Asta Sans" w:hAnsi="Asta Sans" w:eastAsia="Asta Sans"/>
          <w:b w:val="0"/>
          <w:i/>
          <w:sz w:val="20"/>
        </w:rPr>
        <w:t>Conversations in philosophy, law, and politics</w:t>
      </w:r>
      <w:r>
        <w:rPr>
          <w:rFonts w:ascii="Asta Sans" w:hAnsi="Asta Sans" w:eastAsia="Asta Sans"/>
          <w:b w:val="0"/>
          <w:sz w:val="20"/>
        </w:rPr>
        <w:t>. Oxford University Press.</w:t>
      </w:r>
    </w:p>
    <w:p>
      <w:pPr>
        <w:spacing w:line="336" w:lineRule="auto" w:after="120"/>
        <w:ind w:hanging="720" w:left="720"/>
      </w:pPr>
      <w:r>
        <w:rPr>
          <w:rFonts w:ascii="Asta Sans" w:hAnsi="Asta Sans" w:eastAsia="Asta Sans"/>
          <w:b w:val="0"/>
          <w:sz w:val="20"/>
        </w:rPr>
        <w:t xml:space="preserve">Lanier, J. (2013). </w:t>
      </w:r>
      <w:r>
        <w:rPr>
          <w:rFonts w:ascii="Asta Sans" w:hAnsi="Asta Sans" w:eastAsia="Asta Sans"/>
          <w:b w:val="0"/>
          <w:i/>
          <w:sz w:val="20"/>
        </w:rPr>
        <w:t>Who owns the future?</w:t>
      </w:r>
      <w:r>
        <w:rPr>
          <w:rFonts w:ascii="Asta Sans" w:hAnsi="Asta Sans" w:eastAsia="Asta Sans"/>
          <w:b w:val="0"/>
          <w:sz w:val="20"/>
        </w:rPr>
        <w:t xml:space="preserve"> Simon &amp; Schuster.</w:t>
      </w:r>
    </w:p>
    <w:p>
      <w:pPr>
        <w:spacing w:line="336" w:lineRule="auto" w:after="120"/>
        <w:ind w:hanging="720" w:left="720"/>
      </w:pPr>
      <w:r>
        <w:rPr>
          <w:rFonts w:ascii="Asta Sans" w:hAnsi="Asta Sans" w:eastAsia="Asta Sans"/>
          <w:b w:val="0"/>
          <w:sz w:val="20"/>
        </w:rPr>
        <w:t xml:space="preserve">Marx, K. (1859). </w:t>
      </w:r>
      <w:r>
        <w:rPr>
          <w:rFonts w:ascii="Asta Sans" w:hAnsi="Asta Sans" w:eastAsia="Asta Sans"/>
          <w:b w:val="0"/>
          <w:i/>
          <w:sz w:val="20"/>
        </w:rPr>
        <w:t>Zur Kritik der politischen Ökonomie</w:t>
      </w:r>
      <w:r>
        <w:rPr>
          <w:rFonts w:ascii="Asta Sans" w:hAnsi="Asta Sans" w:eastAsia="Asta Sans"/>
          <w:b w:val="0"/>
          <w:sz w:val="20"/>
        </w:rPr>
        <w:t>. Franz Duncker.</w:t>
      </w:r>
    </w:p>
    <w:p>
      <w:pPr>
        <w:spacing w:line="336" w:lineRule="auto" w:after="120"/>
        <w:ind w:hanging="720" w:left="720"/>
      </w:pPr>
      <w:r>
        <w:rPr>
          <w:rFonts w:ascii="Asta Sans" w:hAnsi="Asta Sans" w:eastAsia="Asta Sans"/>
          <w:b w:val="0"/>
          <w:sz w:val="20"/>
        </w:rPr>
        <w:t xml:space="preserve">Mazzucato, M. (2018). </w:t>
      </w:r>
      <w:r>
        <w:rPr>
          <w:rFonts w:ascii="Asta Sans" w:hAnsi="Asta Sans" w:eastAsia="Asta Sans"/>
          <w:b w:val="0"/>
          <w:i/>
          <w:sz w:val="20"/>
        </w:rPr>
        <w:t>The value of everything: Making and taking in the global economy</w:t>
      </w:r>
      <w:r>
        <w:rPr>
          <w:rFonts w:ascii="Asta Sans" w:hAnsi="Asta Sans" w:eastAsia="Asta Sans"/>
          <w:b w:val="0"/>
          <w:sz w:val="20"/>
        </w:rPr>
        <w:t>. Allen Lane.</w:t>
      </w:r>
    </w:p>
    <w:p>
      <w:pPr>
        <w:spacing w:line="336" w:lineRule="auto" w:after="120"/>
        <w:ind w:hanging="720" w:left="720"/>
      </w:pPr>
      <w:r>
        <w:rPr>
          <w:rFonts w:ascii="Asta Sans" w:hAnsi="Asta Sans" w:eastAsia="Asta Sans"/>
          <w:b w:val="0"/>
          <w:sz w:val="20"/>
        </w:rPr>
        <w:t xml:space="preserve">Nussbaum, M. C. (2011). </w:t>
      </w:r>
      <w:r>
        <w:rPr>
          <w:rFonts w:ascii="Asta Sans" w:hAnsi="Asta Sans" w:eastAsia="Asta Sans"/>
          <w:b w:val="0"/>
          <w:i/>
          <w:sz w:val="20"/>
        </w:rPr>
        <w:t>Creating capabilities: The human development approach</w:t>
      </w:r>
      <w:r>
        <w:rPr>
          <w:rFonts w:ascii="Asta Sans" w:hAnsi="Asta Sans" w:eastAsia="Asta Sans"/>
          <w:b w:val="0"/>
          <w:sz w:val="20"/>
        </w:rPr>
        <w:t>. Harvard University Press.</w:t>
      </w:r>
    </w:p>
    <w:p>
      <w:pPr>
        <w:spacing w:line="336" w:lineRule="auto" w:after="120"/>
        <w:ind w:hanging="720" w:left="720"/>
      </w:pPr>
      <w:r>
        <w:rPr>
          <w:rFonts w:ascii="Asta Sans" w:hAnsi="Asta Sans" w:eastAsia="Asta Sans"/>
          <w:b w:val="0"/>
          <w:sz w:val="20"/>
        </w:rPr>
        <w:t xml:space="preserve">OECD. (2025). </w:t>
      </w:r>
      <w:r>
        <w:rPr>
          <w:rFonts w:ascii="Asta Sans" w:hAnsi="Asta Sans" w:eastAsia="Asta Sans"/>
          <w:b w:val="0"/>
          <w:i/>
          <w:sz w:val="20"/>
        </w:rPr>
        <w:t>Artificial intelligence and the labour market in Korea</w:t>
      </w:r>
      <w:r>
        <w:rPr>
          <w:rFonts w:ascii="Asta Sans" w:hAnsi="Asta Sans" w:eastAsia="Asta Sans"/>
          <w:b w:val="0"/>
          <w:sz w:val="20"/>
        </w:rPr>
        <w:t>. OECD Publishing. https://doi.org/10.1787/68ab1a5a-en</w:t>
      </w:r>
    </w:p>
    <w:p>
      <w:pPr>
        <w:spacing w:line="336" w:lineRule="auto" w:after="120"/>
        <w:ind w:hanging="720" w:left="720"/>
      </w:pPr>
      <w:r>
        <w:rPr>
          <w:rFonts w:ascii="Asta Sans" w:hAnsi="Asta Sans" w:eastAsia="Asta Sans"/>
          <w:b w:val="0"/>
          <w:sz w:val="20"/>
        </w:rPr>
        <w:t xml:space="preserve">Oliver, M. (2021). Contracting by artificial intelligence: Open offers, unilateral mistakes, and why algorithms are not agents. </w:t>
      </w:r>
      <w:r>
        <w:rPr>
          <w:rFonts w:ascii="Asta Sans" w:hAnsi="Asta Sans" w:eastAsia="Asta Sans"/>
          <w:b w:val="0"/>
          <w:i/>
          <w:sz w:val="20"/>
        </w:rPr>
        <w:t>ANU Journal of Law and Technology</w:t>
      </w:r>
      <w:r>
        <w:rPr>
          <w:rFonts w:ascii="Asta Sans" w:hAnsi="Asta Sans" w:eastAsia="Asta Sans"/>
          <w:b w:val="0"/>
          <w:sz w:val="20"/>
        </w:rPr>
        <w:t xml:space="preserve">, </w:t>
      </w:r>
      <w:r>
        <w:rPr>
          <w:rFonts w:ascii="Asta Sans" w:hAnsi="Asta Sans" w:eastAsia="Asta Sans"/>
          <w:b w:val="0"/>
          <w:i/>
          <w:sz w:val="20"/>
        </w:rPr>
        <w:t>2</w:t>
      </w:r>
      <w:r>
        <w:rPr>
          <w:rFonts w:ascii="Asta Sans" w:hAnsi="Asta Sans" w:eastAsia="Asta Sans"/>
          <w:b w:val="0"/>
          <w:sz w:val="20"/>
        </w:rPr>
        <w:t>(1), 45–87.</w:t>
      </w:r>
    </w:p>
    <w:p>
      <w:pPr>
        <w:spacing w:line="336" w:lineRule="auto" w:after="120"/>
        <w:ind w:hanging="720" w:left="720"/>
      </w:pPr>
      <w:r>
        <w:rPr>
          <w:rFonts w:ascii="Asta Sans" w:hAnsi="Asta Sans" w:eastAsia="Asta Sans"/>
          <w:b w:val="0"/>
          <w:sz w:val="20"/>
        </w:rPr>
        <w:t xml:space="preserve">Perez, C. (2002). </w:t>
      </w:r>
      <w:r>
        <w:rPr>
          <w:rFonts w:ascii="Asta Sans" w:hAnsi="Asta Sans" w:eastAsia="Asta Sans"/>
          <w:b w:val="0"/>
          <w:i/>
          <w:sz w:val="20"/>
        </w:rPr>
        <w:t>Technological revolutions and financial capital: The dynamics of bubbles and golden ages</w:t>
      </w:r>
      <w:r>
        <w:rPr>
          <w:rFonts w:ascii="Asta Sans" w:hAnsi="Asta Sans" w:eastAsia="Asta Sans"/>
          <w:b w:val="0"/>
          <w:sz w:val="20"/>
        </w:rPr>
        <w:t>. Edward Elgar.</w:t>
      </w:r>
    </w:p>
    <w:p>
      <w:pPr>
        <w:spacing w:line="336" w:lineRule="auto" w:after="120"/>
        <w:ind w:hanging="720" w:left="720"/>
      </w:pPr>
      <w:r>
        <w:rPr>
          <w:rFonts w:ascii="Asta Sans" w:hAnsi="Asta Sans" w:eastAsia="Asta Sans"/>
          <w:b w:val="0"/>
          <w:sz w:val="20"/>
        </w:rPr>
        <w:t xml:space="preserve">Piketty, T. (2014). </w:t>
      </w:r>
      <w:r>
        <w:rPr>
          <w:rFonts w:ascii="Asta Sans" w:hAnsi="Asta Sans" w:eastAsia="Asta Sans"/>
          <w:b w:val="0"/>
          <w:i/>
          <w:sz w:val="20"/>
        </w:rPr>
        <w:t>Capital in the twenty-first century</w:t>
      </w:r>
      <w:r>
        <w:rPr>
          <w:rFonts w:ascii="Asta Sans" w:hAnsi="Asta Sans" w:eastAsia="Asta Sans"/>
          <w:b w:val="0"/>
          <w:sz w:val="20"/>
        </w:rPr>
        <w:t xml:space="preserve"> (A. Goldhammer, Trans.). Harvard University Press.</w:t>
      </w:r>
    </w:p>
    <w:p>
      <w:pPr>
        <w:spacing w:line="336" w:lineRule="auto" w:after="120"/>
        <w:ind w:hanging="720" w:left="720"/>
      </w:pPr>
      <w:r>
        <w:rPr>
          <w:rFonts w:ascii="Asta Sans" w:hAnsi="Asta Sans" w:eastAsia="Asta Sans"/>
          <w:b w:val="0"/>
          <w:sz w:val="20"/>
        </w:rPr>
        <w:t xml:space="preserve">Polanyi, K. (1944). </w:t>
      </w:r>
      <w:r>
        <w:rPr>
          <w:rFonts w:ascii="Asta Sans" w:hAnsi="Asta Sans" w:eastAsia="Asta Sans"/>
          <w:b w:val="0"/>
          <w:i/>
          <w:sz w:val="20"/>
        </w:rPr>
        <w:t>The great transformation</w:t>
      </w:r>
      <w:r>
        <w:rPr>
          <w:rFonts w:ascii="Asta Sans" w:hAnsi="Asta Sans" w:eastAsia="Asta Sans"/>
          <w:b w:val="0"/>
          <w:sz w:val="20"/>
        </w:rPr>
        <w:t>. Farrar &amp; Rinehart.</w:t>
      </w:r>
    </w:p>
    <w:p>
      <w:pPr>
        <w:spacing w:line="336" w:lineRule="auto" w:after="120"/>
        <w:ind w:hanging="720" w:left="720"/>
      </w:pPr>
      <w:r>
        <w:rPr>
          <w:rFonts w:ascii="Asta Sans" w:hAnsi="Asta Sans" w:eastAsia="Asta Sans"/>
          <w:b w:val="0"/>
          <w:sz w:val="20"/>
        </w:rPr>
        <w:t xml:space="preserve">Russell, S. (2019). </w:t>
      </w:r>
      <w:r>
        <w:rPr>
          <w:rFonts w:ascii="Asta Sans" w:hAnsi="Asta Sans" w:eastAsia="Asta Sans"/>
          <w:b w:val="0"/>
          <w:i/>
          <w:sz w:val="20"/>
        </w:rPr>
        <w:t>Human compatible: Artificial intelligence and the problem of control</w:t>
      </w:r>
      <w:r>
        <w:rPr>
          <w:rFonts w:ascii="Asta Sans" w:hAnsi="Asta Sans" w:eastAsia="Asta Sans"/>
          <w:b w:val="0"/>
          <w:sz w:val="20"/>
        </w:rPr>
        <w:t>. Viking.</w:t>
      </w:r>
    </w:p>
    <w:p>
      <w:pPr>
        <w:spacing w:line="336" w:lineRule="auto" w:after="120"/>
        <w:ind w:hanging="720" w:left="720"/>
      </w:pPr>
      <w:r>
        <w:rPr>
          <w:rFonts w:ascii="Asta Sans" w:hAnsi="Asta Sans" w:eastAsia="Asta Sans"/>
          <w:b w:val="0"/>
          <w:sz w:val="20"/>
        </w:rPr>
        <w:t xml:space="preserve">Sandel, M. J. (2020). </w:t>
      </w:r>
      <w:r>
        <w:rPr>
          <w:rFonts w:ascii="Asta Sans" w:hAnsi="Asta Sans" w:eastAsia="Asta Sans"/>
          <w:b w:val="0"/>
          <w:i/>
          <w:sz w:val="20"/>
        </w:rPr>
        <w:t>The tyranny of merit: What’s become of the common good?</w:t>
      </w:r>
      <w:r>
        <w:rPr>
          <w:rFonts w:ascii="Asta Sans" w:hAnsi="Asta Sans" w:eastAsia="Asta Sans"/>
          <w:b w:val="0"/>
          <w:sz w:val="20"/>
        </w:rPr>
        <w:t xml:space="preserve"> Farrar, Straus and Giroux.</w:t>
      </w:r>
    </w:p>
    <w:p>
      <w:pPr>
        <w:spacing w:line="336" w:lineRule="auto" w:after="120"/>
        <w:ind w:hanging="720" w:left="720"/>
      </w:pPr>
      <w:r>
        <w:rPr>
          <w:rFonts w:ascii="Asta Sans" w:hAnsi="Asta Sans" w:eastAsia="Asta Sans"/>
          <w:b w:val="0"/>
          <w:sz w:val="20"/>
        </w:rPr>
        <w:t xml:space="preserve">Sarewitz, D. (2024, Winter). Economists being economists [Review of </w:t>
      </w:r>
      <w:r>
        <w:rPr>
          <w:rFonts w:ascii="Asta Sans" w:hAnsi="Asta Sans" w:eastAsia="Asta Sans"/>
          <w:b w:val="0"/>
          <w:i/>
          <w:sz w:val="20"/>
        </w:rPr>
        <w:t>Power and progress</w:t>
      </w:r>
      <w:r>
        <w:rPr>
          <w:rFonts w:ascii="Asta Sans" w:hAnsi="Asta Sans" w:eastAsia="Asta Sans"/>
          <w:b w:val="0"/>
          <w:sz w:val="20"/>
        </w:rPr>
        <w:t xml:space="preserve">]. </w:t>
      </w:r>
      <w:r>
        <w:rPr>
          <w:rFonts w:ascii="Asta Sans" w:hAnsi="Asta Sans" w:eastAsia="Asta Sans"/>
          <w:b w:val="0"/>
          <w:i/>
          <w:sz w:val="20"/>
        </w:rPr>
        <w:t>Issues in Science and Technology</w:t>
      </w:r>
      <w:r>
        <w:rPr>
          <w:rFonts w:ascii="Asta Sans" w:hAnsi="Asta Sans" w:eastAsia="Asta Sans"/>
          <w:b w:val="0"/>
          <w:sz w:val="20"/>
        </w:rPr>
        <w:t xml:space="preserve">, </w:t>
      </w:r>
      <w:r>
        <w:rPr>
          <w:rFonts w:ascii="Asta Sans" w:hAnsi="Asta Sans" w:eastAsia="Asta Sans"/>
          <w:b w:val="0"/>
          <w:i/>
          <w:sz w:val="20"/>
        </w:rPr>
        <w:t>40</w:t>
      </w:r>
      <w:r>
        <w:rPr>
          <w:rFonts w:ascii="Asta Sans" w:hAnsi="Asta Sans" w:eastAsia="Asta Sans"/>
          <w:b w:val="0"/>
          <w:sz w:val="20"/>
        </w:rPr>
        <w:t>(2).</w:t>
      </w:r>
    </w:p>
    <w:p>
      <w:pPr>
        <w:spacing w:line="336" w:lineRule="auto" w:after="120"/>
        <w:ind w:hanging="720" w:left="720"/>
      </w:pPr>
      <w:r>
        <w:rPr>
          <w:rFonts w:ascii="Asta Sans" w:hAnsi="Asta Sans" w:eastAsia="Asta Sans"/>
          <w:b w:val="0"/>
          <w:sz w:val="20"/>
        </w:rPr>
        <w:t xml:space="preserve">Sen, A. (1999). </w:t>
      </w:r>
      <w:r>
        <w:rPr>
          <w:rFonts w:ascii="Asta Sans" w:hAnsi="Asta Sans" w:eastAsia="Asta Sans"/>
          <w:b w:val="0"/>
          <w:i/>
          <w:sz w:val="20"/>
        </w:rPr>
        <w:t>Development as freedom</w:t>
      </w:r>
      <w:r>
        <w:rPr>
          <w:rFonts w:ascii="Asta Sans" w:hAnsi="Asta Sans" w:eastAsia="Asta Sans"/>
          <w:b w:val="0"/>
          <w:sz w:val="20"/>
        </w:rPr>
        <w:t>. Knopf.</w:t>
      </w:r>
    </w:p>
    <w:p>
      <w:pPr>
        <w:spacing w:line="336" w:lineRule="auto" w:after="120"/>
        <w:ind w:hanging="720" w:left="720"/>
      </w:pPr>
      <w:r>
        <w:rPr>
          <w:rFonts w:ascii="Asta Sans" w:hAnsi="Asta Sans" w:eastAsia="Asta Sans"/>
          <w:b w:val="0"/>
          <w:sz w:val="20"/>
        </w:rPr>
        <w:t xml:space="preserve">Smith, A. (1776). </w:t>
      </w:r>
      <w:r>
        <w:rPr>
          <w:rFonts w:ascii="Asta Sans" w:hAnsi="Asta Sans" w:eastAsia="Asta Sans"/>
          <w:b w:val="0"/>
          <w:i/>
          <w:sz w:val="20"/>
        </w:rPr>
        <w:t>An inquiry into the nature and causes of the wealth of nations</w:t>
      </w:r>
      <w:r>
        <w:rPr>
          <w:rFonts w:ascii="Asta Sans" w:hAnsi="Asta Sans" w:eastAsia="Asta Sans"/>
          <w:b w:val="0"/>
          <w:sz w:val="20"/>
        </w:rPr>
        <w:t>. W. Strahan and T. Cadell.</w:t>
      </w:r>
    </w:p>
    <w:p>
      <w:pPr>
        <w:spacing w:line="336" w:lineRule="auto" w:after="120"/>
        <w:ind w:hanging="720" w:left="720"/>
      </w:pPr>
      <w:r>
        <w:rPr>
          <w:rFonts w:ascii="Asta Sans" w:hAnsi="Asta Sans" w:eastAsia="Asta Sans"/>
          <w:b w:val="0"/>
          <w:sz w:val="20"/>
        </w:rPr>
        <w:t xml:space="preserve">Solum, L. B. (1992). Legal personhood for artificial intelligences. </w:t>
      </w:r>
      <w:r>
        <w:rPr>
          <w:rFonts w:ascii="Asta Sans" w:hAnsi="Asta Sans" w:eastAsia="Asta Sans"/>
          <w:b w:val="0"/>
          <w:i/>
          <w:sz w:val="20"/>
        </w:rPr>
        <w:t>North Carolina Law Review</w:t>
      </w:r>
      <w:r>
        <w:rPr>
          <w:rFonts w:ascii="Asta Sans" w:hAnsi="Asta Sans" w:eastAsia="Asta Sans"/>
          <w:b w:val="0"/>
          <w:sz w:val="20"/>
        </w:rPr>
        <w:t xml:space="preserve">, </w:t>
      </w:r>
      <w:r>
        <w:rPr>
          <w:rFonts w:ascii="Asta Sans" w:hAnsi="Asta Sans" w:eastAsia="Asta Sans"/>
          <w:b w:val="0"/>
          <w:i/>
          <w:sz w:val="20"/>
        </w:rPr>
        <w:t>70</w:t>
      </w:r>
      <w:r>
        <w:rPr>
          <w:rFonts w:ascii="Asta Sans" w:hAnsi="Asta Sans" w:eastAsia="Asta Sans"/>
          <w:b w:val="0"/>
          <w:sz w:val="20"/>
        </w:rPr>
        <w:t>(4), 1231–1287.</w:t>
      </w:r>
    </w:p>
    <w:p>
      <w:pPr>
        <w:spacing w:line="336" w:lineRule="auto" w:after="120"/>
        <w:ind w:hanging="720" w:left="720"/>
      </w:pPr>
      <w:r>
        <w:rPr>
          <w:rFonts w:ascii="Asta Sans" w:hAnsi="Asta Sans" w:eastAsia="Asta Sans"/>
          <w:b w:val="0"/>
          <w:sz w:val="20"/>
        </w:rPr>
        <w:t xml:space="preserve">Tessler, M. H., et al. (2024). AI can help humans find common ground in democratic deliberation. </w:t>
      </w:r>
      <w:r>
        <w:rPr>
          <w:rFonts w:ascii="Asta Sans" w:hAnsi="Asta Sans" w:eastAsia="Asta Sans"/>
          <w:b w:val="0"/>
          <w:i/>
          <w:sz w:val="20"/>
        </w:rPr>
        <w:t>Science</w:t>
      </w:r>
      <w:r>
        <w:rPr>
          <w:rFonts w:ascii="Asta Sans" w:hAnsi="Asta Sans" w:eastAsia="Asta Sans"/>
          <w:b w:val="0"/>
          <w:sz w:val="20"/>
        </w:rPr>
        <w:t xml:space="preserve">, </w:t>
      </w:r>
      <w:r>
        <w:rPr>
          <w:rFonts w:ascii="Asta Sans" w:hAnsi="Asta Sans" w:eastAsia="Asta Sans"/>
          <w:b w:val="0"/>
          <w:i/>
          <w:sz w:val="20"/>
        </w:rPr>
        <w:t>386</w:t>
      </w:r>
      <w:r>
        <w:rPr>
          <w:rFonts w:ascii="Asta Sans" w:hAnsi="Asta Sans" w:eastAsia="Asta Sans"/>
          <w:b w:val="0"/>
          <w:sz w:val="20"/>
        </w:rPr>
        <w:t>(6719). https://doi.org/10.1126/science.adq2852</w:t>
      </w:r>
    </w:p>
    <w:p>
      <w:pPr>
        <w:spacing w:line="336" w:lineRule="auto" w:after="120"/>
        <w:ind w:hanging="720" w:left="720"/>
      </w:pPr>
      <w:r>
        <w:rPr>
          <w:rFonts w:ascii="Asta Sans" w:hAnsi="Asta Sans" w:eastAsia="Asta Sans"/>
          <w:b w:val="0"/>
          <w:sz w:val="20"/>
        </w:rPr>
        <w:t xml:space="preserve">Suleyman, M., &amp; Bhaskar, M. (2023). </w:t>
      </w:r>
      <w:r>
        <w:rPr>
          <w:rFonts w:ascii="Asta Sans" w:hAnsi="Asta Sans" w:eastAsia="Asta Sans"/>
          <w:b w:val="0"/>
          <w:i/>
          <w:sz w:val="20"/>
        </w:rPr>
        <w:t>The coming wave: Technology, power, and the twenty-first century’s greatest dilemma</w:t>
      </w:r>
      <w:r>
        <w:rPr>
          <w:rFonts w:ascii="Asta Sans" w:hAnsi="Asta Sans" w:eastAsia="Asta Sans"/>
          <w:b w:val="0"/>
          <w:sz w:val="20"/>
        </w:rPr>
        <w:t>. Crown.</w:t>
      </w:r>
    </w:p>
    <w:p>
      <w:pPr>
        <w:spacing w:line="336" w:lineRule="auto" w:after="120"/>
        <w:ind w:hanging="720" w:left="720"/>
      </w:pPr>
      <w:r>
        <w:rPr>
          <w:rFonts w:ascii="Asta Sans" w:hAnsi="Asta Sans" w:eastAsia="Asta Sans"/>
          <w:b w:val="0"/>
          <w:sz w:val="20"/>
        </w:rPr>
        <w:t xml:space="preserve">Vanberg, V. J. (2004). </w:t>
      </w:r>
      <w:r>
        <w:rPr>
          <w:rFonts w:ascii="Asta Sans" w:hAnsi="Asta Sans" w:eastAsia="Asta Sans"/>
          <w:b w:val="0"/>
          <w:i/>
          <w:sz w:val="20"/>
        </w:rPr>
        <w:t>The Freiburg School: Walter Eucken and Ordoliberalism</w:t>
      </w:r>
      <w:r>
        <w:rPr>
          <w:rFonts w:ascii="Asta Sans" w:hAnsi="Asta Sans" w:eastAsia="Asta Sans"/>
          <w:b w:val="0"/>
          <w:sz w:val="20"/>
        </w:rPr>
        <w:t xml:space="preserve"> (Freiburg Discussion Papers on Constitutional Economics, No. 04/11). Walter Eucken Institut.</w:t>
      </w:r>
    </w:p>
    <w:p>
      <w:pPr>
        <w:spacing w:line="336" w:lineRule="auto" w:after="120"/>
        <w:ind w:hanging="720" w:left="720"/>
      </w:pPr>
      <w:r>
        <w:rPr>
          <w:rFonts w:ascii="Asta Sans" w:hAnsi="Asta Sans" w:eastAsia="Asta Sans"/>
          <w:b w:val="0"/>
          <w:sz w:val="20"/>
        </w:rPr>
        <w:t xml:space="preserve">Van Parijs, P. (1995). </w:t>
      </w:r>
      <w:r>
        <w:rPr>
          <w:rFonts w:ascii="Asta Sans" w:hAnsi="Asta Sans" w:eastAsia="Asta Sans"/>
          <w:b w:val="0"/>
          <w:i/>
          <w:sz w:val="20"/>
        </w:rPr>
        <w:t>Real freedom for all: What (if anything) can justify capitalism?</w:t>
      </w:r>
      <w:r>
        <w:rPr>
          <w:rFonts w:ascii="Asta Sans" w:hAnsi="Asta Sans" w:eastAsia="Asta Sans"/>
          <w:b w:val="0"/>
          <w:sz w:val="20"/>
        </w:rPr>
        <w:t xml:space="preserve"> Oxford University Press.</w:t>
      </w:r>
    </w:p>
    <w:p>
      <w:pPr>
        <w:spacing w:line="336" w:lineRule="auto" w:after="120"/>
        <w:ind w:hanging="720" w:left="720"/>
      </w:pPr>
      <w:r>
        <w:rPr>
          <w:rFonts w:ascii="Asta Sans" w:hAnsi="Asta Sans" w:eastAsia="Asta Sans"/>
          <w:b w:val="0"/>
          <w:sz w:val="20"/>
        </w:rPr>
        <w:t xml:space="preserve">Zuboff, S. (2019). </w:t>
      </w:r>
      <w:r>
        <w:rPr>
          <w:rFonts w:ascii="Asta Sans" w:hAnsi="Asta Sans" w:eastAsia="Asta Sans"/>
          <w:b w:val="0"/>
          <w:i/>
          <w:sz w:val="20"/>
        </w:rPr>
        <w:t>The age of surveillance capitalism: The fight for a human future at the new frontier of power</w:t>
      </w:r>
      <w:r>
        <w:rPr>
          <w:rFonts w:ascii="Asta Sans" w:hAnsi="Asta Sans" w:eastAsia="Asta Sans"/>
          <w:b w:val="0"/>
          <w:sz w:val="20"/>
        </w:rPr>
        <w:t>. PublicAffairs.</w:t>
      </w:r>
    </w:p>
    <w:sectPr w:rsidR="00FC693F" w:rsidRPr="0006063C" w:rsidSect="00034616">
      <w:footerReference w:type="default" r:id="rId30"/>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 PAGE </w:instrTex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60" w:lineRule="auto"/>
    </w:pPr>
    <w:rPr>
      <w:rFonts w:ascii="Asta Sans" w:hAnsi="Asta Sans" w:eastAsia="Asta Sans"/>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