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v2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써미트 2014-59호 80%이상 재해장해 + 질병장해발생율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줄어든다(계산기수 절의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지급 사유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또는 80% 이상 장해 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110세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 및 80% 이상 장해율</w:t>
            </w:r>
          </w:p>
        </w:tc>
      </w:tr>
    </w:tbl>
    <w:p/>
    <w:p>
      <w:pPr>
        <w:pStyle w:val="Heading1"/>
      </w:pPr>
      <w:r>
        <w:t xml:space="preserve">3.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(1.1.)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유지자수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</w:t>
            </w:r>
          </w:p>
        </w:tc>
      </w:tr>
    </w:tbl>
    <w:p/>
    <w:p>
      <w:pPr>
        <w:pStyle w:val="Heading1"/>
      </w:pPr>
      <w:r>
        <w:t xml:space="preserve">4. 계산기수</w:t>
      </w:r>
    </w:p>
    <w:p>
      <w:pPr>
        <w:pStyle w:val="FormulaLabel"/>
      </w:pPr>
      <w:r>
        <w:t xml:space="preserve">[식] 유지자수·납입자수 — 사망·80%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제7회 경험생명표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사망·80% 이상 장해 모두 같은 보험금을 지급하므로 탈퇴자 전부가 급부 대상이다. 납입자수는 탈퇴 사유로 유지자수와 똑같이 줄어든다 — 별도의 납입면제율을 곱하지 않는다.</w:t>
      </w:r>
    </w:p>
    <w:p>
      <w:pPr>
        <w:pStyle w:val="FormulaLabel"/>
      </w:pPr>
      <w:r>
        <w:t xml:space="preserve">[식] 유지자수의 현가 (D)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납입자수의 현가 (D′)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급부 발생자의 현가 (C)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g 는 담보별 식의 급부 발생률이다(사망형은 탈퇴율, 진단형은 그 발생률, 일당형은 연간 기대 지급일수). 급부는 연도 중앙에 발생한다고 본다.</w:t>
      </w:r>
    </w:p>
    <w:p>
      <w:pPr>
        <w:pStyle w:val="FormulaLabel"/>
      </w:pPr>
      <w:r>
        <w:t xml:space="preserve">[식] 유지자수 현가의 누계 (N)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납입자수 현가의 누계 (N′)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Heading1"/>
      </w:pPr>
      <w:r>
        <w:t xml:space="preserve">5. 보험료의 계산</w:t>
      </w:r>
    </w:p>
    <w:p>
      <w:pPr>
        <w:pStyle w:val="FormulaLabel"/>
      </w:pPr>
      <w:r>
        <w:t xml:space="preserve">[식] 급부 현가 (PVB)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S 는 연도별 보장금액(연령 구간 배수 반영), 생존급부는 그 시점의 유지자수 현가로 곱한다.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6. 책임준비금의 계산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7. 해지환급금의 계산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Heading1"/>
      </w:pPr>
      <w:r>
        <w:t xml:space="preserve">8.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9.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