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m="http://schemas.openxmlformats.org/officeDocument/2006/math">
  <w:body>
    <w:p>
      <w:pPr>
        <w:pStyle w:val="Title"/>
      </w:pPr>
      <w:r>
        <w:t xml:space="preserve">무해지환급형 암보험 보험료 및 책임준비금 산출방법서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9800"/>
      </w:tblGrid>
      <w:tr>
        <w:trPr>
          <w:tblHeader/>
        </w:trPr>
        <w:tc>
          <w:tcPr>
            <w:tcW w:w="0" w:type="auto"/>
            <w:shd w:val="clear" w:color="auto" w:fill="FFF4D6"/>
          </w:tcPr>
          <w:p>
            <w:pPr>
              <w:spacing w:before="30" w:after="30"/>
            </w:pPr>
            <w:r>
              <w:rPr>
                <w:b/>
              </w:rPr>
              <w:t xml:space="preserve">작성 안내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이 문서는 표준 산출방법서 v2 양식입니다. 개요 표의 "양식" 행을 지우지 마세요 — 앱은 이 행을 보고 정해진 순서대로 읽습니다.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표의 머리글(첫 행)과 절 제목(1. 기초율에 관한 사항 …)은 그대로 두고 값 칸을 고칩니다. 표에 행을 더하면 조건에도 더해집니다(위험률 · 사업비 · 담보 · 가입 조건).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수식은 Word 수식(한글에서는 한글 수식)으로 들어 있습니다. [식] 제목 줄 아래에 설명 한 줄, 그 아래에 식 한 줄씩 둡니다. 식을 고칠 때는 수식을 눌러 고치고, 새 식은 수식 편집기(Word 는 Alt+=)로 넣거나 평문으로 적어도 됩니다 — 평문은 아래첨자 _{x+t}, 위첨자 ^{t}.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식을 더하려면 알맞은 절(계산기수 · 보험료의 계산 · 책임준비금의 계산 · 해지환급금의 계산)에 [식] 제목 줄과 식 줄을 넣습니다. ※ 로 시작하는 줄은 바로 위 식의 설명입니다.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앱이 조건으로 만드는 식과 같은 식은 조건에 따로 싣지 않고, 고친 식과 새 식만 조건(M08 수식)에 들어갑니다. 자동 식을 지워도 조건에서 다시 만들어집니다.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책임준비금 · 해지환급금 관련 사항 절에는 ※ 로 시작하는 줄로 사항을 더합니다. 번호를 붙인 새 절(예: 9. 기타 사항)을 더하면 원문 절로 보존됩니다.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한글(HWPX)로 고치려면 이 파일을 한글에서 열어 [다른 이름으로 저장 → HWPX 문서] 로 저장한 뒤 고칩니다. 이 안내 표는 지워도 됩니다.</w:t>
            </w:r>
          </w:p>
        </w:tc>
      </w:tr>
    </w:tbl>
    <w:p/>
    <w:p>
      <w:pPr>
        <w:pStyle w:val="Heading1"/>
      </w:pPr>
      <w:r>
        <w:t xml:space="preserve">개요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항목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양식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표준 산출방법서 v2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상품명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 암보험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작성일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2026. 9. 22.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 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</w:tbl>
    <w:p/>
    <w:p>
      <w:r>
        <w:t xml:space="preserve">가입 조건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 조건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내용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보험의 종류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생명보험 / 건강(암)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보험종목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1종(무해지환급형) · 2종(표준형)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납입주기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월납 · 연납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갱신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비갱신형</w:t>
            </w:r>
          </w:p>
        </w:tc>
      </w:tr>
    </w:tbl>
    <w:p/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보험료 납입기간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가입나이(남)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가입나이(여)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100세만기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10·20·30년납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65세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만15세 ~ 70세</w:t>
            </w:r>
          </w:p>
        </w:tc>
      </w:tr>
    </w:tbl>
    <w:p/>
    <w:p>
      <w:pPr>
        <w:pStyle w:val="Note"/>
      </w:pPr>
      <w:r>
        <w:t xml:space="preserve">※ 가입 조건은 판매 범위를 적은 정보이다. 보험료는 이 범위 안의 계약(피보험자·보험기간·납입기간)마다 계산한다.</w:t>
      </w:r>
    </w:p>
    <w:p>
      <w:pPr>
        <w:pStyle w:val="Heading1"/>
      </w:pPr>
      <w:r>
        <w:t xml:space="preserve">1. 기초율에 관한 사항</w:t>
      </w:r>
    </w:p>
    <w:p>
      <w:pPr>
        <w:pStyle w:val="Heading2"/>
      </w:pPr>
      <w:r>
        <w:t xml:space="preserve">1.1. 이율에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값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2.500%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표준이율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3.250%</w:t>
            </w:r>
          </w:p>
        </w:tc>
      </w:tr>
    </w:tbl>
    <w:p/>
    <w:p>
      <w:pPr>
        <w:pStyle w:val="Heading2"/>
      </w:pPr>
      <w:r>
        <w:t xml:space="preserve">1.2. 위험률에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1960"/>
        <w:gridCol w:w="1960"/>
        <w:gridCol w:w="1960"/>
        <w:gridCol w:w="1960"/>
        <w:gridCol w:w="19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위험률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유형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근거·출처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q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사망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보험개발원 제7회 경험생명표 사망률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rc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보험개발원 생명장기제2024-112호 무배당 예정 경험 암발생률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별첨</w:t>
            </w:r>
          </w:p>
        </w:tc>
      </w:tr>
    </w:tbl>
    <w:p/>
    <w:p>
      <w:pPr>
        <w:pStyle w:val="Note"/>
      </w:pPr>
      <w:r>
        <w:t xml:space="preserve">※ 표준위험률이 없는 경우에는 적용위험률을 사용한다.</w:t>
      </w:r>
    </w:p>
    <w:p>
      <w:pPr>
        <w:pStyle w:val="Heading2"/>
      </w:pPr>
      <w:r>
        <w:t xml:space="preserve">1.3. 적용해지율에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3266"/>
        <w:gridCol w:w="3266"/>
        <w:gridCol w:w="3266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적용해지율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 구간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무해지환급형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3.0%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 중 (납입 완료 후 0%)</w:t>
            </w:r>
          </w:p>
        </w:tc>
      </w:tr>
    </w:tbl>
    <w:p/>
    <w:p>
      <w:pPr>
        <w:pStyle w:val="Note"/>
      </w:pPr>
      <w:r>
        <w:t xml:space="preserve">※ 납입기간 중 해지환급금 = 표준형(완전 환급) × 0% (무해지환급형).</w:t>
      </w:r>
    </w:p>
    <w:p>
      <w:pPr>
        <w:pStyle w:val="Heading2"/>
      </w:pPr>
      <w:r>
        <w:t xml:space="preserve">1.4. 납입면제(납입자수)에 관한 사항</w:t>
      </w:r>
    </w:p>
    <w:p>
      <w:r>
        <w:t xml:space="preserve">별도의 납입면제율을 두지 않는다. 납입자수 l′ 는 각 담보의 탈퇴 사유로 유지자수 l 과 똑같이 줄어든다(계산기수 절의 담보별 식).</w:t>
      </w:r>
    </w:p>
    <w:p>
      <w:pPr>
        <w:pStyle w:val="Heading2"/>
      </w:pPr>
      <w:r>
        <w:t xml:space="preserve">1.5. 시산보험료 계산 시 적용하는 사업비에 관한 사항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450"/>
        <w:gridCol w:w="2450"/>
        <w:gridCol w:w="2450"/>
        <w:gridCol w:w="245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구분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기준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적용사업비율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계약체결비용 (초년도)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α</w:t>
            </w:r>
            <w:r>
              <w:rPr>
                <w:vertAlign w:val="subscript"/>
              </w:rPr>
              <w:t xml:space="preserve">P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기준연납순보험료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1배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S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1.50/1,000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(납입중)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</w:t>
            </w:r>
            <w:r>
              <w:rPr>
                <w:vertAlign w:val="subscript"/>
              </w:rPr>
              <w:t xml:space="preserve">G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4.50%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계약관리비용 (납입후)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β′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매년 보험가입금액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1.00/1,000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수금비용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γ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영업보험료</w:t>
            </w:r>
          </w:p>
        </w:tc>
        <w:tc>
          <w:tcPr>
            <w:tcW w:w="0" w:type="auto"/>
          </w:tcPr>
          <w:p>
            <w:pPr>
              <w:spacing w:before="30" w:after="30"/>
              <w:jc w:val="center"/>
            </w:pPr>
            <w:r>
              <w:t xml:space="preserve">2.50%</w:t>
            </w:r>
          </w:p>
        </w:tc>
      </w:tr>
    </w:tbl>
    <w:p/>
    <w:p>
      <w:pPr>
        <w:pStyle w:val="Heading1"/>
      </w:pPr>
      <w:r>
        <w:t xml:space="preserve">2. 계약 단위와 급부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담보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암 진단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단위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주계약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유형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최초발생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지급 사유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진단 확정 시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보장금액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50,000,000원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보장 종료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100세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면책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90일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급부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암발생률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탈퇴 위험률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제7회 경험생명표 사망률 및 암발생률</w:t>
            </w:r>
          </w:p>
        </w:tc>
      </w:tr>
    </w:tbl>
    <w:p/>
    <w:p>
      <w:pPr>
        <w:pStyle w:val="Heading1"/>
      </w:pPr>
      <w:r>
        <w:t xml:space="preserve">3. 기호의 정의</w:t>
      </w:r>
    </w:p>
    <w:tbl>
      <w:tblPr>
        <w:tblW w:w="5000" w:type="pct"/>
        <w:tblBorders>
          <w:top w:val="single" w:sz="4" w:space="0" w:color="A0A0A0"/>
          <w:left w:val="single" w:sz="4" w:space="0" w:color="A0A0A0"/>
          <w:bottom w:val="single" w:sz="4" w:space="0" w:color="A0A0A0"/>
          <w:right w:val="single" w:sz="4" w:space="0" w:color="A0A0A0"/>
          <w:insideH w:val="single" w:sz="4" w:space="0" w:color="A0A0A0"/>
          <w:insideV w:val="single" w:sz="4" w:space="0" w:color="A0A0A0"/>
        </w:tblBorders>
        <w:tblCellMar>
          <w:left w:w="140" w:type="dxa"/>
          <w:right w:w="180" w:type="dxa"/>
        </w:tblCellMar>
      </w:tblPr>
      <w:tblGrid>
        <w:gridCol w:w="2940"/>
        <w:gridCol w:w="6860"/>
      </w:tblGrid>
      <w:tr>
        <w:trPr>
          <w:tblHeader/>
        </w:trPr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기호</w:t>
            </w:r>
          </w:p>
        </w:tc>
        <w:tc>
          <w:tcPr>
            <w:tcW w:w="0" w:type="auto"/>
            <w:shd w:val="clear" w:color="auto" w:fill="EEF1F5"/>
          </w:tcPr>
          <w:p>
            <w:pPr>
              <w:spacing w:before="30" w:after="30"/>
            </w:pPr>
            <w:r>
              <w:rPr>
                <w:b/>
              </w:rPr>
              <w:t xml:space="preserve">뜻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x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피보험자의 가입나이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경과기간(년), 0 ≤ t &lt; n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n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m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보험료 납입기간(년)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k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납입주기별 계수 — 연 납입횟수 (연납 1, 6개월납 2, 3개월납 4, 월납 12)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i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적용이율 (1.1.)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v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현가율 = 1/(1+i)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유지자수 (기준 인원 </w:t>
            </w:r>
            <w:r>
              <w:t xml:space="preserve">l</w:t>
            </w:r>
            <w:r>
              <w:rPr>
                <w:vertAlign w:val="subscript"/>
              </w:rPr>
              <w:t xml:space="preserve">x</w:t>
            </w:r>
            <w:r>
              <w:t xml:space="preserve"> = 100,000)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l′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t시점 납입자수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w</w:t>
            </w:r>
            <w:r>
              <w:rPr>
                <w:vertAlign w:val="subscript"/>
              </w:rPr>
              <w:t xml:space="preserve">x+t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적용해지율 (1.3.)</w:t>
            </w:r>
          </w:p>
        </w:tc>
      </w:tr>
      <w:tr>
        <w:tc>
          <w:tcPr>
            <w:tcW w:w="0" w:type="auto"/>
          </w:tcPr>
          <w:p>
            <w:pPr>
              <w:spacing w:before="30" w:after="30"/>
            </w:pPr>
            <w:r>
              <w:t xml:space="preserve">ρ</w:t>
            </w:r>
          </w:p>
        </w:tc>
        <w:tc>
          <w:tcPr>
            <w:tcW w:w="0" w:type="auto"/>
          </w:tcPr>
          <w:p>
            <w:pPr>
              <w:spacing w:before="30" w:after="30"/>
            </w:pPr>
            <w:r>
              <w:t xml:space="preserve">납입기간 중 해지환급금 비율 (1.3. — 무해지 0)</w:t>
            </w:r>
          </w:p>
        </w:tc>
      </w:tr>
    </w:tbl>
    <w:p/>
    <w:p>
      <w:pPr>
        <w:pStyle w:val="Heading1"/>
      </w:pPr>
      <w:r>
        <w:t xml:space="preserve">4. 계산기수</w:t>
      </w:r>
    </w:p>
    <w:p>
      <w:pPr>
        <w:pStyle w:val="FormulaLabel"/>
      </w:pPr>
      <w:r>
        <w:t xml:space="preserve">[식] 유지자수·납입자수 — 암 진단</w:t>
      </w:r>
    </w:p>
    <w:p>
      <w:pPr>
        <w:pStyle w:val="FormulaText"/>
      </w:pPr>
      <w:r>
        <w:t xml:space="preserve">q</w:t>
      </w:r>
      <w:r>
        <w:rPr>
          <w:vertAlign w:val="subscript"/>
        </w:rPr>
        <w:t xml:space="preserve">x</w:t>
      </w:r>
      <w:r>
        <w:t xml:space="preserve"> : 제7회 경험생명표 사망률</w:t>
      </w:r>
    </w:p>
    <w:p>
      <w:pPr>
        <w:pStyle w:val="FormulaText"/>
      </w:pPr>
      <w:r>
        <w:t xml:space="preserve">r</w:t>
      </w:r>
      <w:r>
        <w:rPr>
          <w:vertAlign w:val="subscript"/>
        </w:rPr>
        <w:t xml:space="preserve">x</w:t>
      </w:r>
      <w:r>
        <w:t xml:space="preserve"> : 암발생률</w:t>
      </w:r>
    </w:p>
    <w:p>
      <w:pPr>
        <w:pStyle w:val="FormulaText"/>
      </w:pPr>
      <w:r>
        <w:t xml:space="preserve">w</w:t>
      </w:r>
      <w:r>
        <w:rPr>
          <w:vertAlign w:val="subscript"/>
        </w:rPr>
        <w:t xml:space="preserve">x</w:t>
      </w:r>
      <w:r>
        <w:t xml:space="preserve"> : 적용해지율 (납입기간 중)</w:t>
      </w:r>
    </w:p>
    <w:p>
      <w:pPr>
        <w:pStyle w:val="FormulaText"/>
      </w:pPr>
      <w:r>
        <w:t xml:space="preserve">기준 인원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100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000</m:t>
          </m:r>
        </m:oMath>
      </m:oMathPara>
    </w:p>
    <w:p>
      <w:pPr>
        <w:pStyle w:val="FormulaText"/>
      </w:pPr>
      <w:r>
        <w:t xml:space="preserve">탈퇴율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유지자수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Text"/>
      </w:pPr>
      <w:r>
        <w:t xml:space="preserve">납입자수 — 납입만 면제되는 사유가 없어 유지자수와 같다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Q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Text"/>
      </w:pPr>
      <w:r>
        <w:t xml:space="preserve">급부 발생자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r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Text"/>
      </w:pPr>
      <w:r>
        <w:t xml:space="preserve">면책 90일 — 첫해 급부는 (1 − 3/12) 배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S</m:t>
          </m:r>
          <m:r>
            <w:rPr>
              <w:rFonts w:ascii="Cambria Math" w:hAnsi="Cambria Math"/>
              <w:sz w:val="24"/>
              <w:szCs w:val="24"/>
            </w:rPr>
            <m:t xml:space="preserve"> ×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3</m:t>
          </m:r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12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진단 확정 시 지급하고 그 담보는 소멸한다. 납입자수는 탈퇴 사유로 유지자수와 똑같이 줄어든다 — 별도의 납입면제율을 곱하지 않는다.</w:t>
      </w:r>
    </w:p>
    <w:p>
      <w:pPr>
        <w:pStyle w:val="FormulaLabel"/>
      </w:pPr>
      <w:r>
        <w:t xml:space="preserve">[식] 유지자수의 현가 (D)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납입자수의 현가 (D′)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p>
          </m:sSup>
        </m:oMath>
      </m:oMathPara>
    </w:p>
    <w:p>
      <w:pPr>
        <w:pStyle w:val="FormulaLabel"/>
      </w:pPr>
      <w:r>
        <w:t xml:space="preserve">[식] 급부 발생자의 현가 (C)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Note"/>
      </w:pPr>
      <w:r>
        <w:t xml:space="preserve">※ g 는 담보별 식의 급부 발생률이다(사망형은 탈퇴율, 진단형은 그 발생률, 일당형은 연간 기대 지급일수). 급부는 연도 중앙에 발생한다고 본다. Q·(1 − w/2) + w = Q + w − Q·w/2 이므로 급부와 해지로 줄어드는 인원의 합이 유지자수 감소분과 정확히 같다.</w:t>
      </w:r>
    </w:p>
    <w:p>
      <w:pPr>
        <w:pStyle w:val="FormulaLabel"/>
      </w:pPr>
      <w:r>
        <w:t xml:space="preserve">[식] 해지자의 현가 (W)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l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+½</m:t>
              </m:r>
            </m:sup>
          </m:sSup>
        </m:oMath>
      </m:oMathPara>
    </w:p>
    <w:p>
      <w:pPr>
        <w:pStyle w:val="FormulaLabel"/>
      </w:pPr>
      <w:r>
        <w:t xml:space="preserve">[식] 유지자수 현가의 누계 (N)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FormulaLabel"/>
      </w:pPr>
      <w:r>
        <w:t xml:space="preserve">[식] 납입자수 현가의 누계 (N′)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</m:oMath>
      </m:oMathPara>
    </w:p>
    <w:p>
      <w:pPr>
        <w:pStyle w:val="Heading1"/>
      </w:pPr>
      <w:r>
        <w:t xml:space="preserve">5. 보험료의 계산</w:t>
      </w:r>
    </w:p>
    <w:p>
      <w:pPr>
        <w:pStyle w:val="FormulaLabel"/>
      </w:pPr>
      <w:r>
        <w:t xml:space="preserve">[식] 급부 현가 (PVB)</w:t>
      </w:r>
    </w:p>
    <w:p>
      <w:pPr>
        <w:pStyle w:val="Formula"/>
      </w:pPr>
      <m:oMathPara>
        <m:oMathParaPr>
          <m:jc m:val="left"/>
        </m:oMathParaPr>
        <m:oMath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−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=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  <m:sup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S 는 연도별 보장금액(연령 구간 배수 반영), 생존급부는 그 시점의 유지자수 현가로 곱한다.</w:t>
      </w:r>
    </w:p>
    <w:p>
      <w:pPr>
        <w:pStyle w:val="FormulaLabel"/>
      </w:pPr>
      <w:r>
        <w:t xml:space="preserve">[식] 연납 환산 납입기수 (N*)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· [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(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−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)/(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  <m:r>
            <w:rPr>
              <w:rFonts w:ascii="Cambria Math" w:hAnsi="Cambria Math"/>
              <w:sz w:val="24"/>
              <w:szCs w:val="24"/>
            </w:rPr>
            <m:t xml:space="preserve">·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)·(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]</m:t>
          </m:r>
        </m:oMath>
      </m:oMathPara>
    </w:p>
    <w:p>
      <w:pPr>
        <w:pStyle w:val="Note"/>
      </w:pPr>
      <w:r>
        <w:t xml:space="preserve">※ k 는 납입주기별 계수(연납 1, 6개월납 2, 3개월납 4, 월납 12)이다.</w:t>
      </w:r>
    </w:p>
    <w:p>
      <w:pPr>
        <w:pStyle w:val="FormulaLabel"/>
      </w:pPr>
      <w:r>
        <w:t xml:space="preserve">[식] 순보험료 (P)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FormulaLabel"/>
      </w:pPr>
      <w:r>
        <w:t xml:space="preserve">[식] 기준연납순보험료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min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20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영업보험료</w:t>
      </w:r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G</m:t>
          </m:r>
          <m:r>
            <w:rPr>
              <w:rFonts w:ascii="Cambria Math" w:hAnsi="Cambria Math"/>
              <w:sz w:val="24"/>
              <w:szCs w:val="24"/>
            </w:rPr>
            <m:t xml:space="preserve"> = [ </m:t>
          </m:r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+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/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)/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  <m:r>
            <w:rPr>
              <w:rFonts w:ascii="Cambria Math" w:hAnsi="Cambria Math"/>
              <w:sz w:val="24"/>
              <w:szCs w:val="24"/>
            </w:rPr>
            <m:t xml:space="preserve"> ] / ( </m:t>
          </m:r>
          <m:r>
            <w:rPr>
              <w:rFonts w:ascii="Cambria Math" w:hAnsi="Cambria Math"/>
              <w:sz w:val="24"/>
              <w:szCs w:val="24"/>
            </w:rPr>
            <m:t xml:space="preserve">1</m:t>
          </m:r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G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r>
            <w:rPr>
              <w:rFonts w:ascii="Cambria Math" w:hAnsi="Cambria Math"/>
              <w:sz w:val="24"/>
              <w:szCs w:val="24"/>
            </w:rPr>
            <m:t xml:space="preserve">γ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보장기간 n이 20년보다 짧으면 </w:t>
      </w:r>
      <w:r>
        <w:t xml:space="preserve">α</w:t>
      </w:r>
      <w:r>
        <w:rPr>
          <w:vertAlign w:val="subscript"/>
        </w:rPr>
        <w:t xml:space="preserve">P</w:t>
      </w:r>
      <w:r>
        <w:t xml:space="preserve">는 </w:t>
      </w:r>
      <w:r>
        <w:t xml:space="preserve">α</w:t>
      </w:r>
      <w:r>
        <w:rPr>
          <w:vertAlign w:val="subscript"/>
        </w:rPr>
        <w:t xml:space="preserve">P</w:t>
      </w:r>
      <w:r>
        <w:t xml:space="preserve"> × n/20으로 줄인다. 10만원당 보험료에서 한 번만 반올림하고, 담보 보험료 = 10만원당 보험료 × (보장금액 ÷ 100,000)으로 한다.</w:t>
      </w:r>
    </w:p>
    <w:p>
      <w:pPr>
        <w:pStyle w:val="FormulaLabel"/>
      </w:pPr>
      <w:r>
        <w:t xml:space="preserve">[식] 저해지·무해지환급형</w:t>
      </w:r>
    </w:p>
    <w:p>
      <w:pPr>
        <w:pStyle w:val="FormulaText"/>
      </w:pPr>
      <w:r>
        <w:t xml:space="preserve">납입기간 중 해지하면 돌려주는 금액의 현가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 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&lt;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w:rPr>
              <w:rFonts w:ascii="Cambria Math" w:hAnsi="Cambria Math"/>
              <w:sz w:val="24"/>
              <w:szCs w:val="24"/>
            </w:rPr>
            <m:t xml:space="preserve">ρ</m:t>
          </m:r>
          <m:r>
            <w:rPr>
              <w:rFonts w:ascii="Cambria Math" w:hAnsi="Cambria Math"/>
              <w:sz w:val="24"/>
              <w:szCs w:val="24"/>
            </w:rPr>
            <m:t xml:space="preserve"> · (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1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w:rPr>
              <w:rFonts w:ascii="Cambria Math" w:hAnsi="Cambria Math"/>
              <w:sz w:val="24"/>
              <w:szCs w:val="24"/>
            </w:rPr>
            <m:t xml:space="preserve">2</m:t>
          </m:r>
        </m:oMath>
      </m:oMathPara>
    </w:p>
    <w:p>
      <w:pPr>
        <w:pStyle w:val="FormulaText"/>
      </w:pPr>
      <w:r>
        <w:t xml:space="preserve">저해지·무해지환급형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Ā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P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Ā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r>
            <w:rPr>
              <w:rFonts w:ascii="Cambria Math" w:hAnsi="Cambria Math"/>
              <w:sz w:val="24"/>
              <w:szCs w:val="24"/>
            </w:rPr>
            <m:t xml:space="preserve">N*</m:t>
          </m:r>
        </m:oMath>
      </m:oMathPara>
    </w:p>
    <w:p>
      <w:pPr>
        <w:pStyle w:val="Note"/>
      </w:pPr>
      <w:r>
        <w:t xml:space="preserve">※ ρ : 납입기간 중 해지환급금 비율(무해지 0). </w:t>
      </w:r>
      <w:r>
        <w:t xml:space="preserve">W</w:t>
      </w:r>
      <w:r>
        <w:rPr>
          <w:vertAlign w:val="superscript"/>
        </w:rPr>
        <w:t xml:space="preserve">표준</w:t>
      </w:r>
      <w:r>
        <w:t xml:space="preserve"> : 같은 조건의 표준형(완전 환급) 해지환급금. 적용해지율 w = 0 이면 CSV = 0 이고 보험료가 표준형과 같아진다.</w:t>
      </w:r>
    </w:p>
    <w:p>
      <w:pPr>
        <w:pStyle w:val="Heading1"/>
      </w:pPr>
      <w:r>
        <w:t xml:space="preserve">6. 책임준비금의 계산</w:t>
      </w:r>
    </w:p>
    <w:p>
      <w:pPr>
        <w:pStyle w:val="FormulaLabel"/>
      </w:pPr>
      <w:r>
        <w:t xml:space="preserve">[식] 준비금 산출용 순보험료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( </m:t>
          </m:r>
          <m:r>
            <m:rPr>
              <m:nor/>
            </m:rPr>
            <w:rPr>
              <w:rFonts w:ascii="Cambria Math" w:hAnsi="Cambria Math"/>
              <w:sz w:val="24"/>
              <w:szCs w:val="24"/>
            </w:rPr>
            <m:t xml:space="preserve">PVB</m:t>
          </m:r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0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 ) / 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연말 책임준비금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[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≥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Σ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&gt;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C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u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CSV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+ </m:t>
          </m:r>
          <m:r>
            <w:rPr>
              <w:rFonts w:ascii="Cambria Math" w:hAnsi="Cambria Math"/>
              <w:sz w:val="24"/>
              <w:szCs w:val="24"/>
            </w:rPr>
            <m:t xml:space="preserve">β′</m:t>
          </m:r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m:rPr>
                  <m:sty m:val="p"/>
                </m:rPr>
                <w:rPr>
                  <w:rFonts w:ascii="Cambria Math" w:hAnsi="Cambria Math"/>
                  <w:sz w:val="24"/>
                  <w:szCs w:val="24"/>
                </w:rPr>
                <m:t xml:space="preserve">max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(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,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)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n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β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·(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N′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m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)·[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≤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] ] /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D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x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+</m:t>
              </m:r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Note"/>
      </w:pPr>
      <w:r>
        <w:t xml:space="preserve">※ 순보식에 납입 후 유지비 β′를 더한 형태. 표준준비금은 표준이율로 같은 식을 계산한다.</w:t>
      </w:r>
    </w:p>
    <w:p>
      <w:pPr>
        <w:pStyle w:val="Heading1"/>
      </w:pPr>
      <w:r>
        <w:t xml:space="preserve">7. 해지환급금의 계산</w:t>
      </w:r>
    </w:p>
    <w:p>
      <w:pPr>
        <w:pStyle w:val="FormulaLabel"/>
      </w:pPr>
      <w:r>
        <w:t xml:space="preserve">[식] 해약공제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 − 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 /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,</m:t>
          </m:r>
          <m:r>
            <w:rPr>
              <w:rFonts w:ascii="Cambria Math" w:hAnsi="Cambria Math"/>
              <w:sz w:val="24"/>
              <w:szCs w:val="24"/>
            </w:rPr>
            <m:t xml:space="preserve">7</m:t>
          </m:r>
          <m:r>
            <w:rPr>
              <w:rFonts w:ascii="Cambria Math" w:hAnsi="Cambria Math"/>
              <w:sz w:val="24"/>
              <w:szCs w:val="24"/>
            </w:rPr>
            <m:t xml:space="preserve">)</m:t>
          </m:r>
        </m:oMath>
      </m:oMathPara>
    </w:p>
    <w:p>
      <w:pPr>
        <w:pStyle w:val="FormulaLabel"/>
      </w:pPr>
      <w:r>
        <w:t xml:space="preserve">[식] 해약공제 기준 신계약비</w:t>
      </w:r>
    </w:p>
    <w:p>
      <w:pPr>
        <w:pStyle w:val="Formula"/>
      </w:pPr>
      <m:oMathPara>
        <m:oMathParaPr>
          <m:jc m:val="left"/>
        </m:oMathParaPr>
        <m:oMath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공제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s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std</m:t>
              </m:r>
            </m:sup>
          </m:sSup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"/>
      </w:pPr>
      <m:oMathPara>
        <m:oMathParaPr>
          <m:jc m:val="left"/>
        </m:oMathParaPr>
        <m:oMath>
          <m:r>
            <w:rPr>
              <w:rFonts w:ascii="Cambria Math" w:hAnsi="Cambria Math"/>
              <w:sz w:val="24"/>
              <w:szCs w:val="24"/>
            </w:rPr>
            <m:t xml:space="preserve">α</m:t>
          </m:r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S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+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α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·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round</m:t>
          </m:r>
          <m:r>
            <w:rPr>
              <w:rFonts w:ascii="Cambria Math" w:hAnsi="Cambria Math"/>
              <w:sz w:val="24"/>
              <w:szCs w:val="24"/>
            </w:rPr>
            <m:t xml:space="preserve">₅(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P</m:t>
              </m:r>
            </m:e>
            <m:sub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base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Note"/>
      </w:pPr>
      <w:r>
        <w:t xml:space="preserve">※ 영업보험료 G 에는 반올림 전 </w:t>
      </w:r>
      <w:r>
        <w:t xml:space="preserve">P</w:t>
      </w:r>
      <w:r>
        <w:rPr>
          <w:vertAlign w:val="subscript"/>
        </w:rPr>
        <w:t xml:space="preserve">base</w:t>
      </w:r>
      <w:r>
        <w:t xml:space="preserve"> 를 쓴다.</w:t>
      </w:r>
    </w:p>
    <w:p>
      <w:pPr>
        <w:pStyle w:val="FormulaLabel"/>
      </w:pPr>
      <w:r>
        <w:t xml:space="preserve">[식] 표준형 해지환급금</w:t>
      </w:r>
    </w:p>
    <w:p>
      <w:pPr>
        <w:pStyle w:val="Formula"/>
      </w:pPr>
      <m:oMathPara>
        <m:oMathParaPr>
          <m:jc m:val="left"/>
        </m:oMathParaPr>
        <m:oMath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max</m:t>
          </m:r>
          <m:r>
            <w:rPr>
              <w:rFonts w:ascii="Cambria Math" w:hAnsi="Cambria Math"/>
              <w:sz w:val="24"/>
              <w:szCs w:val="24"/>
            </w:rPr>
            <m:t xml:space="preserve">(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V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−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해약공제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 )</m:t>
          </m:r>
        </m:oMath>
      </m:oMathPara>
    </w:p>
    <w:p>
      <w:pPr>
        <w:pStyle w:val="FormulaLabel"/>
      </w:pPr>
      <w:r>
        <w:t xml:space="preserve">[식] 저해지·무해지환급형 해지환급금</w:t>
      </w:r>
    </w:p>
    <w:p>
      <w:pPr>
        <w:pStyle w:val="FormulaText"/>
      </w:pPr>
      <w:r>
        <w:t xml:space="preserve">납입기간 중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w:rPr>
              <w:rFonts w:ascii="Cambria Math" w:hAnsi="Cambria Math"/>
              <w:sz w:val="24"/>
              <w:szCs w:val="24"/>
            </w:rPr>
            <m:t xml:space="preserve">0</m:t>
          </m:r>
          <m:r>
            <w:rPr>
              <w:rFonts w:ascii="Cambria Math" w:hAnsi="Cambria Math"/>
              <w:sz w:val="24"/>
              <w:szCs w:val="24"/>
            </w:rPr>
            <m:t xml:space="preserve">% ×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Text"/>
      </w:pPr>
      <w:r>
        <w:t xml:space="preserve">납입 완료 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Sup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  <m:sup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표준</m:t>
              </m:r>
            </m:sup>
          </m:sSubSup>
        </m:oMath>
      </m:oMathPara>
    </w:p>
    <w:p>
      <w:pPr>
        <w:pStyle w:val="FormulaLabel"/>
      </w:pPr>
      <w:r>
        <w:t xml:space="preserve">[식] 환급률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환급률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sSub>
            <m:e>
              <m:r>
                <w:rPr>
                  <w:rFonts w:ascii="Cambria Math" w:hAnsi="Cambria Math"/>
                  <w:sz w:val="24"/>
                  <w:szCs w:val="24"/>
                </w:rPr>
                <m:t xml:space="preserve">W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/ </m:t>
          </m:r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</m:oMath>
      </m:oMathPara>
    </w:p>
    <w:p>
      <w:pPr>
        <w:pStyle w:val="FormulaLabel"/>
      </w:pPr>
      <w:r>
        <w:t xml:space="preserve">[식] 납입누계</w:t>
      </w:r>
    </w:p>
    <w:p>
      <w:pPr>
        <w:pStyle w:val="Formula"/>
      </w:pPr>
      <m:oMathPara>
        <m:oMathParaPr>
          <m:jc m:val="left"/>
        </m:oMathParaPr>
        <m:oMath>
          <m:sSub>
            <m:e>
              <m:r>
                <m:rPr>
                  <m:nor/>
                </m:rPr>
                <w:rPr>
                  <w:rFonts w:ascii="Cambria Math" w:hAnsi="Cambria Math"/>
                  <w:sz w:val="24"/>
                  <w:szCs w:val="24"/>
                </w:rPr>
                <m:t xml:space="preserve">납입누계</m:t>
              </m:r>
            </m:e>
            <m:sub>
              <m:r>
                <w:rPr>
                  <w:rFonts w:ascii="Cambria Math" w:hAnsi="Cambria Math"/>
                  <w:sz w:val="24"/>
                  <w:szCs w:val="24"/>
                </w:rPr>
                <m:t xml:space="preserve">t</m:t>
              </m:r>
            </m:sub>
          </m:sSub>
          <m:r>
            <w:rPr>
              <w:rFonts w:ascii="Cambria Math" w:hAnsi="Cambria Math"/>
              <w:sz w:val="24"/>
              <w:szCs w:val="24"/>
            </w:rPr>
            <m:t xml:space="preserve"> = </m:t>
          </m:r>
          <m:r>
            <m:rPr>
              <m:sty m:val="p"/>
            </m:rPr>
            <w:rPr>
              <w:rFonts w:ascii="Cambria Math" w:hAnsi="Cambria Math"/>
              <w:sz w:val="24"/>
              <w:szCs w:val="24"/>
            </w:rPr>
            <m:t xml:space="preserve">min</m:t>
          </m:r>
          <m:r>
            <w:rPr>
              <w:rFonts w:ascii="Cambria Math" w:hAnsi="Cambria Math"/>
              <w:sz w:val="24"/>
              <w:szCs w:val="24"/>
            </w:rPr>
            <m:t xml:space="preserve">(</m:t>
          </m:r>
          <m:r>
            <w:rPr>
              <w:rFonts w:ascii="Cambria Math" w:hAnsi="Cambria Math"/>
              <w:sz w:val="24"/>
              <w:szCs w:val="24"/>
            </w:rPr>
            <m:t xml:space="preserve">t</m:t>
          </m:r>
          <m:r>
            <w:rPr>
              <w:rFonts w:ascii="Cambria Math" w:hAnsi="Cambria Math"/>
              <w:sz w:val="24"/>
              <w:szCs w:val="24"/>
            </w:rPr>
            <m:t xml:space="preserve">, </m:t>
          </m:r>
          <m:r>
            <w:rPr>
              <w:rFonts w:ascii="Cambria Math" w:hAnsi="Cambria Math"/>
              <w:sz w:val="24"/>
              <w:szCs w:val="24"/>
            </w:rPr>
            <m:t xml:space="preserve">m</m:t>
          </m:r>
          <m:r>
            <w:rPr>
              <w:rFonts w:ascii="Cambria Math" w:hAnsi="Cambria Math"/>
              <w:sz w:val="24"/>
              <w:szCs w:val="24"/>
            </w:rPr>
            <m:t xml:space="preserve">) × </m:t>
          </m:r>
          <m:r>
            <w:rPr>
              <w:rFonts w:ascii="Cambria Math" w:hAnsi="Cambria Math"/>
              <w:sz w:val="24"/>
              <w:szCs w:val="24"/>
            </w:rPr>
            <m:t xml:space="preserve">k</m:t>
          </m:r>
          <m:r>
            <w:rPr>
              <w:rFonts w:ascii="Cambria Math" w:hAnsi="Cambria Math"/>
              <w:sz w:val="24"/>
              <w:szCs w:val="24"/>
            </w:rPr>
            <m:t xml:space="preserve"> × </m:t>
          </m:r>
          <m:r>
            <w:rPr>
              <w:rFonts w:ascii="Cambria Math" w:hAnsi="Cambria Math"/>
              <w:sz w:val="24"/>
              <w:szCs w:val="24"/>
            </w:rPr>
            <m:t xml:space="preserve">G</m:t>
          </m:r>
        </m:oMath>
      </m:oMathPara>
    </w:p>
    <w:p>
      <w:pPr>
        <w:pStyle w:val="Heading1"/>
      </w:pPr>
      <w:r>
        <w:t xml:space="preserve">8. 책임준비금 관련 사항</w:t>
      </w:r>
    </w:p>
    <w:p>
      <w:pPr>
        <w:pStyle w:val="Note"/>
      </w:pPr>
      <w:r>
        <w:t xml:space="preserve">※ 회계연도말 보험료적립금은 적용기초율 적립금과 표준기초율 적립금 중 큰 금액으로 한다.</w:t>
      </w:r>
    </w:p>
    <w:p>
      <w:pPr>
        <w:pStyle w:val="Note"/>
      </w:pPr>
      <w:r>
        <w:t xml:space="preserve">※ 연중 보간은 하지 않고 연말 기준으로 산출한다.</w:t>
      </w:r>
    </w:p>
    <w:p>
      <w:pPr>
        <w:pStyle w:val="Heading1"/>
      </w:pPr>
      <w:r>
        <w:t xml:space="preserve">9. 해지환급금 관련 사항</w:t>
      </w:r>
    </w:p>
    <w:p>
      <w:pPr>
        <w:pStyle w:val="Note"/>
      </w:pPr>
      <w:r>
        <w:t xml:space="preserve">※ 해약공제는 납입기간과 7년 중 짧은 기간에 걸쳐 매년 균등하게 줄어든다.</w:t>
      </w:r>
    </w:p>
    <w:p>
      <w:pPr>
        <w:pStyle w:val="Note"/>
      </w:pPr>
      <w:r>
        <w:t xml:space="preserve">※ 해약공제 기준 신계약비는 적용기초율과 표준기초율로 구한 신계약비 중 작은 쪽으로 한다.</w:t>
      </w:r>
    </w:p>
    <w:sectPr>
      <w:pgSz w:w="11906" w:h="16838"/>
      <w:pgMar w:top="1020" w:right="1020" w:bottom="1020" w:left="1020" w:header="567" w:footer="567" w:gutter="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Malgun Gothic" w:hAnsi="Malgun Gothic" w:eastAsia="맑은 고딕" w:cs="Malgun Gothic"/>
        <w:sz w:val="24"/>
        <w:szCs w:val="24"/>
        <w:lang w:val="en-US" w:eastAsia="ko-KR"/>
      </w:rPr>
    </w:rPrDefault>
    <w:pPrDefault>
      <w:pPr>
        <w:spacing w:after="100" w:line="276" w:lineRule="auto"/>
      </w:pPr>
    </w:pPrDefault>
  </w:docDefaults>
  <w:style w:type="paragraph" w:default="1" w:styleId="Normal">
    <w:name w:val="Normal"/>
    <w:qFormat/>
  </w:style>
  <w:style w:type="paragraph" w:styleId="Title">
    <w:name w:val="Title"/>
    <w:basedOn w:val="Normal"/>
    <w:qFormat/>
    <w:pPr>
      <w:spacing w:after="280"/>
      <w:pBdr>
        <w:bottom w:val="single" w:sz="12" w:space="4" w:color="1B2845"/>
      </w:pBdr>
    </w:pPr>
    <w:rPr>
      <w:b/>
      <w:sz w:val="36"/>
      <w:szCs w:val="36"/>
    </w:rPr>
  </w:style>
  <w:style w:type="paragraph" w:styleId="Heading1">
    <w:name w:val="heading 1"/>
    <w:basedOn w:val="Normal"/>
    <w:qFormat/>
    <w:pPr>
      <w:keepNext/>
      <w:spacing w:before="360" w:after="140"/>
      <w:outlineLvl w:val="0"/>
      <w:pBdr>
        <w:bottom w:val="single" w:sz="4" w:space="2" w:color="BBBBBB"/>
      </w:pBdr>
    </w:pPr>
    <w:rPr>
      <w:b/>
      <w:sz w:val="28"/>
      <w:szCs w:val="28"/>
    </w:rPr>
  </w:style>
  <w:style w:type="paragraph" w:styleId="Heading2">
    <w:name w:val="heading 2"/>
    <w:basedOn w:val="Normal"/>
    <w:qFormat/>
    <w:pPr>
      <w:keepNext/>
      <w:spacing w:before="240" w:after="100"/>
      <w:outlineLvl w:val="1"/>
    </w:pPr>
    <w:rPr>
      <w:b/>
      <w:sz w:val="28"/>
      <w:szCs w:val="28"/>
    </w:rPr>
  </w:style>
  <w:style w:type="paragraph" w:styleId="FormulaLabel">
    <w:name w:val="수식 제목"/>
    <w:basedOn w:val="Normal"/>
    <w:qFormat/>
    <w:pPr>
      <w:keepNext/>
      <w:spacing w:before="200" w:after="60"/>
    </w:pPr>
    <w:rPr>
      <w:b/>
      <w:color w:val="1B2845"/>
      <w:sz w:val="24"/>
      <w:szCs w:val="24"/>
    </w:rPr>
  </w:style>
  <w:style w:type="paragraph" w:styleId="Formula">
    <w:name w:val="수식"/>
    <w:basedOn w:val="Normal"/>
    <w:qFormat/>
    <w:pPr>
      <w:spacing w:before="0" w:after="0" w:line="360" w:lineRule="auto"/>
      <w:ind w:left="567"/>
    </w:pPr>
    <w:rPr>
      <w:sz w:val="24"/>
      <w:szCs w:val="24"/>
    </w:rPr>
  </w:style>
  <w:style w:type="paragraph" w:styleId="FormulaText">
    <w:name w:val="수식 설명"/>
    <w:basedOn w:val="Normal"/>
    <w:qFormat/>
    <w:pPr>
      <w:keepNext/>
      <w:spacing w:before="80" w:after="0" w:line="360" w:lineRule="auto"/>
      <w:ind w:left="567"/>
    </w:pPr>
    <w:rPr>
      <w:color w:val="333333"/>
      <w:sz w:val="24"/>
      <w:szCs w:val="24"/>
    </w:rPr>
  </w:style>
  <w:style w:type="paragraph" w:styleId="Note">
    <w:name w:val="주석"/>
    <w:basedOn w:val="Normal"/>
    <w:qFormat/>
    <w:pPr>
      <w:spacing w:before="80" w:after="140"/>
      <w:ind w:left="567"/>
    </w:pPr>
    <w:rPr>
      <w:color w:val="444444"/>
      <w:sz w:val="24"/>
      <w:szCs w:val="24"/>
    </w:rPr>
  </w:style>
</w:styles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styles" Target="styles.xml"/></Relationships>
</file>