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2대질병 진단보험 보험료 및 책임준비금 산출방법서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9800"/>
      </w:tblGrid>
      <w:tr>
        <w:trPr>
          <w:tblHeader/>
        </w:trPr>
        <w:tc>
          <w:tcPr>
            <w:tcW w:w="0" w:type="auto"/>
            <w:shd w:val="clear" w:color="auto" w:fill="FFF4D6"/>
          </w:tcPr>
          <w:p>
            <w:pPr>
              <w:spacing w:before="30" w:after="30"/>
            </w:pPr>
            <w:r>
              <w:rPr>
                <w:b/>
              </w:rPr>
              <w:t xml:space="preserve">작성 안내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이 문서는 표준 산출방법서 v5 양식입니다. 개요 표의 "양식" 행을 지우지 마세요 — 앱은 이 행을 보고 정해진 순서대로 읽습니다.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표의 머리글(첫 행)과 절 제목(1. 기초율에 관한 사항 …)은 그대로 두고 값 칸을 고칩니다. 표에 행을 더하면 조건에도 더해집니다(위험률 · 사업비 · 담보 · 가입 조건).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수식은 Word 수식(한글에서는 한글 수식)으로 들어 있습니다. [식] 제목 줄 아래에 설명 한 줄, 그 아래에 식 한 줄씩 둡니다. 식을 고칠 때는 수식을 눌러 고치고, 새 식은 수식 편집기(Word 는 Alt+=)로 넣거나 평문으로 적어도 됩니다 — 평문은 아래첨자 _{x+t}, 위첨자 ^{t}.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식을 더하려면 알맞은 절(계산기수 · 보험료의 계산 · 책임준비금의 계산 · 해지환급금의 계산)에 [식] 제목 줄과 식 줄을 넣습니다. ※ 로 시작하는 줄은 바로 위 식의 설명입니다.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앱이 조건으로 만드는 식과 같은 식은 조건에 따로 싣지 않고, 고친 식과 새 식만 조건(M08 수식)에 들어갑니다. 자동 식을 지워도 조건에서 다시 만들어집니다.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책임준비금 · 해지환급금 관련 사항 절에는 ※ 로 시작하는 줄로 사항을 더합니다. 번호를 붙인 새 절(예: 9. 기타 사항)을 더하면 원문 절로 보존됩니다.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한글(HWPX)로 고치려면 이 파일을 한글에서 열어 [다른 이름으로 저장 → HWPX 문서] 로 저장한 뒤 고칩니다. 이 안내 표는 지워도 됩니다.</w:t>
            </w:r>
          </w:p>
        </w:tc>
      </w:tr>
    </w:tbl>
    <w:p/>
    <w:p>
      <w:pPr>
        <w:pStyle w:val="Heading1"/>
      </w:pPr>
      <w:r>
        <w:t xml:space="preserve">개요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항목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양식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표준 산출방법서 v5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상품명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2대질병 진단보험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종류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표준형(완전 환급)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작성일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2026. 9. 22.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 단위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주계약</w:t>
            </w:r>
          </w:p>
        </w:tc>
      </w:tr>
    </w:tbl>
    <w:p/>
    <w:p>
      <w:r>
        <w:t xml:space="preserve">가입 조건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가입 조건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보험의 종류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생명보험 / 건강(진단)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납입주기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월납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보험가입금액 한도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1천만원 ~ 5천만원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갱신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비갱신형</w:t>
            </w:r>
          </w:p>
        </w:tc>
      </w:tr>
    </w:tbl>
    <w:p/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보험기간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보험료 납입기간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가입나이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80세만기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10·15·20년납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만15세 ~ 60세</w:t>
            </w:r>
          </w:p>
        </w:tc>
      </w:tr>
    </w:tbl>
    <w:p/>
    <w:p>
      <w:pPr>
        <w:pStyle w:val="Note"/>
      </w:pPr>
      <w:r>
        <w:t xml:space="preserve">※ 가입 조건은 판매 범위를 적은 정보이다. 보험료는 이 범위 안의 계약(피보험자·보험기간·납입기간)마다 계산한다.</w:t>
      </w:r>
    </w:p>
    <w:p>
      <w:pPr>
        <w:pStyle w:val="Heading1"/>
      </w:pPr>
      <w:r>
        <w:t xml:space="preserve">1. 보험료의 계산에 관한 사항</w:t>
      </w:r>
    </w:p>
    <w:p>
      <w:pPr>
        <w:pStyle w:val="Heading2"/>
      </w:pPr>
      <w:r>
        <w:t xml:space="preserve">가. 예정기초율</w:t>
      </w:r>
    </w:p>
    <w:p>
      <w:r>
        <w:t xml:space="preserve">(1) 예정이율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값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적용이율 i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2.500%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표준이율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3.250%</w:t>
            </w:r>
          </w:p>
        </w:tc>
      </w:tr>
    </w:tbl>
    <w:p/>
    <w:p>
      <w:r>
        <w:t xml:space="preserve">(2) 예정위험률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위험률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유형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근거·출처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표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사망률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q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사망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경험생명표(가상) 사망률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별첨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뇌출혈 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rs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경험생명표(가상) 뇌출혈 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별첨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급성심근경색증 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ra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경험생명표(가상) 급성심근경색증 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별첨</w:t>
            </w:r>
          </w:p>
        </w:tc>
      </w:tr>
    </w:tbl>
    <w:p/>
    <w:p>
      <w:pPr>
        <w:pStyle w:val="Note"/>
      </w:pPr>
      <w:r>
        <w:t xml:space="preserve">※ 표준위험률이 없는 경우에는 적용위험률을 사용한다.</w:t>
      </w:r>
    </w:p>
    <w:p>
      <w:r>
        <w:t xml:space="preserve">(3) 적용해지율</w:t>
      </w:r>
    </w:p>
    <w:p>
      <w:r>
        <w:t xml:space="preserve">적용하지 않음 (w = 0).</w:t>
      </w:r>
    </w:p>
    <w:p>
      <w:r>
        <w:t xml:space="preserve">(4) 납입면제 사유</w:t>
      </w:r>
    </w:p>
    <w:p>
      <w:r>
        <w:t xml:space="preserve">납입면제 사유는 뇌출혈 발생률 · 급성심근경색증 발생률 이다. 이 사유가 생기면 보장은 그대로 두고 남은 보험료만 면제하므로, 납입자수 l′ 에서만 뺀다.</w:t>
      </w:r>
    </w:p>
    <w:p>
      <w:r>
        <w:t xml:space="preserve">납입자수는 보험료 계산에 하나만 쓴다 — 계약을 끝내는 탈퇴 사유(모든 담보에 공통, 보통 사망)와 이 납입면제 사유로 준다(라. 유지자수·납입자수).</w:t>
      </w:r>
    </w:p>
    <w:p>
      <w:pPr>
        <w:pStyle w:val="FormulaText"/>
      </w:pPr>
      <w:r>
        <w:t xml:space="preserve">f</w:t>
      </w:r>
      <w:r>
        <w:rPr>
          <w:vertAlign w:val="subscript"/>
        </w:rPr>
        <w:t xml:space="preserve">x</w:t>
      </w:r>
      <w:r>
        <w:t xml:space="preserve"> : 뇌출혈 발생률 · 급성심근경색증 발생률</w:t>
      </w:r>
    </w:p>
    <w:p>
      <w:pPr>
        <w:pStyle w:val="FormulaText"/>
      </w:pPr>
      <w:r>
        <w:t xml:space="preserve">f</w:t>
      </w:r>
      <w:r>
        <w:rPr>
          <w:vertAlign w:val="subscript"/>
        </w:rPr>
        <w:t xml:space="preserve">x+t</w:t>
      </w:r>
      <w:r>
        <w:t xml:space="preserve"> : 납입을 멈추게 하는 질병의 발생률 — 납입면제 사유(와 모든 담보에 공통인 질병 탈퇴 사유)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)·(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)… —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질병끼리는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따로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생긴다고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보고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곱으로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 —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사망과는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겹치는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부분을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절반으로</m:t>
          </m:r>
        </m:oMath>
      </m:oMathPara>
    </w:p>
    <w:p>
      <w:r>
        <w:t xml:space="preserve">(5) 예정사업비율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기준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적용사업비율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1.00%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P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기준연납순보험료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1배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1.50/1,000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G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4.50%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β′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1.00/1,000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수금비용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γ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2.50%</w:t>
            </w:r>
          </w:p>
        </w:tc>
      </w:tr>
    </w:tbl>
    <w:p/>
    <w:p>
      <w:pPr>
        <w:pStyle w:val="Heading2"/>
      </w:pPr>
      <w:r>
        <w:t xml:space="preserve">나. 보장 내용</w:t>
      </w:r>
    </w:p>
    <w:p>
      <w:pPr>
        <w:pStyle w:val="Note"/>
      </w:pPr>
      <w:r>
        <w:t xml:space="preserve">※ 유지자수 집단 2개 — 유지자(사망X, 뇌출혈X)(뇌출혈 진단), 유지자(사망X, 급성심근경색증X)(급성심근경색증 진단). 유지자수 l 은 집단마다, 납입자수 l′ 는 납입자(사망X, 뇌출혈X, 급성심근경색증X) 하나로 라. 에서 낸다. 보장금액은 보험가입금액 × 배수이고, 보험료·준비금은 보장금액 1원당으로 낸 뒤 맨 뒤에서 곱한다.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담보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뇌출혈 진단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급부 유형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보험기간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80세 만기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보장금액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가입금액의 1배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면책·삭감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없음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급부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뇌출혈 발생률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탈퇴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사망률 및 뇌출혈 발생률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집단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유지자(사망X, 뇌출혈X)</w:t>
            </w:r>
          </w:p>
        </w:tc>
      </w:tr>
    </w:tbl>
    <w:p/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담보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급성심근경색증 진단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급부 유형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보험기간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80세 만기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보장금액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가입금액의 1배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면책·삭감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없음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급부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급성심근경색증 발생률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탈퇴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사망률 및 급성심근경색증 발생률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집단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유지자(사망X, 급성심근경색증X)</w:t>
            </w:r>
          </w:p>
        </w:tc>
      </w:tr>
    </w:tbl>
    <w:p/>
    <w:p>
      <w:pPr>
        <w:pStyle w:val="Heading2"/>
      </w:pPr>
      <w:r>
        <w:t xml:space="preserve">다. 기호의 정의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뜻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x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피보험자의 가입나이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경과기간(년), 0 ≤ t &lt; n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n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보험기간(년)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m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납입기간(년)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k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납입주기별 계수 — 연 납입횟수 (연납 1, 6개월납 2, 3개월납 4, 월납 12)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i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적용이율 (가.(1))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v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현가율 = 1/(1+i)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l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t시점 생존자수 (기준 인원 </w:t>
            </w:r>
            <w:r>
              <w:t xml:space="preserve">l</w:t>
            </w:r>
            <w:r>
              <w:rPr>
                <w:vertAlign w:val="subscript"/>
              </w:rPr>
              <w:t xml:space="preserve">x</w:t>
            </w:r>
            <w:r>
              <w:t xml:space="preserve"> = 100,000) — 그 집단의 탈퇴 사유가 생기지 않은 사람 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l′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t시점 납입자수 (기준 인원 </w:t>
            </w:r>
            <w:r>
              <w:t xml:space="preserve">l′</w:t>
            </w:r>
            <w:r>
              <w:rPr>
                <w:vertAlign w:val="subscript"/>
              </w:rPr>
              <w:t xml:space="preserve">x</w:t>
            </w:r>
            <w:r>
              <w:t xml:space="preserve"> = 100,000) — 보험료(N*)에 쓰고 계약 전체에 하나다. 계약을 끝내는 탈퇴 사유와 납입면제 사유가 생기지 않은 사람 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유지자(사망X, 뇌출혈X)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l — 뇌출혈 진단 담보의 보험금 현가와 D·N 에 쓴다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유지자(사망X, 급성심근경색증X)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l — 급성심근경색증 진단 담보의 보험금 현가와 D·N 에 쓴다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납입자(사망X, 뇌출혈X, 급성심근경색증X)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l′ — 보험료(N*)에 쓴다 (뇌출혈 진단 · 급성심근경색증 진단)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d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t시점 지급자수 — 그 담보의 급부가 생긴 사람 수 (바. 의 C 식에 들어간다)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S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보장금액의 배수 — 면책·삭감(기간과 지급 비율)을 반영한다(바.). 보장금액 = 보험가입금액 × 담보의 배수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V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말 책임준비금 (보장금액 1원당, 2.)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W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말 해지환급금 (보장금액 1원당, 3.)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f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납입을 멈추게 하는 질병(납입면제 사유 등)의 발생률 — 납입자수 식 (라.)</w:t>
            </w:r>
          </w:p>
        </w:tc>
      </w:tr>
    </w:tbl>
    <w:p/>
    <w:p>
      <w:pPr>
        <w:pStyle w:val="Heading2"/>
      </w:pPr>
      <w:r>
        <w:t xml:space="preserve">라. 유지자수·납입자수</w:t>
      </w:r>
    </w:p>
    <w:p>
      <w:pPr>
        <w:pStyle w:val="FormulaLabel"/>
      </w:pPr>
      <w:r>
        <w:t xml:space="preserve">[식] 유지자수 — 유지자(사망X, 뇌출혈X)</w:t>
      </w:r>
    </w:p>
    <w:p>
      <w:pPr>
        <w:pStyle w:val="FormulaText"/>
      </w:pPr>
      <w:r>
        <w:t xml:space="preserve">q</w:t>
      </w:r>
      <w:r>
        <w:rPr>
          <w:vertAlign w:val="subscript"/>
        </w:rPr>
        <w:t xml:space="preserve">x</w:t>
      </w:r>
      <w:r>
        <w:t xml:space="preserve"> : 사망률</w:t>
      </w:r>
    </w:p>
    <w:p>
      <w:pPr>
        <w:pStyle w:val="FormulaText"/>
      </w:pPr>
      <w:r>
        <w:t xml:space="preserve">r</w:t>
      </w:r>
      <w:r>
        <w:rPr>
          <w:vertAlign w:val="subscript"/>
        </w:rPr>
        <w:t xml:space="preserve">x</w:t>
      </w:r>
      <w:r>
        <w:t xml:space="preserve"> : 뇌출혈 발생률</w:t>
      </w:r>
    </w:p>
    <w:p>
      <w:pPr>
        <w:pStyle w:val="FormulaText"/>
      </w:pPr>
      <w:r>
        <w:t xml:space="preserve">기준 인원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</m:oMath>
      </m:oMathPara>
    </w:p>
    <w:p>
      <w:pPr>
        <w:pStyle w:val="FormulaText"/>
      </w:pPr>
      <w:r>
        <w:t xml:space="preserve">탈퇴율 — 사망과는 겹치는 부분을 절반으로 보고, 1 을 넘지 않는다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유지자수 — 탈퇴 사유가 생긴 사람을 뺀다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뇌출혈 진단 담보가 이 유지자수를 쓴다. 사망·뇌출혈 이(가) 생기면 그 담보는 소멸(탈퇴)한다. 보험금의 현가와 유지자수의 현가 D·N(납입 후 유지비 · 책임준비금)은 이 l 을 쓴다.</w:t>
      </w:r>
    </w:p>
    <w:p>
      <w:pPr>
        <w:pStyle w:val="FormulaLabel"/>
      </w:pPr>
      <w:r>
        <w:t xml:space="preserve">[식] 유지자수 — 유지자(사망X, 급성심근경색증X)</w:t>
      </w:r>
    </w:p>
    <w:p>
      <w:pPr>
        <w:pStyle w:val="FormulaText"/>
      </w:pPr>
      <w:r>
        <w:t xml:space="preserve">q</w:t>
      </w:r>
      <w:r>
        <w:rPr>
          <w:vertAlign w:val="subscript"/>
        </w:rPr>
        <w:t xml:space="preserve">x</w:t>
      </w:r>
      <w:r>
        <w:t xml:space="preserve"> : 사망률</w:t>
      </w:r>
    </w:p>
    <w:p>
      <w:pPr>
        <w:pStyle w:val="FormulaText"/>
      </w:pPr>
      <w:r>
        <w:t xml:space="preserve">r</w:t>
      </w:r>
      <w:r>
        <w:rPr>
          <w:vertAlign w:val="subscript"/>
        </w:rPr>
        <w:t xml:space="preserve">x</w:t>
      </w:r>
      <w:r>
        <w:t xml:space="preserve"> : 급성심근경색증 발생률</w:t>
      </w:r>
    </w:p>
    <w:p>
      <w:pPr>
        <w:pStyle w:val="FormulaText"/>
      </w:pPr>
      <w:r>
        <w:t xml:space="preserve">기준 인원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</m:oMath>
      </m:oMathPara>
    </w:p>
    <w:p>
      <w:pPr>
        <w:pStyle w:val="FormulaText"/>
      </w:pPr>
      <w:r>
        <w:t xml:space="preserve">탈퇴율 — 사망과는 겹치는 부분을 절반으로 보고, 1 을 넘지 않는다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유지자수 — 탈퇴 사유가 생긴 사람을 뺀다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급성심근경색증 진단 담보가 이 유지자수를 쓴다. 사망·급성심근경색증 이(가) 생기면 그 담보는 소멸(탈퇴)한다. 보험금의 현가와 유지자수의 현가 D·N(납입 후 유지비 · 책임준비금)은 이 l 을 쓴다.</w:t>
      </w:r>
    </w:p>
    <w:p>
      <w:pPr>
        <w:pStyle w:val="FormulaLabel"/>
      </w:pPr>
      <w:r>
        <w:t xml:space="preserve">[식] 납입자수 — 납입자(사망X, 뇌출혈X, 급성심근경색증X)</w:t>
      </w:r>
    </w:p>
    <w:p>
      <w:pPr>
        <w:pStyle w:val="FormulaText"/>
      </w:pPr>
      <w:r>
        <w:t xml:space="preserve">q</w:t>
      </w:r>
      <w:r>
        <w:rPr>
          <w:vertAlign w:val="subscript"/>
        </w:rPr>
        <w:t xml:space="preserve">x</w:t>
      </w:r>
      <w:r>
        <w:t xml:space="preserve"> : 사망률</w:t>
      </w:r>
    </w:p>
    <w:p>
      <w:pPr>
        <w:pStyle w:val="FormulaText"/>
      </w:pPr>
      <w:r>
        <w:t xml:space="preserve">f</w:t>
      </w:r>
      <w:r>
        <w:rPr>
          <w:vertAlign w:val="superscript"/>
        </w:rPr>
        <w:t xml:space="preserve">(1)</w:t>
      </w:r>
      <w:r>
        <w:rPr>
          <w:vertAlign w:val="subscript"/>
        </w:rPr>
        <w:t xml:space="preserve">x</w:t>
      </w:r>
      <w:r>
        <w:t xml:space="preserve"> : 뇌출혈 발생률</w:t>
      </w:r>
    </w:p>
    <w:p>
      <w:pPr>
        <w:pStyle w:val="FormulaText"/>
      </w:pPr>
      <w:r>
        <w:t xml:space="preserve">f</w:t>
      </w:r>
      <w:r>
        <w:rPr>
          <w:vertAlign w:val="superscript"/>
        </w:rPr>
        <w:t xml:space="preserve">(2)</w:t>
      </w:r>
      <w:r>
        <w:rPr>
          <w:vertAlign w:val="subscript"/>
        </w:rPr>
        <w:t xml:space="preserve">x</w:t>
      </w:r>
      <w:r>
        <w:t xml:space="preserve"> : 급성심근경색증 발생률</w:t>
      </w:r>
    </w:p>
    <w:p>
      <w:pPr>
        <w:pStyle w:val="FormulaText"/>
      </w:pPr>
      <w:r>
        <w:t xml:space="preserve">기준 인원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</m:oMath>
      </m:oMathPara>
    </w:p>
    <w:p>
      <w:pPr>
        <w:pStyle w:val="FormulaText"/>
      </w:pPr>
      <w:r>
        <w:t xml:space="preserve">질병 발생률 — 납입을 멈추게 하는 질병끼리는 따로 생긴다고 보고 곱으로 결합한다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)·(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납입 탈퇴율 — 사망과는 겹치는 부분을 절반으로 보고, 1 을 넘지 않는다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납입자수 — 납입을 멈추게 하는 사유가 생긴 사람을 뺀다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보험료 계산에는 납입자수를 하나만 쓴다 — 계약을 끝내는 탈퇴 사유(사망 — 모든 담보에 공통), 납입면제 사유(뇌출혈·급성심근경색증)가 생긴 사람을 뺀다. 별도의 납입면제율을 곱하지 않는다. 질병끼리는 곱으로, 사망과는 겹치는 부분을 절반으로 결합한다.</w:t>
      </w:r>
    </w:p>
    <w:p>
      <w:pPr>
        <w:pStyle w:val="Heading2"/>
      </w:pPr>
      <w:r>
        <w:t xml:space="preserve">마. 계산기수 — 보험료</w:t>
      </w:r>
    </w:p>
    <w:p>
      <w:pPr>
        <w:pStyle w:val="FormulaLabel"/>
      </w:pPr>
      <w:r>
        <w:t xml:space="preserve">[식] 납입자수의 현가와 누계 (D′ · N′)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p>
          </m:sSup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≥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FormulaLabel"/>
      </w:pPr>
      <w:r>
        <w:t xml:space="preserve">[식] 연납 환산 납입기수 (N*)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· [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(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−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)/( 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·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)·(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]</m:t>
          </m:r>
        </m:oMath>
      </m:oMathPara>
    </w:p>
    <w:p>
      <w:pPr>
        <w:pStyle w:val="Note"/>
      </w:pPr>
      <w:r>
        <w:t xml:space="preserve">※ k 는 납입주기별 계수(연납 1, 6개월납 2, 3개월납 4, 월납 12)이다. 납입방법에 따라 N* 만 달라지고 보험금의 현가는 같다.</w:t>
      </w:r>
    </w:p>
    <w:p>
      <w:pPr>
        <w:pStyle w:val="Heading2"/>
      </w:pPr>
      <w:r>
        <w:t xml:space="preserve">바. 계산기수 — 보험금</w:t>
      </w:r>
    </w:p>
    <w:p>
      <w:pPr>
        <w:pStyle w:val="FormulaLabel"/>
      </w:pPr>
      <w:r>
        <w:t xml:space="preserve">[식] 유지자수의 현가와 누계 (D · N)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p>
          </m:sSup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≥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Note"/>
      </w:pPr>
      <w:r>
        <w:t xml:space="preserve">※ 담보마다 그 담보의 유지자수 l 로 낸다. 납입 후 유지비와 책임준비금(2.)이 N 을 쓴다.</w:t>
      </w:r>
    </w:p>
    <w:p>
      <w:pPr>
        <w:pStyle w:val="FormulaLabel"/>
      </w:pPr>
      <w:r>
        <w:t xml:space="preserve">[식] 보험금의 현가 — 뇌출혈 진단</w:t>
      </w:r>
    </w:p>
    <w:p>
      <w:pPr>
        <w:pStyle w:val="FormulaText"/>
      </w:pPr>
      <w:r>
        <w:t xml:space="preserve">보장금액의 배수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</m:oMath>
      </m:oMathPara>
    </w:p>
    <w:p>
      <w:pPr>
        <w:pStyle w:val="FormulaText"/>
      </w:pPr>
      <w:r>
        <w:t xml:space="preserve">급부 발생자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+½</m:t>
              </m:r>
            </m:sup>
          </m:sSup>
        </m:oMath>
      </m:oMathPara>
    </w:p>
    <w:p>
      <w:pPr>
        <w:pStyle w:val="FormulaText"/>
      </w:pPr>
      <w:r>
        <w:t xml:space="preserve">보험금 현가의 누계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=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−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FormulaText"/>
      </w:pPr>
      <w:r>
        <w:t xml:space="preserve">보험금 현가 (PVB) — 보장금액 1원당</w:t>
      </w:r>
    </w:p>
    <w:p>
      <w:pPr>
        <w:pStyle w:val="Formula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</m:oMath>
      </m:oMathPara>
    </w:p>
    <w:p>
      <w:pPr>
        <w:pStyle w:val="Note"/>
      </w:pPr>
      <w:r>
        <w:t xml:space="preserve">※ 보장금액 가입금액의 1배 · 80세 만기 · 면책·삭감 없음 · 유지자(사망X, 뇌출혈X). 진단 확정 시 지급하고 그 담보는 소멸한다.</w:t>
      </w:r>
    </w:p>
    <w:p>
      <w:pPr>
        <w:pStyle w:val="FormulaLabel"/>
      </w:pPr>
      <w:r>
        <w:t xml:space="preserve">[식] 보험금의 현가 — 급성심근경색증 진단</w:t>
      </w:r>
    </w:p>
    <w:p>
      <w:pPr>
        <w:pStyle w:val="FormulaText"/>
      </w:pPr>
      <w:r>
        <w:t xml:space="preserve">보장금액의 배수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</m:oMath>
      </m:oMathPara>
    </w:p>
    <w:p>
      <w:pPr>
        <w:pStyle w:val="FormulaText"/>
      </w:pPr>
      <w:r>
        <w:t xml:space="preserve">급부 발생자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+½</m:t>
              </m:r>
            </m:sup>
          </m:sSup>
        </m:oMath>
      </m:oMathPara>
    </w:p>
    <w:p>
      <w:pPr>
        <w:pStyle w:val="FormulaText"/>
      </w:pPr>
      <w:r>
        <w:t xml:space="preserve">보험금 현가의 누계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=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−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FormulaText"/>
      </w:pPr>
      <w:r>
        <w:t xml:space="preserve">보험금 현가 (PVB) — 보장금액 1원당</w:t>
      </w:r>
    </w:p>
    <w:p>
      <w:pPr>
        <w:pStyle w:val="Formula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</m:oMath>
      </m:oMathPara>
    </w:p>
    <w:p>
      <w:pPr>
        <w:pStyle w:val="Note"/>
      </w:pPr>
      <w:r>
        <w:t xml:space="preserve">※ 보장금액 가입금액의 1배 · 80세 만기 · 면책·삭감 없음 · 유지자(사망X, 급성심근경색증X). 진단 확정 시 지급하고 그 담보는 소멸한다.</w:t>
      </w:r>
    </w:p>
    <w:p>
      <w:pPr>
        <w:pStyle w:val="Heading2"/>
      </w:pPr>
      <w:r>
        <w:t xml:space="preserve">사. 순보험료 및 영업보험료</w:t>
      </w:r>
    </w:p>
    <w:p>
      <w:pPr>
        <w:pStyle w:val="FormulaLabel"/>
      </w:pPr>
      <w:r>
        <w:t xml:space="preserve">[식] 순보험료 (P)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</m:oMath>
      </m:oMathPara>
    </w:p>
    <w:p>
      <w:pPr>
        <w:pStyle w:val="Note"/>
      </w:pPr>
      <w:r>
        <w:t xml:space="preserve">※ 담보마다 그 담보의 보험금 현가 PVB 를 그 계약 단위의 N*(납입자수는 하나)로 나눈다. 보장금액 1원당이다.</w:t>
      </w:r>
    </w:p>
    <w:p>
      <w:pPr>
        <w:pStyle w:val="FormulaLabel"/>
      </w:pPr>
      <w:r>
        <w:t xml:space="preserve">[식] 기준연납순보험료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min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20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영업보험료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G</m:t>
          </m:r>
          <m:r>
            <w:rPr>
              <w:rFonts w:ascii="Cambria Math" w:hAnsi="Cambria Math"/>
              <w:sz w:val="24"/>
              <w:szCs w:val="24"/>
            </w:rPr>
            <m:t xml:space="preserve"> = [ </m:t>
          </m:r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+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] /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r>
            <w:rPr>
              <w:rFonts w:ascii="Cambria Math" w:hAnsi="Cambria Math"/>
              <w:sz w:val="24"/>
              <w:szCs w:val="24"/>
            </w:rPr>
            <m:t xml:space="preserve">γ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보장기간 n이 20년보다 짧으면 </w:t>
      </w:r>
      <w:r>
        <w:t xml:space="preserve">α</w:t>
      </w:r>
      <w:r>
        <w:rPr>
          <w:vertAlign w:val="subscript"/>
        </w:rPr>
        <w:t xml:space="preserve">P</w:t>
      </w:r>
      <w:r>
        <w:t xml:space="preserve">는 </w:t>
      </w:r>
      <w:r>
        <w:t xml:space="preserve">α</w:t>
      </w:r>
      <w:r>
        <w:rPr>
          <w:vertAlign w:val="subscript"/>
        </w:rPr>
        <w:t xml:space="preserve">P</w:t>
      </w:r>
      <w:r>
        <w:t xml:space="preserve"> × n/20으로 줄인다.</w:t>
      </w:r>
    </w:p>
    <w:p>
      <w:pPr>
        <w:pStyle w:val="FormulaLabel"/>
      </w:pPr>
      <w:r>
        <w:t xml:space="preserve">[식] 1원당 보험료의 반올림과 10만원당 보험료</w:t>
      </w:r>
    </w:p>
    <w:p>
      <w:pPr>
        <w:pStyle w:val="FormulaText"/>
      </w:pPr>
      <w:r>
        <w:t xml:space="preserve">1원당 영업보험료 — 소수 여섯째 자리까지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G</m:t>
          </m:r>
          <m:r>
            <w:rPr>
              <w:rFonts w:ascii="Cambria Math" w:hAnsi="Cambria Math"/>
              <w:sz w:val="24"/>
              <w:szCs w:val="24"/>
            </w:rPr>
            <m:t xml:space="preserve">₁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₆( </m:t>
          </m:r>
          <m:r>
            <w:rPr>
              <w:rFonts w:ascii="Cambria Math" w:hAnsi="Cambria Math"/>
              <w:sz w:val="24"/>
              <w:szCs w:val="24"/>
            </w:rPr>
            <m:t xml:space="preserve">G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10만원당 보험료 — 원 단위로 반올림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10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만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w:rPr>
              <w:rFonts w:ascii="Cambria Math" w:hAnsi="Cambria Math"/>
              <w:sz w:val="24"/>
              <w:szCs w:val="24"/>
            </w:rPr>
            <m:t xml:space="preserve">G</m:t>
          </m:r>
          <m:r>
            <w:rPr>
              <w:rFonts w:ascii="Cambria Math" w:hAnsi="Cambria Math"/>
              <w:sz w:val="24"/>
              <w:szCs w:val="24"/>
            </w:rPr>
            <m:t xml:space="preserve">₁ ×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담보 보험료 = 10만원당 보험료 × (보장금액 ÷ 100,000), 보장금액 = 보험가입금액 × 배수. 여러 담보는 담보 보험료를 더한다.</w:t>
      </w:r>
    </w:p>
    <w:p>
      <w:pPr>
        <w:pStyle w:val="Heading1"/>
      </w:pPr>
      <w:r>
        <w:t xml:space="preserve">2. 책임준비금의 계산에 관한 사항</w:t>
      </w:r>
    </w:p>
    <w:p>
      <w:pPr>
        <w:pStyle w:val="Note"/>
      </w:pPr>
      <w:r>
        <w:t xml:space="preserve">※ 회계연도말 보험료적립금은 적용기초율 적립금과 표준기초율 적립금 중 큰 금액으로 한다.</w:t>
      </w:r>
    </w:p>
    <w:p>
      <w:pPr>
        <w:pStyle w:val="Note"/>
      </w:pPr>
      <w:r>
        <w:t xml:space="preserve">※ 연중 보간은 하지 않고 연말 기준으로 산출한다.</w:t>
      </w:r>
    </w:p>
    <w:p>
      <w:pPr>
        <w:pStyle w:val="FormulaLabel"/>
      </w:pPr>
      <w:r>
        <w:t xml:space="preserve">[식] 준비금 산출용 순보험료</w:t>
      </w:r>
    </w:p>
    <w:p>
      <w:pPr>
        <w:pStyle w:val="FormulaText"/>
      </w:pPr>
      <w:r>
        <w:t xml:space="preserve">납입 후 유지비를 포함한 순보험료 — 납입기간의 납입자수 현가로 나눈다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(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)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연말 책임준비금</w:t>
      </w:r>
    </w:p>
    <w:p>
      <w:pPr>
        <w:pStyle w:val="FormulaText"/>
      </w:pPr>
      <w:r>
        <w:t xml:space="preserve">t 년도 말 책임준비금 (보장금액 1원당) — 장래 보험금의 현가와 장래 유지비의 현가에서 장래 순보험료의 현가를 뺀 것을 t 시점 유지자수의 현가로 나눈다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[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max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)·[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≤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] ] /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p>
      <w:pPr>
        <w:pStyle w:val="FormulaText"/>
      </w:pPr>
      <w:r>
        <w:t xml:space="preserve">10만원당 책임준비금 — 원 단위로 반올림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10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만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순보식에 납입 후 유지비 β′를 더한 형태. [t≤m] 은 납입기간 중이면 1, 아니면 0 이다. 표준준비금은 표준이율로 같은 식을 계산한다.</w:t>
      </w:r>
    </w:p>
    <w:p>
      <w:pPr>
        <w:pStyle w:val="Heading1"/>
      </w:pPr>
      <w:r>
        <w:t xml:space="preserve">3. 해지환급금의 계산에 관한 사항</w:t>
      </w:r>
    </w:p>
    <w:p>
      <w:pPr>
        <w:pStyle w:val="Note"/>
      </w:pPr>
      <w:r>
        <w:t xml:space="preserve">※ 해약공제는 납입기간과 7년 중 짧은 기간에 걸쳐 매년 균등하게 줄어든다.</w:t>
      </w:r>
    </w:p>
    <w:p>
      <w:pPr>
        <w:pStyle w:val="Note"/>
      </w:pPr>
      <w:r>
        <w:t xml:space="preserve">※ 해약공제 기준 신계약비는 적용기초율과 표준기초율로 구한 신계약비 중 작은 쪽으로 한다.</w:t>
      </w:r>
    </w:p>
    <w:p>
      <w:pPr>
        <w:pStyle w:val="FormulaLabel"/>
      </w:pPr>
      <w:r>
        <w:t xml:space="preserve">[식] 해약공제 기준 신계약비</w:t>
      </w:r>
    </w:p>
    <w:p>
      <w:pPr>
        <w:pStyle w:val="FormulaText"/>
      </w:pPr>
      <w:r>
        <w:t xml:space="preserve">적용기초율의 신계약비와 표준기초율의 신계약비 중 작은 쪽</w:t>
      </w:r>
    </w:p>
    <w:p>
      <w:pPr>
        <w:pStyle w:val="Formula"/>
      </w:pPr>
      <m:oMathPara>
        <m:oMathParaPr>
          <m:jc m:val="left"/>
        </m:oMathParaPr>
        <m:oMath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₅(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),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</w:t>
      </w:r>
      <w:r>
        <w:t xml:space="preserve">α</w:t>
      </w:r>
      <w:r>
        <w:rPr>
          <w:vertAlign w:val="superscript"/>
        </w:rPr>
        <w:t xml:space="preserve">표준</w:t>
      </w:r>
      <w:r>
        <w:t xml:space="preserve"> : 표준이율로 같은 식(</w:t>
      </w:r>
      <w:r>
        <w:t xml:space="preserve">P</w:t>
      </w:r>
      <w:r>
        <w:rPr>
          <w:vertAlign w:val="subscript"/>
        </w:rPr>
        <w:t xml:space="preserve">base</w:t>
      </w:r>
      <w:r>
        <w:t xml:space="preserve">)을 계산해 구한 신계약비. 영업보험료 G 에는 반올림 전 </w:t>
      </w:r>
      <w:r>
        <w:t xml:space="preserve">P</w:t>
      </w:r>
      <w:r>
        <w:rPr>
          <w:vertAlign w:val="subscript"/>
        </w:rPr>
        <w:t xml:space="preserve">base</w:t>
      </w:r>
      <w:r>
        <w:t xml:space="preserve"> 를 쓴다.</w:t>
      </w:r>
    </w:p>
    <w:p>
      <w:pPr>
        <w:pStyle w:val="FormulaLabel"/>
      </w:pPr>
      <w:r>
        <w:t xml:space="preserve">[식] 해약공제</w:t>
      </w:r>
    </w:p>
    <w:p>
      <w:pPr>
        <w:pStyle w:val="FormulaText"/>
      </w:pPr>
      <w:r>
        <w:t xml:space="preserve">납입기간과 7년 중 짧은 기간에 걸쳐 매년 균등하게 줄어든다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·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 − 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 /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</m:t>
          </m:r>
        </m:oMath>
      </m:oMathPara>
    </w:p>
    <w:p>
      <w:pPr>
        <w:pStyle w:val="FormulaLabel"/>
      </w:pPr>
      <w:r>
        <w:t xml:space="preserve">[식] 표준형 해지환급금</w:t>
      </w:r>
    </w:p>
    <w:p>
      <w:pPr>
        <w:pStyle w:val="FormulaText"/>
      </w:pPr>
      <w:r>
        <w:t xml:space="preserve">책임준비금에서 해약공제를 뺀 것 (0 미만이면 0)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</m:oMath>
      </m:oMathPara>
    </w:p>
    <w:p>
      <w:pPr>
        <w:pStyle w:val="FormulaLabel"/>
      </w:pPr>
      <w:r>
        <w:t xml:space="preserve">[식] 납입누계</w:t>
      </w:r>
    </w:p>
    <w:p>
      <w:pPr>
        <w:pStyle w:val="FormulaText"/>
      </w:pPr>
      <w:r>
        <w:t xml:space="preserve">t 년까지 낸 보험료 (보장금액 1원당)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) ×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w:rPr>
              <w:rFonts w:ascii="Cambria Math" w:hAnsi="Cambria Math"/>
              <w:sz w:val="24"/>
              <w:szCs w:val="24"/>
            </w:rPr>
            <m:t xml:space="preserve">G</m:t>
          </m:r>
        </m:oMath>
      </m:oMathPara>
    </w:p>
    <w:p>
      <w:pPr>
        <w:pStyle w:val="FormulaLabel"/>
      </w:pPr>
      <w:r>
        <w:t xml:space="preserve">[식] 환급률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환급률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/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sectPr>
      <w:pgSz w:w="11906" w:h="16838"/>
      <w:pgMar w:top="1020" w:right="1020" w:bottom="1020" w:left="102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 w:cs="Malgun Gothic"/>
        <w:sz w:val="24"/>
        <w:szCs w:val="24"/>
        <w:lang w:val="en-US" w:eastAsia="ko-KR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80"/>
      <w:pBdr>
        <w:bottom w:val="single" w:sz="12" w:space="4" w:color="1B2845"/>
      </w:pBdr>
    </w:pPr>
    <w:rPr>
      <w:b/>
      <w:sz w:val="36"/>
      <w:szCs w:val="36"/>
    </w:rPr>
  </w:style>
  <w:style w:type="paragraph" w:styleId="Heading1">
    <w:name w:val="heading 1"/>
    <w:basedOn w:val="Normal"/>
    <w:qFormat/>
    <w:pPr>
      <w:keepNext/>
      <w:spacing w:before="360" w:after="140"/>
      <w:outlineLvl w:val="0"/>
      <w:pBdr>
        <w:bottom w:val="single" w:sz="4" w:space="2" w:color="BBBBBB"/>
      </w:pBdr>
    </w:pPr>
    <w:rPr>
      <w:b/>
      <w:sz w:val="28"/>
      <w:szCs w:val="28"/>
    </w:rPr>
  </w:style>
  <w:style w:type="paragraph" w:styleId="Heading2">
    <w:name w:val="heading 2"/>
    <w:basedOn w:val="Normal"/>
    <w:qFormat/>
    <w:pPr>
      <w:keepNext/>
      <w:spacing w:before="240" w:after="100"/>
      <w:outlineLvl w:val="1"/>
    </w:pPr>
    <w:rPr>
      <w:b/>
      <w:sz w:val="28"/>
      <w:szCs w:val="28"/>
    </w:rPr>
  </w:style>
  <w:style w:type="paragraph" w:styleId="FormulaLabel">
    <w:name w:val="수식 제목"/>
    <w:basedOn w:val="Normal"/>
    <w:qFormat/>
    <w:pPr>
      <w:keepNext/>
      <w:spacing w:before="200" w:after="60"/>
    </w:pPr>
    <w:rPr>
      <w:b/>
      <w:color w:val="1B2845"/>
      <w:sz w:val="24"/>
      <w:szCs w:val="24"/>
    </w:rPr>
  </w:style>
  <w:style w:type="paragraph" w:styleId="Formula">
    <w:name w:val="수식"/>
    <w:basedOn w:val="Normal"/>
    <w:qFormat/>
    <w:pPr>
      <w:spacing w:before="0" w:after="0" w:line="360" w:lineRule="auto"/>
      <w:ind w:left="567"/>
    </w:pPr>
    <w:rPr>
      <w:sz w:val="24"/>
      <w:szCs w:val="24"/>
    </w:rPr>
  </w:style>
  <w:style w:type="paragraph" w:styleId="FormulaText">
    <w:name w:val="수식 설명"/>
    <w:basedOn w:val="Normal"/>
    <w:qFormat/>
    <w:pPr>
      <w:keepNext/>
      <w:spacing w:before="80" w:after="0" w:line="360" w:lineRule="auto"/>
      <w:ind w:left="567"/>
    </w:pPr>
    <w:rPr>
      <w:color w:val="333333"/>
      <w:sz w:val="24"/>
      <w:szCs w:val="24"/>
    </w:rPr>
  </w:style>
  <w:style w:type="paragraph" w:styleId="Note">
    <w:name w:val="주석"/>
    <w:basedOn w:val="Normal"/>
    <w:qFormat/>
    <w:pPr>
      <w:spacing w:before="80" w:after="140"/>
      <w:ind w:left="567"/>
    </w:pPr>
    <w:rPr>
      <w:color w:val="444444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