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v6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모든 담보에 공통인 탈퇴 사유로만 준다(유지자수·납입자수).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80% 이상 장해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쓴다.</w:t>
      </w:r>
    </w:p>
    <w:p>
      <w:pPr>
        <w:pStyle w:val="FormulaLabel"/>
      </w:pPr>
      <w:r>
        <w:t xml:space="preserve">[식] 납입자수 — 납입자(사망X,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</w:tbl>
    <w:p/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