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2대질병 진단보험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v6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2대질병 진단보험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5천만원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뇌출혈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뇌출혈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ra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납입면제 사유는 뇌출혈 발생률 · 급성심근경색증 발생률 이다. 보장은 그대로 두고 남은 보험료만 면제하므로 납입자수 l′ 에서만 뺀다(유지자수·납입자수).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뇌출혈 발생률 · 급성심근경색증 발생률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그 집단의 탈퇴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(기준 인원 </w:t>
            </w:r>
            <w:r>
              <w:t xml:space="preserve">l′</w:t>
            </w:r>
            <w:r>
              <w:rPr>
                <w:vertAlign w:val="subscript"/>
              </w:rPr>
              <w:t xml:space="preserve">x</w:t>
            </w:r>
            <w:r>
              <w:t xml:space="preserve"> = 100,000) — 탈퇴·납입면제 사유가 생기지 않은 사람 수. 보험료(N*)에 쓰고 계약 전체에 하나다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면책·삭감을 반영한다.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f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납입을 멈추게 하는 질병(납입면제 사유 등)의 발생률 — 납입자수 식</w:t>
            </w:r>
          </w:p>
        </w:tc>
      </w:tr>
    </w:tbl>
    <w:p/>
    <w:p>
      <w:pPr>
        <w:pStyle w:val="Heading2"/>
      </w:pPr>
      <w:r>
        <w:t xml:space="preserve">다. 유지자수·납입자수</w:t>
      </w:r>
    </w:p>
    <w:p>
      <w:pPr>
        <w:pStyle w:val="FormulaLabel"/>
      </w:pPr>
      <w:r>
        <w:t xml:space="preserve">[식] 유지자수 — 유지자(사망X, 뇌출혈X)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뇌출혈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뇌출혈 진단 담보가 쓴다.</w:t>
      </w:r>
    </w:p>
    <w:p>
      <w:pPr>
        <w:pStyle w:val="FormulaLabel"/>
      </w:pPr>
      <w:r>
        <w:t xml:space="preserve">[식] 유지자수 — 유지자(사망X, 급성심근경색증X)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급성심근경색증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급성심근경색증 진단 담보가 쓴다.</w:t>
      </w:r>
    </w:p>
    <w:p>
      <w:pPr>
        <w:pStyle w:val="FormulaLabel"/>
      </w:pPr>
      <w:r>
        <w:t xml:space="preserve">[식] 납입자수 — 납입자(사망X, 뇌출혈X, 급성심근경색증X)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f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: 뇌출혈 발생률</w:t>
      </w:r>
    </w:p>
    <w:p>
      <w:pPr>
        <w:pStyle w:val="FormulaText"/>
      </w:pPr>
      <w:r>
        <w:t xml:space="preserve">f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: 급성심근경색증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질병 발생률 — 납입을 멈추게 하는 질병끼리는 따로 생긴다고 보고 곱으로 결합한다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 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납입을 멈추게 하는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보험료(N*)에만 쓰고 계약 전체에 하나다 — 별도의 납입면제율을 곱하지 않는다.</w:t>
      </w:r>
    </w:p>
    <w:p>
      <w:pPr>
        <w:pStyle w:val="Heading2"/>
      </w:pPr>
      <w:r>
        <w:t xml:space="preserve">라.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마.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담보의 유지자수 l 로 낸다. 납입 후 유지비와 책임준비금(2.)이 N 을 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뇌출혈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80세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뇌출혈 발생률</w:t>
            </w:r>
          </w:p>
        </w:tc>
      </w:tr>
    </w:tbl>
    <w:p/>
    <w:p>
      <w:pPr>
        <w:pStyle w:val="FormulaLabel"/>
      </w:pPr>
      <w:r>
        <w:t xml:space="preserve">[식] 보험금의 현가 — 뇌출혈 진단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진단 확정 시 지급하고 그 담보는 소멸한다.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급성심근경색증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80세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급성심근경색증 발생률</w:t>
            </w:r>
          </w:p>
        </w:tc>
      </w:tr>
    </w:tbl>
    <w:p/>
    <w:p>
      <w:pPr>
        <w:pStyle w:val="FormulaLabel"/>
      </w:pPr>
      <w:r>
        <w:t xml:space="preserve">[식] 보험금의 현가 — 급성심근경색증 진단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진단 확정 시 지급하고 그 담보는 소멸한다.</w:t>
      </w:r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N*(납입자수는 하나)로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