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맑은 고딕" w:hAnsi="맑은 고딕"/>
          <w:b/>
          <w:color w:val="1E3A8A"/>
          <w:sz w:val="34"/>
        </w:rPr>
        <w:t>문화창업플래너 자격시험: 1과목: 문화콘텐츠 창업의 이해</w:t>
      </w:r>
    </w:p>
    <w:p>
      <w:pPr>
        <w:spacing w:after="240"/>
      </w:pPr>
      <w:r>
        <w:rPr>
          <w:rFonts w:ascii="맑은 고딕" w:hAnsi="맑은 고딕"/>
          <w:color w:val="475569"/>
          <w:sz w:val="20"/>
        </w:rPr>
        <w:t>출제위원 직강 녹음 및 강의교재 핵심 포인트 완벽 반영 (기출예상 20선)</w:t>
      </w:r>
    </w:p>
    <w:tbl>
      <w:tblPr>
        <w:tblW w:type="auto" w:w="0"/>
        <w:jc w:val="center"/>
        <w:tblLook w:firstColumn="1" w:firstRow="1" w:lastColumn="0" w:lastRow="0" w:noHBand="0" w:noVBand="1" w:val="04A0"/>
      </w:tblPr>
      <w:tblGrid>
        <w:gridCol w:w="9792"/>
      </w:tblGrid>
      <w:tr>
        <w:tc>
          <w:tcPr>
            <w:tcW w:type="dxa" w:w="9792"/>
            <w:shd w:fill="F1F5F9"/>
            <w:tcBorders>
              <w:top w:val="single" w:sz="6" w:space="0" w:color="CBD5E1"/>
              <w:left w:val="single" w:sz="12" w:space="0" w:color="1E3A8A"/>
              <w:bottom w:val="single" w:sz="6" w:space="0" w:color="CBD5E1"/>
              <w:right w:val="single" w:sz="6" w:space="0" w:color="CBD5E1"/>
            </w:tcBorders>
            <w:tcMar>
              <w:top w:w="140" w:type="dxa"/>
              <w:bottom w:w="140" w:type="dxa"/>
              <w:left w:w="180" w:type="dxa"/>
              <w:right w:w="180" w:type="dxa"/>
            </w:tcMar>
          </w:tcPr>
          <w:p>
            <w:pPr>
              <w:spacing w:line="300" w:lineRule="auto" w:after="40"/>
            </w:pPr>
            <w:r>
              <w:rPr>
                <w:rFonts w:ascii="맑은 고딕" w:hAnsi="맑은 고딕"/>
                <w:b/>
                <w:color w:val="1E293B"/>
                <w:sz w:val="19"/>
              </w:rPr>
              <w:t xml:space="preserve">• 출제 및 강의: </w:t>
            </w:r>
            <w:r>
              <w:rPr>
                <w:rFonts w:ascii="맑은 고딕" w:hAnsi="맑은 고딕"/>
                <w:color w:val="475569"/>
                <w:sz w:val="19"/>
              </w:rPr>
              <w:t>백상훈 대표 (코어피칭연구소 / 2N Interactive C-level)</w:t>
              <w:br/>
            </w:r>
            <w:r>
              <w:rPr>
                <w:rFonts w:ascii="맑은 고딕" w:hAnsi="맑은 고딕"/>
                <w:b/>
                <w:color w:val="1E293B"/>
                <w:sz w:val="19"/>
              </w:rPr>
              <w:t xml:space="preserve">• 합격 기준: </w:t>
            </w:r>
            <w:r>
              <w:rPr>
                <w:rFonts w:ascii="맑은 고딕" w:hAnsi="맑은 고딕"/>
                <w:color w:val="475569"/>
                <w:sz w:val="19"/>
              </w:rPr>
              <w:t>과목당 40점 이상(40점 미만 과락 탈락), 전과목 평균 60점 이상 합격</w:t>
              <w:br/>
            </w:r>
            <w:r>
              <w:rPr>
                <w:rFonts w:ascii="맑은 고딕" w:hAnsi="맑은 고딕"/>
                <w:b/>
                <w:color w:val="1E293B"/>
                <w:sz w:val="19"/>
              </w:rPr>
              <w:t xml:space="preserve">• 출제 핵심 포인트: </w:t>
            </w:r>
            <w:r>
              <w:rPr>
                <w:rFonts w:ascii="맑은 고딕" w:hAnsi="맑은 고딕"/>
                <w:color w:val="475569"/>
                <w:sz w:val="19"/>
              </w:rPr>
              <w:t>서비스 3대 특성(소멸성·무형성·이질성) 극복 기제, 컨셉(장르+코드), 보글러 12단계 서사 구조, 이원화된 법률 체계</w:t>
            </w:r>
          </w:p>
        </w:tc>
      </w:tr>
    </w:tbl>
    <w:p>
      <w:pPr>
        <w:spacing w:before="160" w:after="80"/>
      </w:pPr>
    </w:p>
    <w:p>
      <w:pPr>
        <w:spacing w:before="280" w:after="120" w:line="300" w:lineRule="auto"/>
      </w:pPr>
      <w:r>
        <w:rPr>
          <w:rFonts w:ascii="맑은 고딕" w:hAnsi="맑은 고딕"/>
          <w:b/>
          <w:color w:val="1E3A8A"/>
          <w:sz w:val="22"/>
        </w:rPr>
        <w:t xml:space="preserve">[문항 01] </w:t>
      </w:r>
      <w:r>
        <w:rPr>
          <w:rFonts w:ascii="맑은 고딕" w:hAnsi="맑은 고딕"/>
          <w:b/>
          <w:color w:val="0F172A"/>
          <w:sz w:val="21"/>
        </w:rPr>
        <w:t>문화콘텐츠 산업은 제조업과 달리 서비스업의 본질적인 특성을 공유한다. 다음 중 문화콘텐츠의 3대 서비스적 특성과 그에 대한 설명으로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소멸성(Perishability): 창작자의 역량과 숙련도에 따라 동일한 작품이라도 매번 품질 편차가 크게 나타나는 특성을 말한다.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무형성(Intangibility): 공연이나 축제처럼 생산과 소비가 동시에 일어나 사전에 저장하거나 재고로 보관할 수 없는 특성을 말한다.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이질성(Heterogeneity): 소비자가 실제로 경험하기 전까지는 작품의 가치나 효용을 정확하게 알 수 없는 '경험재(Experience Good)'의 특성을 말한다.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소멸성(Perishability): 생산과 동시에 소비되어 시간의 경과와 함께 경험과 감동이 사라지므로, 지속적인 부가가치 창출을 위해 재가공 및 다채널 유통 창구화가 요구되는 특성을 말한다.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④번</w:t>
              <w:br/>
            </w:r>
            <w:r>
              <w:rPr>
                <w:rFonts w:ascii="맑은 고딕" w:hAnsi="맑은 고딕"/>
                <w:b/>
                <w:color w:val="D97706"/>
                <w:sz w:val="18"/>
              </w:rPr>
              <w:t xml:space="preserve">【강사 출제 힌트】 </w:t>
            </w:r>
            <w:r>
              <w:rPr>
                <w:rFonts w:ascii="맑은 고딕" w:hAnsi="맑은 고딕"/>
                <w:color w:val="92400E"/>
                <w:sz w:val="18"/>
              </w:rPr>
              <w:t>강사 발언 (03:20, 1:36:07): '제가 강조하는 서비스업 3대 특성을 운영하는 문제는 시험에 꼭 나옵니다.'</w:t>
              <w:br/>
            </w:r>
            <w:r>
              <w:rPr>
                <w:rFonts w:ascii="맑은 고딕" w:hAnsi="맑은 고딕"/>
                <w:b/>
                <w:color w:val="1E293B"/>
                <w:sz w:val="18"/>
              </w:rPr>
              <w:t xml:space="preserve">【상세 해설】 </w:t>
            </w:r>
            <w:r>
              <w:rPr>
                <w:rFonts w:ascii="맑은 고딕" w:hAnsi="맑은 고딕"/>
                <w:color w:val="475569"/>
                <w:sz w:val="18"/>
              </w:rPr>
              <w:t>①은 이질성, ②는 소멸성, ③은 무형성에 대한 설명입니다. ④ 소멸성은 생산과 동시에 소비되어 재고 저장이 불가능한 특성이며, 이를 극복하기 위해 원천 IP화, 윈도우 효과(홀드백), OSMU, 트랜스미디어 등이 산업적으로 고안되었습니다.</w:t>
            </w:r>
          </w:p>
        </w:tc>
      </w:tr>
    </w:tbl>
    <w:p>
      <w:pPr>
        <w:spacing w:before="280" w:after="120" w:line="300" w:lineRule="auto"/>
      </w:pPr>
      <w:r>
        <w:rPr>
          <w:rFonts w:ascii="맑은 고딕" w:hAnsi="맑은 고딕"/>
          <w:b/>
          <w:color w:val="1E3A8A"/>
          <w:sz w:val="22"/>
        </w:rPr>
        <w:t xml:space="preserve">[문항 02] </w:t>
      </w:r>
      <w:r>
        <w:rPr>
          <w:rFonts w:ascii="맑은 고딕" w:hAnsi="맑은 고딕"/>
          <w:b/>
          <w:color w:val="0F172A"/>
          <w:sz w:val="21"/>
        </w:rPr>
        <w:t>문화콘텐츠의 '소멸성(Perishability)'을 극복하고 지속적인 경제적 부가가치를 창출하기 위한 산업적 메커니즘으로 가장 적절하지 않은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영화의 개봉 이후 2차, 3차 유통 창구를 시간차를 두고 순차적으로 개방하는 윈도우 효과(Window Effect)를 설계한다.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넷플릭스 등 OTT 플랫폼과 극장이 협의 없이 동시에 신작을 전 세계에 개봉하여 상영 기간을 대폭 단축한다.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일회성 오프라인 라이브 공연 실황을 고화질 영상 콘텐츠 및 음원으로 재가공하여 디지털 플랫폼에 서비스한다.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검증된 단일 원천 IP를 웹툰, 드라마, 캐릭터 굿즈 등 다양한 매체로 순차 확장하는 OSMU 전략을 실행한다.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극장과 OTT 동시 개봉(옥자 사태)은 전통적인 홀드백 관행을 파괴하는 방식입니다.</w:t>
              <w:br/>
            </w:r>
            <w:r>
              <w:rPr>
                <w:rFonts w:ascii="맑은 고딕" w:hAnsi="맑은 고딕"/>
                <w:b/>
                <w:color w:val="1E293B"/>
                <w:sz w:val="18"/>
              </w:rPr>
              <w:t xml:space="preserve">【상세 해설】 </w:t>
            </w:r>
            <w:r>
              <w:rPr>
                <w:rFonts w:ascii="맑은 고딕" w:hAnsi="맑은 고딕"/>
                <w:color w:val="475569"/>
                <w:sz w:val="18"/>
              </w:rPr>
              <w:t>②처럼 극장과 OTT의 무협의 동시 개봉 및 상영 기간 단축은 전통적 윈도우 효과 관행을 파괴하는 방식(봉준호 감독의 〈옥자〉 사태)이며, 소멸성 극복 기제가 아니라 유통 플랫폼 간 갈등 요인에 해당합니다.</w:t>
            </w:r>
          </w:p>
        </w:tc>
      </w:tr>
    </w:tbl>
    <w:p>
      <w:pPr>
        <w:spacing w:before="280" w:after="120" w:line="300" w:lineRule="auto"/>
      </w:pPr>
      <w:r>
        <w:rPr>
          <w:rFonts w:ascii="맑은 고딕" w:hAnsi="맑은 고딕"/>
          <w:b/>
          <w:color w:val="1E3A8A"/>
          <w:sz w:val="22"/>
        </w:rPr>
        <w:t xml:space="preserve">[문항 03] </w:t>
      </w:r>
      <w:r>
        <w:rPr>
          <w:rFonts w:ascii="맑은 고딕" w:hAnsi="맑은 고딕"/>
          <w:b/>
          <w:color w:val="0F172A"/>
          <w:sz w:val="21"/>
        </w:rPr>
        <w:t>문화콘텐츠 산업에서 오랜 관행으로 정착된 '윈도우 효과(Window Effect)'와 '홀드백(Holdback)'에 대한 설명으로 가장 적절한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콘텐츠가 생산되자마자 모든 미디어 플랫폼에 무료로 동시에 배포하여 확산 속도를 극대화하는 전략이다.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소비자가 사전에 품질을 예측할 수 없으므로 유명 배우나 감독을 내세워 초기에 관객을 유인하는 제도이다.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한 번 제작된 콘텐츠의 소멸성을 극복하기 위해 극장 개봉 후 IPTV/VOD, OTT, TV 방영 등 시간적 간격을 두고 순차적으로 유통 창구를 여는 산업적 장치이다.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제작진의 역량 차이로 발생하는 품질 불균형을 해소하기 위해 헐리우드 3막 12단계 서사 구조를 강제하는 규약이다.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③번</w:t>
              <w:br/>
            </w:r>
            <w:r>
              <w:rPr>
                <w:rFonts w:ascii="맑은 고딕" w:hAnsi="맑은 고딕"/>
                <w:b/>
                <w:color w:val="D97706"/>
                <w:sz w:val="18"/>
              </w:rPr>
              <w:t xml:space="preserve">【강사 출제 힌트】 </w:t>
            </w:r>
            <w:r>
              <w:rPr>
                <w:rFonts w:ascii="맑은 고딕" w:hAnsi="맑은 고딕"/>
                <w:color w:val="92400E"/>
                <w:sz w:val="18"/>
              </w:rPr>
              <w:t>강사 발언 (32:05): '오펜하이머나 명절 특선 영화처럼 시간차를 두는 것은 콘텐츠 소멸성을 극복하여 지속적인 수익을 회수하기 위해 설계된 것입니다.'</w:t>
              <w:br/>
            </w:r>
            <w:r>
              <w:rPr>
                <w:rFonts w:ascii="맑은 고딕" w:hAnsi="맑은 고딕"/>
                <w:b/>
                <w:color w:val="1E293B"/>
                <w:sz w:val="18"/>
              </w:rPr>
              <w:t xml:space="preserve">【상세 해설】 </w:t>
            </w:r>
            <w:r>
              <w:rPr>
                <w:rFonts w:ascii="맑은 고딕" w:hAnsi="맑은 고딕"/>
                <w:color w:val="475569"/>
                <w:sz w:val="18"/>
              </w:rPr>
              <w:t>홀드백(Holdback)은 극장 상영 후 VOD, 넷플릭스, 지상파 TV 등으로 순차적인 시간차 유통 창구를 열어 콘텐츠 소멸성을 극복하고 누적 수익을 극대화하는 산업적 장치입니다.</w:t>
            </w:r>
          </w:p>
        </w:tc>
      </w:tr>
    </w:tbl>
    <w:p>
      <w:pPr>
        <w:spacing w:before="280" w:after="120" w:line="300" w:lineRule="auto"/>
      </w:pPr>
      <w:r>
        <w:rPr>
          <w:rFonts w:ascii="맑은 고딕" w:hAnsi="맑은 고딕"/>
          <w:b/>
          <w:color w:val="1E3A8A"/>
          <w:sz w:val="22"/>
        </w:rPr>
        <w:t xml:space="preserve">[문항 04] </w:t>
      </w:r>
      <w:r>
        <w:rPr>
          <w:rFonts w:ascii="맑은 고딕" w:hAnsi="맑은 고딕"/>
          <w:b/>
          <w:color w:val="0F172A"/>
          <w:sz w:val="21"/>
        </w:rPr>
        <w:t>문화콘텐츠는 직접 소비해보기 전까지는 품질과 재미를 확신할 수 없는 '경험재(Experience Good)'로서 극심한 '무형성(Intangibility)'을 지닌다. 다음 중 문화콘텐츠 기업이 이러한 무형성 리스크를 완화하기 위해 취하는 대응 방안으로 가장 거리가 먼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인지도가 높고 흥행 보증력이 검증된 톱스타 배우나 글로벌 팬덤을 보유한 K-pop 아이돌을 전면에 기용한다(스타 시스템).</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대중에게 친숙한 문법과 기대 심리를 사전에 제공하는 명확한 장르(Genre)를 표방하여 소비자의 예측 가능성을 높인다.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이미 대중적으로 대성공을 거두며 검증된 전작 IP의 후속작(시즌제) 또는 리메이크 작품을 기획한다.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제작 과정에서 발생하는 원가를 절감하기 위해 인건비가 저렴한 신인 무명 창작자들로만 전체 제작진을 구성한다.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④번</w:t>
              <w:br/>
            </w:r>
            <w:r>
              <w:rPr>
                <w:rFonts w:ascii="맑은 고딕" w:hAnsi="맑은 고딕"/>
                <w:b/>
                <w:color w:val="D97706"/>
                <w:sz w:val="18"/>
              </w:rPr>
              <w:t xml:space="preserve">【강사 출제 힌트】 </w:t>
            </w:r>
            <w:r>
              <w:rPr>
                <w:rFonts w:ascii="맑은 고딕" w:hAnsi="맑은 고딕"/>
                <w:color w:val="92400E"/>
                <w:sz w:val="18"/>
              </w:rPr>
              <w:t>무형성은 '경험 전에는 알 수 없다'는 불안감이므로, 이를 낮추기 위한 신뢰 장치가 필요합니다.</w:t>
              <w:br/>
            </w:r>
            <w:r>
              <w:rPr>
                <w:rFonts w:ascii="맑은 고딕" w:hAnsi="맑은 고딕"/>
                <w:b/>
                <w:color w:val="1E293B"/>
                <w:sz w:val="18"/>
              </w:rPr>
              <w:t xml:space="preserve">【상세 해설】 </w:t>
            </w:r>
            <w:r>
              <w:rPr>
                <w:rFonts w:ascii="맑은 고딕" w:hAnsi="맑은 고딕"/>
                <w:color w:val="475569"/>
                <w:sz w:val="18"/>
              </w:rPr>
              <w:t>신인 무명 창작자들로만 전체 제작진을 구성하는 것은 무형성으로 인한 소비자의 탐색 비용과 위험 회피 심리를 오히려 가중시킵니다.</w:t>
            </w:r>
          </w:p>
        </w:tc>
      </w:tr>
    </w:tbl>
    <w:p>
      <w:pPr>
        <w:spacing w:before="280" w:after="120" w:line="300" w:lineRule="auto"/>
      </w:pPr>
      <w:r>
        <w:rPr>
          <w:rFonts w:ascii="맑은 고딕" w:hAnsi="맑은 고딕"/>
          <w:b/>
          <w:color w:val="1E3A8A"/>
          <w:sz w:val="22"/>
        </w:rPr>
        <w:t xml:space="preserve">[문항 05] </w:t>
      </w:r>
      <w:r>
        <w:rPr>
          <w:rFonts w:ascii="맑은 고딕" w:hAnsi="맑은 고딕"/>
          <w:b/>
          <w:color w:val="0F172A"/>
          <w:sz w:val="21"/>
        </w:rPr>
        <w:t>문화콘텐츠는 참여하는 연출자, 작가, 배우의 컨디션이나 숙련도에 따라 산출물의 퀄리티 편차가 매우 심한 '이질성(Heterogeneity)'을 띤다. 산업적 관점에서 이러한 이질성을 통제하고 예측 가능한 품질을 확보하기 위해 고안된 핵심 기제로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사전 사후 관람 평점 조작 시스템</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장르(Genre)의 규격화와 12단계 영웅의 여정 등 표준화된 스토리텔링 서사 구조</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개봉 초기 스크린 독과점을 통한 단기 손익분기점 달성 전략</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원작의 판권을 해외 제작사에 조기 매각하는 엑시트 전략</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강사 발언 (30:16): '누가 만드느냐에 따라 뒤죽박죽일 수 없으므로, 산업적 관점에서 통제하기 위해 나온 것이 장르와 보글러 12단계 서사 구조입니다.'</w:t>
              <w:br/>
            </w:r>
            <w:r>
              <w:rPr>
                <w:rFonts w:ascii="맑은 고딕" w:hAnsi="맑은 고딕"/>
                <w:b/>
                <w:color w:val="1E293B"/>
                <w:sz w:val="18"/>
              </w:rPr>
              <w:t xml:space="preserve">【상세 해설】 </w:t>
            </w:r>
            <w:r>
              <w:rPr>
                <w:rFonts w:ascii="맑은 고딕" w:hAnsi="맑은 고딕"/>
                <w:color w:val="475569"/>
                <w:sz w:val="18"/>
              </w:rPr>
              <w:t>창작자에 따른 품질 편차(이질성)를 제어하고 대중적 몰입과 상업적 성공을 예측 가능하게 만들기 위해 고안된 것이 장르화와 표준화된 스토리텔링 서사 구조입니다.</w:t>
            </w:r>
          </w:p>
        </w:tc>
      </w:tr>
    </w:tbl>
    <w:p>
      <w:pPr>
        <w:spacing w:before="280" w:after="120" w:line="300" w:lineRule="auto"/>
      </w:pPr>
      <w:r>
        <w:rPr>
          <w:rFonts w:ascii="맑은 고딕" w:hAnsi="맑은 고딕"/>
          <w:b/>
          <w:color w:val="1E3A8A"/>
          <w:sz w:val="22"/>
        </w:rPr>
        <w:t xml:space="preserve">[문항 06] </w:t>
      </w:r>
      <w:r>
        <w:rPr>
          <w:rFonts w:ascii="맑은 고딕" w:hAnsi="맑은 고딕"/>
          <w:b/>
          <w:color w:val="0F172A"/>
          <w:sz w:val="21"/>
        </w:rPr>
        <w:t>다음 &lt;보기&gt;의 문화콘텐츠 산업 현상과 그에 대응하는 서비스 극복 특성을 올바르게 짝지은 것은?</w:t>
        <w:br/>
        <w:br/>
        <w:t>(가) 뮤지컬 제작사가 동일한 배역의 낮 공연에는 신인 배우를, 저녁 메인 공연에는 티켓 파워가 막강한 유명 아이돌 가수를 교차 배치하였다.</w:t>
        <w:br/>
        <w:t>(나) 마블 엔터테인먼트는 마블 시네마틱 유니버스(MCU)를 구축하여 영화 개봉에 맞춰 과거 작품의 재시청(복습 효과)을 유도하였다.</w:t>
        <w:br/>
        <w:t>(다) 헐리우드 스튜디오는 시나리오 작가들에게 조셉 캠벨의 신화 원형을 압축한 크리스토퍼 보글러의 3막 12단계 서사 템플릿을 준수하도록 요구한다.</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(가) 소멸성 극복 — (나) 무형성 극복 — (다) 이질성 극복</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(가) 무형성 극복 — (나) 소멸성 극복 — (다) 이질성 극복</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(가) 이질성 극복 — (나) 소멸성 극복 — (다) 무형성 극복</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(가) 무형성 극복 — (나) 이질성 극복 — (다) 소멸성 극복</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스타 시스템 = 무형성 극복, 복습/세계관 = 소멸성 극복, 서사 구조 = 이질성 극복</w:t>
              <w:br/>
            </w:r>
            <w:r>
              <w:rPr>
                <w:rFonts w:ascii="맑은 고딕" w:hAnsi="맑은 고딕"/>
                <w:b/>
                <w:color w:val="1E293B"/>
                <w:sz w:val="18"/>
              </w:rPr>
              <w:t xml:space="preserve">【상세 해설】 </w:t>
            </w:r>
            <w:r>
              <w:rPr>
                <w:rFonts w:ascii="맑은 고딕" w:hAnsi="맑은 고딕"/>
                <w:color w:val="475569"/>
                <w:sz w:val="18"/>
              </w:rPr>
              <w:t>(가) 관람 전 품질을 알 수 없는 무형성 극복(스타 시스템), (나) 한 번 보고 사라지는 소멸성 극복(트랜스미디어 복습 효과), (다) 작품 품질 편차를 제어하는 이질성 극복(12단계 서사 구조)입니다.</w:t>
            </w:r>
          </w:p>
        </w:tc>
      </w:tr>
    </w:tbl>
    <w:p>
      <w:pPr>
        <w:spacing w:before="280" w:after="120" w:line="300" w:lineRule="auto"/>
      </w:pPr>
      <w:r>
        <w:rPr>
          <w:rFonts w:ascii="맑은 고딕" w:hAnsi="맑은 고딕"/>
          <w:b/>
          <w:color w:val="1E3A8A"/>
          <w:sz w:val="22"/>
        </w:rPr>
        <w:t xml:space="preserve">[문항 07] </w:t>
      </w:r>
      <w:r>
        <w:rPr>
          <w:rFonts w:ascii="맑은 고딕" w:hAnsi="맑은 고딕"/>
          <w:b/>
          <w:color w:val="0F172A"/>
          <w:sz w:val="21"/>
        </w:rPr>
        <w:t>강사가 강조한 '기획의 10가지 법칙' 중 두 번째 단계이자, 일반 사업 기획 및 문화콘텐츠 기획 모두에서 가장 최우선적으로 명확히 파악해야 하는 요소는?</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유통 플랫폼의 자본 규모</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소구 대상 (Target Audience)</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글로벌 라이선싱 규제</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정부 지원 사업의 지원 한도액</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강사 발언 (35:20): '기획 10가지 법칙 중 제가 강조하고 싶은 것은 두 번째인 소구 대상을 알아야 된다는 점입니다.'</w:t>
              <w:br/>
            </w:r>
            <w:r>
              <w:rPr>
                <w:rFonts w:ascii="맑은 고딕" w:hAnsi="맑은 고딕"/>
                <w:b/>
                <w:color w:val="1E293B"/>
                <w:sz w:val="18"/>
              </w:rPr>
              <w:t xml:space="preserve">【상세 해설】 </w:t>
            </w:r>
            <w:r>
              <w:rPr>
                <w:rFonts w:ascii="맑은 고딕" w:hAnsi="맑은 고딕"/>
                <w:color w:val="475569"/>
                <w:sz w:val="18"/>
              </w:rPr>
              <w:t>소구 대상을 명확히 좁히고 알아야지만 그 타깃에 맞게 컨셉과 코드를 정의하고 차별화된 가치를 창출할 수 있습니다.</w:t>
            </w:r>
          </w:p>
        </w:tc>
      </w:tr>
    </w:tbl>
    <w:p>
      <w:pPr>
        <w:spacing w:before="280" w:after="120" w:line="300" w:lineRule="auto"/>
      </w:pPr>
      <w:r>
        <w:rPr>
          <w:rFonts w:ascii="맑은 고딕" w:hAnsi="맑은 고딕"/>
          <w:b/>
          <w:color w:val="1E3A8A"/>
          <w:sz w:val="22"/>
        </w:rPr>
        <w:t xml:space="preserve">[문항 08] </w:t>
      </w:r>
      <w:r>
        <w:rPr>
          <w:rFonts w:ascii="맑은 고딕" w:hAnsi="맑은 고딕"/>
          <w:b/>
          <w:color w:val="0F172A"/>
          <w:sz w:val="21"/>
        </w:rPr>
        <w:t>문화콘텐츠 기획에서 '컨셉(Concept) = 장르(Genre) + 코드(Code)'의 결합 원리에 대한 설명으로 가장 적절하지 않은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'장르'는 대중에게 이미 친숙하고 학습되어 있는 '익숙함'의 기반을 제공한다.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'코드'는 기존 장르의 문법에 변주를 주어 차별화된 매력을 발생시키는 '새로움'의 장치이다.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완전히 새로운 것을 보여주기 위해 익숙한 장르적 요소를 완전히 배제하고 낯선 '코드'로만 구성하는 것이 상업적으로 가장 안전한 성공 방정식이다.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코드 없이 익숙한 장르적 공식만 그대로 답습할 경우 대중에게 진부한 클리셰(Cliche)로 인식되어 외면받기 쉽다.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③번</w:t>
              <w:br/>
            </w:r>
            <w:r>
              <w:rPr>
                <w:rFonts w:ascii="맑은 고딕" w:hAnsi="맑은 고딕"/>
                <w:b/>
                <w:color w:val="D97706"/>
                <w:sz w:val="18"/>
              </w:rPr>
              <w:t xml:space="preserve">【강사 출제 힌트】 </w:t>
            </w:r>
            <w:r>
              <w:rPr>
                <w:rFonts w:ascii="맑은 고딕" w:hAnsi="맑은 고딕"/>
                <w:color w:val="92400E"/>
                <w:sz w:val="18"/>
              </w:rPr>
              <w:t>장르가 파괴되고 코드만 남으면 대중이 수용하기 어려워 쪽박의 위험이 극대화됩니다.</w:t>
              <w:br/>
            </w:r>
            <w:r>
              <w:rPr>
                <w:rFonts w:ascii="맑은 고딕" w:hAnsi="맑은 고딕"/>
                <w:b/>
                <w:color w:val="1E293B"/>
                <w:sz w:val="18"/>
              </w:rPr>
              <w:t xml:space="preserve">【상세 해설】 </w:t>
            </w:r>
            <w:r>
              <w:rPr>
                <w:rFonts w:ascii="맑은 고딕" w:hAnsi="맑은 고딕"/>
                <w:color w:val="475569"/>
                <w:sz w:val="18"/>
              </w:rPr>
              <w:t>강의 52:40 참조: 익숙한 장르 요소가 전혀 없이 새로운 코드만 남은 것은 장르 파괴이며, 관객이 수용하기 어려워 위험성이 극대화됩니다. 대중에게 익숙한 장르 안에 신선한 코드를 결합하는 것이 상업적 컨셉의 정석입니다.</w:t>
            </w:r>
          </w:p>
        </w:tc>
      </w:tr>
    </w:tbl>
    <w:p>
      <w:pPr>
        <w:spacing w:before="280" w:after="120" w:line="300" w:lineRule="auto"/>
      </w:pPr>
      <w:r>
        <w:rPr>
          <w:rFonts w:ascii="맑은 고딕" w:hAnsi="맑은 고딕"/>
          <w:b/>
          <w:color w:val="1E3A8A"/>
          <w:sz w:val="22"/>
        </w:rPr>
        <w:t xml:space="preserve">[문항 09] </w:t>
      </w:r>
      <w:r>
        <w:rPr>
          <w:rFonts w:ascii="맑은 고딕" w:hAnsi="맑은 고딕"/>
          <w:b/>
          <w:color w:val="0F172A"/>
          <w:sz w:val="21"/>
        </w:rPr>
        <w:t>백상훈 대표가 강의 중 제시한 최근 드라마의 '장르와 코드의 결합' 사례에 대한 설명으로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드라마 〈나의 완벽한 비서〉는 정통 SF 장르에 인공지능 로봇 비서 코드를 결합하여 시청률 두 자릿수를 달성했다.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드라마 〈나의 완벽한 비서〉는 익숙한 '멜로' 장르에 전형적인 재벌 2세 본부장이 아닌 '싱글대디 이혼남 비서'라는 파격적인 코드를 결합하여 새로운 컨셉을 창출했다.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드라마 〈신병〉은 스릴러 장르에 군사 기밀 유출이라는 코드를 결합하여 군대 내 수사 과정을 다룬 작품이다.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앰비규어스 댄스컴퍼니는 전통 궁중무용 장르에 서양의 오페라 음악 코드를 결합한 순수 예술 단체이다.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멜로 장르 + 애 딸린 유부남/이혼남 비서 코드 결합으로 신선함을 창출함</w:t>
              <w:br/>
            </w:r>
            <w:r>
              <w:rPr>
                <w:rFonts w:ascii="맑은 고딕" w:hAnsi="맑은 고딕"/>
                <w:b/>
                <w:color w:val="1E293B"/>
                <w:sz w:val="18"/>
              </w:rPr>
              <w:t xml:space="preserve">【상세 해설】 </w:t>
            </w:r>
            <w:r>
              <w:rPr>
                <w:rFonts w:ascii="맑은 고딕" w:hAnsi="맑은 고딕"/>
                <w:color w:val="475569"/>
                <w:sz w:val="18"/>
              </w:rPr>
              <w:t>〈나의 완벽한 비서〉는 익숙한 멜로 장르에 '취약점을 지닌 싱글대디 이혼남 비서'라는 파격적인 남성 캐릭터 코드를 결합하여 신선함을 입증한 대표적 성공 사례입니다.</w:t>
            </w:r>
          </w:p>
        </w:tc>
      </w:tr>
    </w:tbl>
    <w:p>
      <w:pPr>
        <w:spacing w:before="280" w:after="120" w:line="300" w:lineRule="auto"/>
      </w:pPr>
      <w:r>
        <w:rPr>
          <w:rFonts w:ascii="맑은 고딕" w:hAnsi="맑은 고딕"/>
          <w:b/>
          <w:color w:val="1E3A8A"/>
          <w:sz w:val="22"/>
        </w:rPr>
        <w:t xml:space="preserve">[문항 10] </w:t>
      </w:r>
      <w:r>
        <w:rPr>
          <w:rFonts w:ascii="맑은 고딕" w:hAnsi="맑은 고딕"/>
          <w:b/>
          <w:color w:val="0F172A"/>
          <w:sz w:val="21"/>
        </w:rPr>
        <w:t>앰비규어스 댄스컴퍼니(Ambiguous Dance Company)의 '범 내려온다' 무대가 글로벌 대중에게 폭발적인 반응을 얻은 요인을 컨셉 공식(장르+코드)으로 가장 정확하게 분석한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전통 국악 판소리라는 낯선 장르에 서양의 힙합 패션을 결합하여 국악의 원형을 완벽히 보존했기 때문이다.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대중에게 리듬감 있게 다가갈 수 있는 현대적 '힙합/클럽 비트 및 댄스'(익숙한 장르)에 한국 전통의 '갓, 한복, 조선 힙스터' 비주얼(차별화된 코드)을 결합하여 친숙함 속의 새로움을 구현했기 때문이다.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대중이 전혀 경험해보지 못한 전위적 현대무용 동작만으로 무대를 채웠기 때문이다.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철저하게 해외 팝송 음악에 맞춰 순수 발레 동작을 구사했기 때문이다.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현대적 힙합/클럽 비트(장르) + 조선 전통 의상/갓(코드)</w:t>
              <w:br/>
            </w:r>
            <w:r>
              <w:rPr>
                <w:rFonts w:ascii="맑은 고딕" w:hAnsi="맑은 고딕"/>
                <w:b/>
                <w:color w:val="1E293B"/>
                <w:sz w:val="18"/>
              </w:rPr>
              <w:t xml:space="preserve">【상세 해설】 </w:t>
            </w:r>
            <w:r>
              <w:rPr>
                <w:rFonts w:ascii="맑은 고딕" w:hAnsi="맑은 고딕"/>
                <w:color w:val="475569"/>
                <w:sz w:val="18"/>
              </w:rPr>
              <w:t>현대적인 힙합 리듬과 댄스(장르)를 바탕으로 한국 전통의 갓과 한복이라는 독창적 복장 및 해학(코드)을 결합하여 대중적 수용성과 차별성을 동시에 달성했습니다.</w:t>
            </w:r>
          </w:p>
        </w:tc>
      </w:tr>
    </w:tbl>
    <w:p>
      <w:pPr>
        <w:spacing w:before="280" w:after="120" w:line="300" w:lineRule="auto"/>
      </w:pPr>
      <w:r>
        <w:rPr>
          <w:rFonts w:ascii="맑은 고딕" w:hAnsi="맑은 고딕"/>
          <w:b/>
          <w:color w:val="1E3A8A"/>
          <w:sz w:val="22"/>
        </w:rPr>
        <w:t xml:space="preserve">[문항 11] </w:t>
      </w:r>
      <w:r>
        <w:rPr>
          <w:rFonts w:ascii="맑은 고딕" w:hAnsi="맑은 고딕"/>
          <w:b/>
          <w:color w:val="0F172A"/>
          <w:sz w:val="21"/>
        </w:rPr>
        <w:t>헐리우드 영화 산업에서 표준 서사 템플릿으로 정착된 크리스토퍼 보글러(Christopher Vogler)의 '영웅의 여정 12단계'에 대한 설명으로 가장 적절하지 않은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조셉 캠벨(Joseph Campbell)의 신화학 저서 『천의 얼굴을 가진 영웅』의 신화적 원형을 헐리우드 대중영화에 맞게 3막 12단계로 표준화한 것이다.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창작자의 주관적 역량에 따라 품질이 들쑥날쑥해지는 문화콘텐츠의 '이질성(Heterogeneity)'을 제어하고 대중의 몰입과 상업적 성공을 예측 가능하게 만드는 구조적 도구이다.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영웅이 처음부터 결점 없는 완벽한 초인으로 등장하여 어떠한 의심이나 주저함 없이 모험을 즉각 완수하는 것을 이상적인 모델로 삼는다.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'출발(Departure) → 시련과 입문(Initiation) → 귀환(Return)'이라는 거대한 3막 순환 구조를 지닌다.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③번</w:t>
              <w:br/>
            </w:r>
            <w:r>
              <w:rPr>
                <w:rFonts w:ascii="맑은 고딕" w:hAnsi="맑은 고딕"/>
                <w:b/>
                <w:color w:val="D97706"/>
                <w:sz w:val="18"/>
              </w:rPr>
              <w:t xml:space="preserve">【강사 출제 힌트】 </w:t>
            </w:r>
            <w:r>
              <w:rPr>
                <w:rFonts w:ascii="맑은 고딕" w:hAnsi="맑은 고딕"/>
                <w:color w:val="92400E"/>
                <w:sz w:val="18"/>
              </w:rPr>
              <w:t>보글러 서사 구조 속 영웅은 처음에는 결핍과 두려움을 지닌 '불완전한 영웅'입니다.</w:t>
              <w:br/>
            </w:r>
            <w:r>
              <w:rPr>
                <w:rFonts w:ascii="맑은 고딕" w:hAnsi="맑은 고딕"/>
                <w:b/>
                <w:color w:val="1E293B"/>
                <w:sz w:val="18"/>
              </w:rPr>
              <w:t xml:space="preserve">【상세 해설】 </w:t>
            </w:r>
            <w:r>
              <w:rPr>
                <w:rFonts w:ascii="맑은 고딕" w:hAnsi="맑은 고딕"/>
                <w:color w:val="475569"/>
                <w:sz w:val="18"/>
              </w:rPr>
              <w:t>보글러의 12단계 서사 구조에서 영웅은 처음부터 완벽한 존재가 아니라 결핍과 두려움을 지닌 불완전한 영웅으로 출발하며, '소명의 거부' 단계를 통해 관객과의 깊은 공감대를 형성합니다.</w:t>
            </w:r>
          </w:p>
        </w:tc>
      </w:tr>
    </w:tbl>
    <w:p>
      <w:pPr>
        <w:spacing w:before="280" w:after="120" w:line="300" w:lineRule="auto"/>
      </w:pPr>
      <w:r>
        <w:rPr>
          <w:rFonts w:ascii="맑은 고딕" w:hAnsi="맑은 고딕"/>
          <w:b/>
          <w:color w:val="1E3A8A"/>
          <w:sz w:val="22"/>
        </w:rPr>
        <w:t xml:space="preserve">[문항 12] </w:t>
      </w:r>
      <w:r>
        <w:rPr>
          <w:rFonts w:ascii="맑은 고딕" w:hAnsi="맑은 고딕"/>
          <w:b/>
          <w:color w:val="0F172A"/>
          <w:sz w:val="21"/>
        </w:rPr>
        <w:t>보글러의 영웅의 여정 12단계 중 1막(출발) 단계에 반드시 포함되는 극적 장치인 '소명의 거부(Refusal of the Call)'의 주요 기능으로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악당이 영웅의 존재를 알아차리고 영웅의 조력자를 사전에 제거하는 기능</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영웅이 모험의 위험성을 깨닫고 망설이거나 거부하는 과정을 통해, 영웅의 인간적 취약성을 드러내고 관객과의 정서적 공감대를 형성하는 기능</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영웅이 모든 시험을 통과하고 최종 상금을 획득하여 고향으로 돌아가는 기능</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스승이 영웅에게 모험에 필요한 절대적인 무기를 전수하고 퇴장하는 기능</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강사 발언 (1:04:17): '소명의 거부를 통해 약한 영웅, 불완전한 모습을 보여주어야 관객이 감정을 이입합니다.'</w:t>
              <w:br/>
            </w:r>
            <w:r>
              <w:rPr>
                <w:rFonts w:ascii="맑은 고딕" w:hAnsi="맑은 고딕"/>
                <w:b/>
                <w:color w:val="1E293B"/>
                <w:sz w:val="18"/>
              </w:rPr>
              <w:t xml:space="preserve">【상세 해설】 </w:t>
            </w:r>
            <w:r>
              <w:rPr>
                <w:rFonts w:ascii="맑은 고딕" w:hAnsi="맑은 고딕"/>
                <w:color w:val="475569"/>
                <w:sz w:val="18"/>
              </w:rPr>
              <w:t>영웅이 처음 제안을 받았을 때 망설이고 도망치는 '소명의 거부'는 영웅의 취약성을 보여줌으로써 관객이 주인공에게 동질감을 느끼고 응원하게 만드는 핵심 장치입니다.</w:t>
            </w:r>
          </w:p>
        </w:tc>
      </w:tr>
    </w:tbl>
    <w:p>
      <w:pPr>
        <w:spacing w:before="280" w:after="120" w:line="300" w:lineRule="auto"/>
      </w:pPr>
      <w:r>
        <w:rPr>
          <w:rFonts w:ascii="맑은 고딕" w:hAnsi="맑은 고딕"/>
          <w:b/>
          <w:color w:val="1E3A8A"/>
          <w:sz w:val="22"/>
        </w:rPr>
        <w:t xml:space="preserve">[문항 13] </w:t>
      </w:r>
      <w:r>
        <w:rPr>
          <w:rFonts w:ascii="맑은 고딕" w:hAnsi="맑은 고딕"/>
          <w:b/>
          <w:color w:val="0F172A"/>
          <w:sz w:val="21"/>
        </w:rPr>
        <w:t>넷플릭스 오리지널 시리즈 〈오징어 게임〉의 전개 과정을 보글러의 '영웅의 여정 12단계'에 대입할 때, 주인공 성기훈의 행동과 서사 단계의 연결이 올바르지 않은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사채업자에게 쫓기며 어머니의 돈을 훔쳐 경마장에 가는 비참한 삶 → [1단계: 일상 세계]</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지하철역에서 의문의 양복남(딱지맨)을 만나 10만 원을 받고 명함을 받는 장면 → [2단계: 모험에의 초대]</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첫 번째 게임 후 참가자 투표를 통해 과반수 찬성으로 게임을 중단하고 현실로 돌아오는 장면 → [3단계: 소명의 거부]</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빨간 머리로 염색한 성기훈이 딸을 만나러 가는 미국행 비행기에 탑승하여 뉴욕에 무사히 도착하는 장면 → [12단계: 영약을 가지고 귀환]</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④번</w:t>
              <w:br/>
            </w:r>
            <w:r>
              <w:rPr>
                <w:rFonts w:ascii="맑은 고딕" w:hAnsi="맑은 고딕"/>
                <w:b/>
                <w:color w:val="D97706"/>
                <w:sz w:val="18"/>
              </w:rPr>
              <w:t xml:space="preserve">【강사 출제 힌트】 </w:t>
            </w:r>
            <w:r>
              <w:rPr>
                <w:rFonts w:ascii="맑은 고딕" w:hAnsi="맑은 고딕"/>
                <w:color w:val="92400E"/>
                <w:sz w:val="18"/>
              </w:rPr>
              <w:t>성기훈은 비행기 탑승 직전 돌아서서 복수를 다짐합니다.</w:t>
              <w:br/>
            </w:r>
            <w:r>
              <w:rPr>
                <w:rFonts w:ascii="맑은 고딕" w:hAnsi="맑은 고딕"/>
                <w:b/>
                <w:color w:val="1E293B"/>
                <w:sz w:val="18"/>
              </w:rPr>
              <w:t xml:space="preserve">【상세 해설】 </w:t>
            </w:r>
            <w:r>
              <w:rPr>
                <w:rFonts w:ascii="맑은 고딕" w:hAnsi="맑은 고딕"/>
                <w:color w:val="475569"/>
                <w:sz w:val="18"/>
              </w:rPr>
              <w:t>결말에서 성기훈은 미국행 비행기에 탑승하지 않고, 탑승구 직전 뒤돌아서며 주최 측에 대한 복수와 게임의 실체를 파헤치겠다는 결의를 다집니다. 무사히 뉴욕에 도착한 것이 아닙니다.</w:t>
            </w:r>
          </w:p>
        </w:tc>
      </w:tr>
    </w:tbl>
    <w:p>
      <w:pPr>
        <w:spacing w:before="280" w:after="120" w:line="300" w:lineRule="auto"/>
      </w:pPr>
      <w:r>
        <w:rPr>
          <w:rFonts w:ascii="맑은 고딕" w:hAnsi="맑은 고딕"/>
          <w:b/>
          <w:color w:val="1E3A8A"/>
          <w:sz w:val="22"/>
        </w:rPr>
        <w:t xml:space="preserve">[문항 14] </w:t>
      </w:r>
      <w:r>
        <w:rPr>
          <w:rFonts w:ascii="맑은 고딕" w:hAnsi="맑은 고딕"/>
          <w:b/>
          <w:color w:val="0F172A"/>
          <w:sz w:val="21"/>
        </w:rPr>
        <w:t>백상훈 대표가 분석한 〈오징어 게임〉이 전 세계적인 신드롬을 일으킬 수 있었던 3대 성공 요인의 결합으로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난해한 예술 영화 문법 + 전례 없는 파괴적 신기술 + 서양 팝송 리메이크</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글로벌 관객에게 익숙한 12단계 보편적 서사 구조 + 코로나19 이후 전 세계적 빈부격차 및 불평등에 대한 시대적 공감대 + '깐부, 달고나, 줄다리기' 등 독창적이고 따라 하기 쉬운 한국적 코드 및 밈(Meme)</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거액의 헐리우드 제작비 독점 투자 + 국내 지상파 방송사 독점 방영 + K-pop 스타들의 카메오 출연</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정부의 스크린 쿼터제 보호 + 폐쇄적 오프라인 유통망 + 원작 만화의 높은 인지도</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익숙한 12단계 서사 + 시대적 공감대(빈부격차) + 깐부/달고나 밈 코드</w:t>
              <w:br/>
            </w:r>
            <w:r>
              <w:rPr>
                <w:rFonts w:ascii="맑은 고딕" w:hAnsi="맑은 고딕"/>
                <w:b/>
                <w:color w:val="1E293B"/>
                <w:sz w:val="18"/>
              </w:rPr>
              <w:t xml:space="preserve">【상세 해설】 </w:t>
            </w:r>
            <w:r>
              <w:rPr>
                <w:rFonts w:ascii="맑은 고딕" w:hAnsi="맑은 고딕"/>
                <w:color w:val="475569"/>
                <w:sz w:val="18"/>
              </w:rPr>
              <w:t>글로벌 관객에게 익숙한 12단계 표준 서사 구조(보편성)에 코로나 이후 빈부격차라는 시대적 소재(공감대), 그리고 깐부/달고나 등 틱톡에서 유행하기 쉬운 한국적 놀이(코드 및 밈)가 결합된 결과입니다.</w:t>
            </w:r>
          </w:p>
        </w:tc>
      </w:tr>
    </w:tbl>
    <w:p>
      <w:pPr>
        <w:spacing w:before="280" w:after="120" w:line="300" w:lineRule="auto"/>
      </w:pPr>
      <w:r>
        <w:rPr>
          <w:rFonts w:ascii="맑은 고딕" w:hAnsi="맑은 고딕"/>
          <w:b/>
          <w:color w:val="1E3A8A"/>
          <w:sz w:val="22"/>
        </w:rPr>
        <w:t xml:space="preserve">[문항 15] </w:t>
      </w:r>
      <w:r>
        <w:rPr>
          <w:rFonts w:ascii="맑은 고딕" w:hAnsi="맑은 고딕"/>
          <w:b/>
          <w:color w:val="0F172A"/>
          <w:sz w:val="21"/>
        </w:rPr>
        <w:t>우리나라 문화 및 콘텐츠 산업을 규율하는 양대 법률인 '문화산업진흥 기본법(1999)'과 '콘텐츠산업진흥법(2011)'의 성격과 정의를 비교한 내용으로 가장 적절하지 않은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『문화산업진흥 기본법』은 1999년에 제정되어 전통 문화예술의 진흥 및 문화적 가치 보존을 위한 모법 역할을 수행한다.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『콘텐츠산업진흥법』은 디지털 융합 환경의 발전에 대응하여 경제적 부가가치 창출과 기술 개발, 산업적 표준화를 지원하기 위해 2011년에 신설되었다.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『문화산업진흥 기본법』상 문화콘텐츠는 '부호·문자·도형·색채·음성 등의 자료 또는 정보'로만 좁게 정의되어 디지털 기술을 일체 배제한다.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두 법률의 이원화된 공존은 현장에서 전통 문화예술적 관점과 기술 기반 콘텐츠 산업의 관점이 혼재되어 있음을 보여주므로, 문화창업플래너는 지원 대상을 유연하게 해석할 필요가 있다.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③번</w:t>
              <w:br/>
            </w:r>
            <w:r>
              <w:rPr>
                <w:rFonts w:ascii="맑은 고딕" w:hAnsi="맑은 고딕"/>
                <w:b/>
                <w:color w:val="D97706"/>
                <w:sz w:val="18"/>
              </w:rPr>
              <w:t xml:space="preserve">【강사 출제 힌트】 </w:t>
            </w:r>
            <w:r>
              <w:rPr>
                <w:rFonts w:ascii="맑은 고딕" w:hAnsi="맑은 고딕"/>
                <w:color w:val="92400E"/>
                <w:sz w:val="18"/>
              </w:rPr>
              <w:t>부호·문자·도형·색채·음성 등의 정보로 정의한 법은 2011년 콘텐츠산업진흥법입니다.</w:t>
              <w:br/>
            </w:r>
            <w:r>
              <w:rPr>
                <w:rFonts w:ascii="맑은 고딕" w:hAnsi="맑은 고딕"/>
                <w:b/>
                <w:color w:val="1E293B"/>
                <w:sz w:val="18"/>
              </w:rPr>
              <w:t xml:space="preserve">【상세 해설】 </w:t>
            </w:r>
            <w:r>
              <w:rPr>
                <w:rFonts w:ascii="맑은 고딕" w:hAnsi="맑은 고딕"/>
                <w:color w:val="475569"/>
                <w:sz w:val="18"/>
              </w:rPr>
              <w:t>'부호·문자·도형·색채·음성·음향·이미지 및 영상 등의 자료 또는 정보'라고 규정한 법률은 2011년에 제정된 『콘텐츠산업진흥법』 제2조입니다. 문화산업진흥 기본법은 '문화적 요소가 체화된 콘텐츠'로 정의합니다.</w:t>
            </w:r>
          </w:p>
        </w:tc>
      </w:tr>
    </w:tbl>
    <w:p>
      <w:pPr>
        <w:spacing w:before="280" w:after="120" w:line="300" w:lineRule="auto"/>
      </w:pPr>
      <w:r>
        <w:rPr>
          <w:rFonts w:ascii="맑은 고딕" w:hAnsi="맑은 고딕"/>
          <w:b/>
          <w:color w:val="1E3A8A"/>
          <w:sz w:val="22"/>
        </w:rPr>
        <w:t xml:space="preserve">[문항 16] </w:t>
      </w:r>
      <w:r>
        <w:rPr>
          <w:rFonts w:ascii="맑은 고딕" w:hAnsi="맑은 고딕"/>
          <w:b/>
          <w:color w:val="0F172A"/>
          <w:sz w:val="21"/>
        </w:rPr>
        <w:t>공공 기관인 '한국콘텐츠진흥원(KOCCA)'의 기관 명칭 및 정책 패러다임 변화에 대한 설명으로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설립 초기부터 순수예술 진흥만을 목적으로 하여 현재까지 명칭에 변화가 없다.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과거에는 기관 명칭에 '문화'가 포함되어 있었으나(한국문화콘텐츠진흥원), 조직 개편을 거치며 '문화'를 떼고 경제적·산업적 부가가치를 지향하는 '콘텐츠' 중심의 단일 진흥 체계로 전환되었다.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최근 2024년에 다시 순수 문화예술 중심으로 회귀하기 위해 '한국전통문화진흥원'으로 개칭하였다.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영화진흥위원회와 게임물관리위원회를 완전히 흡수 통합하여 단일 행정기관으로 승격되었다.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강사 발언 (14:52): '원래 문화라는 말이 붙어 있었는데 2000년대 후반 이 말을 떼어버리고 콘텐츠 중심의 산업화로 전환되었습니다.'</w:t>
              <w:br/>
            </w:r>
            <w:r>
              <w:rPr>
                <w:rFonts w:ascii="맑은 고딕" w:hAnsi="맑은 고딕"/>
                <w:b/>
                <w:color w:val="1E293B"/>
                <w:sz w:val="18"/>
              </w:rPr>
              <w:t xml:space="preserve">【상세 해설】 </w:t>
            </w:r>
            <w:r>
              <w:rPr>
                <w:rFonts w:ascii="맑은 고딕" w:hAnsi="맑은 고딕"/>
                <w:color w:val="475569"/>
                <w:sz w:val="18"/>
              </w:rPr>
              <w:t>한국문화콘텐츠진흥원에서 '문화'를 제외하고 '한국콘텐츠진흥원'으로 개편하며 경제적 부가가치와 기술 융합 중심의 콘텐츠 산업 진흥 정책으로 패러다임이 전환되었습니다.</w:t>
            </w:r>
          </w:p>
        </w:tc>
      </w:tr>
    </w:tbl>
    <w:p>
      <w:pPr>
        <w:spacing w:before="280" w:after="120" w:line="300" w:lineRule="auto"/>
      </w:pPr>
      <w:r>
        <w:rPr>
          <w:rFonts w:ascii="맑은 고딕" w:hAnsi="맑은 고딕"/>
          <w:b/>
          <w:color w:val="1E3A8A"/>
          <w:sz w:val="22"/>
        </w:rPr>
        <w:t xml:space="preserve">[문항 17] </w:t>
      </w:r>
      <w:r>
        <w:rPr>
          <w:rFonts w:ascii="맑은 고딕" w:hAnsi="맑은 고딕"/>
          <w:b/>
          <w:color w:val="0F172A"/>
          <w:sz w:val="21"/>
        </w:rPr>
        <w:t>정부의 문화콘텐츠 산업 육성 정책 및 거시 지표에 대한 설명 중 사실과 다른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정부의 『제3차 콘텐츠산업진흥 기본계획』은 2027년까지 콘텐츠 매출 200조 원 달성을 목표로 제시하였다.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콘텐츠 산업의 취업유발계수는 10억 원당 약 14명으로, 제조업 평균(8.38명) 및 반도체 산업(2.1명)의 약 7배에 달하는 높은 일자리 창출 효과를 지닌다.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문화콘텐츠 산업의 '자기산업 재투입계수'는 자동차 산업처럼 한 번 만들어진 콘텐츠가 다른 콘텐츠 제작에 부품처럼 재활용·재투입되는 비율이 높아 전 산업 중 상위권(약 6위 수준)에 위치한다.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정부의 집중 육성 3대 핵심 장르는 '농업, 수산업, 광업'과 연계된 1차 산업 콘텐츠이다.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④번</w:t>
              <w:br/>
            </w:r>
            <w:r>
              <w:rPr>
                <w:rFonts w:ascii="맑은 고딕" w:hAnsi="맑은 고딕"/>
                <w:b/>
                <w:color w:val="D97706"/>
                <w:sz w:val="18"/>
              </w:rPr>
              <w:t xml:space="preserve">【강사 출제 힌트】 </w:t>
            </w:r>
            <w:r>
              <w:rPr>
                <w:rFonts w:ascii="맑은 고딕" w:hAnsi="맑은 고딕"/>
                <w:color w:val="92400E"/>
                <w:sz w:val="18"/>
              </w:rPr>
              <w:t>3대 핵심 장르는 K-pop, 게임, 영상(웹툰/방송/영화)입니다.</w:t>
              <w:br/>
            </w:r>
            <w:r>
              <w:rPr>
                <w:rFonts w:ascii="맑은 고딕" w:hAnsi="맑은 고딕"/>
                <w:b/>
                <w:color w:val="1E293B"/>
                <w:sz w:val="18"/>
              </w:rPr>
              <w:t xml:space="preserve">【상세 해설】 </w:t>
            </w:r>
            <w:r>
              <w:rPr>
                <w:rFonts w:ascii="맑은 고딕" w:hAnsi="맑은 고딕"/>
                <w:color w:val="475569"/>
                <w:sz w:val="18"/>
              </w:rPr>
              <w:t>정부 제3차 기본계획의 3대 핵심 집중 육성 장르는 K-pop(음악), 게임, 영상(웹툰, 방송, 영화)이며, 기반 기술은 초실감 영상(가상 제작 VP 등)입니다.</w:t>
            </w:r>
          </w:p>
        </w:tc>
      </w:tr>
    </w:tbl>
    <w:p>
      <w:pPr>
        <w:spacing w:before="280" w:after="120" w:line="300" w:lineRule="auto"/>
      </w:pPr>
      <w:r>
        <w:rPr>
          <w:rFonts w:ascii="맑은 고딕" w:hAnsi="맑은 고딕"/>
          <w:b/>
          <w:color w:val="1E3A8A"/>
          <w:sz w:val="22"/>
        </w:rPr>
        <w:t xml:space="preserve">[문항 18] </w:t>
      </w:r>
      <w:r>
        <w:rPr>
          <w:rFonts w:ascii="맑은 고딕" w:hAnsi="맑은 고딕"/>
          <w:b/>
          <w:color w:val="0F172A"/>
          <w:sz w:val="21"/>
        </w:rPr>
        <w:t>콘텐츠 IP의 3대 확장 유형인 OSMU, 크로스 미디어(Cross Media), 트랜스 미디어(Trans Media)에 대한 설명으로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OSMU: 복수의 미디어가 유기적으로 결합되어야만 비로소 전체 스토리가 완성되는 파편화된 구조를 의미한다.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Cross Media: 단 하나의 성공한 오리지널 원작을 다른 매체로 단순 이식하여 마케팅적 시너지를 내는 단선적 방식이다.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Trans Media: 하나의 거대한 공유 세계관을 바탕으로 각 미디어 플랫폼마다 고유하고 독립적인 서브플롯(Sub-plot)을 전개하며, 소비자가 미디어를 넘나들며 복습과 세계관 확장을 경험하게 하는 다차원적 전략이다.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세 방식 모두 미디어 간의 구분이 전혀 없으며 스토리텔링과 무관하게 캐릭터 상품 판매만을 목적으로 한다.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③번</w:t>
              <w:br/>
            </w:r>
            <w:r>
              <w:rPr>
                <w:rFonts w:ascii="맑은 고딕" w:hAnsi="맑은 고딕"/>
                <w:b/>
                <w:color w:val="D97706"/>
                <w:sz w:val="18"/>
              </w:rPr>
              <w:t xml:space="preserve">【강사 출제 힌트】 </w:t>
            </w:r>
            <w:r>
              <w:rPr>
                <w:rFonts w:ascii="맑은 고딕" w:hAnsi="맑은 고딕"/>
                <w:color w:val="92400E"/>
                <w:sz w:val="18"/>
              </w:rPr>
              <w:t>OSMU = 단일 원작 순차 이식(도약), Cross Media = 매체 결합(결합), Trans Media = 공유 세계관과 독립 서브플롯(전이)</w:t>
              <w:br/>
            </w:r>
            <w:r>
              <w:rPr>
                <w:rFonts w:ascii="맑은 고딕" w:hAnsi="맑은 고딕"/>
                <w:b/>
                <w:color w:val="1E293B"/>
                <w:sz w:val="18"/>
              </w:rPr>
              <w:t xml:space="preserve">【상세 해설】 </w:t>
            </w:r>
            <w:r>
              <w:rPr>
                <w:rFonts w:ascii="맑은 고딕" w:hAnsi="맑은 고딕"/>
                <w:color w:val="475569"/>
                <w:sz w:val="18"/>
              </w:rPr>
              <w:t>트랜스 미디어는 하나의 거대한 공유 세계관 속에서 각 매체가 독자 완결성을 가진 서브플롯을 풀어내며 거대한 통합 세계로 수렴하는 방식(MCU 사례)입니다.</w:t>
            </w:r>
          </w:p>
        </w:tc>
      </w:tr>
    </w:tbl>
    <w:p>
      <w:pPr>
        <w:spacing w:before="280" w:after="120" w:line="300" w:lineRule="auto"/>
      </w:pPr>
      <w:r>
        <w:rPr>
          <w:rFonts w:ascii="맑은 고딕" w:hAnsi="맑은 고딕"/>
          <w:b/>
          <w:color w:val="1E3A8A"/>
          <w:sz w:val="22"/>
        </w:rPr>
        <w:t xml:space="preserve">[문항 19] </w:t>
      </w:r>
      <w:r>
        <w:rPr>
          <w:rFonts w:ascii="맑은 고딕" w:hAnsi="맑은 고딕"/>
          <w:b/>
          <w:color w:val="0F172A"/>
          <w:sz w:val="21"/>
        </w:rPr>
        <w:t>백상훈 대표가 마블 시네마틱 유니버스(MCU)를 예로 들며 설명한 '트랜스 미디어(Trans Media)'의 산업적 효과로 가장 적절한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개봉한 영화를 극장에서만 관람하게 강제함으로써 극장 티켓 가격을 인상시키는 효과</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소비자가 어벤져스를 감상한 뒤 토르, 아이언맨의 개별 영화나 OTT 드라마를 다시 찾아보게 만드는 '복습 효과(역주행)'를 창출하여, 콘텐츠의 '소멸성' 한계를 구조적으로 극복하는 효과</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출판 만화책의 인쇄 부수를 줄여 종이 생산 원가를 절감하는 친환경 효과</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모든 히어로 캐릭터의 저작권을 외주 제작사에 영구 양도하여 리스크를 회피하는 효과</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강사 발언 (1:14:07): '마블은 어벤져스를 보기 위해 과거 영화를 복습하게 만듦으로써 소멸성 한계를 완벽히 지워버렸습니다.'</w:t>
              <w:br/>
            </w:r>
            <w:r>
              <w:rPr>
                <w:rFonts w:ascii="맑은 고딕" w:hAnsi="맑은 고딕"/>
                <w:b/>
                <w:color w:val="1E293B"/>
                <w:sz w:val="18"/>
              </w:rPr>
              <w:t xml:space="preserve">【상세 해설】 </w:t>
            </w:r>
            <w:r>
              <w:rPr>
                <w:rFonts w:ascii="맑은 고딕" w:hAnsi="맑은 고딕"/>
                <w:color w:val="475569"/>
                <w:sz w:val="18"/>
              </w:rPr>
              <w:t>트랜스미디어 세계관은 신작 개봉 시 과거 작품을 다시 찾아보게 만드는 역주행·복습 효과를 유발하여 콘텐츠가 1회성으로 사라지는 소멸성을 원천적으로 극복합니다.</w:t>
            </w:r>
          </w:p>
        </w:tc>
      </w:tr>
    </w:tbl>
    <w:p>
      <w:pPr>
        <w:spacing w:before="280" w:after="120" w:line="300" w:lineRule="auto"/>
      </w:pPr>
      <w:r>
        <w:rPr>
          <w:rFonts w:ascii="맑은 고딕" w:hAnsi="맑은 고딕"/>
          <w:b/>
          <w:color w:val="1E3A8A"/>
          <w:sz w:val="22"/>
        </w:rPr>
        <w:t xml:space="preserve">[문항 20] </w:t>
      </w:r>
      <w:r>
        <w:rPr>
          <w:rFonts w:ascii="맑은 고딕" w:hAnsi="맑은 고딕"/>
          <w:b/>
          <w:color w:val="0F172A"/>
          <w:sz w:val="21"/>
        </w:rPr>
        <w:t>2023년 제정된 『미술진흥법』에 도입되어 창작자의 오리지널 IP 권리를 획기적으로 보호하는 제도로 강사가 소개한 '미술품 재판매 보상 청구권(추급권, Droit de Suite)'의 핵심 내용으로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미술품을 최초 구매한 컬렉터가 단순 변심으로 환불을 요구할 경우 100% 전액 환불을 보장하는 소비자 보호 규정이다.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작가가 최초에 갤러리에 저렴하게 작품을 판매했더라도, 이후 해당 작품이 경매나 유통 시장에서 전매(재판매)되어 가격이 상승할 때마다 매매 대금의 일정 비율을 원작자(또는 유족)에게 보상금으로 지급하도록 보장하는 권리이다.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미술품을 거래할 때 반드시 국가 공인 감정원의 진품 인증서를 첨부하도록 강제하는 제도이다.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미술관이 소장한 작품을 대중에게 무료로 공개하도록 강제하는 공공 서비스 헌장이다.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강사 발언 (1:09:45): '작품이 팔릴 때마다 창작자의 몫을 보장해 주는 법이 미술품 재판매 보상 청구권(추급권)입니다.'</w:t>
              <w:br/>
            </w:r>
            <w:r>
              <w:rPr>
                <w:rFonts w:ascii="맑은 고딕" w:hAnsi="맑은 고딕"/>
                <w:b/>
                <w:color w:val="1E293B"/>
                <w:sz w:val="18"/>
              </w:rPr>
              <w:t xml:space="preserve">【상세 해설】 </w:t>
            </w:r>
            <w:r>
              <w:rPr>
                <w:rFonts w:ascii="맑은 고딕" w:hAnsi="맑은 고딕"/>
                <w:color w:val="475569"/>
                <w:sz w:val="18"/>
              </w:rPr>
              <w:t>작품이 2차 유통 시장에서 재판매될 때마다 양도 차익의 일정 비율을 원작자에게 지급하도록 법제화하여 창작자의 지속적인 IP 권익을 보장하는 제도입니다.</w:t>
            </w:r>
          </w:p>
        </w:tc>
      </w:tr>
    </w:tbl>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color w:val="94A3B8"/>
        <w:sz w:val="17"/>
      </w:rPr>
      <w:t>- 한국생산성본부 문화창업플래너 자격검정 대비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color w:val="94A3B8"/>
        <w:sz w:val="17"/>
      </w:rPr>
      <w:t>문화창업플래너 자격시험 실전 핵심 기출예상 모의고사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