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맑은 고딕" w:hAnsi="맑은 고딕"/>
          <w:b/>
          <w:color w:val="1E3A8A"/>
          <w:sz w:val="34"/>
        </w:rPr>
        <w:t>문화창업플래너 자격시험: 3과목: 문화콘텐츠기업 자금조달</w:t>
      </w:r>
    </w:p>
    <w:p>
      <w:pPr>
        <w:spacing w:after="240"/>
      </w:pPr>
      <w:r>
        <w:rPr>
          <w:rFonts w:ascii="맑은 고딕" w:hAnsi="맑은 고딕"/>
          <w:color w:val="475569"/>
          <w:sz w:val="20"/>
        </w:rPr>
        <w:t>출제위원 직강 녹음 및 강의교재 핵심 포인트 완벽 반영 (기출예상 20선)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Borders>
              <w:top w:val="single" w:sz="6" w:space="0" w:color="CBD5E1"/>
              <w:left w:val="single" w:sz="12" w:space="0" w:color="1E3A8A"/>
              <w:bottom w:val="single" w:sz="6" w:space="0" w:color="CBD5E1"/>
              <w:right w:val="single" w:sz="6" w:space="0" w:color="CBD5E1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1E293B"/>
                <w:sz w:val="19"/>
              </w:rPr>
              <w:t xml:space="preserve">• 출제 및 강의: </w:t>
            </w:r>
            <w:r>
              <w:rPr>
                <w:rFonts w:ascii="맑은 고딕" w:hAnsi="맑은 고딕"/>
                <w:color w:val="475569"/>
                <w:sz w:val="19"/>
              </w:rPr>
              <w:t>오상민 대표 (로간벤처스 대표이사 / 전 센트럴투자파트너스)</w:t>
              <w:br/>
            </w:r>
            <w:r>
              <w:rPr>
                <w:rFonts w:ascii="맑은 고딕" w:hAnsi="맑은 고딕"/>
                <w:b/>
                <w:color w:val="1E293B"/>
                <w:sz w:val="19"/>
              </w:rPr>
              <w:t xml:space="preserve">• 합격 기준: </w:t>
            </w:r>
            <w:r>
              <w:rPr>
                <w:rFonts w:ascii="맑은 고딕" w:hAnsi="맑은 고딕"/>
                <w:color w:val="475569"/>
                <w:sz w:val="19"/>
              </w:rPr>
              <w:t>과목당 40점 이상(40점 미만 과락 탈락), 전과목 평균 60점 이상 합격</w:t>
              <w:br/>
            </w:r>
            <w:r>
              <w:rPr>
                <w:rFonts w:ascii="맑은 고딕" w:hAnsi="맑은 고딕"/>
                <w:b/>
                <w:color w:val="1E293B"/>
                <w:sz w:val="19"/>
              </w:rPr>
              <w:t xml:space="preserve">• 출제 핵심 포인트: </w:t>
            </w:r>
            <w:r>
              <w:rPr>
                <w:rFonts w:ascii="맑은 고딕" w:hAnsi="맑은 고딕"/>
                <w:color w:val="475569"/>
                <w:sz w:val="19"/>
              </w:rPr>
              <w:t>투자계약서 4대 권리(RoFR, Tag, Drag, 풋옵션), 벤처투자 7단계 및 텀시트, 9대 계산 실습(지분법, 기업가치, BEP, EBITDA, 부채비율)</w:t>
            </w:r>
          </w:p>
        </w:tc>
      </w:tr>
    </w:tbl>
    <w:p>
      <w:pPr>
        <w:spacing w:before="160" w:after="80"/>
      </w:pPr>
    </w:p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01] </w:t>
      </w:r>
      <w:r>
        <w:rPr>
          <w:rFonts w:ascii="맑은 고딕" w:hAnsi="맑은 고딕"/>
          <w:b/>
          <w:color w:val="0F172A"/>
          <w:sz w:val="21"/>
        </w:rPr>
        <w:t>벤처투자 계약서에서 자주 사용되는 권리 조항 중, '대주주나 이해관계인이 보유 지분을 제3자에게 매각하려 할 때, 소액주주인 투자자도 동일한 가격과 조건으로 자신의 지분을 함께 매각할 것을 요구할 수 있는 권리'는?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우선제안권 (RoFO)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공동매도참여권 (Tag-along Right)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동반매도청구권 (Drag-along Right)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주식매수청구권 (Put Option)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대주주 매각 시 소액주주가 함께 끼어서 팔 권리 = Tag-along (공동매도참여권)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대주주(창업자)가 엑시트할 때 소액주주/투자자도 동일 조건으로 지분을 함께 팔 수 있는 권리는 '공동매도참여권(Tag-along Right)'입니다. 반대로 투자자가 대주주의 지분을 강제로 끌고 와서 파는 권리는 Drag-along입니다.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02] </w:t>
      </w:r>
      <w:r>
        <w:rPr>
          <w:rFonts w:ascii="맑은 고딕" w:hAnsi="맑은 고딕"/>
          <w:b/>
          <w:color w:val="0F172A"/>
          <w:sz w:val="21"/>
        </w:rPr>
        <w:t>벤처투자 계약서에서 투자자가 제3자에게 회사를 매각할 때, '창업자 및 대주주의 지분까지 강제로 끌고 와서 함께 매각을 청구할 수 있는 권리'로, 투자자에게는 유리하나 창업자의 경영권 박탈 위험이 큰 권리는?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우선매수권 (RoFR)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공동매도참여권 (Tag-along Right)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동반매도청구권 (Drag-along Right)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희석방지권 (Anti-dilution)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투자자가 창업자 지분을 강제로 끌고 와서 함께 매각 = Drag-along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동반매도청구권(Drag-along Right)은 투자자가 주체가 되어 대주주의 지분까지 강제로 매각에 포함시키는 권리로, 스타트업에게 절대적으로 불리하여 삭제를 요구해야 하는 조항입니다.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03] </w:t>
      </w:r>
      <w:r>
        <w:rPr>
          <w:rFonts w:ascii="맑은 고딕" w:hAnsi="맑은 고딕"/>
          <w:b/>
          <w:color w:val="0F172A"/>
          <w:sz w:val="21"/>
        </w:rPr>
        <w:t>벤처투자 절차에서 실사(Due Diligence)가 완료된 후, 본격적인 투자심의위원회 개최 및 본계약 체결에 앞서 투자 금액, 기업가치(밸류에이션), 투자 형태(RCPS 등)의 핵심 조건을 상호 합의하여 작성하는 문서는?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비밀유지계약서 (NDA)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사업계획서 (Business Plan)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조건부 투자계약서 / 텀시트 (Term-sheet)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주주명부 (Shareholder Register)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투자조건 협상 단계에서 핵심 조건을 사전에 정리하여 확정하는 문서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강의 1:21:42 참조: 투심위 이전 투자조건 협상 단계에서 투자금, 밸류에이션, 주식 형태 등의 조건을 확정하여 작성하는 문서는 '텀시트(Term-sheet)'입니다.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04] </w:t>
      </w:r>
      <w:r>
        <w:rPr>
          <w:rFonts w:ascii="맑은 고딕" w:hAnsi="맑은 고딕"/>
          <w:b/>
          <w:color w:val="0F172A"/>
          <w:sz w:val="21"/>
        </w:rPr>
        <w:t>주식인수계약서(SPA)와 주주간 계약서(SHA)의 차이점에 대한 설명으로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SPA는 기존 주주 간의 권리 의무를 정하고, SHA는 신주 발행 조건을 정한다.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SPA는 회사와 투자자 간의 신주 발행/인수 조건(발행가, 주식수, 납입일)을 다루고, SHA는 기존 주주와 투자자 간의 회사 지배구조 및 주식 처분 제한을 다룬다.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두 계약서는 완전히 동일한 계약서로 명칭만 다를 뿐이다.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SHA는 회사가 망했을 때 법원에 파산을 신청하는 서류이다.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SPA = 회사와 투자자 간 신주 인수 / SHA = 주주들 간 지배구조 및 주식 거래 제한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주식인수계약서(SPA)는 신주 발행과 인수에 관한 계약이며, 주주간 계약서(SHA)는 주주들 간의 경영 참여, 이사회 구성, 지분 처분 제한(RoFR, Tag, Drag)을 규정하는 계약입니다.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05] </w:t>
      </w:r>
      <w:r>
        <w:rPr>
          <w:rFonts w:ascii="맑은 고딕" w:hAnsi="맑은 고딕"/>
          <w:b/>
          <w:color w:val="0F172A"/>
          <w:sz w:val="21"/>
        </w:rPr>
        <w:t>[실습 1] A사는 B사에 10억 원을 투자하여 보통주 지분 25%를 취득하였다. 지분법을 적용할 때, B사의 당기순이익이 2021년 12억 원, 2022년 24억 원이었다면 2022년 말 A사의 재무제표상 지분법 주식가액은 얼마인가?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10억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13억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16억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19억 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④번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지분법 주식가액 = 최초 취득원가(10억) + 2021년 지분법 이익(12억×25%) + 2022년 지분법 이익(24억×25%)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10억 + (12억 × 25% = 3억) + (24억 × 25% = 6억) = 10억 + 3억 + 6억 = 19억 원입니다.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06] </w:t>
      </w:r>
      <w:r>
        <w:rPr>
          <w:rFonts w:ascii="맑은 고딕" w:hAnsi="맑은 고딕"/>
          <w:b/>
          <w:color w:val="0F172A"/>
          <w:sz w:val="21"/>
        </w:rPr>
        <w:t>[실습 2] 창업자가 자본금 5,000만 원(액면가 5,000원, 발행주식 10,000주)으로 회사를 설립하였다. 1년 후 엔젤투자자로부터 1억 원을 주당 10,000원에 신주 발행하여 50% 지분을 주었다. 이 회사의 총 자본금과 주식발행초과금은?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총 자본금 1억 원 / 주식발행초과금 5,000만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총 자본금 1억 5,000만 원 / 주식발행초과금 1억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총 자본금 5,000만 원 / 주식발행초과금 5,000만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총 자본금 2억 원 / 주식발행초과금 0원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①번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신주수 = 1억÷10,000 = 10,000주 → 총 주식수 20,000주 → 자본금 = 20,000×5,000 = 1억 / 초과금 = 10,000×(10,000-5,000) = 5,000만 원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신주 10,000주 발행으로 총 주식수는 20,000주가 되며, 총 자본금은 20,000주 × 5,000원 = 1억 원, 주식발행초과금은 10,000주 × (10,000원 - 5,000원) = 5,000만 원입니다.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07] </w:t>
      </w:r>
      <w:r>
        <w:rPr>
          <w:rFonts w:ascii="맑은 고딕" w:hAnsi="맑은 고딕"/>
          <w:b/>
          <w:color w:val="0F172A"/>
          <w:sz w:val="21"/>
        </w:rPr>
        <w:t>[실습 3] 기존 자본금이 1억 원(총 20,000주, 액면가 5,000원)인 기업이 VC로부터 10억 원의 투자를 주당 40,000원에 신주 발행하여 유치하였다. 투자 배수(멀티플)와 투자 후 기업가치(Post-money)는?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투자 배수 5배 / Post-money 15억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투자 배수 8배 / Post-money 18억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투자 배수 8배 / Post-money 10억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투자 배수 10배 / Post-money 20억 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투자 배수 = 발행가(40,000원) ÷ 액면가(5,000원) = 8배 / Pre = 자본금 1억 × 8배 = 8억 → Post = 8억 + 10억 = 18억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투자 배수는 40,000원 ÷ 5,000원 = 8배입니다. 투자 전 기업가치(Pre)는 기존 자본금 1억 원 × 8배 = 8억 원(또는 20,000주 × 40,000원 = 8억 원)이며, 투자 후 가치(Post)는 8억 + 10억 = 18억 원입니다.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08] </w:t>
      </w:r>
      <w:r>
        <w:rPr>
          <w:rFonts w:ascii="맑은 고딕" w:hAnsi="맑은 고딕"/>
          <w:b/>
          <w:color w:val="0F172A"/>
          <w:sz w:val="21"/>
        </w:rPr>
        <w:t>[실습 3 연계] 위 문항의 기업에서 VC에게 발행한 신주 발행주식수와 투자 유치 후 총 자본금은 얼마인가?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신주 20,000주 / 총 자본금 2억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신주 25,000주 / 총 자본금 2억 2,500만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신주 25,000주 / 총 자본금 1억 2,500만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신주 45,000주 / 총 자본금 4억 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신주수 = 투자금 10억 ÷ 주당 40,000원 = 25,000주 → 총 주식수 = 20,000 + 25,000 = 45,000주 → 총 자본금 = 45,000 × 5,000원 = 2억 2,500만 원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신주 발행주식수는 10억 원 ÷ 40,000원 = 25,000주입니다. 총 주식수는 45,000주가 되며, 총 자본금은 45,000주 × 액면가 5,000원 = 2억 2,500만 원입니다.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09] </w:t>
      </w:r>
      <w:r>
        <w:rPr>
          <w:rFonts w:ascii="맑은 고딕" w:hAnsi="맑은 고딕"/>
          <w:b/>
          <w:color w:val="0F172A"/>
          <w:sz w:val="21"/>
        </w:rPr>
        <w:t>[실습 4] 단위당 판매 단가 200원, 단위당 변동비 120원, 고정비 4,000원인 문화상품의 단위당 공헌이익과 손익분기점(BEP) 판매량은?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공헌이익 80원 / BEP 50개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공헌이익 120원 / BEP 33개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공헌이익 80원 / BEP 20개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공헌이익 200원 / BEP 50개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①번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공헌이익 = 200 - 120 = 80원 / BEP 판매량 = 4,000 ÷ 80 = 50개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단위당 공헌이익 = 200원 - 120원 = 80원입니다. 손익분기점 판매량 = 고정비(4,000원) ÷ 단위당 공헌이익(80원) = 50개입니다.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10] </w:t>
      </w:r>
      <w:r>
        <w:rPr>
          <w:rFonts w:ascii="맑은 고딕" w:hAnsi="맑은 고딕"/>
          <w:b/>
          <w:color w:val="0F172A"/>
          <w:sz w:val="21"/>
        </w:rPr>
        <w:t>[실습 5] 어떤 기업의 영업이익이 100억 원이고, 유형자산 감가상각비가 20억 원, 무형자산 상각비가 10억 원이다. 이 기업의 EBITDA는 얼마인가?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70억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100억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120억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130억 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④번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EBITDA = 영업이익 + 감가상각비(유형+무형)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EBITDA = 영업이익(100억) + 감가상각비(20억 + 10억) = 130억 원입니다.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11] </w:t>
      </w:r>
      <w:r>
        <w:rPr>
          <w:rFonts w:ascii="맑은 고딕" w:hAnsi="맑은 고딕"/>
          <w:b/>
          <w:color w:val="0F172A"/>
          <w:sz w:val="21"/>
        </w:rPr>
        <w:t>[실습 6] 벤처기업이 액면금액 5,000원의 주식을 주당 8,000원에 300주 신주 발행하여 주금을 전액 현금으로 납입받았다. 이 거래가 재무제표에 미치는 영향으로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자산(현금) 150만 원 증가, 자기자본 150만 원 증가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자산(현금) 240만 원 증가, 자기자본 240만 원 증가 (자본금 150만 원, 자본잉여금 90만 원)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자산(현금) 240만 원 증가, 부채 240만 원 증가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자산(현금) 90만 원 증가, 자본잉여금 90만 원 증가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유입 현금 = 300주 × 8,000원 = 240만 원 / 자본금 = 300 × 5,000 = 150만 / 주식발행초과금 = 300 × 3,000 = 90만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유입 현금은 300주 × 8,000원 = 240만 원으로 자산이 240만 원 증가합니다. 대변에는 자본금 150만 원과 자본잉여금(주식발행초과금) 90만 원이 계상되어 자기자본이 총 240만 원 증가합니다.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12] </w:t>
      </w:r>
      <w:r>
        <w:rPr>
          <w:rFonts w:ascii="맑은 고딕" w:hAnsi="맑은 고딕"/>
          <w:b/>
          <w:color w:val="0F172A"/>
          <w:sz w:val="21"/>
        </w:rPr>
        <w:t>[실습 7] 기업의 자산 총계가 15,000원이고, 부채 총계가 10,000원일 때, 이 기업의 부채비율은?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66.7%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100%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150%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200%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④번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자기자본 = 자산(15,000) - 부채(10,000) = 5,000원 → 부채비율 = (부채 10,000 ÷ 자기자본 5,000) × 100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자기자본은 15,000원 - 10,000원 = 5,000원입니다. 부채비율은 (부채총계 10,000원 ÷ 자기자본 5,000원) × 100 = 200%입니다.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13] </w:t>
      </w:r>
      <w:r>
        <w:rPr>
          <w:rFonts w:ascii="맑은 고딕" w:hAnsi="맑은 고딕"/>
          <w:b/>
          <w:color w:val="0F172A"/>
          <w:sz w:val="21"/>
        </w:rPr>
        <w:t>[실습 8] 기초 상품 재고액이 2,000만 원, 당기 상품 매입액이 8,000만 원, 기말 상품 재고액이 3,000만 원일 때, 상품매출원가는?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6,000만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7,000만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8,000만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9,000만 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상품매출원가 = 기초 상품 재고액 + 당기 상품 매입액 - 기말 상품 재고액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상품매출원가 = 2,000만 원 + 8,000만 원 - 3,000만 원 = 7,000만 원입니다.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14] </w:t>
      </w:r>
      <w:r>
        <w:rPr>
          <w:rFonts w:ascii="맑은 고딕" w:hAnsi="맑은 고딕"/>
          <w:b/>
          <w:color w:val="0F172A"/>
          <w:sz w:val="21"/>
        </w:rPr>
        <w:t>[실습 9] 설립 자본금이 1,000만 원인 스타트업의 3개년 당기순손익이 2021년 -800만 원, 2022년 +1,200만 원, 2023년 +600만 원일 때, 2023년 말 자기자본은 얼마인가?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1,000만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1,400만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1,800만 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2,000만 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④번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기말 자기자본 = 설립자본금(1,000만) - 800만 + 1,200만 + 600만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당기순손익은 결산 후 이익잉여금으로 자기자본에 누적 편입됩니다. 따라서 기말 자기자본 = 1,000만 - 800만 + 1,200만 + 600만 = 2,000만 원입니다.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15] </w:t>
      </w:r>
      <w:r>
        <w:rPr>
          <w:rFonts w:ascii="맑은 고딕" w:hAnsi="맑은 고딕"/>
          <w:b/>
          <w:color w:val="0F172A"/>
          <w:sz w:val="21"/>
        </w:rPr>
        <w:t>투자계약서의 '진술과 보장(Representations and Warranties)' 조항에 관한 설명으로 대법원 판례의 태도와 일치하는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피투자기업이 고의로 숨긴 사실에 대해서만 손해배상 책임을 지며, 과실로 몰랐던 사실에 대해서는 책임이 면제된다.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진술과 보장 위반 시 피투자기업 대표의 고의나 과실, 인지 여부와 상관없이 객관적 사실과 다르면 계약 위반으로서 손해배상 책임이 인정된다.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진술과 보장은 도덕적 선언에 불과하므로 법적 강제력이 일체 없다.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계약 체결 후 1개월이 지나면 진술과 보장의 효력은 자동 소멸한다.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대법원 판례: 인지 여부나 고의/과실을 불문하고 위반 시 객관적 손해배상 책임 인정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강의 1:16:07 참조: 대법원 판례에 따르면 진술과 보장 조항은 피투자기업이 알았든 몰랐든 객관적 사실과 다르면 계약 위반으로 인정되어 손해배상 책임을 부담하게 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16] </w:t>
      </w:r>
      <w:r>
        <w:rPr>
          <w:rFonts w:ascii="맑은 고딕" w:hAnsi="맑은 고딕"/>
          <w:b/>
          <w:color w:val="0F172A"/>
          <w:sz w:val="21"/>
        </w:rPr>
        <w:t>스타트업에서 중대한 횡령, 배임 또는 투자계약서 상의 중대한 위반 사항이 발생했을 때, 투자자가 회사와 이해관계인(대표)에게 주식을 강제로 되사갈 것을 청구할 수 있는 권리는?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우선매수권 (RoFR)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동반매도청구권 (Drag-along)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주식매수청구권 (풋옵션, Put Option)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전환권 (Conversion Right)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위약벌로 투자원금 + 연 6~8% 복리이자를 물리고 주식을 되사가게 청구하는 권리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계약 위반이나 횡령/배임 시 투자금을 회수하기 위해 행사하는 권리는 '주식매수청구권(풋옵션)'이며, 통상 원금에 연 6~8% 복리이자를 가산하여 청구합니다.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17] </w:t>
      </w:r>
      <w:r>
        <w:rPr>
          <w:rFonts w:ascii="맑은 고딕" w:hAnsi="맑은 고딕"/>
          <w:b/>
          <w:color w:val="0F172A"/>
          <w:sz w:val="21"/>
        </w:rPr>
        <w:t>재무제표 3대 체계인 재무상태표, 손익계산서, 현금흐름표의 본질적인 특성을 바르게 설명한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재무상태표는 일정 기간 동안의 성과를 나타내는 동적 보고서이다.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손익계산서는 특정 시점의 자산과 부채 잔액을 보여주는 정적 보고서이다.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재무상태표는 특정 '시점'의 재무 상태를 나타내고, 손익계산서와 현금흐름표는 일정 '기간' 동안의 경영 성과와 현금 유출입을 나타낸다.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현금흐름표의 당기순이익은 손익계산서의 현금 잔액과 항상 정확히 일치한다.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재무상태표 = 특정 시점(정적) / 손익계산서 및 현금흐름표 = 일정 기간(동적)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재무상태표(Balance Sheet)는 특정 시점의 정적 상태(자산=부채+자본)를 보여주며, 손익계산서와 현금흐름표는 특정 기간 동안의 활동 성과를 보여줍니다.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18] </w:t>
      </w:r>
      <w:r>
        <w:rPr>
          <w:rFonts w:ascii="맑은 고딕" w:hAnsi="맑은 고딕"/>
          <w:b/>
          <w:color w:val="0F172A"/>
          <w:sz w:val="21"/>
        </w:rPr>
        <w:t>국내 벤처투자 생태계에서 정부 재정(중기부, 문체부 등)을 바탕으로 결성되어 개별 벤처펀드(자조합)에 출자하는 상위 펀드를 지칭하는 용어는?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사모투자펀드 (PEF)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모태펀드 (Fund of Funds)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프로젝트 펀드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엔젤클럽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한국벤처투자(KVIC)가 운용하며, 문체부 출자의 K-콘텐츠 특화 계정을 보유한 펀드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정부 정책 자금을 재원으로 개별 벤처캐피탈 펀드에 출자하는 상위 펀드를 '모태펀드(Fund of Funds)'라 하며, 문화체육관광부는 문화계정을 통해 K-콘텐츠를 육성합니다.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19] </w:t>
      </w:r>
      <w:r>
        <w:rPr>
          <w:rFonts w:ascii="맑은 고딕" w:hAnsi="맑은 고딕"/>
          <w:b/>
          <w:color w:val="0F172A"/>
          <w:sz w:val="21"/>
        </w:rPr>
        <w:t>초기 스타트업을 발굴하여 보육(멘토링, 입주공간 제공)하고 시드(Seed) 투자를 집행하는 창업기획자를 지칭하는 투자 주체는?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사모펀드 (PE)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액셀러레이터 (AC, Accelerator)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신기술사업금융회사 (신기사)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신용평가사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보육과 초기 시드 투자를 전문으로 하는 창업기획자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창업 초기 3년 이내 기업을 대상으로 멘토링, 보육 프로그램과 함께 초기 시드 투자를 전문으로 집행하는 주체는 '액셀러레이터(AC, 창업기획자)'입니다.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20] </w:t>
      </w:r>
      <w:r>
        <w:rPr>
          <w:rFonts w:ascii="맑은 고딕" w:hAnsi="맑은 고딕"/>
          <w:b/>
          <w:color w:val="0F172A"/>
          <w:sz w:val="21"/>
        </w:rPr>
        <w:t>벤처투자에 가장 널리 사용되는 '상환전환우선주(RCPS)' 계약서에서, 회사의 실적이 목표에 미달하거나 후속 투자 유치 시 기업가치가 하락(Down Round)했을 때 투자자의 전환 가격을 하향 조정해 주는 보호 장치는?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드래그얼롱 (Drag-along)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리픽싱 (Refixing, 전환가 조정)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콜옵션 (Call Option)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골든셰어 (Golden Share)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강의 1:14:18 참조: 다운 밸류나 실적 미달 시 주당 전환 가격을 낮춰 주식 수를 늘려주는 조항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전환가격 조정(Refixing) 조항은 기업가치가 하락하거나 경영 지표를 미달했을 때 주당 전환가액을 낮추어 투자자의 지분율을 보전해 주는 투자자 보호 장치입니다.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color w:val="94A3B8"/>
        <w:sz w:val="17"/>
      </w:rPr>
      <w:t>- 한국생산성본부 문화창업플래너 자격검정 대비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/>
        <w:color w:val="94A3B8"/>
        <w:sz w:val="17"/>
      </w:rPr>
      <w:t>문화창업플래너 자격시험 실전 핵심 기출예상 모의고사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