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20" w:type="dxa"/>
        <w:tblLook w:val="04A0" w:firstRow="1" w:lastRow="0" w:firstColumn="1" w:lastColumn="0" w:noHBand="0" w:noVBand="1"/>
      </w:tblPr>
      <w:tblGrid>
        <w:gridCol w:w="844"/>
        <w:gridCol w:w="3960"/>
        <w:gridCol w:w="4192"/>
      </w:tblGrid>
      <w:tr w:rsidR="006A727F" w14:paraId="266A4A89" w14:textId="77777777" w:rsidTr="006A727F">
        <w:tc>
          <w:tcPr>
            <w:tcW w:w="844" w:type="dxa"/>
          </w:tcPr>
          <w:p w14:paraId="4F5F28CB" w14:textId="31BEBE00" w:rsidR="006A727F" w:rsidRDefault="006A727F">
            <w:r>
              <w:rPr>
                <w:rFonts w:hint="eastAsia"/>
              </w:rPr>
              <w:t xml:space="preserve">번호 </w:t>
            </w:r>
          </w:p>
        </w:tc>
        <w:tc>
          <w:tcPr>
            <w:tcW w:w="3960" w:type="dxa"/>
          </w:tcPr>
          <w:p w14:paraId="10ACE02C" w14:textId="3AC3EA8E" w:rsidR="006A727F" w:rsidRDefault="006A727F">
            <w:r>
              <w:rPr>
                <w:rFonts w:hint="eastAsia"/>
              </w:rPr>
              <w:t xml:space="preserve">문제 </w:t>
            </w:r>
          </w:p>
        </w:tc>
        <w:tc>
          <w:tcPr>
            <w:tcW w:w="4192" w:type="dxa"/>
          </w:tcPr>
          <w:p w14:paraId="5320A517" w14:textId="3E1C216C" w:rsidR="006A727F" w:rsidRDefault="006A727F">
            <w:r>
              <w:rPr>
                <w:rFonts w:hint="eastAsia"/>
              </w:rPr>
              <w:t xml:space="preserve">근거 규정 및 해설 </w:t>
            </w:r>
          </w:p>
        </w:tc>
      </w:tr>
      <w:tr w:rsidR="006A727F" w14:paraId="46C52233" w14:textId="77777777" w:rsidTr="006A727F">
        <w:tc>
          <w:tcPr>
            <w:tcW w:w="844" w:type="dxa"/>
            <w:vMerge w:val="restart"/>
          </w:tcPr>
          <w:p w14:paraId="56BA21D1" w14:textId="135EA591" w:rsidR="006A727F" w:rsidRDefault="00B531C9">
            <w:r>
              <w:rPr>
                <w:rFonts w:hint="eastAsia"/>
              </w:rPr>
              <w:t>1</w:t>
            </w:r>
          </w:p>
        </w:tc>
        <w:tc>
          <w:tcPr>
            <w:tcW w:w="3960" w:type="dxa"/>
            <w:vMerge w:val="restart"/>
          </w:tcPr>
          <w:p w14:paraId="3DB023AC" w14:textId="008ED800" w:rsidR="006A727F" w:rsidRDefault="00B531C9">
            <w:r>
              <w:rPr>
                <w:rFonts w:ascii="맑은 고딕" w:eastAsia="맑은 고딕" w:hAnsi="맑은 고딕" w:hint="eastAsia"/>
                <w:szCs w:val="22"/>
              </w:rPr>
              <w:t xml:space="preserve">연결실체 내 개별기업 사이의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내부거래가연결재무제표에서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위험회피대상항목으로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지정될수있는지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여부와 근거를 3줄 이내로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기술하시오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>.</w:t>
            </w:r>
            <w:r w:rsidR="006A727F">
              <w:rPr>
                <w:rFonts w:hint="eastAsia"/>
              </w:rPr>
              <w:t xml:space="preserve"> </w:t>
            </w:r>
          </w:p>
        </w:tc>
        <w:tc>
          <w:tcPr>
            <w:tcW w:w="4192" w:type="dxa"/>
          </w:tcPr>
          <w:p w14:paraId="295541AC" w14:textId="64522882" w:rsidR="006A727F" w:rsidRDefault="00B531C9">
            <w:r>
              <w:rPr>
                <w:rFonts w:ascii="맑은 고딕" w:eastAsia="맑은 고딕" w:hAnsi="맑은 고딕" w:hint="eastAsia"/>
                <w:szCs w:val="22"/>
              </w:rPr>
              <w:t>K-IFRS 제1109호(금융상품) 문단 6.3.3은 위험회피대상항목이 연결재무제표에 보고되는 항목이어야 함을 규정하고 있습니다.</w:t>
            </w:r>
          </w:p>
        </w:tc>
      </w:tr>
      <w:tr w:rsidR="006A727F" w14:paraId="7F7738E1" w14:textId="77777777" w:rsidTr="006A727F">
        <w:tc>
          <w:tcPr>
            <w:tcW w:w="844" w:type="dxa"/>
            <w:vMerge/>
          </w:tcPr>
          <w:p w14:paraId="13BDD9A5" w14:textId="77777777" w:rsidR="006A727F" w:rsidRDefault="006A727F"/>
        </w:tc>
        <w:tc>
          <w:tcPr>
            <w:tcW w:w="3960" w:type="dxa"/>
            <w:vMerge/>
          </w:tcPr>
          <w:p w14:paraId="75533D9E" w14:textId="77777777" w:rsidR="006A727F" w:rsidRDefault="006A727F"/>
        </w:tc>
        <w:tc>
          <w:tcPr>
            <w:tcW w:w="4192" w:type="dxa"/>
          </w:tcPr>
          <w:p w14:paraId="156FDCD3" w14:textId="36ED078F" w:rsidR="006A727F" w:rsidRDefault="00B531C9">
            <w:r>
              <w:rPr>
                <w:rFonts w:ascii="맑은 고딕" w:eastAsia="맑은 고딕" w:hAnsi="맑은 고딕" w:hint="eastAsia"/>
                <w:szCs w:val="22"/>
              </w:rPr>
              <w:t xml:space="preserve">연결실체 내부거래에서 발생하는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자산·부채·손익은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연결 과정에서 제거되므로, 연결재무제표상 존재하지 않는 항목입니다. 따라서 내부거래는 위험회피대상항목으로 지정될 수 없습니다. </w:t>
            </w:r>
            <w:r>
              <w:rPr>
                <w:rFonts w:ascii="Apple Color Emoji" w:eastAsia="맑은 고딕" w:hAnsi="Apple Color Emoji" w:cs="Apple Color Emoji"/>
                <w:szCs w:val="22"/>
              </w:rPr>
              <w:t>👉</w:t>
            </w:r>
            <w:r>
              <w:rPr>
                <w:rFonts w:ascii="맑은 고딕" w:eastAsia="맑은 고딕" w:hAnsi="맑은 고딕" w:hint="eastAsia"/>
                <w:szCs w:val="22"/>
              </w:rPr>
              <w:t xml:space="preserve"> 정리: 연결실체 내부거래는 연결재무제표에서 소멸하므로 위험회피대상항목으로 지정 불가입니다.</w:t>
            </w:r>
          </w:p>
        </w:tc>
      </w:tr>
      <w:tr w:rsidR="006A727F" w14:paraId="47526ACF" w14:textId="77777777" w:rsidTr="006A727F">
        <w:tc>
          <w:tcPr>
            <w:tcW w:w="844" w:type="dxa"/>
            <w:vMerge w:val="restart"/>
          </w:tcPr>
          <w:p w14:paraId="1BCE12B7" w14:textId="77777777" w:rsidR="006A727F" w:rsidRDefault="006A727F" w:rsidP="006A727F"/>
        </w:tc>
        <w:tc>
          <w:tcPr>
            <w:tcW w:w="3960" w:type="dxa"/>
            <w:vMerge w:val="restart"/>
          </w:tcPr>
          <w:p w14:paraId="4BB0BD70" w14:textId="6C81BF32" w:rsidR="006A727F" w:rsidRDefault="00B531C9" w:rsidP="006A727F">
            <w:r>
              <w:rPr>
                <w:rFonts w:ascii="맑은 고딕" w:eastAsia="맑은 고딕" w:hAnsi="맑은 고딕" w:hint="eastAsia"/>
                <w:szCs w:val="22"/>
              </w:rPr>
              <w:t xml:space="preserve">운송인은 송하인이 운송인에 대하여 운송의 중지, 운송물의 반환 기타의 처분을 청구하는 경우 이미 운송한 비율에 따른 운임,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체당금과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처분으로 인한 비용의 지급을 청구할 수 있다.</w:t>
            </w:r>
          </w:p>
        </w:tc>
        <w:tc>
          <w:tcPr>
            <w:tcW w:w="4192" w:type="dxa"/>
          </w:tcPr>
          <w:p w14:paraId="56604C0D" w14:textId="6798B341" w:rsidR="006A727F" w:rsidRDefault="006A727F" w:rsidP="006A727F">
            <w:r>
              <w:rPr>
                <w:rFonts w:hint="eastAsia"/>
              </w:rPr>
              <w:t>(근거 규정)</w:t>
            </w:r>
            <w:r w:rsidR="00B531C9">
              <w:rPr>
                <w:rFonts w:ascii="맑은 고딕" w:eastAsia="맑은 고딕" w:hAnsi="맑은 고딕" w:hint="eastAsia"/>
                <w:szCs w:val="22"/>
              </w:rPr>
              <w:t xml:space="preserve"> </w:t>
            </w:r>
            <w:r w:rsidR="00B531C9">
              <w:rPr>
                <w:rFonts w:ascii="맑은 고딕" w:eastAsia="맑은 고딕" w:hAnsi="맑은 고딕" w:hint="eastAsia"/>
                <w:szCs w:val="22"/>
              </w:rPr>
              <w:t xml:space="preserve"> [출처] 상법 제796조 &gt; "운송인은 송하인이 운송인에 대하여 운송의 중지, 운송물의 반환 기타의 처분을 청구하는 경우 이미 운송한 비율에 따른 운임, </w:t>
            </w:r>
            <w:proofErr w:type="spellStart"/>
            <w:r w:rsidR="00B531C9">
              <w:rPr>
                <w:rFonts w:ascii="맑은 고딕" w:eastAsia="맑은 고딕" w:hAnsi="맑은 고딕" w:hint="eastAsia"/>
                <w:szCs w:val="22"/>
              </w:rPr>
              <w:t>체당금과</w:t>
            </w:r>
            <w:proofErr w:type="spellEnd"/>
            <w:r w:rsidR="00B531C9">
              <w:rPr>
                <w:rFonts w:ascii="맑은 고딕" w:eastAsia="맑은 고딕" w:hAnsi="맑은 고딕" w:hint="eastAsia"/>
                <w:szCs w:val="22"/>
              </w:rPr>
              <w:t xml:space="preserve"> 처분으로 인한 비용의 지급을 청구할 수 있다."</w:t>
            </w:r>
          </w:p>
        </w:tc>
      </w:tr>
      <w:tr w:rsidR="00B531C9" w14:paraId="2386D955" w14:textId="77777777" w:rsidTr="006A727F">
        <w:tc>
          <w:tcPr>
            <w:tcW w:w="844" w:type="dxa"/>
            <w:vMerge/>
          </w:tcPr>
          <w:p w14:paraId="3FD86A1B" w14:textId="77777777" w:rsidR="00B531C9" w:rsidRDefault="00B531C9" w:rsidP="00B531C9"/>
        </w:tc>
        <w:tc>
          <w:tcPr>
            <w:tcW w:w="3960" w:type="dxa"/>
            <w:vMerge/>
          </w:tcPr>
          <w:p w14:paraId="6C6B5EA7" w14:textId="77777777" w:rsidR="00B531C9" w:rsidRDefault="00B531C9" w:rsidP="00B531C9"/>
        </w:tc>
        <w:tc>
          <w:tcPr>
            <w:tcW w:w="4192" w:type="dxa"/>
          </w:tcPr>
          <w:p w14:paraId="3EDBA26A" w14:textId="77777777" w:rsidR="00B531C9" w:rsidRDefault="00B531C9" w:rsidP="00B531C9">
            <w:pPr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 xml:space="preserve">- 이 조문은 운송 계약에 따른 운송인의 권리를 명시하고 있습니다. 운송인은 송하인에게 운송의 중지나 운송물의 반환을 </w:t>
            </w:r>
            <w:proofErr w:type="spellStart"/>
            <w:r>
              <w:rPr>
                <w:rFonts w:ascii="맑은 고딕" w:eastAsia="맑은 고딕" w:hAnsi="맑은 고딕" w:hint="eastAsia"/>
                <w:szCs w:val="22"/>
              </w:rPr>
              <w:t>요구받았을</w:t>
            </w:r>
            <w:proofErr w:type="spellEnd"/>
            <w:r>
              <w:rPr>
                <w:rFonts w:ascii="맑은 고딕" w:eastAsia="맑은 고딕" w:hAnsi="맑은 고딕" w:hint="eastAsia"/>
                <w:szCs w:val="22"/>
              </w:rPr>
              <w:t xml:space="preserve"> 때, 이미 운송한 물량에 대해 해당 비율에 따라 운임을 청구할 수 있습니다. 이는 운송인이 제공한 서비스에 대한 보상을 받을 권리를 보장하기 위한 규정입니다. </w:t>
            </w:r>
          </w:p>
          <w:p w14:paraId="16FA6BF5" w14:textId="77777777" w:rsidR="00B531C9" w:rsidRDefault="00B531C9" w:rsidP="00B531C9">
            <w:pPr>
              <w:rPr>
                <w:rFonts w:ascii="맑은 고딕" w:eastAsia="맑은 고딕" w:hAnsi="맑은 고딕"/>
                <w:szCs w:val="22"/>
              </w:rPr>
            </w:pPr>
            <w:r>
              <w:rPr>
                <w:rFonts w:ascii="맑은 고딕" w:eastAsia="맑은 고딕" w:hAnsi="맑은 고딕" w:hint="eastAsia"/>
                <w:szCs w:val="22"/>
              </w:rPr>
              <w:t xml:space="preserve">- 또한, 송하인의 요청으로 인해 발생하는 비용, 즉 반환에 따른 비용이나 다른 처분으로 인한 비용에 대해서도 운송인은 지급을 청구할 수 있습니다. 이는 운송인이 자신의 서비스를 제공하는 과정에서 발생한 비용을 회수할 수 있는 근거를 마련해줍니다. </w:t>
            </w:r>
          </w:p>
          <w:p w14:paraId="6E1B2C7E" w14:textId="0AF292E7" w:rsidR="00B531C9" w:rsidRDefault="00B531C9" w:rsidP="00B531C9">
            <w:r>
              <w:rPr>
                <w:rFonts w:ascii="맑은 고딕" w:eastAsia="맑은 고딕" w:hAnsi="맑은 고딕" w:hint="eastAsia"/>
                <w:szCs w:val="22"/>
              </w:rPr>
              <w:t xml:space="preserve">- 예를 들어, 만약 운송인이 100개의 </w:t>
            </w:r>
            <w:r>
              <w:rPr>
                <w:rFonts w:ascii="맑은 고딕" w:eastAsia="맑은 고딕" w:hAnsi="맑은 고딕" w:hint="eastAsia"/>
                <w:szCs w:val="22"/>
              </w:rPr>
              <w:lastRenderedPageBreak/>
              <w:t xml:space="preserve">화물을 운송하는 계약을 체결하고, 송하인이 50개 화물의 운송을 중지하라고 요청하는 경우, 운송인은 이미 운송한 50개에 대한 운임의 절반을 청구할 수 있습니다. 또한, 화물의 반환 과정에서 발생하는 추가 비용 (예: 반송비용)을 송하인에게 청구할 수 있습니다. </w:t>
            </w:r>
          </w:p>
        </w:tc>
      </w:tr>
    </w:tbl>
    <w:p w14:paraId="74FEBB0B" w14:textId="77777777" w:rsidR="006A727F" w:rsidRDefault="006A727F"/>
    <w:sectPr w:rsidR="006A727F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8D0D0" w14:textId="77777777" w:rsidR="00B81631" w:rsidRDefault="00B81631" w:rsidP="006A727F">
      <w:pPr>
        <w:spacing w:after="0"/>
      </w:pPr>
      <w:r>
        <w:separator/>
      </w:r>
    </w:p>
  </w:endnote>
  <w:endnote w:type="continuationSeparator" w:id="0">
    <w:p w14:paraId="6B6E39AE" w14:textId="77777777" w:rsidR="00B81631" w:rsidRDefault="00B81631" w:rsidP="006A7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A52F" w14:textId="1BB8A4C2" w:rsidR="006A727F" w:rsidRPr="006A727F" w:rsidRDefault="006A727F" w:rsidP="006A727F">
    <w:pPr>
      <w:pStyle w:val="ab"/>
      <w:jc w:val="right"/>
      <w:rPr>
        <w:b/>
        <w:bCs/>
      </w:rPr>
    </w:pPr>
    <w:r w:rsidRPr="006A727F">
      <w:rPr>
        <w:b/>
        <w:bCs/>
      </w:rPr>
      <w:t>Designed by 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3C242" w14:textId="77777777" w:rsidR="00B81631" w:rsidRDefault="00B81631" w:rsidP="006A727F">
      <w:pPr>
        <w:spacing w:after="0"/>
      </w:pPr>
      <w:r>
        <w:separator/>
      </w:r>
    </w:p>
  </w:footnote>
  <w:footnote w:type="continuationSeparator" w:id="0">
    <w:p w14:paraId="7EA2EE0B" w14:textId="77777777" w:rsidR="00B81631" w:rsidRDefault="00B81631" w:rsidP="006A72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18C6F" w14:textId="5B629A9B" w:rsidR="006A727F" w:rsidRPr="006A727F" w:rsidRDefault="006A727F">
    <w:pPr>
      <w:pStyle w:val="aa"/>
      <w:rPr>
        <w:b/>
        <w:bCs/>
      </w:rPr>
    </w:pPr>
    <w:r w:rsidRPr="006A727F">
      <w:rPr>
        <w:b/>
        <w:bCs/>
      </w:rPr>
      <w:t xml:space="preserve">CPA _ </w:t>
    </w:r>
    <w:proofErr w:type="gramStart"/>
    <w:r w:rsidRPr="006A727F">
      <w:rPr>
        <w:b/>
        <w:bCs/>
      </w:rPr>
      <w:t>ARO :</w:t>
    </w:r>
    <w:proofErr w:type="gramEnd"/>
    <w:r w:rsidRPr="006A727F">
      <w:rPr>
        <w:b/>
        <w:bCs/>
      </w:rPr>
      <w:t xml:space="preserve"> Archive</w:t>
    </w:r>
    <w:r w:rsidRPr="006A727F">
      <w:rPr>
        <w:rFonts w:hint="eastAsia"/>
        <w:b/>
        <w:bCs/>
      </w:rPr>
      <w:t xml:space="preserve"> </w:t>
    </w:r>
    <w:r w:rsidRPr="006A727F">
      <w:rPr>
        <w:b/>
        <w:bCs/>
      </w:rPr>
      <w:t>Remind</w:t>
    </w:r>
    <w:r w:rsidRPr="006A727F">
      <w:rPr>
        <w:rFonts w:hint="eastAsia"/>
        <w:b/>
        <w:bCs/>
      </w:rPr>
      <w:t xml:space="preserve"> </w:t>
    </w:r>
    <w:r w:rsidRPr="006A727F">
      <w:rPr>
        <w:b/>
        <w:bCs/>
      </w:rPr>
      <w:t xml:space="preserve">Output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7F"/>
    <w:rsid w:val="00563BFC"/>
    <w:rsid w:val="006A727F"/>
    <w:rsid w:val="00791900"/>
    <w:rsid w:val="00B531C9"/>
    <w:rsid w:val="00B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DA0"/>
  <w15:chartTrackingRefBased/>
  <w15:docId w15:val="{1242B4D0-B045-A545-B7C9-2FF677E2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72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72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72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72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72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72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72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72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72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72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72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72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72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72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72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72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72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72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72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727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A72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A727F"/>
  </w:style>
  <w:style w:type="paragraph" w:styleId="ab">
    <w:name w:val="footer"/>
    <w:basedOn w:val="a"/>
    <w:link w:val="Char4"/>
    <w:uiPriority w:val="99"/>
    <w:unhideWhenUsed/>
    <w:rsid w:val="006A72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A727F"/>
  </w:style>
  <w:style w:type="table" w:styleId="ac">
    <w:name w:val="Table Grid"/>
    <w:basedOn w:val="a1"/>
    <w:uiPriority w:val="39"/>
    <w:rsid w:val="006A72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6A594-43E7-A044-9F02-6CBC045C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태욱 김</dc:creator>
  <cp:keywords/>
  <dc:description/>
  <cp:lastModifiedBy>태욱 김</cp:lastModifiedBy>
  <cp:revision>2</cp:revision>
  <dcterms:created xsi:type="dcterms:W3CDTF">2025-09-15T14:52:00Z</dcterms:created>
  <dcterms:modified xsi:type="dcterms:W3CDTF">2025-09-15T14:52:00Z</dcterms:modified>
</cp:coreProperties>
</file>