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Overlap w:val="never"/>
        <w:tblW w:w="7617"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7388"/>
        <w:gridCol w:w="229"/>
      </w:tblGrid>
      <w:tr w:rsidR="00291369" w14:paraId="2F21384C" w14:textId="77777777" w:rsidTr="001238E7">
        <w:trPr>
          <w:gridAfter w:val="1"/>
          <w:wAfter w:w="229" w:type="dxa"/>
          <w:trHeight w:val="1255"/>
        </w:trPr>
        <w:tc>
          <w:tcPr>
            <w:tcW w:w="7388" w:type="dxa"/>
            <w:tcBorders>
              <w:top w:val="none" w:sz="3" w:space="0" w:color="000000"/>
              <w:left w:val="none" w:sz="3" w:space="0" w:color="000000"/>
              <w:bottom w:val="none" w:sz="3" w:space="0" w:color="000000"/>
              <w:right w:val="none" w:sz="3" w:space="0" w:color="000000"/>
            </w:tcBorders>
            <w:vAlign w:val="center"/>
          </w:tcPr>
          <w:p w14:paraId="7AE8545F" w14:textId="4F095FB3" w:rsidR="00291369" w:rsidRPr="007960E0" w:rsidRDefault="007B5BFA" w:rsidP="0002752D">
            <w:pPr>
              <w:pStyle w:val="aa"/>
              <w:spacing w:line="360" w:lineRule="auto"/>
              <w:rPr>
                <w:rFonts w:ascii="Arial" w:hAnsi="Arial" w:cs="Arial"/>
              </w:rPr>
            </w:pPr>
            <w:r w:rsidRPr="007B5BFA">
              <w:rPr>
                <w:rFonts w:ascii="Arial" w:hAnsi="Arial" w:cs="Arial" w:hint="eastAsia"/>
                <w:color w:val="000000" w:themeColor="text1"/>
              </w:rPr>
              <w:t>Thesis for Degree of Master</w:t>
            </w:r>
          </w:p>
          <w:p w14:paraId="3DF9B1A7" w14:textId="05426FB2" w:rsidR="00291369" w:rsidRPr="007960E0" w:rsidRDefault="006D61CA" w:rsidP="0002752D">
            <w:pPr>
              <w:pStyle w:val="aa"/>
              <w:spacing w:line="360" w:lineRule="auto"/>
              <w:rPr>
                <w:rFonts w:ascii="Arial" w:hAnsi="Arial" w:cs="Arial"/>
              </w:rPr>
            </w:pPr>
            <w:r w:rsidRPr="007960E0">
              <w:rPr>
                <w:rFonts w:ascii="Arial" w:hAnsi="Arial" w:cs="Arial"/>
              </w:rPr>
              <w:t>Supervisor : Prof. [지도교수 성명]</w:t>
            </w:r>
          </w:p>
        </w:tc>
      </w:tr>
      <w:tr w:rsidR="0081097D" w14:paraId="15E95065" w14:textId="77777777" w:rsidTr="001238E7">
        <w:trPr>
          <w:gridAfter w:val="1"/>
          <w:wAfter w:w="229" w:type="dxa"/>
          <w:trHeight w:val="878"/>
        </w:trPr>
        <w:tc>
          <w:tcPr>
            <w:tcW w:w="7388" w:type="dxa"/>
            <w:tcBorders>
              <w:top w:val="none" w:sz="3" w:space="0" w:color="000000"/>
              <w:left w:val="none" w:sz="3" w:space="0" w:color="000000"/>
              <w:bottom w:val="none" w:sz="3" w:space="0" w:color="000000"/>
              <w:right w:val="none" w:sz="3" w:space="0" w:color="000000"/>
            </w:tcBorders>
            <w:vAlign w:val="center"/>
          </w:tcPr>
          <w:p w14:paraId="4BBC67DC" w14:textId="77777777" w:rsidR="0081097D" w:rsidRPr="0081097D" w:rsidRDefault="0081097D" w:rsidP="0081097D">
            <w:pPr>
              <w:pBdr>
                <w:top w:val="none" w:sz="0" w:space="0" w:color="auto"/>
                <w:left w:val="none" w:sz="0" w:space="0" w:color="auto"/>
                <w:bottom w:val="none" w:sz="0" w:space="0" w:color="auto"/>
                <w:right w:val="none" w:sz="0" w:space="0" w:color="auto"/>
              </w:pBdr>
              <w:wordWrap/>
              <w:spacing w:line="384" w:lineRule="auto"/>
              <w:rPr>
                <w:rFonts w:eastAsia="맑은 고딕" w:hAnsi="맑은 고딕" w:cs="굴림"/>
                <w:b/>
                <w:bCs/>
                <w:kern w:val="0"/>
                <w:sz w:val="36"/>
                <w:szCs w:val="36"/>
              </w:rPr>
            </w:pPr>
          </w:p>
        </w:tc>
      </w:tr>
      <w:tr w:rsidR="00291369" w14:paraId="09BB8964" w14:textId="77777777" w:rsidTr="001238E7">
        <w:trPr>
          <w:gridAfter w:val="1"/>
          <w:wAfter w:w="229" w:type="dxa"/>
          <w:trHeight w:val="6337"/>
        </w:trPr>
        <w:tc>
          <w:tcPr>
            <w:tcW w:w="7388" w:type="dxa"/>
            <w:tcBorders>
              <w:top w:val="none" w:sz="3" w:space="0" w:color="000000"/>
              <w:left w:val="none" w:sz="3" w:space="0" w:color="000000"/>
              <w:bottom w:val="none" w:sz="3" w:space="0" w:color="000000"/>
              <w:right w:val="none" w:sz="3" w:space="0" w:color="000000"/>
            </w:tcBorders>
            <w:vAlign w:val="center"/>
          </w:tcPr>
          <w:p w14:paraId="4F72E8F7" w14:textId="6DE44E72" w:rsidR="00291369" w:rsidRPr="007960E0" w:rsidRDefault="006D61CA" w:rsidP="0002752D">
            <w:pPr>
              <w:pStyle w:val="aa"/>
              <w:wordWrap/>
              <w:spacing w:line="360" w:lineRule="auto"/>
              <w:jc w:val="center"/>
              <w:rPr>
                <w:rFonts w:ascii="Arial" w:hAnsi="Arial" w:cs="Arial"/>
                <w:sz w:val="40"/>
              </w:rPr>
            </w:pPr>
            <w:r w:rsidRPr="007960E0">
              <w:rPr>
                <w:rFonts w:ascii="Arial" w:hAnsi="Arial" w:cs="Arial"/>
                <w:sz w:val="40"/>
              </w:rPr>
              <w:t>Domain Adaptation of Lightweight Vision-Language Models for Medical Visual Question Answering: QLoRA Fine-Tuning with Autonomous Hyperparameter Optimization</w:t>
            </w:r>
          </w:p>
          <w:p w14:paraId="066030E3" w14:textId="6AA26997" w:rsidR="00291369" w:rsidRPr="007960E0" w:rsidRDefault="006D61CA" w:rsidP="0002752D">
            <w:pPr>
              <w:pStyle w:val="aa"/>
              <w:wordWrap/>
              <w:spacing w:line="360" w:lineRule="auto"/>
              <w:jc w:val="center"/>
              <w:rPr>
                <w:rFonts w:ascii="Arial" w:hAnsi="Arial" w:cs="Arial"/>
                <w:sz w:val="32"/>
              </w:rPr>
            </w:pPr>
            <w:r w:rsidRPr="007960E0">
              <w:rPr>
                <w:rFonts w:ascii="Arial" w:hAnsi="Arial" w:cs="Arial"/>
                <w:sz w:val="32"/>
              </w:rPr>
            </w:r>
          </w:p>
          <w:p w14:paraId="3340302F" w14:textId="77777777" w:rsidR="00291369" w:rsidRPr="007960E0" w:rsidRDefault="00291369" w:rsidP="0002752D">
            <w:pPr>
              <w:pStyle w:val="aa"/>
              <w:wordWrap/>
              <w:spacing w:line="360" w:lineRule="auto"/>
              <w:jc w:val="center"/>
              <w:rPr>
                <w:rFonts w:ascii="Arial" w:eastAsia="휴먼명조" w:hAnsi="Arial" w:cs="Arial"/>
              </w:rPr>
            </w:pPr>
          </w:p>
          <w:p w14:paraId="40854BFF" w14:textId="77777777" w:rsidR="00291369" w:rsidRPr="007960E0" w:rsidRDefault="00291369" w:rsidP="0002752D">
            <w:pPr>
              <w:pStyle w:val="aa"/>
              <w:wordWrap/>
              <w:spacing w:line="360" w:lineRule="auto"/>
              <w:jc w:val="center"/>
              <w:rPr>
                <w:rFonts w:ascii="Arial" w:eastAsia="휴먼명조" w:hAnsi="Arial" w:cs="Arial"/>
              </w:rPr>
            </w:pPr>
          </w:p>
          <w:p w14:paraId="54C15612" w14:textId="77777777" w:rsidR="00291369" w:rsidRPr="007960E0" w:rsidRDefault="00291369" w:rsidP="0002752D">
            <w:pPr>
              <w:pStyle w:val="aa"/>
              <w:wordWrap/>
              <w:spacing w:line="360" w:lineRule="auto"/>
              <w:jc w:val="center"/>
              <w:rPr>
                <w:rFonts w:ascii="Arial" w:eastAsia="휴먼명조" w:hAnsi="Arial" w:cs="Arial"/>
              </w:rPr>
            </w:pPr>
          </w:p>
          <w:p w14:paraId="180FC19D" w14:textId="77777777" w:rsidR="00291369" w:rsidRDefault="00291369" w:rsidP="0002752D">
            <w:pPr>
              <w:pStyle w:val="aa"/>
              <w:wordWrap/>
              <w:spacing w:line="360" w:lineRule="auto"/>
              <w:jc w:val="center"/>
              <w:rPr>
                <w:rFonts w:ascii="Arial" w:eastAsiaTheme="minorEastAsia" w:hAnsi="Arial" w:cs="Arial"/>
              </w:rPr>
            </w:pPr>
          </w:p>
          <w:p w14:paraId="2F836C0B" w14:textId="77777777" w:rsidR="007960E0" w:rsidRDefault="007960E0" w:rsidP="0002752D">
            <w:pPr>
              <w:pStyle w:val="aa"/>
              <w:wordWrap/>
              <w:spacing w:line="360" w:lineRule="auto"/>
              <w:jc w:val="center"/>
              <w:rPr>
                <w:rFonts w:ascii="Arial" w:eastAsiaTheme="minorEastAsia" w:hAnsi="Arial" w:cs="Arial"/>
              </w:rPr>
            </w:pPr>
          </w:p>
          <w:p w14:paraId="5FD4AAD3" w14:textId="77777777" w:rsidR="007960E0" w:rsidRDefault="007960E0" w:rsidP="0002752D">
            <w:pPr>
              <w:pStyle w:val="aa"/>
              <w:wordWrap/>
              <w:spacing w:line="360" w:lineRule="auto"/>
              <w:jc w:val="center"/>
              <w:rPr>
                <w:rFonts w:ascii="Arial" w:eastAsiaTheme="minorEastAsia" w:hAnsi="Arial" w:cs="Arial"/>
              </w:rPr>
            </w:pPr>
          </w:p>
          <w:p w14:paraId="7CAA4FC5" w14:textId="77777777" w:rsidR="00291369" w:rsidRDefault="00291369" w:rsidP="0002752D">
            <w:pPr>
              <w:pStyle w:val="aa"/>
              <w:wordWrap/>
              <w:spacing w:line="360" w:lineRule="auto"/>
              <w:jc w:val="center"/>
              <w:rPr>
                <w:rFonts w:ascii="Arial" w:eastAsiaTheme="minorEastAsia" w:hAnsi="Arial" w:cs="Arial"/>
              </w:rPr>
            </w:pPr>
          </w:p>
          <w:p w14:paraId="2CC320B8" w14:textId="77777777" w:rsidR="007960E0" w:rsidRPr="007960E0" w:rsidRDefault="007960E0" w:rsidP="0002752D">
            <w:pPr>
              <w:pStyle w:val="aa"/>
              <w:wordWrap/>
              <w:spacing w:line="360" w:lineRule="auto"/>
              <w:jc w:val="center"/>
              <w:rPr>
                <w:rFonts w:ascii="Arial" w:eastAsiaTheme="minorEastAsia" w:hAnsi="Arial" w:cs="Arial"/>
              </w:rPr>
            </w:pPr>
          </w:p>
          <w:p w14:paraId="54CAF8E7" w14:textId="6592C798" w:rsidR="00291369" w:rsidRPr="007960E0" w:rsidRDefault="006D61CA" w:rsidP="0002752D">
            <w:pPr>
              <w:pStyle w:val="aa"/>
              <w:wordWrap/>
              <w:spacing w:line="360" w:lineRule="auto"/>
              <w:jc w:val="center"/>
              <w:rPr>
                <w:rFonts w:ascii="Arial" w:hAnsi="Arial" w:cs="Arial"/>
              </w:rPr>
            </w:pPr>
            <w:r w:rsidRPr="007960E0">
              <w:rPr>
                <w:rFonts w:ascii="Arial" w:hAnsi="Arial" w:cs="Arial"/>
              </w:rPr>
              <w:t>Submitted by</w:t>
            </w:r>
          </w:p>
        </w:tc>
      </w:tr>
      <w:tr w:rsidR="00291369" w14:paraId="61977D7C" w14:textId="77777777" w:rsidTr="001238E7">
        <w:trPr>
          <w:gridAfter w:val="1"/>
          <w:wAfter w:w="229" w:type="dxa"/>
          <w:trHeight w:val="681"/>
        </w:trPr>
        <w:tc>
          <w:tcPr>
            <w:tcW w:w="7388" w:type="dxa"/>
            <w:tcBorders>
              <w:top w:val="none" w:sz="3" w:space="0" w:color="000000"/>
              <w:left w:val="none" w:sz="3" w:space="0" w:color="000000"/>
              <w:bottom w:val="none" w:sz="3" w:space="0" w:color="000000"/>
              <w:right w:val="none" w:sz="3" w:space="0" w:color="000000"/>
            </w:tcBorders>
            <w:vAlign w:val="center"/>
          </w:tcPr>
          <w:p w14:paraId="7A928223" w14:textId="143DDC97" w:rsidR="00291369" w:rsidRPr="007960E0" w:rsidRDefault="006D61CA" w:rsidP="0002752D">
            <w:pPr>
              <w:pStyle w:val="aa"/>
              <w:wordWrap/>
              <w:spacing w:line="360" w:lineRule="auto"/>
              <w:jc w:val="center"/>
              <w:rPr>
                <w:rFonts w:ascii="Arial" w:hAnsi="Arial" w:cs="Arial"/>
              </w:rPr>
            </w:pPr>
            <w:r w:rsidRPr="007960E0">
              <w:rPr>
                <w:rFonts w:ascii="Arial" w:hAnsi="Arial" w:cs="Arial"/>
                <w:sz w:val="36"/>
              </w:rPr>
              <w:t>Hwang, Taewook</w:t>
            </w:r>
          </w:p>
        </w:tc>
      </w:tr>
      <w:tr w:rsidR="00291369" w14:paraId="5F2437B7" w14:textId="77777777" w:rsidTr="001238E7">
        <w:trPr>
          <w:gridAfter w:val="1"/>
          <w:wAfter w:w="229" w:type="dxa"/>
          <w:trHeight w:val="490"/>
        </w:trPr>
        <w:tc>
          <w:tcPr>
            <w:tcW w:w="7388" w:type="dxa"/>
            <w:tcBorders>
              <w:top w:val="none" w:sz="3" w:space="0" w:color="000000"/>
              <w:left w:val="none" w:sz="3" w:space="0" w:color="000000"/>
              <w:bottom w:val="none" w:sz="3" w:space="0" w:color="000000"/>
              <w:right w:val="none" w:sz="3" w:space="0" w:color="000000"/>
            </w:tcBorders>
            <w:vAlign w:val="center"/>
          </w:tcPr>
          <w:p w14:paraId="0BB5F928" w14:textId="2444413B" w:rsidR="00291369" w:rsidRPr="007960E0" w:rsidRDefault="00663C9B" w:rsidP="00663C9B">
            <w:pPr>
              <w:pStyle w:val="aa"/>
              <w:wordWrap/>
              <w:spacing w:line="360" w:lineRule="auto"/>
              <w:jc w:val="center"/>
              <w:rPr>
                <w:rFonts w:ascii="Arial" w:hAnsi="Arial" w:cs="Arial"/>
              </w:rPr>
            </w:pPr>
            <w:commentRangeStart w:id="0"/>
            <w:r>
              <w:rPr>
                <w:rFonts w:ascii="Arial" w:hAnsi="Arial" w:cs="Arial" w:hint="eastAsia"/>
                <w:sz w:val="32"/>
              </w:rPr>
              <w:t>[학위수여 년월]</w:t>
            </w:r>
            <w:commentRangeEnd w:id="0"/>
          </w:p>
        </w:tc>
      </w:tr>
      <w:tr w:rsidR="00291369" w14:paraId="6DD7E50F" w14:textId="77777777" w:rsidTr="001238E7">
        <w:trPr>
          <w:gridAfter w:val="1"/>
          <w:wAfter w:w="229" w:type="dxa"/>
          <w:trHeight w:val="546"/>
        </w:trPr>
        <w:tc>
          <w:tcPr>
            <w:tcW w:w="7388" w:type="dxa"/>
            <w:tcBorders>
              <w:top w:val="none" w:sz="3" w:space="0" w:color="000000"/>
              <w:left w:val="none" w:sz="3" w:space="0" w:color="000000"/>
              <w:bottom w:val="none" w:sz="3" w:space="0" w:color="000000"/>
              <w:right w:val="none" w:sz="3" w:space="0" w:color="000000"/>
            </w:tcBorders>
            <w:vAlign w:val="center"/>
          </w:tcPr>
          <w:p w14:paraId="0B7A4C90" w14:textId="77777777" w:rsidR="00291369" w:rsidRPr="007960E0" w:rsidRDefault="00291369" w:rsidP="0002752D">
            <w:pPr>
              <w:pStyle w:val="aa"/>
              <w:wordWrap/>
              <w:spacing w:line="360" w:lineRule="auto"/>
              <w:jc w:val="center"/>
              <w:rPr>
                <w:rFonts w:ascii="Arial" w:eastAsia="휴먼명조" w:hAnsi="Arial" w:cs="Arial"/>
              </w:rPr>
            </w:pPr>
          </w:p>
        </w:tc>
      </w:tr>
      <w:tr w:rsidR="00291369" w14:paraId="2FE590B1" w14:textId="77777777" w:rsidTr="001238E7">
        <w:trPr>
          <w:gridAfter w:val="1"/>
          <w:wAfter w:w="229" w:type="dxa"/>
          <w:trHeight w:val="421"/>
        </w:trPr>
        <w:tc>
          <w:tcPr>
            <w:tcW w:w="7388" w:type="dxa"/>
            <w:tcBorders>
              <w:top w:val="none" w:sz="3" w:space="0" w:color="000000"/>
              <w:left w:val="none" w:sz="3" w:space="0" w:color="000000"/>
              <w:bottom w:val="none" w:sz="3" w:space="0" w:color="000000"/>
              <w:right w:val="none" w:sz="3" w:space="0" w:color="000000"/>
            </w:tcBorders>
            <w:vAlign w:val="center"/>
          </w:tcPr>
          <w:p w14:paraId="0E7B6BDC" w14:textId="0D2F9C90" w:rsidR="00291369" w:rsidRPr="007960E0" w:rsidRDefault="006D61CA" w:rsidP="0002752D">
            <w:pPr>
              <w:pStyle w:val="aa"/>
              <w:wordWrap/>
              <w:spacing w:line="360" w:lineRule="auto"/>
              <w:jc w:val="center"/>
              <w:rPr>
                <w:rFonts w:ascii="Arial" w:hAnsi="Arial" w:cs="Arial"/>
              </w:rPr>
            </w:pPr>
            <w:commentRangeStart w:id="1"/>
            <w:r w:rsidRPr="007960E0">
              <w:rPr>
                <w:rFonts w:ascii="Arial" w:hAnsi="Arial" w:cs="Arial"/>
                <w:sz w:val="32"/>
              </w:rPr>
              <w:t>Department of Convergence Information Technology</w:t>
            </w:r>
            <w:commentRangeEnd w:id="1"/>
          </w:p>
        </w:tc>
      </w:tr>
      <w:tr w:rsidR="00291369" w14:paraId="577043C6" w14:textId="77777777" w:rsidTr="001238E7">
        <w:trPr>
          <w:gridAfter w:val="1"/>
          <w:wAfter w:w="229" w:type="dxa"/>
          <w:trHeight w:val="302"/>
        </w:trPr>
        <w:tc>
          <w:tcPr>
            <w:tcW w:w="7388" w:type="dxa"/>
            <w:tcBorders>
              <w:top w:val="none" w:sz="3" w:space="0" w:color="000000"/>
              <w:left w:val="none" w:sz="3" w:space="0" w:color="000000"/>
              <w:bottom w:val="none" w:sz="3" w:space="0" w:color="000000"/>
              <w:right w:val="none" w:sz="3" w:space="0" w:color="000000"/>
            </w:tcBorders>
            <w:vAlign w:val="center"/>
          </w:tcPr>
          <w:p w14:paraId="14ECB1DE" w14:textId="4E5C1A13" w:rsidR="00291369" w:rsidRPr="007960E0" w:rsidRDefault="006D61CA" w:rsidP="0002752D">
            <w:pPr>
              <w:pStyle w:val="aa"/>
              <w:wordWrap/>
              <w:spacing w:line="360" w:lineRule="auto"/>
              <w:jc w:val="center"/>
              <w:rPr>
                <w:rFonts w:ascii="Arial" w:hAnsi="Arial" w:cs="Arial"/>
              </w:rPr>
            </w:pPr>
            <w:commentRangeStart w:id="2"/>
            <w:r w:rsidRPr="007960E0">
              <w:rPr>
                <w:rFonts w:ascii="Arial" w:hAnsi="Arial" w:cs="Arial"/>
                <w:sz w:val="32"/>
              </w:rPr>
              <w:t>Graduate School of Information &amp; Telecommunications</w:t>
            </w:r>
            <w:commentRangeEnd w:id="2"/>
          </w:p>
        </w:tc>
      </w:tr>
      <w:tr w:rsidR="00291369" w14:paraId="7F61F192" w14:textId="77777777" w:rsidTr="001238E7">
        <w:trPr>
          <w:trHeight w:val="162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08E4F0A1" w14:textId="57E03DAB" w:rsidR="00291369" w:rsidRPr="0002752D" w:rsidRDefault="006D61CA" w:rsidP="0002752D">
            <w:pPr>
              <w:pStyle w:val="ab"/>
              <w:spacing w:line="360" w:lineRule="auto"/>
              <w:rPr>
                <w:rFonts w:ascii="Arial" w:hAnsi="Arial" w:cs="Arial"/>
              </w:rPr>
            </w:pPr>
            <w:r w:rsidRPr="0002752D">
              <w:rPr>
                <w:rFonts w:ascii="Arial" w:hAnsi="Arial" w:cs="Arial"/>
                <w:w w:val="97"/>
                <w:sz w:val="40"/>
                <w:shd w:val="clear" w:color="000000" w:fill="auto"/>
              </w:rPr>
              <w:t>Domain Adaptation of Lightweight Vision-Language Models for Medical Visual Question Answering: QLoRA Fine-Tuning with Autonomous Hyperparameter Optimization</w:t>
            </w:r>
          </w:p>
          <w:p w14:paraId="51F000F7" w14:textId="6D046EA0" w:rsidR="00291369" w:rsidRPr="0002752D" w:rsidRDefault="006D61CA" w:rsidP="0002752D">
            <w:pPr>
              <w:pStyle w:val="ac"/>
              <w:spacing w:line="360" w:lineRule="auto"/>
              <w:rPr>
                <w:rFonts w:ascii="Arial" w:hAnsi="Arial" w:cs="Arial"/>
              </w:rPr>
            </w:pPr>
            <w:r w:rsidRPr="0002752D">
              <w:rPr>
                <w:rFonts w:ascii="Arial" w:hAnsi="Arial" w:cs="Arial"/>
                <w:w w:val="97"/>
                <w:shd w:val="clear" w:color="000000" w:fill="auto"/>
              </w:rPr>
            </w:r>
          </w:p>
        </w:tc>
      </w:tr>
      <w:tr w:rsidR="00291369" w14:paraId="479EBF63" w14:textId="77777777" w:rsidTr="001238E7">
        <w:trPr>
          <w:trHeight w:val="205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6B7D792E" w14:textId="77777777" w:rsidR="00291369" w:rsidRPr="0002752D" w:rsidRDefault="00291369" w:rsidP="0002752D">
            <w:pPr>
              <w:pStyle w:val="ab"/>
              <w:spacing w:line="360" w:lineRule="auto"/>
              <w:jc w:val="both"/>
              <w:rPr>
                <w:rFonts w:ascii="Arial" w:eastAsiaTheme="minorEastAsia" w:hAnsi="Arial" w:cs="Arial"/>
                <w:w w:val="97"/>
                <w:sz w:val="40"/>
                <w:shd w:val="clear" w:color="000000" w:fill="auto"/>
              </w:rPr>
            </w:pPr>
          </w:p>
        </w:tc>
      </w:tr>
      <w:tr w:rsidR="00291369" w14:paraId="1C0FE16A" w14:textId="77777777" w:rsidTr="001238E7">
        <w:trPr>
          <w:trHeight w:val="2931"/>
        </w:trPr>
        <w:tc>
          <w:tcPr>
            <w:tcW w:w="7617" w:type="dxa"/>
            <w:gridSpan w:val="2"/>
            <w:tcBorders>
              <w:top w:val="none" w:sz="3" w:space="0" w:color="000000"/>
              <w:left w:val="none" w:sz="3" w:space="0" w:color="000000"/>
              <w:bottom w:val="none" w:sz="3" w:space="0" w:color="000000"/>
              <w:right w:val="none" w:sz="3" w:space="0" w:color="000000"/>
            </w:tcBorders>
            <w:vAlign w:val="center"/>
          </w:tcPr>
          <w:p w14:paraId="4A808502" w14:textId="5B8D43FF" w:rsidR="00961B8C" w:rsidRPr="0002752D" w:rsidRDefault="00961B8C" w:rsidP="00961B8C">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 xml:space="preserve">A </w:t>
            </w:r>
            <w:r w:rsidR="007B5BFA">
              <w:rPr>
                <w:rFonts w:ascii="Arial" w:hAnsi="Arial" w:cs="Arial"/>
                <w:b/>
                <w:w w:val="97"/>
                <w:sz w:val="28"/>
              </w:rPr>
              <w:t>Master’s Thesis</w:t>
            </w:r>
            <w:r>
              <w:rPr>
                <w:rFonts w:ascii="Arial" w:hAnsi="Arial" w:cs="Arial"/>
                <w:b/>
                <w:w w:val="97"/>
                <w:sz w:val="28"/>
              </w:rPr>
              <w:t xml:space="preserve"> </w:t>
            </w:r>
          </w:p>
          <w:p w14:paraId="02A9DA2E"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submitted to the Department of Convergence Information Technology</w:t>
            </w:r>
          </w:p>
          <w:p w14:paraId="4923CF48"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and the Graduate School of Konkuk University</w:t>
            </w:r>
          </w:p>
          <w:p w14:paraId="7DD3DC50"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in partial fulfillment of the</w:t>
            </w:r>
          </w:p>
          <w:p w14:paraId="43B7F421"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requirements for the degree of</w:t>
            </w:r>
          </w:p>
          <w:p w14:paraId="031D74A0" w14:textId="2D8853A0"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commentRangeStart w:id="3"/>
            <w:r w:rsidRPr="0002752D">
              <w:rPr>
                <w:rFonts w:ascii="Arial" w:hAnsi="Arial" w:cs="Arial"/>
                <w:b/>
                <w:w w:val="97"/>
                <w:sz w:val="28"/>
              </w:rPr>
              <w:t>[Master of xxx].</w:t>
            </w:r>
            <w:commentRangeEnd w:id="3"/>
          </w:p>
        </w:tc>
      </w:tr>
      <w:tr w:rsidR="00291369" w14:paraId="53EE2EB8" w14:textId="77777777" w:rsidTr="001238E7">
        <w:trPr>
          <w:trHeight w:val="1223"/>
        </w:trPr>
        <w:tc>
          <w:tcPr>
            <w:tcW w:w="7617" w:type="dxa"/>
            <w:gridSpan w:val="2"/>
            <w:tcBorders>
              <w:top w:val="none" w:sz="3" w:space="0" w:color="000000"/>
              <w:left w:val="none" w:sz="3" w:space="0" w:color="000000"/>
              <w:bottom w:val="none" w:sz="3" w:space="0" w:color="000000"/>
              <w:right w:val="none" w:sz="3" w:space="0" w:color="000000"/>
            </w:tcBorders>
            <w:vAlign w:val="center"/>
          </w:tcPr>
          <w:p w14:paraId="28475755" w14:textId="637DAF69"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Submitted by</w:t>
            </w:r>
          </w:p>
        </w:tc>
      </w:tr>
      <w:tr w:rsidR="00291369" w14:paraId="0BD5E2B8" w14:textId="77777777" w:rsidTr="001238E7">
        <w:trPr>
          <w:trHeight w:val="492"/>
        </w:trPr>
        <w:tc>
          <w:tcPr>
            <w:tcW w:w="7617" w:type="dxa"/>
            <w:gridSpan w:val="2"/>
            <w:tcBorders>
              <w:top w:val="none" w:sz="3" w:space="0" w:color="000000"/>
              <w:left w:val="none" w:sz="3" w:space="0" w:color="000000"/>
              <w:bottom w:val="none" w:sz="3" w:space="0" w:color="000000"/>
              <w:right w:val="none" w:sz="3" w:space="0" w:color="000000"/>
            </w:tcBorders>
            <w:vAlign w:val="center"/>
          </w:tcPr>
          <w:p w14:paraId="738336B0" w14:textId="77CE6665"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36"/>
              </w:rPr>
              <w:t>Hwang, Taewook</w:t>
            </w:r>
          </w:p>
        </w:tc>
      </w:tr>
      <w:tr w:rsidR="00291369" w14:paraId="45AD2707" w14:textId="77777777" w:rsidTr="001238E7">
        <w:trPr>
          <w:trHeight w:val="82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27676C29" w14:textId="77777777" w:rsidR="00291369" w:rsidRPr="0002752D" w:rsidRDefault="00291369" w:rsidP="0002752D">
            <w:pPr>
              <w:pStyle w:val="af3"/>
              <w:spacing w:line="360" w:lineRule="auto"/>
              <w:rPr>
                <w:rFonts w:ascii="Arial" w:eastAsia="휴먼명조" w:hAnsi="Arial" w:cs="Arial"/>
                <w:color w:val="0059FF"/>
                <w:w w:val="97"/>
                <w:shd w:val="clear" w:color="000000" w:fill="auto"/>
              </w:rPr>
            </w:pPr>
          </w:p>
        </w:tc>
      </w:tr>
      <w:tr w:rsidR="00291369" w14:paraId="2321AD3E" w14:textId="77777777" w:rsidTr="001238E7">
        <w:trPr>
          <w:trHeight w:val="140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1EBF11FC" w14:textId="77777777" w:rsidR="00291369" w:rsidRPr="0002752D" w:rsidRDefault="00291369" w:rsidP="0002752D">
            <w:pPr>
              <w:pStyle w:val="af4"/>
              <w:spacing w:line="360" w:lineRule="auto"/>
              <w:rPr>
                <w:rFonts w:ascii="Arial" w:eastAsia="휴먼명조" w:hAnsi="Arial" w:cs="Arial"/>
                <w:color w:val="0059FF"/>
                <w:w w:val="97"/>
                <w:shd w:val="clear" w:color="000000" w:fill="auto"/>
              </w:rPr>
            </w:pPr>
          </w:p>
        </w:tc>
      </w:tr>
      <w:tr w:rsidR="00291369" w14:paraId="3BA5A423" w14:textId="77777777" w:rsidTr="001238E7">
        <w:trPr>
          <w:trHeight w:val="426"/>
        </w:trPr>
        <w:tc>
          <w:tcPr>
            <w:tcW w:w="7617" w:type="dxa"/>
            <w:gridSpan w:val="2"/>
            <w:tcBorders>
              <w:top w:val="none" w:sz="3" w:space="0" w:color="000000"/>
              <w:left w:val="none" w:sz="3" w:space="0" w:color="000000"/>
              <w:bottom w:val="none" w:sz="3" w:space="0" w:color="000000"/>
              <w:right w:val="none" w:sz="3" w:space="0" w:color="000000"/>
            </w:tcBorders>
            <w:vAlign w:val="center"/>
          </w:tcPr>
          <w:p w14:paraId="5DFFDBF1" w14:textId="210C4E0A" w:rsidR="00291369" w:rsidRPr="0002752D" w:rsidRDefault="00663C9B" w:rsidP="00663C9B">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commentRangeStart w:id="4"/>
            <w:r>
              <w:rPr>
                <w:rFonts w:ascii="Arial" w:hAnsi="Arial" w:cs="Arial"/>
                <w:b/>
                <w:w w:val="97"/>
                <w:sz w:val="32"/>
              </w:rPr>
              <w:t>[청구 년월]</w:t>
            </w:r>
            <w:commentRangeEnd w:id="4"/>
          </w:p>
        </w:tc>
      </w:tr>
    </w:tbl>
    <w:p w14:paraId="5C96A8A8" w14:textId="77777777" w:rsidR="00291369" w:rsidRDefault="00291369">
      <w:pPr>
        <w:pStyle w:val="a3"/>
        <w:snapToGrid/>
        <w:sectPr w:rsidR="00291369" w:rsidSect="001238E7">
          <w:headerReference w:type="even" r:id="rId9"/>
          <w:headerReference w:type="default" r:id="rId10"/>
          <w:footerReference w:type="even" r:id="rId11"/>
          <w:footerReference w:type="default" r:id="rId12"/>
          <w:headerReference w:type="first" r:id="rId13"/>
          <w:footerReference w:type="first" r:id="rId14"/>
          <w:endnotePr>
            <w:numFmt w:val="decimal"/>
          </w:endnotePr>
          <w:pgSz w:w="10318" w:h="14570" w:code="13"/>
          <w:pgMar w:top="1418" w:right="1418" w:bottom="1418" w:left="1418" w:header="0" w:footer="0" w:gutter="0"/>
          <w:cols w:space="0"/>
          <w:docGrid w:linePitch="299"/>
        </w:sectPr>
      </w:pPr>
    </w:p>
    <w:tbl>
      <w:tblPr>
        <w:tblOverlap w:val="never"/>
        <w:tblW w:w="7344"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1073"/>
        <w:gridCol w:w="1467"/>
        <w:gridCol w:w="3784"/>
        <w:gridCol w:w="1020"/>
      </w:tblGrid>
      <w:tr w:rsidR="00291369" w14:paraId="632B5C0D" w14:textId="77777777" w:rsidTr="00A803C0">
        <w:trPr>
          <w:trHeight w:val="431"/>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AD11BFC" w14:textId="77777777" w:rsidR="00291369" w:rsidRPr="0002752D" w:rsidRDefault="00291369" w:rsidP="0002752D">
            <w:pPr>
              <w:pStyle w:val="a3"/>
              <w:wordWrap/>
              <w:spacing w:line="360" w:lineRule="auto"/>
              <w:jc w:val="center"/>
              <w:rPr>
                <w:rFonts w:ascii="Arial" w:eastAsia="한양신명조" w:hAnsi="Arial" w:cs="Arial"/>
                <w:w w:val="97"/>
              </w:rPr>
            </w:pPr>
          </w:p>
        </w:tc>
      </w:tr>
      <w:tr w:rsidR="00291369" w14:paraId="5D506554" w14:textId="77777777" w:rsidTr="00A803C0">
        <w:trPr>
          <w:trHeight w:val="1242"/>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1773FD5" w14:textId="4F224980"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sidRPr="0002752D">
              <w:rPr>
                <w:rFonts w:ascii="Arial" w:hAnsi="Arial" w:cs="Arial"/>
                <w:b/>
                <w:w w:val="97"/>
                <w:sz w:val="36"/>
              </w:rPr>
              <w:t xml:space="preserve">This certifies that the </w:t>
            </w:r>
            <w:r w:rsidR="007B5BFA">
              <w:rPr>
                <w:rFonts w:ascii="Arial" w:hAnsi="Arial" w:cs="Arial"/>
                <w:b/>
                <w:w w:val="97"/>
                <w:sz w:val="36"/>
              </w:rPr>
              <w:t>Thesis</w:t>
            </w:r>
            <w:r w:rsidR="00961B8C" w:rsidRPr="0002752D">
              <w:rPr>
                <w:rFonts w:ascii="Arial" w:hAnsi="Arial" w:cs="Arial"/>
                <w:b/>
                <w:w w:val="97"/>
                <w:sz w:val="36"/>
              </w:rPr>
              <w:t xml:space="preserve"> of</w:t>
            </w:r>
          </w:p>
          <w:p w14:paraId="5248AC69" w14:textId="2742739B" w:rsidR="00291369"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59FF"/>
                <w:w w:val="97"/>
                <w:sz w:val="36"/>
              </w:rPr>
            </w:pPr>
            <w:r w:rsidRPr="0002752D">
              <w:rPr>
                <w:rFonts w:ascii="Arial" w:hAnsi="Arial" w:cs="Arial"/>
                <w:b/>
                <w:w w:val="97"/>
                <w:sz w:val="36"/>
              </w:rPr>
              <w:t>Hwang, Taewook is approved.</w:t>
            </w:r>
          </w:p>
          <w:p w14:paraId="26D89171" w14:textId="77777777" w:rsidR="0060059E" w:rsidRPr="0060059E" w:rsidRDefault="0060059E"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tc>
      </w:tr>
      <w:tr w:rsidR="00291369" w14:paraId="375D070E" w14:textId="77777777" w:rsidTr="00A803C0">
        <w:trPr>
          <w:trHeight w:val="516"/>
        </w:trPr>
        <w:tc>
          <w:tcPr>
            <w:tcW w:w="7344" w:type="dxa"/>
            <w:gridSpan w:val="4"/>
            <w:tcBorders>
              <w:top w:val="none" w:sz="3" w:space="0" w:color="000000"/>
              <w:left w:val="none" w:sz="3" w:space="0" w:color="000000"/>
              <w:bottom w:val="none" w:sz="3" w:space="0" w:color="000000"/>
              <w:right w:val="none" w:sz="3" w:space="0" w:color="000000"/>
            </w:tcBorders>
            <w:vAlign w:val="center"/>
          </w:tcPr>
          <w:p w14:paraId="2257F647" w14:textId="1C925AA6" w:rsidR="00291369"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00FF"/>
                <w:w w:val="97"/>
                <w:sz w:val="28"/>
              </w:rPr>
            </w:pPr>
            <w:r w:rsidRPr="0002752D">
              <w:rPr>
                <w:rFonts w:ascii="Arial" w:hAnsi="Arial" w:cs="Arial"/>
                <w:b/>
                <w:w w:val="97"/>
                <w:sz w:val="28"/>
              </w:rPr>
              <w:t>Approved by Examination Committee</w:t>
            </w:r>
          </w:p>
          <w:p w14:paraId="5B916515" w14:textId="77777777" w:rsidR="007B5BFA" w:rsidRDefault="007B5BF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00FF"/>
                <w:w w:val="97"/>
                <w:sz w:val="28"/>
              </w:rPr>
            </w:pPr>
          </w:p>
          <w:p w14:paraId="704C3A14" w14:textId="77777777" w:rsidR="007B5BFA" w:rsidRPr="0002752D" w:rsidRDefault="007B5BF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sz w:val="24"/>
              </w:rPr>
            </w:pPr>
          </w:p>
        </w:tc>
      </w:tr>
      <w:tr w:rsidR="00291369" w14:paraId="7F62ED19" w14:textId="77777777" w:rsidTr="0098035C">
        <w:trPr>
          <w:trHeight w:val="823"/>
        </w:trPr>
        <w:tc>
          <w:tcPr>
            <w:tcW w:w="1073" w:type="dxa"/>
            <w:tcBorders>
              <w:top w:val="none" w:sz="3" w:space="0" w:color="000000"/>
              <w:left w:val="none" w:sz="3" w:space="0" w:color="000000"/>
              <w:bottom w:val="none" w:sz="3" w:space="0" w:color="000000"/>
              <w:right w:val="none" w:sz="3" w:space="0" w:color="000000"/>
            </w:tcBorders>
            <w:vAlign w:val="center"/>
          </w:tcPr>
          <w:p w14:paraId="06E46C3F" w14:textId="77777777" w:rsidR="00291369" w:rsidRPr="0002752D" w:rsidRDefault="00291369" w:rsidP="0098035C">
            <w:pPr>
              <w:pStyle w:val="a3"/>
              <w:spacing w:line="360" w:lineRule="auto"/>
              <w:rPr>
                <w:rFonts w:ascii="Arial" w:eastAsiaTheme="minorEastAsia" w:hAnsi="Arial" w:cs="Arial"/>
                <w:w w:val="97"/>
                <w:sz w:val="28"/>
                <w:szCs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04195D4B"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szCs w:val="28"/>
              </w:rPr>
            </w:pPr>
            <w:r w:rsidRPr="0002752D">
              <w:rPr>
                <w:rFonts w:ascii="Arial" w:hAnsi="Arial" w:cs="Arial"/>
                <w:b/>
                <w:w w:val="97"/>
                <w:sz w:val="28"/>
                <w:szCs w:val="28"/>
              </w:rPr>
              <w:t>Chairman</w:t>
            </w:r>
          </w:p>
        </w:tc>
        <w:tc>
          <w:tcPr>
            <w:tcW w:w="3784" w:type="dxa"/>
            <w:tcBorders>
              <w:top w:val="none" w:sz="3" w:space="0" w:color="000000"/>
              <w:left w:val="none" w:sz="3" w:space="0" w:color="000000"/>
              <w:bottom w:val="none" w:sz="3" w:space="0" w:color="000000"/>
              <w:right w:val="none" w:sz="3" w:space="0" w:color="000000"/>
            </w:tcBorders>
            <w:vAlign w:val="center"/>
          </w:tcPr>
          <w:p w14:paraId="5C1CC6C2" w14:textId="77777777" w:rsidR="00291369" w:rsidRPr="0002752D" w:rsidRDefault="006D61CA" w:rsidP="0098035C">
            <w:pPr>
              <w:pStyle w:val="a3"/>
              <w:wordWrap/>
              <w:spacing w:line="360" w:lineRule="auto"/>
              <w:jc w:val="left"/>
              <w:rPr>
                <w:rFonts w:ascii="Arial" w:hAnsi="Arial" w:cs="Arial"/>
                <w:sz w:val="28"/>
                <w:szCs w:val="28"/>
              </w:rPr>
            </w:pPr>
            <w:commentRangeStart w:id="5"/>
            <w:r w:rsidRPr="0002752D">
              <w:rPr>
                <w:rFonts w:ascii="Arial" w:hAnsi="Arial" w:cs="Arial"/>
                <w:b/>
                <w:w w:val="97"/>
                <w:sz w:val="28"/>
                <w:szCs w:val="28"/>
                <w:u w:val="single"/>
              </w:rPr>
              <w:t xml:space="preserve">                    ( Seal )</w:t>
            </w:r>
            <w:commentRangeEnd w:id="5"/>
            <w:r w:rsidR="00846490">
              <w:rPr>
                <w:rStyle w:val="afff0"/>
                <w:rFonts w:ascii="맑은 고딕" w:eastAsia="HY신명조"/>
                <w:kern w:val="1"/>
                <w:shd w:val="clear" w:color="auto" w:fill="auto"/>
              </w:rPr>
              <w:commentReference w:id="5"/>
            </w:r>
          </w:p>
        </w:tc>
        <w:tc>
          <w:tcPr>
            <w:tcW w:w="1020" w:type="dxa"/>
            <w:tcBorders>
              <w:top w:val="none" w:sz="3" w:space="0" w:color="000000"/>
              <w:left w:val="none" w:sz="3" w:space="0" w:color="000000"/>
              <w:bottom w:val="none" w:sz="3" w:space="0" w:color="000000"/>
              <w:right w:val="none" w:sz="3" w:space="0" w:color="000000"/>
            </w:tcBorders>
            <w:vAlign w:val="center"/>
          </w:tcPr>
          <w:p w14:paraId="5701E960" w14:textId="446237A1" w:rsidR="00291369" w:rsidRPr="0002752D" w:rsidRDefault="006D61CA" w:rsidP="0098035C">
            <w:pPr>
              <w:pStyle w:val="a3"/>
              <w:wordWrap/>
              <w:spacing w:line="360" w:lineRule="auto"/>
              <w:jc w:val="left"/>
              <w:rPr>
                <w:rFonts w:ascii="Arial" w:hAnsi="Arial" w:cs="Arial"/>
                <w:sz w:val="28"/>
                <w:szCs w:val="28"/>
              </w:rPr>
            </w:pPr>
            <w:r w:rsidRPr="0002752D">
              <w:rPr>
                <w:rFonts w:ascii="Arial" w:hAnsi="Arial" w:cs="Arial"/>
                <w:b/>
                <w:color w:val="0059FF"/>
                <w:w w:val="97"/>
                <w:sz w:val="28"/>
                <w:szCs w:val="28"/>
              </w:rPr>
            </w:r>
          </w:p>
        </w:tc>
      </w:tr>
      <w:tr w:rsidR="00291369" w14:paraId="4551386D" w14:textId="77777777" w:rsidTr="00641178">
        <w:trPr>
          <w:trHeight w:val="708"/>
        </w:trPr>
        <w:tc>
          <w:tcPr>
            <w:tcW w:w="1073" w:type="dxa"/>
            <w:tcBorders>
              <w:top w:val="none" w:sz="3" w:space="0" w:color="000000"/>
              <w:left w:val="none" w:sz="3" w:space="0" w:color="000000"/>
              <w:bottom w:val="none" w:sz="3" w:space="0" w:color="000000"/>
              <w:right w:val="none" w:sz="3" w:space="0" w:color="000000"/>
            </w:tcBorders>
            <w:vAlign w:val="center"/>
          </w:tcPr>
          <w:p w14:paraId="2D868955" w14:textId="77777777" w:rsidR="00291369" w:rsidRPr="0002752D" w:rsidRDefault="00291369" w:rsidP="0098035C">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1D4F5C8B"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r w:rsidRPr="0002752D">
              <w:rPr>
                <w:rFonts w:ascii="Arial" w:hAnsi="Arial" w:cs="Arial"/>
                <w:b/>
                <w:w w:val="97"/>
                <w:sz w:val="28"/>
              </w:rPr>
              <w:t>Member</w:t>
            </w:r>
          </w:p>
        </w:tc>
        <w:tc>
          <w:tcPr>
            <w:tcW w:w="3784" w:type="dxa"/>
            <w:tcBorders>
              <w:top w:val="none" w:sz="3" w:space="0" w:color="000000"/>
              <w:left w:val="none" w:sz="3" w:space="0" w:color="000000"/>
              <w:bottom w:val="none" w:sz="3" w:space="0" w:color="000000"/>
              <w:right w:val="none" w:sz="3" w:space="0" w:color="000000"/>
            </w:tcBorders>
            <w:vAlign w:val="center"/>
          </w:tcPr>
          <w:p w14:paraId="089E1219" w14:textId="77777777" w:rsidR="00291369" w:rsidRPr="0002752D" w:rsidRDefault="006D61CA" w:rsidP="0098035C">
            <w:pPr>
              <w:pStyle w:val="a3"/>
              <w:spacing w:line="360" w:lineRule="auto"/>
              <w:rPr>
                <w:rFonts w:ascii="Arial" w:hAnsi="Arial" w:cs="Arial"/>
                <w:sz w:val="28"/>
              </w:rPr>
            </w:pPr>
            <w:r w:rsidRPr="0002752D">
              <w:rPr>
                <w:rFonts w:ascii="Arial" w:hAnsi="Arial" w:cs="Arial"/>
                <w:b/>
                <w:w w:val="97"/>
                <w:sz w:val="28"/>
                <w:u w:val="single"/>
              </w:rPr>
              <w:t xml:space="preserve">                    ( Seal )</w:t>
            </w:r>
          </w:p>
        </w:tc>
        <w:tc>
          <w:tcPr>
            <w:tcW w:w="1020" w:type="dxa"/>
            <w:tcBorders>
              <w:top w:val="none" w:sz="3" w:space="0" w:color="000000"/>
              <w:left w:val="none" w:sz="3" w:space="0" w:color="000000"/>
              <w:bottom w:val="none" w:sz="3" w:space="0" w:color="000000"/>
              <w:right w:val="none" w:sz="3" w:space="0" w:color="000000"/>
            </w:tcBorders>
            <w:vAlign w:val="center"/>
          </w:tcPr>
          <w:p w14:paraId="3328F524" w14:textId="77777777" w:rsidR="00291369" w:rsidRPr="0002752D" w:rsidRDefault="00291369" w:rsidP="0098035C">
            <w:pPr>
              <w:pStyle w:val="a3"/>
              <w:spacing w:line="360" w:lineRule="auto"/>
              <w:rPr>
                <w:rFonts w:ascii="Arial" w:eastAsia="휴먼명조" w:hAnsi="Arial" w:cs="Arial"/>
                <w:w w:val="97"/>
                <w:sz w:val="36"/>
              </w:rPr>
            </w:pPr>
          </w:p>
        </w:tc>
      </w:tr>
      <w:tr w:rsidR="00291369" w14:paraId="0B1BCE9D" w14:textId="77777777" w:rsidTr="0098035C">
        <w:trPr>
          <w:trHeight w:val="861"/>
        </w:trPr>
        <w:tc>
          <w:tcPr>
            <w:tcW w:w="1073" w:type="dxa"/>
            <w:tcBorders>
              <w:top w:val="none" w:sz="3" w:space="0" w:color="000000"/>
              <w:left w:val="none" w:sz="3" w:space="0" w:color="000000"/>
              <w:bottom w:val="none" w:sz="3" w:space="0" w:color="000000"/>
              <w:right w:val="none" w:sz="3" w:space="0" w:color="000000"/>
            </w:tcBorders>
            <w:vAlign w:val="center"/>
          </w:tcPr>
          <w:p w14:paraId="59AD26BF" w14:textId="77777777" w:rsidR="00291369" w:rsidRPr="0002752D" w:rsidRDefault="00291369" w:rsidP="0098035C">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62B4645F"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r w:rsidRPr="0002752D">
              <w:rPr>
                <w:rFonts w:ascii="Arial" w:hAnsi="Arial" w:cs="Arial"/>
                <w:b/>
                <w:w w:val="97"/>
                <w:sz w:val="28"/>
              </w:rPr>
              <w:t>Member</w:t>
            </w:r>
          </w:p>
        </w:tc>
        <w:tc>
          <w:tcPr>
            <w:tcW w:w="3784" w:type="dxa"/>
            <w:tcBorders>
              <w:top w:val="none" w:sz="3" w:space="0" w:color="000000"/>
              <w:left w:val="none" w:sz="3" w:space="0" w:color="000000"/>
              <w:bottom w:val="none" w:sz="3" w:space="0" w:color="000000"/>
              <w:right w:val="none" w:sz="3" w:space="0" w:color="000000"/>
            </w:tcBorders>
            <w:vAlign w:val="center"/>
          </w:tcPr>
          <w:p w14:paraId="3D7B7B6F" w14:textId="77777777" w:rsidR="00291369" w:rsidRPr="0002752D" w:rsidRDefault="006D61CA" w:rsidP="0098035C">
            <w:pPr>
              <w:pStyle w:val="a3"/>
              <w:spacing w:line="360" w:lineRule="auto"/>
              <w:rPr>
                <w:rFonts w:ascii="Arial" w:hAnsi="Arial" w:cs="Arial"/>
                <w:sz w:val="28"/>
              </w:rPr>
            </w:pPr>
            <w:r w:rsidRPr="0002752D">
              <w:rPr>
                <w:rFonts w:ascii="Arial" w:hAnsi="Arial" w:cs="Arial"/>
                <w:b/>
                <w:w w:val="97"/>
                <w:sz w:val="28"/>
                <w:u w:val="single"/>
              </w:rPr>
              <w:t xml:space="preserve">                    ( Seal )</w:t>
            </w:r>
          </w:p>
        </w:tc>
        <w:tc>
          <w:tcPr>
            <w:tcW w:w="1020" w:type="dxa"/>
            <w:tcBorders>
              <w:top w:val="none" w:sz="3" w:space="0" w:color="000000"/>
              <w:left w:val="none" w:sz="3" w:space="0" w:color="000000"/>
              <w:bottom w:val="none" w:sz="3" w:space="0" w:color="000000"/>
              <w:right w:val="none" w:sz="3" w:space="0" w:color="000000"/>
            </w:tcBorders>
            <w:vAlign w:val="center"/>
          </w:tcPr>
          <w:p w14:paraId="453B32E2" w14:textId="77777777" w:rsidR="00291369" w:rsidRPr="0002752D" w:rsidRDefault="00291369" w:rsidP="0098035C">
            <w:pPr>
              <w:pStyle w:val="a3"/>
              <w:spacing w:line="360" w:lineRule="auto"/>
              <w:rPr>
                <w:rFonts w:ascii="Arial" w:eastAsia="휴먼명조" w:hAnsi="Arial" w:cs="Arial"/>
                <w:w w:val="97"/>
                <w:sz w:val="28"/>
              </w:rPr>
            </w:pPr>
          </w:p>
        </w:tc>
      </w:tr>
      <w:tr w:rsidR="00291369" w14:paraId="6BD7AF41" w14:textId="77777777" w:rsidTr="0098035C">
        <w:trPr>
          <w:trHeight w:val="615"/>
        </w:trPr>
        <w:tc>
          <w:tcPr>
            <w:tcW w:w="1073" w:type="dxa"/>
            <w:tcBorders>
              <w:top w:val="none" w:sz="3" w:space="0" w:color="000000"/>
              <w:left w:val="none" w:sz="3" w:space="0" w:color="000000"/>
              <w:bottom w:val="none" w:sz="3" w:space="0" w:color="000000"/>
              <w:right w:val="none" w:sz="3" w:space="0" w:color="000000"/>
            </w:tcBorders>
            <w:vAlign w:val="center"/>
          </w:tcPr>
          <w:p w14:paraId="44D20D97" w14:textId="77777777" w:rsidR="00291369" w:rsidRPr="0002752D" w:rsidRDefault="00291369" w:rsidP="0002752D">
            <w:pPr>
              <w:pStyle w:val="a3"/>
              <w:spacing w:line="360" w:lineRule="auto"/>
              <w:rPr>
                <w:rFonts w:ascii="Arial" w:eastAsia="휴먼명조" w:hAnsi="Arial" w:cs="Arial"/>
                <w:w w:val="97"/>
                <w:sz w:val="2"/>
              </w:rPr>
            </w:pPr>
          </w:p>
        </w:tc>
        <w:tc>
          <w:tcPr>
            <w:tcW w:w="1467" w:type="dxa"/>
            <w:tcBorders>
              <w:top w:val="none" w:sz="3" w:space="0" w:color="000000"/>
              <w:left w:val="none" w:sz="3" w:space="0" w:color="000000"/>
              <w:bottom w:val="none" w:sz="3" w:space="0" w:color="000000"/>
              <w:right w:val="none" w:sz="3" w:space="0" w:color="000000"/>
            </w:tcBorders>
            <w:vAlign w:val="center"/>
          </w:tcPr>
          <w:p w14:paraId="4960284E" w14:textId="77777777" w:rsidR="00291369" w:rsidRPr="0002752D" w:rsidRDefault="00291369" w:rsidP="0002752D">
            <w:pPr>
              <w:pStyle w:val="af6"/>
              <w:wordWrap w:val="0"/>
              <w:spacing w:line="360" w:lineRule="auto"/>
              <w:jc w:val="both"/>
              <w:rPr>
                <w:rFonts w:ascii="Arial" w:eastAsia="휴먼명조" w:hAnsi="Arial" w:cs="Arial"/>
                <w:w w:val="97"/>
                <w:shd w:val="clear" w:color="000000" w:fill="auto"/>
              </w:rPr>
            </w:pPr>
          </w:p>
        </w:tc>
        <w:tc>
          <w:tcPr>
            <w:tcW w:w="3784" w:type="dxa"/>
            <w:tcBorders>
              <w:top w:val="none" w:sz="3" w:space="0" w:color="000000"/>
              <w:left w:val="none" w:sz="3" w:space="0" w:color="000000"/>
              <w:bottom w:val="none" w:sz="3" w:space="0" w:color="000000"/>
              <w:right w:val="none" w:sz="3" w:space="0" w:color="000000"/>
            </w:tcBorders>
            <w:vAlign w:val="center"/>
          </w:tcPr>
          <w:p w14:paraId="08F718FF" w14:textId="77777777" w:rsidR="00291369" w:rsidRPr="0002752D" w:rsidRDefault="00291369" w:rsidP="0002752D">
            <w:pPr>
              <w:pStyle w:val="af6"/>
              <w:wordWrap w:val="0"/>
              <w:spacing w:line="360" w:lineRule="auto"/>
              <w:jc w:val="both"/>
              <w:rPr>
                <w:rFonts w:ascii="Arial" w:eastAsia="휴먼명조" w:hAnsi="Arial" w:cs="Arial"/>
                <w:w w:val="97"/>
                <w:sz w:val="24"/>
                <w:shd w:val="clear" w:color="000000" w:fill="auto"/>
              </w:rPr>
            </w:pPr>
          </w:p>
        </w:tc>
        <w:tc>
          <w:tcPr>
            <w:tcW w:w="1020" w:type="dxa"/>
            <w:tcBorders>
              <w:top w:val="none" w:sz="3" w:space="0" w:color="000000"/>
              <w:left w:val="none" w:sz="3" w:space="0" w:color="000000"/>
              <w:bottom w:val="none" w:sz="3" w:space="0" w:color="000000"/>
              <w:right w:val="none" w:sz="3" w:space="0" w:color="000000"/>
            </w:tcBorders>
            <w:vAlign w:val="center"/>
          </w:tcPr>
          <w:p w14:paraId="0A86AE41" w14:textId="77777777" w:rsidR="00291369" w:rsidRPr="0002752D" w:rsidRDefault="00291369" w:rsidP="0002752D">
            <w:pPr>
              <w:pStyle w:val="a3"/>
              <w:spacing w:line="360" w:lineRule="auto"/>
              <w:rPr>
                <w:rFonts w:ascii="Arial" w:eastAsia="휴먼명조" w:hAnsi="Arial" w:cs="Arial"/>
                <w:w w:val="97"/>
                <w:sz w:val="36"/>
              </w:rPr>
            </w:pPr>
          </w:p>
        </w:tc>
      </w:tr>
      <w:tr w:rsidR="00291369" w14:paraId="522F564D" w14:textId="77777777" w:rsidTr="0098035C">
        <w:trPr>
          <w:trHeight w:val="357"/>
        </w:trPr>
        <w:tc>
          <w:tcPr>
            <w:tcW w:w="1073" w:type="dxa"/>
            <w:tcBorders>
              <w:top w:val="none" w:sz="3" w:space="0" w:color="000000"/>
              <w:left w:val="none" w:sz="3" w:space="0" w:color="000000"/>
              <w:bottom w:val="none" w:sz="3" w:space="0" w:color="000000"/>
              <w:right w:val="none" w:sz="3" w:space="0" w:color="000000"/>
            </w:tcBorders>
            <w:vAlign w:val="center"/>
          </w:tcPr>
          <w:p w14:paraId="4C6B40EE" w14:textId="77777777" w:rsidR="00291369" w:rsidRPr="0002752D" w:rsidRDefault="00291369" w:rsidP="0002752D">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49A6CF17" w14:textId="73DFB51C" w:rsidR="00291369" w:rsidRPr="0002752D" w:rsidRDefault="00291369" w:rsidP="0002752D">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p>
        </w:tc>
        <w:tc>
          <w:tcPr>
            <w:tcW w:w="3784" w:type="dxa"/>
            <w:tcBorders>
              <w:top w:val="none" w:sz="3" w:space="0" w:color="000000"/>
              <w:left w:val="none" w:sz="3" w:space="0" w:color="000000"/>
              <w:bottom w:val="none" w:sz="3" w:space="0" w:color="000000"/>
              <w:right w:val="none" w:sz="3" w:space="0" w:color="000000"/>
            </w:tcBorders>
            <w:vAlign w:val="center"/>
          </w:tcPr>
          <w:p w14:paraId="1F637D06" w14:textId="6833F53F" w:rsidR="00291369" w:rsidRPr="0002752D" w:rsidRDefault="00291369" w:rsidP="0002752D">
            <w:pPr>
              <w:pStyle w:val="a3"/>
              <w:spacing w:line="360" w:lineRule="auto"/>
              <w:rPr>
                <w:rFonts w:ascii="Arial" w:hAnsi="Arial" w:cs="Arial"/>
                <w:sz w:val="28"/>
              </w:rPr>
            </w:pPr>
          </w:p>
        </w:tc>
        <w:tc>
          <w:tcPr>
            <w:tcW w:w="1020" w:type="dxa"/>
            <w:tcBorders>
              <w:top w:val="none" w:sz="3" w:space="0" w:color="000000"/>
              <w:left w:val="none" w:sz="3" w:space="0" w:color="000000"/>
              <w:bottom w:val="none" w:sz="3" w:space="0" w:color="000000"/>
              <w:right w:val="none" w:sz="3" w:space="0" w:color="000000"/>
            </w:tcBorders>
            <w:vAlign w:val="center"/>
          </w:tcPr>
          <w:p w14:paraId="46C01696" w14:textId="77777777" w:rsidR="00291369" w:rsidRPr="0002752D" w:rsidRDefault="00291369" w:rsidP="0002752D">
            <w:pPr>
              <w:pStyle w:val="a3"/>
              <w:spacing w:line="360" w:lineRule="auto"/>
              <w:rPr>
                <w:rFonts w:ascii="Arial" w:eastAsia="휴먼명조" w:hAnsi="Arial" w:cs="Arial"/>
                <w:w w:val="97"/>
                <w:sz w:val="36"/>
              </w:rPr>
            </w:pPr>
          </w:p>
        </w:tc>
      </w:tr>
      <w:tr w:rsidR="00291369" w14:paraId="182047AC" w14:textId="77777777" w:rsidTr="0098035C">
        <w:trPr>
          <w:trHeight w:val="615"/>
        </w:trPr>
        <w:tc>
          <w:tcPr>
            <w:tcW w:w="1073" w:type="dxa"/>
            <w:tcBorders>
              <w:top w:val="none" w:sz="3" w:space="0" w:color="000000"/>
              <w:left w:val="none" w:sz="3" w:space="0" w:color="000000"/>
              <w:bottom w:val="none" w:sz="3" w:space="0" w:color="000000"/>
              <w:right w:val="none" w:sz="3" w:space="0" w:color="000000"/>
            </w:tcBorders>
            <w:vAlign w:val="center"/>
          </w:tcPr>
          <w:p w14:paraId="7D0EB1B1" w14:textId="77777777" w:rsidR="00291369" w:rsidRPr="0002752D" w:rsidRDefault="00291369" w:rsidP="0002752D">
            <w:pPr>
              <w:pStyle w:val="a3"/>
              <w:spacing w:line="360" w:lineRule="auto"/>
              <w:rPr>
                <w:rFonts w:ascii="Arial" w:eastAsia="휴먼명조" w:hAnsi="Arial" w:cs="Arial"/>
                <w:w w:val="97"/>
                <w:sz w:val="2"/>
              </w:rPr>
            </w:pPr>
          </w:p>
        </w:tc>
        <w:tc>
          <w:tcPr>
            <w:tcW w:w="1467" w:type="dxa"/>
            <w:tcBorders>
              <w:top w:val="none" w:sz="3" w:space="0" w:color="000000"/>
              <w:left w:val="none" w:sz="3" w:space="0" w:color="000000"/>
              <w:bottom w:val="none" w:sz="3" w:space="0" w:color="000000"/>
              <w:right w:val="none" w:sz="3" w:space="0" w:color="000000"/>
            </w:tcBorders>
            <w:vAlign w:val="center"/>
          </w:tcPr>
          <w:p w14:paraId="37C3DED1" w14:textId="77777777" w:rsidR="00291369" w:rsidRPr="0002752D" w:rsidRDefault="00291369" w:rsidP="0002752D">
            <w:pPr>
              <w:pStyle w:val="af6"/>
              <w:wordWrap w:val="0"/>
              <w:spacing w:line="360" w:lineRule="auto"/>
              <w:jc w:val="both"/>
              <w:rPr>
                <w:rFonts w:ascii="Arial" w:eastAsia="휴먼명조" w:hAnsi="Arial" w:cs="Arial"/>
                <w:w w:val="97"/>
                <w:shd w:val="clear" w:color="000000" w:fill="auto"/>
              </w:rPr>
            </w:pPr>
          </w:p>
        </w:tc>
        <w:tc>
          <w:tcPr>
            <w:tcW w:w="3784" w:type="dxa"/>
            <w:tcBorders>
              <w:top w:val="none" w:sz="3" w:space="0" w:color="000000"/>
              <w:left w:val="none" w:sz="3" w:space="0" w:color="000000"/>
              <w:bottom w:val="none" w:sz="3" w:space="0" w:color="000000"/>
              <w:right w:val="none" w:sz="3" w:space="0" w:color="000000"/>
            </w:tcBorders>
            <w:vAlign w:val="center"/>
          </w:tcPr>
          <w:p w14:paraId="7047DA27" w14:textId="77777777" w:rsidR="00291369" w:rsidRPr="0002752D" w:rsidRDefault="00291369" w:rsidP="0002752D">
            <w:pPr>
              <w:pStyle w:val="af6"/>
              <w:wordWrap w:val="0"/>
              <w:spacing w:line="360" w:lineRule="auto"/>
              <w:jc w:val="both"/>
              <w:rPr>
                <w:rFonts w:ascii="Arial" w:eastAsia="휴먼명조" w:hAnsi="Arial" w:cs="Arial"/>
                <w:w w:val="97"/>
                <w:sz w:val="24"/>
                <w:shd w:val="clear" w:color="000000" w:fill="auto"/>
              </w:rPr>
            </w:pPr>
          </w:p>
        </w:tc>
        <w:tc>
          <w:tcPr>
            <w:tcW w:w="1020" w:type="dxa"/>
            <w:tcBorders>
              <w:top w:val="none" w:sz="3" w:space="0" w:color="000000"/>
              <w:left w:val="none" w:sz="3" w:space="0" w:color="000000"/>
              <w:bottom w:val="none" w:sz="3" w:space="0" w:color="000000"/>
              <w:right w:val="none" w:sz="3" w:space="0" w:color="000000"/>
            </w:tcBorders>
            <w:vAlign w:val="center"/>
          </w:tcPr>
          <w:p w14:paraId="0F890F65" w14:textId="77777777" w:rsidR="00291369" w:rsidRPr="0002752D" w:rsidRDefault="00291369" w:rsidP="0002752D">
            <w:pPr>
              <w:pStyle w:val="a3"/>
              <w:spacing w:line="360" w:lineRule="auto"/>
              <w:rPr>
                <w:rFonts w:ascii="Arial" w:eastAsia="휴먼명조" w:hAnsi="Arial" w:cs="Arial"/>
                <w:w w:val="97"/>
                <w:sz w:val="36"/>
              </w:rPr>
            </w:pPr>
          </w:p>
        </w:tc>
      </w:tr>
      <w:tr w:rsidR="00291369" w14:paraId="67380BAF" w14:textId="77777777" w:rsidTr="0098035C">
        <w:trPr>
          <w:trHeight w:val="612"/>
        </w:trPr>
        <w:tc>
          <w:tcPr>
            <w:tcW w:w="1073" w:type="dxa"/>
            <w:tcBorders>
              <w:top w:val="none" w:sz="3" w:space="0" w:color="000000"/>
              <w:left w:val="none" w:sz="3" w:space="0" w:color="000000"/>
              <w:bottom w:val="none" w:sz="3" w:space="0" w:color="000000"/>
              <w:right w:val="none" w:sz="3" w:space="0" w:color="000000"/>
            </w:tcBorders>
            <w:vAlign w:val="center"/>
          </w:tcPr>
          <w:p w14:paraId="296A4AE2" w14:textId="77777777" w:rsidR="00291369" w:rsidRPr="0002752D" w:rsidRDefault="00291369" w:rsidP="0002752D">
            <w:pPr>
              <w:pStyle w:val="a3"/>
              <w:spacing w:line="360" w:lineRule="auto"/>
              <w:rPr>
                <w:rFonts w:ascii="Arial" w:eastAsia="휴먼명조" w:hAnsi="Arial" w:cs="Arial"/>
                <w:w w:val="97"/>
                <w:sz w:val="28"/>
                <w:szCs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6DC778D2" w14:textId="3ACCDA84" w:rsidR="00291369" w:rsidRPr="0002752D" w:rsidRDefault="00291369" w:rsidP="0002752D">
            <w:pPr>
              <w:pBdr>
                <w:top w:val="none" w:sz="2" w:space="0" w:color="000000"/>
                <w:left w:val="none" w:sz="2" w:space="0" w:color="000000"/>
                <w:bottom w:val="none" w:sz="2" w:space="0" w:color="000000"/>
                <w:right w:val="none" w:sz="2" w:space="0" w:color="000000"/>
              </w:pBdr>
              <w:spacing w:line="360" w:lineRule="auto"/>
              <w:rPr>
                <w:rFonts w:ascii="Arial" w:hAnsi="Arial" w:cs="Arial"/>
                <w:sz w:val="28"/>
                <w:szCs w:val="28"/>
              </w:rPr>
            </w:pPr>
          </w:p>
        </w:tc>
        <w:tc>
          <w:tcPr>
            <w:tcW w:w="3784" w:type="dxa"/>
            <w:tcBorders>
              <w:top w:val="none" w:sz="3" w:space="0" w:color="000000"/>
              <w:left w:val="none" w:sz="3" w:space="0" w:color="000000"/>
              <w:bottom w:val="none" w:sz="3" w:space="0" w:color="000000"/>
              <w:right w:val="none" w:sz="3" w:space="0" w:color="000000"/>
            </w:tcBorders>
            <w:vAlign w:val="center"/>
          </w:tcPr>
          <w:p w14:paraId="1872FD63" w14:textId="2C545851" w:rsidR="00291369" w:rsidRPr="0002752D" w:rsidRDefault="00291369" w:rsidP="0002752D">
            <w:pPr>
              <w:pStyle w:val="a3"/>
              <w:spacing w:line="360" w:lineRule="auto"/>
              <w:rPr>
                <w:rFonts w:ascii="Arial" w:hAnsi="Arial" w:cs="Arial"/>
                <w:sz w:val="28"/>
                <w:szCs w:val="28"/>
              </w:rPr>
            </w:pPr>
          </w:p>
        </w:tc>
        <w:tc>
          <w:tcPr>
            <w:tcW w:w="1020" w:type="dxa"/>
            <w:tcBorders>
              <w:top w:val="none" w:sz="3" w:space="0" w:color="000000"/>
              <w:left w:val="none" w:sz="3" w:space="0" w:color="000000"/>
              <w:bottom w:val="none" w:sz="3" w:space="0" w:color="000000"/>
              <w:right w:val="none" w:sz="3" w:space="0" w:color="000000"/>
            </w:tcBorders>
            <w:vAlign w:val="center"/>
          </w:tcPr>
          <w:p w14:paraId="0E6F846D" w14:textId="77777777" w:rsidR="00291369" w:rsidRPr="0002752D" w:rsidRDefault="00291369" w:rsidP="0002752D">
            <w:pPr>
              <w:pStyle w:val="a3"/>
              <w:spacing w:line="360" w:lineRule="auto"/>
              <w:rPr>
                <w:rFonts w:ascii="Arial" w:eastAsia="휴먼명조" w:hAnsi="Arial" w:cs="Arial"/>
                <w:w w:val="97"/>
                <w:sz w:val="36"/>
              </w:rPr>
            </w:pPr>
          </w:p>
        </w:tc>
      </w:tr>
      <w:tr w:rsidR="00291369" w14:paraId="6670F078" w14:textId="77777777" w:rsidTr="00A803C0">
        <w:trPr>
          <w:trHeight w:val="431"/>
        </w:trPr>
        <w:tc>
          <w:tcPr>
            <w:tcW w:w="7344" w:type="dxa"/>
            <w:gridSpan w:val="4"/>
            <w:tcBorders>
              <w:top w:val="none" w:sz="3" w:space="0" w:color="000000"/>
              <w:left w:val="none" w:sz="3" w:space="0" w:color="000000"/>
              <w:bottom w:val="none" w:sz="3" w:space="0" w:color="000000"/>
              <w:right w:val="none" w:sz="3" w:space="0" w:color="000000"/>
            </w:tcBorders>
            <w:vAlign w:val="center"/>
          </w:tcPr>
          <w:p w14:paraId="6C251A5A" w14:textId="63A4F263" w:rsidR="00291369" w:rsidRPr="0002752D" w:rsidRDefault="00291369" w:rsidP="0002752D">
            <w:pPr>
              <w:pStyle w:val="a3"/>
              <w:wordWrap/>
              <w:spacing w:line="360" w:lineRule="auto"/>
              <w:jc w:val="center"/>
              <w:rPr>
                <w:rFonts w:ascii="Arial" w:hAnsi="Arial" w:cs="Arial"/>
              </w:rPr>
            </w:pPr>
          </w:p>
        </w:tc>
      </w:tr>
      <w:tr w:rsidR="00291369" w14:paraId="6C409D29" w14:textId="77777777" w:rsidTr="00A803C0">
        <w:trPr>
          <w:trHeight w:val="573"/>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5C61C83" w14:textId="5C4A6941" w:rsidR="00291369" w:rsidRPr="0002752D" w:rsidRDefault="00663C9B" w:rsidP="00663C9B">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Pr>
                <w:rFonts w:ascii="Arial" w:hAnsi="Arial" w:cs="Arial"/>
                <w:b/>
                <w:w w:val="97"/>
                <w:sz w:val="32"/>
              </w:rPr>
              <w:t>[인준 년월]</w:t>
            </w:r>
            <w:commentRangeStart w:id="6"/>
            <w:commentRangeEnd w:id="6"/>
          </w:p>
        </w:tc>
      </w:tr>
      <w:tr w:rsidR="00291369" w14:paraId="1D978D4C" w14:textId="77777777" w:rsidTr="00A803C0">
        <w:trPr>
          <w:trHeight w:val="344"/>
        </w:trPr>
        <w:tc>
          <w:tcPr>
            <w:tcW w:w="7344" w:type="dxa"/>
            <w:gridSpan w:val="4"/>
            <w:tcBorders>
              <w:top w:val="none" w:sz="3" w:space="0" w:color="000000"/>
              <w:left w:val="none" w:sz="3" w:space="0" w:color="000000"/>
              <w:bottom w:val="none" w:sz="3" w:space="0" w:color="000000"/>
              <w:right w:val="none" w:sz="3" w:space="0" w:color="000000"/>
            </w:tcBorders>
            <w:vAlign w:val="center"/>
          </w:tcPr>
          <w:p w14:paraId="05DA2A5B" w14:textId="77777777" w:rsidR="00291369" w:rsidRPr="0002752D" w:rsidRDefault="00291369" w:rsidP="0002752D">
            <w:pPr>
              <w:pStyle w:val="MS"/>
              <w:spacing w:line="360" w:lineRule="auto"/>
              <w:rPr>
                <w:rFonts w:ascii="Arial" w:eastAsiaTheme="minorEastAsia" w:hAnsi="Arial" w:cs="Arial"/>
                <w:b/>
                <w:w w:val="97"/>
                <w:shd w:val="clear" w:color="000000" w:fill="auto"/>
              </w:rPr>
            </w:pPr>
          </w:p>
        </w:tc>
      </w:tr>
      <w:tr w:rsidR="00291369" w14:paraId="5B6D69D7" w14:textId="77777777" w:rsidTr="00A803C0">
        <w:trPr>
          <w:trHeight w:val="409"/>
        </w:trPr>
        <w:tc>
          <w:tcPr>
            <w:tcW w:w="7344" w:type="dxa"/>
            <w:gridSpan w:val="4"/>
            <w:tcBorders>
              <w:top w:val="none" w:sz="3" w:space="0" w:color="000000"/>
              <w:left w:val="none" w:sz="3" w:space="0" w:color="000000"/>
              <w:bottom w:val="none" w:sz="3" w:space="0" w:color="000000"/>
              <w:right w:val="none" w:sz="3" w:space="0" w:color="000000"/>
            </w:tcBorders>
            <w:vAlign w:val="center"/>
          </w:tcPr>
          <w:p w14:paraId="5A1464D7" w14:textId="6A2D9765"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sidRPr="0002752D">
              <w:rPr>
                <w:rFonts w:ascii="Arial" w:hAnsi="Arial" w:cs="Arial"/>
                <w:b/>
                <w:w w:val="97"/>
                <w:sz w:val="32"/>
              </w:rPr>
              <w:t>Graduate School of Information &amp; Telecommunications</w:t>
            </w:r>
          </w:p>
        </w:tc>
      </w:tr>
      <w:tr w:rsidR="00291369" w14:paraId="12D8C433" w14:textId="77777777" w:rsidTr="00A803C0">
        <w:trPr>
          <w:trHeight w:val="720"/>
        </w:trPr>
        <w:tc>
          <w:tcPr>
            <w:tcW w:w="7344" w:type="dxa"/>
            <w:gridSpan w:val="4"/>
            <w:tcBorders>
              <w:top w:val="none" w:sz="3" w:space="0" w:color="000000"/>
              <w:left w:val="none" w:sz="3" w:space="0" w:color="000000"/>
              <w:bottom w:val="none" w:sz="3" w:space="0" w:color="000000"/>
              <w:right w:val="none" w:sz="3" w:space="0" w:color="000000"/>
            </w:tcBorders>
            <w:vAlign w:val="center"/>
          </w:tcPr>
          <w:p w14:paraId="0F823FDD" w14:textId="77777777" w:rsidR="00291369" w:rsidRPr="0002752D" w:rsidRDefault="00291369" w:rsidP="0002752D">
            <w:pPr>
              <w:pStyle w:val="a3"/>
              <w:wordWrap/>
              <w:spacing w:line="360" w:lineRule="auto"/>
              <w:jc w:val="center"/>
              <w:rPr>
                <w:rFonts w:ascii="Arial" w:eastAsia="휴먼명조" w:hAnsi="Arial" w:cs="Arial"/>
                <w:b/>
                <w:w w:val="97"/>
                <w:sz w:val="2"/>
              </w:rPr>
            </w:pPr>
          </w:p>
        </w:tc>
      </w:tr>
    </w:tbl>
    <w:p w14:paraId="20EB93DF" w14:textId="77777777" w:rsidR="00291369" w:rsidRDefault="00291369" w:rsidP="00A803C0">
      <w:pPr>
        <w:pStyle w:val="a3"/>
        <w:tabs>
          <w:tab w:val="right" w:leader="middleDot" w:pos="7654"/>
        </w:tabs>
        <w:wordWrap/>
        <w:spacing w:line="480" w:lineRule="auto"/>
        <w:sectPr w:rsidR="00291369" w:rsidSect="004A7E8A">
          <w:headerReference w:type="default" r:id="rId15"/>
          <w:footerReference w:type="default" r:id="rId16"/>
          <w:endnotePr>
            <w:numFmt w:val="decimal"/>
          </w:endnotePr>
          <w:pgSz w:w="10318" w:h="14570"/>
          <w:pgMar w:top="1417" w:right="1417" w:bottom="1417" w:left="1417" w:header="0" w:footer="0" w:gutter="0"/>
          <w:pgNumType w:fmt="lowerRoman" w:start="1"/>
          <w:cols w:space="0"/>
          <w:docGrid w:linePitch="299"/>
        </w:sectPr>
      </w:pPr>
    </w:p>
    <w:p>
      <w:pPr>
        <w:spacing w:line="384" w:lineRule="auto" w:after="0"/>
        <w:jc w:val="center"/>
      </w:pPr>
      <w:r>
        <w:rPr>
          <w:rFonts w:ascii="휴먼명조" w:eastAsia="휴먼명조" w:hAnsi="휴먼명조" w:cs="휴먼명조"/>
          <w:b/>
          <w:sz w:val="32"/>
          <w:w w:val="97"/>
        </w:rPr>
        <w:t>TABLE OF CONTENTS</w:t>
      </w:r>
    </w:p>
    <w:p>
      <w:pPr>
        <w:spacing w:line="384" w:lineRule="auto" w:after="0"/>
        <w:jc w:val="both"/>
      </w:pPr>
      <w:r>
        <w:rPr>
          <w:rFonts w:ascii="휴먼명조" w:eastAsia="휴먼명조" w:hAnsi="휴먼명조" w:cs="휴먼명조"/>
          <w:b w:val="0"/>
          <w:sz w:val="22"/>
          <w:w w:val="97"/>
        </w:rPr>
      </w:r>
    </w:p>
    <w:p>
      <w:pPr>
        <w:spacing w:line="384" w:lineRule="auto"/>
      </w:pPr>
      <w:r>
        <w:rPr>
          <w:rFonts w:ascii="휴먼명조" w:eastAsia="휴먼명조" w:hAnsi="휴먼명조" w:cs="휴먼명조"/>
          <w:b w:val="0"/>
          <w:sz w:val="22"/>
          <w:w w:val="97"/>
        </w:rPr>
        <w:fldChar w:fldCharType="begin"/>
      </w:r>
      <w:r>
        <w:rPr>
          <w:rFonts w:ascii="휴먼명조" w:eastAsia="휴먼명조" w:hAnsi="휴먼명조" w:cs="휴먼명조"/>
          <w:b w:val="0"/>
          <w:sz w:val="22"/>
          <w:w w:val="97"/>
        </w:rPr>
        <w:instrText xml:space="preserve"> TOC \o "1-3" \h \z \u </w:instrText>
      </w:r>
      <w:r>
        <w:rPr>
          <w:rFonts w:ascii="휴먼명조" w:eastAsia="휴먼명조" w:hAnsi="휴먼명조" w:cs="휴먼명조"/>
          <w:b w:val="0"/>
          <w:sz w:val="22"/>
          <w:w w:val="97"/>
        </w:rPr>
        <w:fldChar w:fldCharType="separate"/>
      </w:r>
      <w:r>
        <w:rPr>
          <w:rFonts w:ascii="휴먼명조" w:eastAsia="휴먼명조" w:hAnsi="휴먼명조" w:cs="휴먼명조"/>
          <w:b w:val="0"/>
          <w:sz w:val="22"/>
          <w:w w:val="97"/>
        </w:rPr>
        <w:t>[여기서 F9를 눌러 목차를 갱신하세요]</w:t>
      </w:r>
      <w:r>
        <w:rPr>
          <w:rFonts w:ascii="휴먼명조" w:eastAsia="휴먼명조" w:hAnsi="휴먼명조" w:cs="휴먼명조"/>
          <w:b w:val="0"/>
          <w:sz w:val="22"/>
          <w:w w:val="97"/>
        </w:rPr>
        <w:fldChar w:fldCharType="end"/>
      </w:r>
    </w:p>
    <w:p>
      <w:pPr>
        <w:spacing w:line="384" w:lineRule="auto" w:after="0"/>
        <w:jc w:val="both"/>
      </w:pPr>
      <w:r>
        <w:rPr>
          <w:rFonts w:ascii="휴먼명조" w:eastAsia="휴먼명조" w:hAnsi="휴먼명조" w:cs="휴먼명조"/>
          <w:b w:val="0"/>
          <w:sz w:val="22"/>
          <w:w w:val="97"/>
        </w:rPr>
      </w:r>
    </w:p>
    <w:p>
      <w:pPr>
        <w:spacing w:line="384" w:lineRule="auto" w:after="0"/>
        <w:jc w:val="center"/>
      </w:pPr>
      <w:r>
        <w:rPr>
          <w:rFonts w:ascii="휴먼명조" w:eastAsia="휴먼명조" w:hAnsi="휴먼명조" w:cs="휴먼명조"/>
          <w:b/>
          <w:sz w:val="32"/>
          <w:w w:val="97"/>
        </w:rPr>
        <w:t>List of Tables</w:t>
      </w:r>
    </w:p>
    <w:p>
      <w:pPr>
        <w:spacing w:line="384" w:lineRule="auto" w:after="0"/>
        <w:jc w:val="both"/>
      </w:pPr>
      <w:r>
        <w:rPr>
          <w:rFonts w:ascii="휴먼명조" w:eastAsia="휴먼명조" w:hAnsi="휴먼명조" w:cs="휴먼명조"/>
          <w:b w:val="0"/>
          <w:sz w:val="22"/>
          <w:w w:val="97"/>
        </w:rPr>
      </w:r>
    </w:p>
    <w:p>
      <w:pPr>
        <w:spacing w:line="384" w:lineRule="auto"/>
      </w:pPr>
      <w:r>
        <w:rPr>
          <w:rFonts w:ascii="휴먼명조" w:eastAsia="휴먼명조" w:hAnsi="휴먼명조" w:cs="휴먼명조"/>
          <w:b w:val="0"/>
          <w:sz w:val="22"/>
          <w:w w:val="97"/>
        </w:rPr>
        <w:fldChar w:fldCharType="begin"/>
      </w:r>
      <w:r>
        <w:rPr>
          <w:rFonts w:ascii="휴먼명조" w:eastAsia="휴먼명조" w:hAnsi="휴먼명조" w:cs="휴먼명조"/>
          <w:b w:val="0"/>
          <w:sz w:val="22"/>
          <w:w w:val="97"/>
        </w:rPr>
        <w:instrText xml:space="preserve"> TOC \h \z \t "표캡션,1" </w:instrText>
      </w:r>
      <w:r>
        <w:rPr>
          <w:rFonts w:ascii="휴먼명조" w:eastAsia="휴먼명조" w:hAnsi="휴먼명조" w:cs="휴먼명조"/>
          <w:b w:val="0"/>
          <w:sz w:val="22"/>
          <w:w w:val="97"/>
        </w:rPr>
        <w:fldChar w:fldCharType="separate"/>
      </w:r>
      <w:r>
        <w:rPr>
          <w:rFonts w:ascii="휴먼명조" w:eastAsia="휴먼명조" w:hAnsi="휴먼명조" w:cs="휴먼명조"/>
          <w:b w:val="0"/>
          <w:sz w:val="22"/>
          <w:w w:val="97"/>
        </w:rPr>
        <w:t>[여기서 F9를 눌러 목차를 갱신하세요]</w:t>
      </w:r>
      <w:r>
        <w:rPr>
          <w:rFonts w:ascii="휴먼명조" w:eastAsia="휴먼명조" w:hAnsi="휴먼명조" w:cs="휴먼명조"/>
          <w:b w:val="0"/>
          <w:sz w:val="22"/>
          <w:w w:val="97"/>
        </w:rPr>
        <w:fldChar w:fldCharType="end"/>
      </w:r>
    </w:p>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sz w:val="28"/>
          <w:w w:val="97"/>
        </w:rPr>
        <w:t>ABSTRACT</w:t>
      </w:r>
    </w:p>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This study examines whether lightweight Vision-Language Models (VLMs) can be adapted to the medical Visual Question Answering (VQA) domain on consumer-grade GPUs, through a three-stage experiment conducted under a single evaluation protocol. Four open models in the 2-3B parameter range (Qwen3-VL-2B, Qwen2.5-VL-3B, SmolVLM2-2.2B, Gemma4-E2B) were evaluated on three public medical VQA datasets (PathVQA, SLAKE, VQA-RAD) across zero-shot baselines (12 conditions, Phase 1), QLoRA fine-tuning (75 conditions, Phase 2), and a comparison of hyperparameter search strategies (610 trials, Phase 3).</w:t>
      </w:r>
    </w:p>
    <w:p>
      <w:pPr>
        <w:spacing w:line="384" w:lineRule="auto" w:after="0"/>
        <w:ind w:firstLine="220"/>
        <w:jc w:val="both"/>
      </w:pPr>
      <w:r>
        <w:rPr>
          <w:rFonts w:ascii="휴먼명조" w:eastAsia="휴먼명조" w:hAnsi="휴먼명조" w:cs="휴먼명조"/>
          <w:b w:val="0"/>
          <w:sz w:val="22"/>
          <w:w w:val="97"/>
        </w:rPr>
        <w:t>Zero-shot accuracy differed significantly across models (Cochran's Q = 1904.28, df = 3, p &lt; .001), with Qwen3-VL-2B achieving the highest pooled accuracy (0.3843). This ranking persisted after removing samples flagged as likely pretraining exposure by Min-K% Probability, indicating robustness to data contamination. The effect of QLoRA fine-tuning was heterogeneous in direction across models: it significantly improved Qwen2.5-VL-3B (Cohen's d = +2.646) and Qwen3-VL-2B (d = +1.620), yet significantly degraded SmolVLM2-2.2B (d = -2.284). A mixed-effects model pooling all four models reported no significant effect (p = .3629) because these opposing effects cancelled in the aggregate. In autonomous hyperparameter search, the large language model agent (0.4184) performed significantly worse than Bayesian optimization (0.4490; Mann-Whitney U = 16.00, p = .0112, r = -0.68) and was statistically indistinguishable from random search (0.4186), although all three automated strategies exceeded the manual configuration (0.3776). The agent's disadvantage arose not from proposal quality but from a reduced effective search budget caused by duplicate proposals (12.5 of 20 unique configurations per repeat).</w:t>
      </w:r>
    </w:p>
    <w:p>
      <w:pPr>
        <w:spacing w:line="384" w:lineRule="auto" w:after="0"/>
        <w:ind w:firstLine="220"/>
        <w:jc w:val="both"/>
      </w:pPr>
      <w:r>
        <w:rPr>
          <w:rFonts w:ascii="휴먼명조" w:eastAsia="휴먼명조" w:hAnsi="휴먼명조" w:cs="휴먼명조"/>
          <w:b w:val="0"/>
          <w:sz w:val="22"/>
          <w:w w:val="97"/>
        </w:rPr>
        <w:t>The study makes three contributions. First, it provides three-stage empirical evidence on medical-domain adaptation of lightweight VLMs under a single protocol, showing that performance and resource consumption are not monotonically related and thereby offering a concrete basis for model selection under resource constraints. Second, it quantifies the model-level heterogeneity of fine-tuning effects and demonstrates how pooled analysis conceals opposing effects. Third, it reports a negative result for LLM-based autonomous optimization together with its failure mechanism. Notably, the variation observed when repeating an identical configuration (0.056) exceeded the mean difference between strategies (0.031), constituting a quantitative counterexample to the practice of comparing methods from single runs.</w:t>
      </w:r>
    </w:p>
    <w:p>
      <w:pPr>
        <w:spacing w:line="384" w:lineRule="auto" w:after="0"/>
        <w:ind w:firstLine="220"/>
        <w:jc w:val="both"/>
      </w:pPr>
      <w:r>
        <w:rPr>
          <w:rFonts w:ascii="휴먼명조" w:eastAsia="휴먼명조" w:hAnsi="휴먼명조" w:cs="휴먼명조"/>
          <w:b w:val="0"/>
          <w:sz w:val="22"/>
          <w:w w:val="97"/>
        </w:rPr>
        <w:t>Keywords : Medical Visual Question Answering, Vision-Language Model, QLoRA, Parameter-Efficient Fine-Tuning, Hyperparameter Optimization, Large Language Model Agent</w:t>
      </w:r>
    </w:p>
    <w:p w14:paraId="02D3904B" w14:textId="41D0EFA2" w:rsidR="00291369" w:rsidRPr="0002752D" w:rsidRDefault="006D61CA" w:rsidP="0002752D">
      <w:pPr>
        <w:pBdr>
          <w:top w:val="none" w:sz="2" w:space="0" w:color="0A0000"/>
          <w:left w:val="none" w:sz="2" w:space="0" w:color="0A0000"/>
          <w:bottom w:val="none" w:sz="2" w:space="0" w:color="0A0000"/>
          <w:right w:val="none" w:sz="2" w:space="0" w:color="0A0000"/>
        </w:pBdr>
        <w:spacing w:line="360" w:lineRule="auto"/>
        <w:jc w:val="left"/>
        <w:rPr>
          <w:rFonts w:ascii="Arial" w:hAnsi="Arial" w:cs="Arial"/>
        </w:rPr>
        <w:sectPr w:rsidR="00291369" w:rsidRPr="0002752D" w:rsidSect="004A7E8A">
          <w:headerReference w:type="default" r:id="rId17"/>
          <w:footerReference w:type="default" r:id="rId18"/>
          <w:endnotePr>
            <w:numFmt w:val="decimal"/>
          </w:endnotePr>
          <w:pgSz w:w="10318" w:h="14570"/>
          <w:pgMar w:top="1417" w:right="1417" w:bottom="1417" w:left="1417" w:header="0" w:footer="0" w:gutter="0"/>
          <w:pgNumType w:fmt="lowerRoman" w:start="1"/>
          <w:cols w:space="0"/>
          <w:docGrid w:linePitch="299"/>
        </w:sectPr>
      </w:pPr>
      <w:commentRangeStart w:id="11"/>
      <w:r w:rsidRPr="0002752D">
        <w:rPr>
          <w:rFonts w:ascii="Arial" w:hAnsi="Arial" w:cs="Arial"/>
          <w:color w:val="282828"/>
          <w:w w:val="97"/>
          <w:sz w:val="18"/>
        </w:rPr>
        <w:t>Keyword</w:t>
      </w:r>
      <w:r w:rsidRPr="0002752D">
        <w:rPr>
          <w:rFonts w:ascii="Arial" w:hAnsi="Arial" w:cs="Arial"/>
          <w:color w:val="0000FF"/>
          <w:w w:val="97"/>
          <w:sz w:val="18"/>
        </w:rPr>
        <w:t>(9</w:t>
      </w:r>
      <w:r w:rsidR="007D745F">
        <w:rPr>
          <w:rFonts w:ascii="Arial" w:hAnsi="Arial" w:cs="Arial"/>
          <w:color w:val="0000FF"/>
          <w:w w:val="97"/>
          <w:sz w:val="18"/>
        </w:rPr>
        <w:t>pt</w:t>
      </w:r>
      <w:r w:rsidRPr="0002752D">
        <w:rPr>
          <w:rFonts w:ascii="Arial" w:hAnsi="Arial" w:cs="Arial"/>
          <w:color w:val="0000FF"/>
          <w:w w:val="97"/>
          <w:sz w:val="18"/>
        </w:rPr>
        <w:t>)</w:t>
      </w:r>
      <w:r w:rsidRPr="0002752D">
        <w:rPr>
          <w:rFonts w:ascii="Arial" w:eastAsia="휴먼명조" w:hAnsi="Arial" w:cs="Arial"/>
          <w:color w:val="282828"/>
          <w:w w:val="97"/>
          <w:sz w:val="18"/>
        </w:rPr>
        <w:t xml:space="preserve"> : within 6 word(</w:t>
      </w:r>
      <w:r w:rsidRPr="0002752D">
        <w:rPr>
          <w:rFonts w:ascii="Arial" w:eastAsia="휴먼명조" w:hAnsi="Arial" w:cs="Arial"/>
          <w:color w:val="282828"/>
          <w:w w:val="97"/>
          <w:sz w:val="18"/>
        </w:rPr>
        <w:t>여백에</w:t>
      </w:r>
      <w:r w:rsidRPr="0002752D">
        <w:rPr>
          <w:rFonts w:ascii="Arial" w:eastAsia="휴먼명조" w:hAnsi="Arial" w:cs="Arial"/>
          <w:color w:val="282828"/>
          <w:w w:val="97"/>
          <w:sz w:val="18"/>
        </w:rPr>
        <w:t xml:space="preserve"> </w:t>
      </w:r>
      <w:r w:rsidRPr="0002752D">
        <w:rPr>
          <w:rFonts w:ascii="Arial" w:eastAsia="휴먼명조" w:hAnsi="Arial" w:cs="Arial"/>
          <w:color w:val="282828"/>
          <w:w w:val="97"/>
          <w:sz w:val="18"/>
        </w:rPr>
        <w:t>상관없이</w:t>
      </w:r>
      <w:r w:rsidRPr="0002752D">
        <w:rPr>
          <w:rFonts w:ascii="Arial" w:eastAsia="휴먼명조" w:hAnsi="Arial" w:cs="Arial"/>
          <w:color w:val="282828"/>
          <w:w w:val="97"/>
          <w:sz w:val="18"/>
        </w:rPr>
        <w:t xml:space="preserve"> </w:t>
      </w:r>
      <w:r w:rsidRPr="0002752D">
        <w:rPr>
          <w:rFonts w:ascii="Arial" w:eastAsia="휴먼명조" w:hAnsi="Arial" w:cs="Arial"/>
          <w:color w:val="282828"/>
          <w:w w:val="97"/>
          <w:sz w:val="18"/>
        </w:rPr>
        <w:t>가장하단에</w:t>
      </w:r>
      <w:r w:rsidRPr="0002752D">
        <w:rPr>
          <w:rFonts w:ascii="Arial" w:eastAsia="휴먼명조" w:hAnsi="Arial" w:cs="Arial"/>
          <w:color w:val="282828"/>
          <w:w w:val="97"/>
          <w:sz w:val="18"/>
        </w:rPr>
        <w:t xml:space="preserve"> </w:t>
      </w:r>
      <w:r w:rsidRPr="0002752D">
        <w:rPr>
          <w:rFonts w:ascii="Arial" w:eastAsia="휴먼명조" w:hAnsi="Arial" w:cs="Arial"/>
          <w:color w:val="282828"/>
          <w:w w:val="97"/>
          <w:sz w:val="18"/>
        </w:rPr>
        <w:t>위치</w:t>
      </w:r>
      <w:r w:rsidRPr="0002752D">
        <w:rPr>
          <w:rFonts w:ascii="Arial" w:eastAsia="휴먼명조" w:hAnsi="Arial" w:cs="Arial"/>
          <w:color w:val="282828"/>
          <w:w w:val="97"/>
          <w:sz w:val="18"/>
        </w:rPr>
        <w:t>)</w:t>
      </w:r>
      <w:commentRangeEnd w:id="11"/>
      <w:r w:rsidR="00846490">
        <w:rPr>
          <w:rStyle w:val="afff0"/>
        </w:rPr>
        <w:commentReference w:id="11"/>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Chapter I. Introduction</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1.1 Background</w:t>
      </w:r>
    </w:p>
    <w:p>
      <w:pPr>
        <w:spacing w:line="384" w:lineRule="auto" w:after="0"/>
        <w:ind w:firstLine="220"/>
        <w:jc w:val="both"/>
      </w:pPr>
      <w:r>
        <w:rPr>
          <w:rFonts w:ascii="휴먼명조" w:eastAsia="휴먼명조" w:hAnsi="휴먼명조" w:cs="휴먼명조"/>
          <w:b w:val="0"/>
          <w:sz w:val="22"/>
          <w:w w:val="97"/>
        </w:rPr>
        <w:t>Driven by the success of large language models (LLMs), Vision-Language Models (VLMs) that jointly understand images and text have advanced rapidly, led by systems such as GPT-4V and Gemini. These general-purpose VLMs perform well on question answering over natural images, but their performance tends to be limited in domains requiring specialist knowledge, such as medical imaging, because they lack an adequate grasp of medical terminology and of pathological and radiological findings. At the same time, retraining large models from scratch is not realistic in research and clinical environments with constrained GPU resources. Parameter-Efficient Fine-Tuning (PEFT) methods such as QLoRA (Quantized Low-Rank Adaptation) have therefore attracted attention as an alternative that makes domain-specific fine-tuning feasible even on consumer-grade GPUs with 16-24GB of VRAM.</w:t>
      </w:r>
    </w:p>
    <w:p>
      <w:pPr>
        <w:spacing w:line="384" w:lineRule="auto" w:after="0"/>
        <w:ind w:firstLine="220"/>
        <w:jc w:val="both"/>
      </w:pPr>
      <w:r>
        <w:rPr>
          <w:rFonts w:ascii="휴먼명조" w:eastAsia="휴먼명조" w:hAnsi="휴먼명조" w:cs="휴먼명조"/>
          <w:b w:val="0"/>
          <w:sz w:val="22"/>
          <w:w w:val="97"/>
        </w:rPr>
        <w:t>Applying a PEFT method such as QLoRA in practice, however, requires selecting a number of hyperparameters — LoRA rank, target modules, learning rate, and others — and the influence of these choices on final performance often remains unexamined in a systematic way. Automating hyperparameter optimization (HPO) was identified as an open problem for VLM PEFT in a 2024 NeurIPS survey. Beyond traditional grid and random search or Bayesian optimization (Optuna TPE), an autonomous search paradigm has been proposed in which an LLM agent interprets prior experimental results on its own and proposes the next configuration.</w:t>
      </w:r>
    </w:p>
    <w:p>
      <w:pPr>
        <w:spacing w:line="384" w:lineRule="auto" w:after="0"/>
        <w:jc w:val="left"/>
        <w:outlineLvl w:val="1"/>
      </w:pPr>
      <w:r>
        <w:rPr>
          <w:rFonts w:ascii="휴먼명조" w:eastAsia="휴먼명조" w:hAnsi="휴먼명조" w:cs="휴먼명조"/>
          <w:b/>
          <w:sz w:val="28"/>
          <w:w w:val="97"/>
        </w:rPr>
        <w:t>1.2 Research Objectives</w:t>
      </w:r>
    </w:p>
    <w:p>
      <w:pPr>
        <w:spacing w:line="384" w:lineRule="auto" w:after="0"/>
        <w:ind w:firstLine="220"/>
        <w:jc w:val="both"/>
      </w:pPr>
      <w:r>
        <w:rPr>
          <w:rFonts w:ascii="휴먼명조" w:eastAsia="휴먼명조" w:hAnsi="휴먼명조" w:cs="휴먼명조"/>
          <w:b w:val="0"/>
          <w:sz w:val="22"/>
          <w:w w:val="97"/>
        </w:rPr>
        <w:t>This study aims to empirically verify the full process of adapting lightweight Vision-Language Models to the medical imaging VQA (Visual Question Answering) domain on consumer GPUs. Specifically, it pursues the following three objectives.</w:t>
      </w:r>
    </w:p>
    <w:p>
      <w:pPr>
        <w:spacing w:line="384" w:lineRule="auto" w:after="0"/>
        <w:ind w:firstLine="220"/>
        <w:jc w:val="both"/>
      </w:pPr>
      <w:r>
        <w:rPr>
          <w:rFonts w:ascii="휴먼명조" w:eastAsia="휴먼명조" w:hAnsi="휴먼명조" w:cs="휴먼명조"/>
          <w:b w:val="0"/>
          <w:sz w:val="22"/>
          <w:w w:val="97"/>
        </w:rPr>
        <w:t>1. Demonstrate the feasibility of medical VQA domain adaptation for lightweight VLMs on consumer-class GPUs (executed here on 24GB cards; applicable to the 16GB class on the basis of measured VRAM).</w:t>
      </w:r>
    </w:p>
    <w:p>
      <w:pPr>
        <w:spacing w:line="384" w:lineRule="auto" w:after="0"/>
        <w:ind w:firstLine="220"/>
        <w:jc w:val="both"/>
      </w:pPr>
      <w:r>
        <w:rPr>
          <w:rFonts w:ascii="휴먼명조" w:eastAsia="휴먼명조" w:hAnsi="휴먼명조" w:cs="휴먼명조"/>
          <w:b w:val="0"/>
          <w:sz w:val="22"/>
          <w:w w:val="97"/>
        </w:rPr>
        <w:t>2. Systematically analyse how the principal hyperparameters of QLoRA fine-tuning — data scale, LoRA rank, and the scope of target modules — affect performance.</w:t>
      </w:r>
    </w:p>
    <w:p>
      <w:pPr>
        <w:spacing w:line="384" w:lineRule="auto" w:after="0"/>
        <w:ind w:firstLine="220"/>
        <w:jc w:val="both"/>
      </w:pPr>
      <w:r>
        <w:rPr>
          <w:rFonts w:ascii="휴먼명조" w:eastAsia="휴먼명조" w:hAnsi="휴먼명조" w:cs="휴먼명조"/>
          <w:b w:val="0"/>
          <w:sz w:val="22"/>
          <w:w w:val="97"/>
        </w:rPr>
        <w:t>3. Verify whether autoresearch-style autonomous hyperparameter search driven by an LLM agent delivers performance competitive with Bayesian optimization while providing interpretable search rationales.</w:t>
      </w:r>
    </w:p>
    <w:p>
      <w:pPr>
        <w:spacing w:line="384" w:lineRule="auto" w:after="0"/>
        <w:ind w:firstLine="220"/>
        <w:jc w:val="both"/>
      </w:pPr>
      <w:r>
        <w:rPr>
          <w:rFonts w:ascii="휴먼명조" w:eastAsia="휴먼명조" w:hAnsi="휴먼명조" w:cs="휴먼명조"/>
          <w:b w:val="0"/>
          <w:sz w:val="22"/>
          <w:w w:val="97"/>
        </w:rPr>
        <w:t>These three objectives are formalized as the following research questions (RQs).</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w:t>
            </w:r>
          </w:p>
        </w:tc>
        <w:tc>
          <w:tcPr>
            <w:tcW w:type="dxa" w:w="2479"/>
          </w:tcPr>
          <w:p>
            <w:pPr>
              <w:spacing w:line="240" w:lineRule="auto"/>
              <w:jc w:val="center"/>
            </w:pPr>
            <w:r/>
            <w:r>
              <w:rPr>
                <w:rFonts w:ascii="휴먼명조" w:eastAsia="휴먼명조" w:hAnsi="휴먼명조" w:cs="휴먼명조"/>
                <w:b/>
                <w:sz w:val="18"/>
                <w:w w:val="97"/>
              </w:rPr>
              <w:t>Research Question</w:t>
            </w:r>
          </w:p>
        </w:tc>
        <w:tc>
          <w:tcPr>
            <w:tcW w:type="dxa" w:w="2479"/>
          </w:tcPr>
          <w:p>
            <w:pPr>
              <w:spacing w:line="240" w:lineRule="auto"/>
              <w:jc w:val="center"/>
            </w:pPr>
            <w:r/>
            <w:r>
              <w:rPr>
                <w:rFonts w:ascii="휴먼명조" w:eastAsia="휴먼명조" w:hAnsi="휴먼명조" w:cs="휴먼명조"/>
                <w:b/>
                <w:sz w:val="18"/>
                <w:w w:val="97"/>
              </w:rPr>
              <w:t>Null Hypothesis</w:t>
            </w:r>
          </w:p>
        </w:tc>
      </w:tr>
      <w:tr>
        <w:tc>
          <w:tcPr>
            <w:tcW w:type="dxa" w:w="2479"/>
          </w:tcPr>
          <w:p>
            <w:pPr>
              <w:spacing w:line="240" w:lineRule="auto"/>
              <w:jc w:val="center"/>
            </w:pPr>
            <w:r/>
            <w:r>
              <w:rPr>
                <w:rFonts w:ascii="휴먼명조" w:eastAsia="휴먼명조" w:hAnsi="휴먼명조" w:cs="휴먼명조"/>
                <w:b w:val="0"/>
                <w:sz w:val="18"/>
                <w:w w:val="97"/>
              </w:rPr>
              <w:t>RQ1</w:t>
            </w:r>
          </w:p>
        </w:tc>
        <w:tc>
          <w:tcPr>
            <w:tcW w:type="dxa" w:w="2479"/>
          </w:tcPr>
          <w:p>
            <w:pPr>
              <w:spacing w:line="240" w:lineRule="auto"/>
              <w:jc w:val="center"/>
            </w:pPr>
            <w:r/>
            <w:r>
              <w:rPr>
                <w:rFonts w:ascii="휴먼명조" w:eastAsia="휴먼명조" w:hAnsi="휴먼명조" w:cs="휴먼명조"/>
                <w:b w:val="0"/>
                <w:sz w:val="18"/>
                <w:w w:val="97"/>
              </w:rPr>
              <w:t>Do lightweight VLMs (2-3B) differ significantly across models in zero-shot medical VQA performance?</w:t>
            </w:r>
          </w:p>
        </w:tc>
        <w:tc>
          <w:tcPr>
            <w:tcW w:type="dxa" w:w="2479"/>
          </w:tcPr>
          <w:p>
            <w:pPr>
              <w:spacing w:line="240" w:lineRule="auto"/>
              <w:jc w:val="center"/>
            </w:pPr>
            <w:r/>
            <w:r>
              <w:rPr>
                <w:rFonts w:ascii="휴먼명조" w:eastAsia="휴먼명조" w:hAnsi="휴먼명조" w:cs="휴먼명조"/>
                <w:b w:val="0"/>
                <w:sz w:val="18"/>
                <w:w w:val="97"/>
              </w:rPr>
              <w:t>H0: No difference in VQA accuracy across models</w:t>
            </w:r>
          </w:p>
        </w:tc>
      </w:tr>
      <w:tr>
        <w:tc>
          <w:tcPr>
            <w:tcW w:type="dxa" w:w="2479"/>
          </w:tcPr>
          <w:p>
            <w:pPr>
              <w:spacing w:line="240" w:lineRule="auto"/>
              <w:jc w:val="center"/>
            </w:pPr>
            <w:r/>
            <w:r>
              <w:rPr>
                <w:rFonts w:ascii="휴먼명조" w:eastAsia="휴먼명조" w:hAnsi="휴먼명조" w:cs="휴먼명조"/>
                <w:b w:val="0"/>
                <w:sz w:val="18"/>
                <w:w w:val="97"/>
              </w:rPr>
              <w:t>RQ2</w:t>
            </w:r>
          </w:p>
        </w:tc>
        <w:tc>
          <w:tcPr>
            <w:tcW w:type="dxa" w:w="2479"/>
          </w:tcPr>
          <w:p>
            <w:pPr>
              <w:spacing w:line="240" w:lineRule="auto"/>
              <w:jc w:val="center"/>
            </w:pPr>
            <w:r/>
            <w:r>
              <w:rPr>
                <w:rFonts w:ascii="휴먼명조" w:eastAsia="휴먼명조" w:hAnsi="휴먼명조" w:cs="휴먼명조"/>
                <w:b w:val="0"/>
                <w:sz w:val="18"/>
                <w:w w:val="97"/>
              </w:rPr>
              <w:t>Does QLoRA fine-tuning significantly improve medical VQA performance?</w:t>
            </w:r>
          </w:p>
        </w:tc>
        <w:tc>
          <w:tcPr>
            <w:tcW w:type="dxa" w:w="2479"/>
          </w:tcPr>
          <w:p>
            <w:pPr>
              <w:spacing w:line="240" w:lineRule="auto"/>
              <w:jc w:val="center"/>
            </w:pPr>
            <w:r/>
            <w:r>
              <w:rPr>
                <w:rFonts w:ascii="휴먼명조" w:eastAsia="휴먼명조" w:hAnsi="휴먼명조" w:cs="휴먼명조"/>
                <w:b w:val="0"/>
                <w:sz w:val="18"/>
                <w:w w:val="97"/>
              </w:rPr>
              <w:t>H0: Base = Fine-tuned performance</w:t>
            </w:r>
          </w:p>
        </w:tc>
      </w:tr>
      <w:tr>
        <w:tc>
          <w:tcPr>
            <w:tcW w:type="dxa" w:w="2479"/>
          </w:tcPr>
          <w:p>
            <w:pPr>
              <w:spacing w:line="240" w:lineRule="auto"/>
              <w:jc w:val="center"/>
            </w:pPr>
            <w:r/>
            <w:r>
              <w:rPr>
                <w:rFonts w:ascii="휴먼명조" w:eastAsia="휴먼명조" w:hAnsi="휴먼명조" w:cs="휴먼명조"/>
                <w:b w:val="0"/>
                <w:sz w:val="18"/>
                <w:w w:val="97"/>
              </w:rPr>
              <w:t>RQ3</w:t>
            </w:r>
          </w:p>
        </w:tc>
        <w:tc>
          <w:tcPr>
            <w:tcW w:type="dxa" w:w="2479"/>
          </w:tcPr>
          <w:p>
            <w:pPr>
              <w:spacing w:line="240" w:lineRule="auto"/>
              <w:jc w:val="center"/>
            </w:pPr>
            <w:r/>
            <w:r>
              <w:rPr>
                <w:rFonts w:ascii="휴먼명조" w:eastAsia="휴먼명조" w:hAnsi="휴먼명조" w:cs="휴먼명조"/>
                <w:b w:val="0"/>
                <w:sz w:val="18"/>
                <w:w w:val="97"/>
              </w:rPr>
              <w:t>Does LLM-agent-based autonomous hyperparameter search achieve performance competitive with Bayesian optimization (Optuna TPE) while providing interpretable search rationales?</w:t>
            </w:r>
          </w:p>
        </w:tc>
        <w:tc>
          <w:tcPr>
            <w:tcW w:type="dxa" w:w="2479"/>
          </w:tcPr>
          <w:p>
            <w:pPr>
              <w:spacing w:line="240" w:lineRule="auto"/>
              <w:jc w:val="center"/>
            </w:pPr>
            <w:r/>
            <w:r>
              <w:rPr>
                <w:rFonts w:ascii="휴먼명조" w:eastAsia="휴먼명조" w:hAnsi="휴먼명조" w:cs="휴먼명조"/>
                <w:b w:val="0"/>
                <w:sz w:val="18"/>
                <w:w w:val="97"/>
              </w:rPr>
              <w:t>H0: Autoresearch = Optuna (TPE)</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The null hypothesis for RQ3 was set against Optuna (TPE) rather than plain random search because the justification for adopting LLM-based HPO — natural-language explanation of search rationale, use of prior knowledge to understand the structure of the search space, and traceability of the reasons for configuration changes — holds only if such a method can compete with Bayesian optimization, which is already established as a practical standard, rather than merely being "better than random." Random search is retained solely as a lower-bound reference.</w:t>
      </w:r>
    </w:p>
    <w:p>
      <w:pPr>
        <w:spacing w:line="384" w:lineRule="auto" w:after="0"/>
        <w:ind w:firstLine="220"/>
        <w:jc w:val="both"/>
      </w:pPr>
      <w:r>
        <w:rPr>
          <w:rFonts w:ascii="휴먼명조" w:eastAsia="휴먼명조" w:hAnsi="휴먼명조" w:cs="휴먼명조"/>
          <w:b w:val="0"/>
          <w:sz w:val="22"/>
          <w:w w:val="97"/>
        </w:rPr>
        <w:t>RQ1, RQ2, and RQ3 are verified against measured data in Sections 4.1, 4.2, and 4.3 of Chapter IV respectively, and the discussion cutting across all three results is consolidated in Section 4.4.</w:t>
      </w:r>
    </w:p>
    <w:p>
      <w:pPr>
        <w:spacing w:line="384" w:lineRule="auto" w:after="0"/>
        <w:jc w:val="left"/>
        <w:outlineLvl w:val="1"/>
      </w:pPr>
      <w:r>
        <w:rPr>
          <w:rFonts w:ascii="휴먼명조" w:eastAsia="휴먼명조" w:hAnsi="휴먼명조" w:cs="휴먼명조"/>
          <w:b/>
          <w:sz w:val="28"/>
          <w:w w:val="97"/>
        </w:rPr>
        <w:t>1.3 Scope and Delimitations</w:t>
      </w:r>
    </w:p>
    <w:p>
      <w:pPr>
        <w:spacing w:line="384" w:lineRule="auto" w:after="0"/>
        <w:ind w:firstLine="220"/>
        <w:jc w:val="both"/>
      </w:pPr>
      <w:r>
        <w:rPr>
          <w:rFonts w:ascii="휴먼명조" w:eastAsia="휴먼명조" w:hAnsi="휴먼명조" w:cs="휴먼명조"/>
          <w:b w:val="0"/>
          <w:sz w:val="22"/>
          <w:w w:val="97"/>
        </w:rPr>
        <w:t>The experimental scope of this study is limited to four lightweight VLMs (Qwen3-VL-2B, Qwen2.5-VL-3B, SmolVLM2-2.2B, Gemma4-E2B) and three public medical VQA datasets (PathVQA, SLAKE, VQA-RAD). Models were selected on the criteria that QLoRA fine-tuning was expected to be feasible within 16GB-class VRAM (confirmed post hoc at a measured maximum of 14.4GB, Section 3.2.1) and that the license permits free redistribution (Apache 2.0 / MIT). Datasets were restricted to publicly accessible benchmarks in which clinical question types are labelled.</w:t>
      </w:r>
    </w:p>
    <w:p>
      <w:pPr>
        <w:spacing w:line="384" w:lineRule="auto" w:after="0"/>
        <w:ind w:firstLine="220"/>
        <w:jc w:val="both"/>
      </w:pPr>
      <w:r>
        <w:rPr>
          <w:rFonts w:ascii="휴먼명조" w:eastAsia="휴먼명조" w:hAnsi="휴먼명조" w:cs="휴먼명조"/>
          <w:b w:val="0"/>
          <w:sz w:val="22"/>
          <w:w w:val="97"/>
        </w:rPr>
        <w:t>The principal limitations of the study are as follows; detailed grounds and mitigations are discussed in Section 5.3 of Chapter V. (1) Because the target datasets were released before the pretraining cut-off of the models, contamination of pretraining data is possible; this study therefore actively measures such contamination using the Min-K% Probability technique and separately verifies the robustness of its conclusions (see the contamination-robustness verification in Section 4.1.1). (2) Direct experimental comparison with existing medical-specialized VLMs such as LLaVA-Med and Med-Flamingo lies outside the scope of this study and is replaced by indirect comparison with figures reported in prior work. (3) Owing to GPU time and cost constraints, a max_steps ceiling was applied to QLoRA training, so that the effective training volume (in epoch terms) varies with dataset size.</w:t>
      </w:r>
    </w:p>
    <w:p>
      <w:pPr>
        <w:spacing w:line="384" w:lineRule="auto" w:after="0"/>
        <w:jc w:val="left"/>
        <w:outlineLvl w:val="1"/>
      </w:pPr>
      <w:r>
        <w:rPr>
          <w:rFonts w:ascii="휴먼명조" w:eastAsia="휴먼명조" w:hAnsi="휴먼명조" w:cs="휴먼명조"/>
          <w:b/>
          <w:sz w:val="28"/>
          <w:w w:val="97"/>
        </w:rPr>
        <w:t>1.4 Organization of the Thesis</w:t>
      </w:r>
    </w:p>
    <w:p>
      <w:pPr>
        <w:spacing w:line="384" w:lineRule="auto" w:after="0"/>
        <w:ind w:firstLine="220"/>
        <w:jc w:val="both"/>
      </w:pPr>
      <w:r>
        <w:rPr>
          <w:rFonts w:ascii="휴먼명조" w:eastAsia="휴먼명조" w:hAnsi="휴먼명조" w:cs="휴먼명조"/>
          <w:b w:val="0"/>
          <w:sz w:val="22"/>
          <w:w w:val="97"/>
        </w:rPr>
        <w:t>This thesis is organized as follows. Chapter II reviews the theoretical background and prior work on Vision-Language Models, Parameter-Efficient Fine-Tuning, medical VQA, and autonomous hyperparameter optimization. Chapter III describes the experimental environment, the target models and datasets, the concrete design of the three-stage experiment (Phase 1 zero-shot baseline, Phase 2 QLoRA fine-tuning, Phase 3 autonomous HPO), and the evaluation and statistical analysis methods. Chapter IV presents the experimental results of each phase in accordance with RQ1-RQ3 and discusses them collectively. Chapter V summarizes the findings and presents the contributions, limitations, and directions for future research.</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Chapter II. Theoretical Background</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2.1 Overview of Vision-Language Models</w:t>
      </w:r>
    </w:p>
    <w:p>
      <w:pPr>
        <w:spacing w:line="384" w:lineRule="auto" w:after="0"/>
        <w:jc w:val="left"/>
        <w:outlineLvl w:val="2"/>
      </w:pPr>
      <w:r>
        <w:rPr>
          <w:rFonts w:ascii="휴먼명조" w:eastAsia="휴먼명조" w:hAnsi="휴먼명조" w:cs="휴먼명조"/>
          <w:b/>
          <w:sz w:val="22"/>
          <w:w w:val="97"/>
        </w:rPr>
        <w:t>2.1.1 Development of Multimodal Learning</w:t>
      </w:r>
    </w:p>
    <w:p>
      <w:pPr>
        <w:spacing w:line="384" w:lineRule="auto" w:after="0"/>
        <w:ind w:firstLine="220"/>
        <w:jc w:val="both"/>
      </w:pPr>
      <w:r>
        <w:rPr>
          <w:rFonts w:ascii="휴먼명조" w:eastAsia="휴먼명조" w:hAnsi="휴먼명조" w:cs="휴먼명조"/>
          <w:b w:val="0"/>
          <w:sz w:val="22"/>
          <w:w w:val="97"/>
        </w:rPr>
        <w:t>A Vision-Language Model (VLM) combines an image encoder with a large language model (LLM) so as to understand and generate visual and linguistic information jointly. Early multimodal learning centred on contrastive learning over image-text pairs to learn a shared embedding space. As the instruction-following capability of LLMs advanced, the dominant approach shifted to projecting image features into the input token space of an LLM and using instruction tuning to acquire visual question answering and description generation abilities. LLaVA by Liu et al. (Visual Instruction Tuning, arXiv:2304.08485) is a representative case in which an open-source LLM was fine-tuned on visual instruction data generated by GPT-4, achieving visual dialogue ability approaching that of commercial models; many subsequent VLM studies inherited this instruction-tuning paradigm. Commercial large-scale VLMs such as GPT-4V and Gemini have secured general-purpose visual understanding through vast parameter counts and training data, but their inference cost and deployment constraints are correspondingly large, which limits their use on consumer-grade hardware.</w:t>
      </w:r>
    </w:p>
    <w:p>
      <w:pPr>
        <w:spacing w:line="384" w:lineRule="auto" w:after="0"/>
        <w:jc w:val="left"/>
        <w:outlineLvl w:val="2"/>
      </w:pPr>
      <w:r>
        <w:rPr>
          <w:rFonts w:ascii="휴먼명조" w:eastAsia="휴먼명조" w:hAnsi="휴먼명조" w:cs="휴먼명조"/>
          <w:b/>
          <w:sz w:val="22"/>
          <w:w w:val="97"/>
        </w:rPr>
        <w:t>2.1.2 Lightweight VLM Architectures</w:t>
      </w:r>
    </w:p>
    <w:p>
      <w:pPr>
        <w:spacing w:line="384" w:lineRule="auto" w:after="0"/>
        <w:ind w:firstLine="220"/>
        <w:jc w:val="both"/>
      </w:pPr>
      <w:r>
        <w:rPr>
          <w:rFonts w:ascii="휴먼명조" w:eastAsia="휴먼명조" w:hAnsi="휴먼명조" w:cs="휴먼명조"/>
          <w:b w:val="0"/>
          <w:sz w:val="22"/>
          <w:w w:val="97"/>
        </w:rPr>
        <w:t>The four models targeted in this study are all lightweight VLMs in the 2-3B class released in 2025-2026, each pursuing parameter efficiency in a different way. Qwen2.5-VL (Qwen Team, Alibaba, Technical Report arXiv:2502.13923) is characterized by dynamic-resolution processing, which adjusts the number of visual tokens according to image size, and by an MRoPE extension that aligns temporal information to absolute time; it is strong at document parsing and multilingual OCR. Its successor, Qwen3-VL, expanded into dense (2B/4B/8B/32B) and Mixture-of-Experts (30B-A3B/235B-A22B) families and introduced a "thinking mode" together with DeepStack-style multi-level fusion of visual features. SmolVLM2 (HuggingFace, "SmolVLM: Redefining small and efficient multimodal models", arXiv:2504.05299) is an on-device-oriented architecture that combines a SigLIP image encoder with the SmolLM2 language model, focusing on extremely low memory usage (5.2GB for video inference in the 2.2B model). Gemma4-E2B (Google) is a Mixture-of-Experts-family structure that activates only 2.3B parameters at inference through Per-Layer Embeddings (PLE) while exploiting the expressive capacity of a 5.1B-class total parameter count; it is lightweight in terms of active parameters, but its stored parameter scale is larger than that of the other three models, an architectural difference whose implications for interpreting the results are discussed in Section 5.3 of Chapter V.</w:t>
      </w:r>
    </w:p>
    <w:p>
      <w:pPr>
        <w:spacing w:line="384" w:lineRule="auto" w:after="0"/>
        <w:jc w:val="left"/>
        <w:outlineLvl w:val="1"/>
      </w:pPr>
      <w:r>
        <w:rPr>
          <w:rFonts w:ascii="휴먼명조" w:eastAsia="휴먼명조" w:hAnsi="휴먼명조" w:cs="휴먼명조"/>
          <w:b/>
          <w:sz w:val="28"/>
          <w:w w:val="97"/>
        </w:rPr>
        <w:t>2.2 Parameter-Efficient Fine-Tuning</w:t>
      </w:r>
    </w:p>
    <w:p>
      <w:pPr>
        <w:spacing w:line="384" w:lineRule="auto" w:after="0"/>
        <w:jc w:val="left"/>
        <w:outlineLvl w:val="2"/>
      </w:pPr>
      <w:r>
        <w:rPr>
          <w:rFonts w:ascii="휴먼명조" w:eastAsia="휴먼명조" w:hAnsi="휴먼명조" w:cs="휴먼명조"/>
          <w:b/>
          <w:sz w:val="22"/>
          <w:w w:val="97"/>
        </w:rPr>
        <w:t>2.2.1 LoRA (Low-Rank Adaptation)</w:t>
      </w:r>
    </w:p>
    <w:p>
      <w:pPr>
        <w:spacing w:line="384" w:lineRule="auto" w:after="0"/>
        <w:ind w:firstLine="220"/>
        <w:jc w:val="both"/>
      </w:pPr>
      <w:r>
        <w:rPr>
          <w:rFonts w:ascii="휴먼명조" w:eastAsia="휴먼명조" w:hAnsi="휴먼명조" w:cs="휴먼명조"/>
          <w:b w:val="0"/>
          <w:sz w:val="22"/>
          <w:w w:val="97"/>
        </w:rPr>
        <w:t>LoRA (Hu et al., "LoRA: Low-Rank Adaptation of Large Language Models", arXiv:2106.09685, ICLR 2022) freezes a pretrained weight matrix $W_0$ and learns an approximation of its update $\Delta W$ as the product $BA$ of two low-rank matrices $A \in \mathbb{R}^{r \times k}$ and $B \in \mathbb{R}^{d \times r}$, with $r \ll \min(d,k)$. The forward pass is computed as $h = W_0 x + BAx$, and since only $A$ and $B$ are trained, the ratio of trainable to total parameters can be reduced dramatically (in Ablation B of this study, the trainable-parameter ratio at rank = 64 is approximately 0.2-1.6% of the total; see Section 4.2.3). The rank $r$ is the key hyperparameter governing the trade-off between expressive capacity and parameter efficiency, while alpha is a coefficient that scales $\Delta W$ (multiplying $BAx$ by $\alpha/r$).</w:t>
      </w:r>
    </w:p>
    <w:p>
      <w:pPr>
        <w:spacing w:line="384" w:lineRule="auto" w:after="0"/>
        <w:jc w:val="left"/>
        <w:outlineLvl w:val="2"/>
      </w:pPr>
      <w:r>
        <w:rPr>
          <w:rFonts w:ascii="휴먼명조" w:eastAsia="휴먼명조" w:hAnsi="휴먼명조" w:cs="휴먼명조"/>
          <w:b/>
          <w:sz w:val="22"/>
          <w:w w:val="97"/>
        </w:rPr>
        <w:t>2.2.2 QLoRA (Quantized LoRA)</w:t>
      </w:r>
    </w:p>
    <w:p>
      <w:pPr>
        <w:spacing w:line="384" w:lineRule="auto" w:after="0"/>
        <w:ind w:firstLine="220"/>
        <w:jc w:val="both"/>
      </w:pPr>
      <w:r>
        <w:rPr>
          <w:rFonts w:ascii="휴먼명조" w:eastAsia="휴먼명조" w:hAnsi="휴먼명조" w:cs="휴먼명조"/>
          <w:b w:val="0"/>
          <w:sz w:val="22"/>
          <w:w w:val="97"/>
        </w:rPr>
        <w:t>QLoRA (Dettmers et al., "QLoRA: Efficient Finetuning of Quantized LLMs", arXiv:2305.14314, NeurIPS 2023) combines LoRA with 4-bit quantization to reduce VRAM usage further. Its core components are (1) 4-bit NormalFloat (NF4) quantization optimized for normally distributed weights, (2) double quantization, which quantizes the quantization constants themselves, and (3) a paged optimizer that offloads GPU memory spikes to the CPU. The base model is held fixed in 4-bit quantized form and only the LoRA adapter above it is trained at 16-bit precision; the original paper showed that this allows fine-tuning of a 65B-class model on a single 48GB GPU while maintaining performance close to full 16-bit fine-tuning. This study applies the same QLoRA scheme (NF4 quantization + LoRA + paged AdamW 8-bit) to all four lightweight VLMs in order to verify the feasibility of medical-domain fine-tuning on consumer-class GPUs (Section 3.6). Execution took place on 24GB cards (RTX 4090 and 3090), and feasibility in the 16GB class is judged from measured peak VRAM (Section 3.2.1).</w:t>
      </w:r>
    </w:p>
    <w:p>
      <w:pPr>
        <w:spacing w:line="384" w:lineRule="auto" w:after="0"/>
        <w:jc w:val="left"/>
        <w:outlineLvl w:val="2"/>
      </w:pPr>
      <w:r>
        <w:rPr>
          <w:rFonts w:ascii="휴먼명조" w:eastAsia="휴먼명조" w:hAnsi="휴먼명조" w:cs="휴먼명조"/>
          <w:b/>
          <w:sz w:val="22"/>
          <w:w w:val="97"/>
        </w:rPr>
        <w:t>2.2.3 Comparison with Other PEFT Methods</w:t>
      </w:r>
    </w:p>
    <w:p>
      <w:pPr>
        <w:spacing w:line="384" w:lineRule="auto" w:after="0"/>
        <w:ind w:firstLine="220"/>
        <w:jc w:val="both"/>
      </w:pPr>
      <w:r>
        <w:rPr>
          <w:rFonts w:ascii="휴먼명조" w:eastAsia="휴먼명조" w:hAnsi="휴먼명조" w:cs="휴먼명조"/>
          <w:b w:val="0"/>
          <w:sz w:val="22"/>
          <w:w w:val="97"/>
        </w:rPr>
        <w:t>Besides LoRA and QLoRA, various PEFT methods have been proposed, including partial fine-tuning that trains only some layers, prefix tuning that prepends trainable prefix vectors to the input, and adapter approaches that insert small adapter modules between transformer layers. Compared with these, the advantages of the LoRA family are that (1) $BA$ can be merged into $W_0$ at inference time so that no additional latency is incurred, and (2) adapters can be stored and swapped independently, allowing a single base model to be reused across multiple tasks. This study adopts LoRA/QLoRA because these two advantages are particularly favourable for the repeated hyperparameter search conducted on consumer GPUs (Section 3.7, Phase 3).</w:t>
      </w:r>
    </w:p>
    <w:p>
      <w:pPr>
        <w:spacing w:line="384" w:lineRule="auto" w:after="0"/>
        <w:jc w:val="left"/>
        <w:outlineLvl w:val="1"/>
      </w:pPr>
      <w:r>
        <w:rPr>
          <w:rFonts w:ascii="휴먼명조" w:eastAsia="휴먼명조" w:hAnsi="휴먼명조" w:cs="휴먼명조"/>
          <w:b/>
          <w:sz w:val="28"/>
          <w:w w:val="97"/>
        </w:rPr>
        <w:t>2.3 Medical Visual Question Answering</w:t>
      </w:r>
    </w:p>
    <w:p>
      <w:pPr>
        <w:spacing w:line="384" w:lineRule="auto" w:after="0"/>
        <w:jc w:val="left"/>
        <w:outlineLvl w:val="2"/>
      </w:pPr>
      <w:r>
        <w:rPr>
          <w:rFonts w:ascii="휴먼명조" w:eastAsia="휴먼명조" w:hAnsi="휴먼명조" w:cs="휴먼명조"/>
          <w:b/>
          <w:sz w:val="22"/>
          <w:w w:val="97"/>
        </w:rPr>
        <w:t>2.3.1 Definition of the Medical VQA Task</w:t>
      </w:r>
    </w:p>
    <w:p>
      <w:pPr>
        <w:spacing w:line="384" w:lineRule="auto" w:after="0"/>
        <w:ind w:firstLine="220"/>
        <w:jc w:val="both"/>
      </w:pPr>
      <w:r>
        <w:rPr>
          <w:rFonts w:ascii="휴먼명조" w:eastAsia="휴먼명조" w:hAnsi="휴먼명조" w:cs="휴먼명조"/>
          <w:b w:val="0"/>
          <w:sz w:val="22"/>
          <w:w w:val="97"/>
        </w:rPr>
        <w:t>Medical VQA is the task of generating a correct answer given a medical image (a pathology tissue slide, a radiological image, and so on) together with a natural-language question. Unlike general-domain VQA, it requires both an understanding of specialist medical terminology and fine-grained visual grounding of imaging findings. Question types divide broadly into (1) closed-ended questions answered yes/no or by selecting among options, and (2) open-ended questions requiring free-form answers; the two types differ greatly in scoring method and difficulty, as confirmed empirically in Section 4.1.2.</w:t>
      </w:r>
    </w:p>
    <w:p>
      <w:pPr>
        <w:spacing w:line="384" w:lineRule="auto" w:after="0"/>
        <w:jc w:val="left"/>
        <w:outlineLvl w:val="2"/>
      </w:pPr>
      <w:r>
        <w:rPr>
          <w:rFonts w:ascii="휴먼명조" w:eastAsia="휴먼명조" w:hAnsi="휴먼명조" w:cs="휴먼명조"/>
          <w:b/>
          <w:sz w:val="22"/>
          <w:w w:val="97"/>
        </w:rPr>
        <w:t>2.3.2 Principal Benchmark Datasets</w:t>
      </w:r>
    </w:p>
    <w:p>
      <w:pPr>
        <w:spacing w:line="384" w:lineRule="auto" w:after="0"/>
        <w:ind w:firstLine="220"/>
        <w:jc w:val="both"/>
      </w:pPr>
      <w:r>
        <w:rPr>
          <w:rFonts w:ascii="휴먼명조" w:eastAsia="휴먼명조" w:hAnsi="휴먼명조" w:cs="휴먼명조"/>
          <w:b w:val="0"/>
          <w:sz w:val="22"/>
          <w:w w:val="97"/>
        </w:rPr>
        <w:t>The three datasets used in this study each represent a different sub-domain of medical imaging. PathVQA (He et al., "PathVQA: 30000+ Questions for Medical Visual Question Answering", arXiv:2003.10286, 2020) provides 32,799 question-answer pairs over 4,998 pathology tissue images extracted from pathology textbooks and the PEIR digital library, organized into seven question types modelled on the American Board of Pathology (ABP) certification examination format. SLAKE (Liu et al., "SLAKE: A Semantically-Labeled Knowledge-Enhanced Dataset for Medical Visual Question Answering", ISBI 2021) combines 14,028 bilingual English-Chinese question-answer pairs over 642 radiology/CT images with a medical knowledge graph of 5,232 knowledge triplets. VQA-RAD (Lau et al., "A dataset of clinically generated visual questions and answers about radiology images", Scientific Data 5, 2018) was the first dataset to collect questions that clinicians naturally raised while viewing radiological images (CT/MRI/X-ray), containing roughly 3,500 question-answer pairs over 315 images.</w:t>
      </w:r>
    </w:p>
    <w:p>
      <w:pPr>
        <w:spacing w:line="384" w:lineRule="auto" w:after="0"/>
        <w:jc w:val="left"/>
        <w:outlineLvl w:val="2"/>
      </w:pPr>
      <w:r>
        <w:rPr>
          <w:rFonts w:ascii="휴먼명조" w:eastAsia="휴먼명조" w:hAnsi="휴먼명조" w:cs="휴먼명조"/>
          <w:b/>
          <w:sz w:val="22"/>
          <w:w w:val="97"/>
        </w:rPr>
        <w:t>2.3.3 Prior Work</w:t>
      </w:r>
    </w:p>
    <w:p>
      <w:pPr>
        <w:spacing w:line="384" w:lineRule="auto" w:after="0"/>
        <w:ind w:firstLine="220"/>
        <w:jc w:val="both"/>
      </w:pPr>
      <w:r>
        <w:rPr>
          <w:rFonts w:ascii="휴먼명조" w:eastAsia="휴먼명조" w:hAnsi="휴먼명조" w:cs="휴먼명조"/>
          <w:b w:val="0"/>
          <w:sz w:val="22"/>
          <w:w w:val="97"/>
        </w:rPr>
        <w:t>Attempts to specialize general-purpose VLMs for the medical domain divide broadly into large-scale retraining and adaptation approaches. LLaVA-Med (Li et al., "LLaVA-Med: Training a Large Language-and-Vision Assistant for Biomedicine in One Day", arXiv:2306.00890, NeurIPS 2023 Datasets and Benchmarks Track) generated GPT-4-based instruction data from large-scale biomedical figure-caption data in PubMed Central and adapted general-purpose LLaVA to the biomedical domain through curriculum learning. Med-Flamingo (Moor et al., "Med-Flamingo: a Multimodal Medical Few-shot Learner", arXiv:2307.15189, 2023) performed continued pretraining of OpenFlamingo-9B on image-text data from medical papers and textbooks, acquiring the ability to adapt to medical VQA from only a few examples. CheXagent (Chen et al., "CheXagent: Towards a Foundation Model for Chest X-Ray Interpretation", arXiv:2401.12208, 2024) is a foundation model composed of a clinical LLM, a visual encoder, and a cross-modal bridge network specialized for chest X-ray interpretation, representing an approach deeply specialized to one imaging sub-domain.</w:t>
      </w:r>
    </w:p>
    <w:p>
      <w:pPr>
        <w:spacing w:line="384" w:lineRule="auto" w:after="0"/>
        <w:ind w:firstLine="220"/>
        <w:jc w:val="both"/>
      </w:pPr>
      <w:r>
        <w:rPr>
          <w:rFonts w:ascii="휴먼명조" w:eastAsia="휴먼명조" w:hAnsi="휴먼명조" w:cs="휴먼명조"/>
          <w:b w:val="0"/>
          <w:sz w:val="22"/>
          <w:w w:val="97"/>
        </w:rPr>
        <w:t>These prior studies commonly target models on the scale of billions to hundreds of billions of parameters and presuppose either continued pretraining on large biomedical corpora or the generation of large-scale instruction data. By contrast, this study fine-tunes 2-3B-class lightweight models with QLoRA using only small domain datasets (thousands to tens of thousands of samples), focusing on practical adaptability under constrained computational resources; the approach therefore differs in kind. Direct experimental comparison with these prior studies lies outside the present scope. However, since LLaVA-Med reports figures on the standard test splits of the same three datasets used here, an indirect comparison restricted to closed-ended metrics — where the scoring criteria coincide — is presented in Section 4.4.6 (Table 4.4) of Chapter IV. Open-ended metrics are excluded from comparison because the two scoring schemes differ fundamentally; the grounds and the remaining constraints are discussed in Section 5.3(2) of Chapter V.</w:t>
      </w:r>
    </w:p>
    <w:p>
      <w:pPr>
        <w:spacing w:line="384" w:lineRule="auto" w:after="0"/>
        <w:jc w:val="left"/>
        <w:outlineLvl w:val="1"/>
      </w:pPr>
      <w:r>
        <w:rPr>
          <w:rFonts w:ascii="휴먼명조" w:eastAsia="휴먼명조" w:hAnsi="휴먼명조" w:cs="휴먼명조"/>
          <w:b/>
          <w:sz w:val="28"/>
          <w:w w:val="97"/>
        </w:rPr>
        <w:t>2.4 Autonomous Hyperparameter Optimization</w:t>
      </w:r>
    </w:p>
    <w:p>
      <w:pPr>
        <w:spacing w:line="384" w:lineRule="auto" w:after="0"/>
        <w:jc w:val="left"/>
        <w:outlineLvl w:val="2"/>
      </w:pPr>
      <w:r>
        <w:rPr>
          <w:rFonts w:ascii="휴먼명조" w:eastAsia="휴먼명조" w:hAnsi="휴먼명조" w:cs="휴먼명조"/>
          <w:b/>
          <w:sz w:val="22"/>
          <w:w w:val="97"/>
        </w:rPr>
        <w:t>2.4.1 Traditional HPO (Grid, Random, Bayesian)</w:t>
      </w:r>
    </w:p>
    <w:p>
      <w:pPr>
        <w:spacing w:line="384" w:lineRule="auto" w:after="0"/>
        <w:ind w:firstLine="220"/>
        <w:jc w:val="both"/>
      </w:pPr>
      <w:r>
        <w:rPr>
          <w:rFonts w:ascii="휴먼명조" w:eastAsia="휴먼명조" w:hAnsi="휴먼명조" w:cs="휴먼명조"/>
          <w:b w:val="0"/>
          <w:sz w:val="22"/>
          <w:w w:val="97"/>
        </w:rPr>
        <w:t>The simplest method of hyperparameter optimization (HPO) is grid search, which evaluates every combination on a predefined grid; the number of required evaluations, however, grows exponentially with the dimensionality of the search space. Bergstra and Bengio ("Random Search for Hyper-Parameter Optimization", JMLR 13, 2012) showed theoretically and empirically that random sampling of combinations can yield substantially better — or equivalent — performance than grid search within the same computational budget, because the effective dimensionality of the hyperparameters that actually influence performance is often low. Bayesian optimization constructs a probabilistic surrogate model of the objective function from previous evaluations and selects the next evaluation point accordingly, aiming to find a better solution with fewer evaluations than grid or random search. Optuna (Akiba et al., "Optuna: A Next-generation Hyperparameter Optimization Framework", KDD 2019), used as the control in this study, is a Bayesian optimization framework adopting the Tree-structured Parzen Estimator (TPE) algorithm, providing a define-by-run API that allows the search space to be defined dynamically at runtime together with efficient pruning strategies.</w:t>
      </w:r>
    </w:p>
    <w:p>
      <w:pPr>
        <w:spacing w:line="384" w:lineRule="auto" w:after="0"/>
        <w:ind w:firstLine="220"/>
        <w:jc w:val="both"/>
      </w:pPr>
      <w:r>
        <w:rPr>
          <w:rFonts w:ascii="휴먼명조" w:eastAsia="휴먼명조" w:hAnsi="휴먼명조" w:cs="휴먼명조"/>
          <w:b w:val="0"/>
          <w:sz w:val="22"/>
          <w:w w:val="97"/>
        </w:rPr>
        <w:t>Among early-stopping-based methods, Hyperband (Li et al., "Hyperband: A Novel Bandit-Based Approach to Hyperparameter Optimization", JMLR 18, 2018) formulates HPO as a pure-exploration bandit problem by repeatedly applying successive halving, allocating little resource (training steps and the like) to unpromising configurations and progressively more to promising ones. For this method to hold, there must be a significant rank correlation between the early learning curve (performance over the first few steps) and final converged performance; Ablation A of Phase 2 in this study (learning curves by data ratio, Section 4.2.2) provides grounds for observing a similar early-signal-to-final-performance relationship within its own experimental context.</w:t>
      </w:r>
    </w:p>
    <w:p>
      <w:pPr>
        <w:spacing w:line="384" w:lineRule="auto" w:after="0"/>
        <w:jc w:val="left"/>
        <w:outlineLvl w:val="2"/>
      </w:pPr>
      <w:r>
        <w:rPr>
          <w:rFonts w:ascii="휴먼명조" w:eastAsia="휴먼명조" w:hAnsi="휴먼명조" w:cs="휴먼명조"/>
          <w:b/>
          <w:sz w:val="22"/>
          <w:w w:val="97"/>
        </w:rPr>
        <w:t>2.4.2 LLM-Agent-Based Optimization (autoresearch)</w:t>
      </w:r>
    </w:p>
    <w:p>
      <w:pPr>
        <w:spacing w:line="384" w:lineRule="auto" w:after="0"/>
        <w:ind w:firstLine="220"/>
        <w:jc w:val="both"/>
      </w:pPr>
      <w:r>
        <w:rPr>
          <w:rFonts w:ascii="휴먼명조" w:eastAsia="휴먼명조" w:hAnsi="휴먼명조" w:cs="휴먼명조"/>
          <w:b w:val="0"/>
          <w:sz w:val="22"/>
          <w:w w:val="97"/>
        </w:rPr>
        <w:t>In contrast to Bayesian optimization, which relies on a numerical surrogate model, a scheme in which an LLM agent directly interprets previous experimental logs and proposes the next configuration through natural-language reasoning has recently been discussed as a new alternative for hyperparameter search. The theoretical distinctions of this approach can be summarized in three points: (1) the LLM can transfer knowledge across different tasks and architectures (cross-domain transfer) by drawing on domain knowledge acquired during pretraining; (2) unlike Bayesian optimization, which treats individual hyperparameters as independent variables, it can understand interactions among hyperparameters structurally on the basis of prior knowledge; and (3) it records the reason for changing a configuration explicitly in natural language, providing interpretability and traceability of the search process. The autoresearch-style loop adopted in this study (read previous results → propose the next configuration with a natural-language rationale → execute → record the result, Section 3.7) is the experimental apparatus by which RQ3 tests whether these three distinctions can in fact be combined with performance competitive against Bayesian optimization (Optuna/TPE). This is, however, less an established standard methodology than one instance of an emerging research current on the use of LLM agents for automating scientific experimentation; rather than claiming general superiority for the approach, this study focuses on empirically verifying its competitiveness on the concrete task of medical VQA QLoRA tuning.</w:t>
      </w:r>
    </w:p>
    <w:p>
      <w:pPr>
        <w:spacing w:line="384" w:lineRule="auto" w:after="0"/>
        <w:jc w:val="left"/>
        <w:outlineLvl w:val="1"/>
      </w:pPr>
      <w:r>
        <w:rPr>
          <w:rFonts w:ascii="휴먼명조" w:eastAsia="휴먼명조" w:hAnsi="휴먼명조" w:cs="휴먼명조"/>
          <w:b/>
          <w:sz w:val="28"/>
          <w:w w:val="97"/>
        </w:rPr>
        <w:t>2.5 Summary of Prior Work and the Distinctiveness of This Study</w:t>
      </w:r>
    </w:p>
    <w:p>
      <w:pPr>
        <w:spacing w:line="384" w:lineRule="auto" w:after="0"/>
        <w:ind w:firstLine="220"/>
        <w:jc w:val="both"/>
      </w:pPr>
      <w:r>
        <w:rPr>
          <w:rFonts w:ascii="휴먼명조" w:eastAsia="휴먼명조" w:hAnsi="휴먼명조" w:cs="휴먼명조"/>
          <w:b w:val="0"/>
          <w:sz w:val="22"/>
          <w:w w:val="97"/>
        </w:rPr>
        <w:t xml:space="preserve">Taken together, the prior work reviewed above shows that research on medical-specialized VLMs (2.3.3) generally presupposes large models and large domain datasets; research on PEFT methodology (2.2) concentrates on verifying parameter efficiency in general domains; and research on HPO automation (2.4) has rarely compared LLM-agent-based methods directly against established Bayesian optimization on the same task. This study is distinguished from prior work in that, at the intersection of these three currents — </w:t>
      </w:r>
      <w:r>
        <w:rPr>
          <w:rFonts w:ascii="휴먼명조" w:eastAsia="휴먼명조" w:hAnsi="휴먼명조" w:cs="휴먼명조"/>
          <w:b/>
          <w:sz w:val="22"/>
          <w:w w:val="97"/>
        </w:rPr>
        <w:t>consumer GPU environment, lightweight VLMs, QLoRA domain adaptation, and LLM-based autonomous HPO</w:t>
      </w:r>
      <w:r>
        <w:rPr>
          <w:rFonts w:ascii="휴먼명조" w:eastAsia="휴먼명조" w:hAnsi="휴먼명조" w:cs="휴먼명조"/>
          <w:b w:val="0"/>
          <w:sz w:val="22"/>
          <w:w w:val="97"/>
        </w:rPr>
        <w:t xml:space="preserve"> — it (1) verifies the zero-shot and fine-tuned medical VQA performance of lightweight VLMs with statistical rigour (RQ1, RQ2), and (2) validates the practical value of autoresearch-style autonomous search by comparing it directly against the industry-standard Optuna (TPE) (RQ3).</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Chapter III. Research Method</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3.1 Overview of the Research Design</w:t>
      </w:r>
    </w:p>
    <w:p>
      <w:pPr>
        <w:spacing w:line="384" w:lineRule="auto" w:after="0"/>
        <w:ind w:firstLine="220"/>
        <w:jc w:val="both"/>
      </w:pPr>
      <w:r>
        <w:rPr>
          <w:rFonts w:ascii="휴먼명조" w:eastAsia="휴먼명조" w:hAnsi="휴먼명조" w:cs="휴먼명조"/>
          <w:b w:val="0"/>
          <w:sz w:val="22"/>
          <w:w w:val="97"/>
        </w:rPr>
        <w:t>This study is designed as empirical research that verifies medical VQA domain adaptation of lightweight VLMs sequentially through a three-phase experiment. Phase 1 measures the zero-shot performance of the four models before fine-tuning in order to answer RQ1 (differences across models). Phase 2 applies QLoRA fine-tuning to verify RQ2 (the effect of fine-tuning) while simultaneously exploring the optimal QLoRA configuration (data scale, LoRA rank, target modules) through ablation studies. Phase 3 takes the optimal configuration identified in Phase 2 as its starting point and compares four HPO strategies — Manual, Random Search, Optuna (TPE), and Autoresearch — to verify RQ3 (the competitiveness of autonomous search). Each phase has a sequential structure in which the results of the preceding phase (best model, optimal QLoRA configuration) become fixed conditions for the next.</w:t>
      </w:r>
    </w:p>
    <w:p>
      <w:pPr>
        <w:spacing w:line="384" w:lineRule="auto" w:after="0"/>
        <w:jc w:val="left"/>
        <w:outlineLvl w:val="1"/>
      </w:pPr>
      <w:r>
        <w:rPr>
          <w:rFonts w:ascii="휴먼명조" w:eastAsia="휴먼명조" w:hAnsi="휴먼명조" w:cs="휴먼명조"/>
          <w:b/>
          <w:sz w:val="28"/>
          <w:w w:val="97"/>
        </w:rPr>
        <w:t>3.2 Experimental Environment and Tools</w:t>
      </w:r>
    </w:p>
    <w:p>
      <w:pPr>
        <w:spacing w:line="384" w:lineRule="auto" w:after="0"/>
        <w:jc w:val="left"/>
        <w:outlineLvl w:val="2"/>
      </w:pPr>
      <w:r>
        <w:rPr>
          <w:rFonts w:ascii="휴먼명조" w:eastAsia="휴먼명조" w:hAnsi="휴먼명조" w:cs="휴먼명조"/>
          <w:b/>
          <w:sz w:val="22"/>
          <w:w w:val="97"/>
        </w:rPr>
        <w:t>3.2.1 Hardware Specification</w:t>
      </w:r>
    </w:p>
    <w:p>
      <w:pPr>
        <w:spacing w:line="384" w:lineRule="auto" w:after="0"/>
        <w:ind w:firstLine="220"/>
        <w:jc w:val="both"/>
      </w:pPr>
      <w:r>
        <w:rPr>
          <w:rFonts w:ascii="휴먼명조" w:eastAsia="휴먼명조" w:hAnsi="휴먼명조" w:cs="휴먼명조"/>
          <w:b w:val="0"/>
          <w:sz w:val="22"/>
          <w:w w:val="97"/>
        </w:rPr>
        <w:t>All experiments reported in this study were conducted on a cloud GPU service (RunPod). Phases 1 and 2 used an RTX 4090 (24GB VRAM) instance and Phase 3 an RTX 3090 (24GB VRAM) instance. The change of GPU in Phase 3 was not a design choice but the result of securing whatever instance was available under tightened budget constraints after institutional cost support proved unavailable. Both are consumer-class cards with 24GB of VRAM, and every Phase 3 trial ran on the same 3090 instance, so the hardware conditions of the strategy comparison were controlled.</w:t>
      </w:r>
    </w:p>
    <w:p>
      <w:pPr>
        <w:spacing w:line="384" w:lineRule="auto" w:after="0"/>
        <w:ind w:firstLine="220"/>
        <w:jc w:val="both"/>
      </w:pPr>
      <w:r>
        <w:rPr>
          <w:rFonts w:ascii="휴먼명조" w:eastAsia="휴먼명조" w:hAnsi="휴먼명조" w:cs="휴먼명조"/>
          <w:b w:val="0"/>
          <w:sz w:val="22"/>
          <w:w w:val="97"/>
        </w:rPr>
        <w:t xml:space="preserve">A local workstation (RTX 5060 Ti 16GB + RTX 4060 8GB, Ryzen 5 5600X, 32GB RAM) was used only for a preliminary smoke test to size the Phase 3 execution (Section 3.7); </w:t>
      </w:r>
      <w:r>
        <w:rPr>
          <w:rFonts w:ascii="휴먼명조" w:eastAsia="휴먼명조" w:hAnsi="휴먼명조" w:cs="휴먼명조"/>
          <w:b/>
          <w:sz w:val="22"/>
          <w:w w:val="97"/>
        </w:rPr>
        <w:t>none of the figures reported in this thesis were produced in the local environment.</w:t>
      </w:r>
    </w:p>
    <w:p>
      <w:pPr>
        <w:spacing w:line="384" w:lineRule="auto" w:after="0"/>
        <w:ind w:firstLine="220"/>
        <w:jc w:val="both"/>
      </w:pPr>
      <w:r>
        <w:rPr>
          <w:rFonts w:ascii="휴먼명조" w:eastAsia="휴먼명조" w:hAnsi="휴먼명조" w:cs="휴먼명조"/>
          <w:b w:val="0"/>
          <w:sz w:val="22"/>
          <w:w w:val="97"/>
        </w:rPr>
        <w:t xml:space="preserve">Feasibility in the 16GB-class environment targeted by this study was confirmed </w:t>
      </w:r>
      <w:r>
        <w:rPr>
          <w:rFonts w:ascii="휴먼명조" w:eastAsia="휴먼명조" w:hAnsi="휴먼명조" w:cs="휴먼명조"/>
          <w:b/>
          <w:sz w:val="22"/>
          <w:w w:val="97"/>
        </w:rPr>
        <w:t>from measured VRAM usage rather than by execution on such a card</w:t>
      </w:r>
      <w:r>
        <w:rPr>
          <w:rFonts w:ascii="휴먼명조" w:eastAsia="휴먼명조" w:hAnsi="휴먼명조" w:cs="휴먼명조"/>
          <w:b w:val="0"/>
          <w:sz w:val="22"/>
          <w:w w:val="97"/>
        </w:rPr>
        <w:t>. Peak VRAM during Phase 2 QLoRA training was at most 14,373MB across the four models (Gemma4-E2B), within the 16GB limit, while the other three models required only 4,015-7,943MB. Because this was not verified by actually running on a 16GB card, the limits of this inference are discussed in Section 5.3(14) of Chapter V.</w:t>
      </w:r>
    </w:p>
    <w:p>
      <w:pPr>
        <w:spacing w:line="384" w:lineRule="auto" w:after="0"/>
        <w:jc w:val="left"/>
        <w:outlineLvl w:val="2"/>
      </w:pPr>
      <w:r>
        <w:rPr>
          <w:rFonts w:ascii="휴먼명조" w:eastAsia="휴먼명조" w:hAnsi="휴먼명조" w:cs="휴먼명조"/>
          <w:b/>
          <w:sz w:val="22"/>
          <w:w w:val="97"/>
        </w:rPr>
        <w:t>3.2.2 Software Stack</w:t>
      </w:r>
    </w:p>
    <w:p>
      <w:pPr>
        <w:spacing w:line="384" w:lineRule="auto" w:after="0"/>
        <w:ind w:firstLine="220"/>
        <w:jc w:val="both"/>
      </w:pPr>
      <w:r>
        <w:rPr>
          <w:rFonts w:ascii="휴먼명조" w:eastAsia="휴먼명조" w:hAnsi="휴먼명조" w:cs="휴먼명조"/>
          <w:b w:val="0"/>
          <w:sz w:val="22"/>
          <w:w w:val="97"/>
        </w:rPr>
        <w:t>Model loading and QLoRA fine-tuning used the HuggingFace transformers library together with the unsloth backend for accelerated 4-bit quantized training, with LoRA adapters configured through the peft library. The Bayesian optimization control in Phase 3 used Optuna (TPE sampler), and experiment management and logging used wandb. BERTScore computation for scoring open-ended responses used the bert-score library (roberta-large / BioBERT backbones), and statistical analysis used scipy and statsmodels (Mixed-Effects Model). The LLM agent of the Autoresearch strategy calls the Anthropic Claude API.</w:t>
      </w:r>
    </w:p>
    <w:p>
      <w:pPr>
        <w:spacing w:line="384" w:lineRule="auto" w:after="0"/>
        <w:jc w:val="left"/>
        <w:outlineLvl w:val="1"/>
      </w:pPr>
      <w:r>
        <w:rPr>
          <w:rFonts w:ascii="휴먼명조" w:eastAsia="휴먼명조" w:hAnsi="휴먼명조" w:cs="휴먼명조"/>
          <w:b/>
          <w:sz w:val="28"/>
          <w:w w:val="97"/>
        </w:rPr>
        <w:t>3.3 Target Models and Selection Criteria</w:t>
      </w:r>
    </w:p>
    <w:p>
      <w:pPr>
        <w:pStyle w:val="표캡션"/>
        <w:spacing w:line="384" w:lineRule="auto" w:after="0"/>
        <w:jc w:val="center"/>
      </w:pPr>
      <w:r>
        <w:rPr>
          <w:rFonts w:ascii="휴먼명조" w:eastAsia="휴먼명조" w:hAnsi="휴먼명조" w:cs="휴먼명조"/>
          <w:b/>
          <w:sz w:val="22"/>
          <w:w w:val="97"/>
        </w:rPr>
        <w:t>Table 3.1. Target models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Model</w:t>
            </w:r>
          </w:p>
        </w:tc>
        <w:tc>
          <w:tcPr>
            <w:tcW w:type="dxa" w:w="1859"/>
          </w:tcPr>
          <w:p>
            <w:pPr>
              <w:spacing w:line="240" w:lineRule="auto"/>
              <w:jc w:val="center"/>
            </w:pPr>
            <w:r/>
            <w:r>
              <w:rPr>
                <w:rFonts w:ascii="휴먼명조" w:eastAsia="휴먼명조" w:hAnsi="휴먼명조" w:cs="휴먼명조"/>
                <w:b/>
                <w:sz w:val="18"/>
                <w:w w:val="97"/>
              </w:rPr>
              <w:t>Parameters</w:t>
            </w:r>
          </w:p>
        </w:tc>
        <w:tc>
          <w:tcPr>
            <w:tcW w:type="dxa" w:w="1859"/>
          </w:tcPr>
          <w:p>
            <w:pPr>
              <w:spacing w:line="240" w:lineRule="auto"/>
              <w:jc w:val="center"/>
            </w:pPr>
            <w:r/>
            <w:r>
              <w:rPr>
                <w:rFonts w:ascii="휴먼명조" w:eastAsia="휴먼명조" w:hAnsi="휴먼명조" w:cs="휴먼명조"/>
                <w:b/>
                <w:sz w:val="18"/>
                <w:w w:val="97"/>
              </w:rPr>
              <w:t>Architectural features</w:t>
            </w:r>
          </w:p>
        </w:tc>
        <w:tc>
          <w:tcPr>
            <w:tcW w:type="dxa" w:w="1859"/>
          </w:tcPr>
          <w:p>
            <w:pPr>
              <w:spacing w:line="240" w:lineRule="auto"/>
              <w:jc w:val="center"/>
            </w:pPr>
            <w:r/>
            <w:r>
              <w:rPr>
                <w:rFonts w:ascii="휴먼명조" w:eastAsia="휴먼명조" w:hAnsi="휴먼명조" w:cs="휴먼명조"/>
                <w:b/>
                <w:sz w:val="18"/>
                <w:w w:val="97"/>
              </w:rPr>
              <w:t>Expected QLoRA VRAM</w:t>
            </w:r>
          </w:p>
        </w:tc>
      </w:tr>
      <w:tr>
        <w:tc>
          <w:tcPr>
            <w:tcW w:type="dxa" w:w="1859"/>
          </w:tcPr>
          <w:p>
            <w:pPr>
              <w:spacing w:line="240" w:lineRule="auto"/>
              <w:jc w:val="center"/>
            </w:pPr>
            <w:r/>
            <w:r>
              <w:rPr>
                <w:rFonts w:ascii="휴먼명조" w:eastAsia="휴먼명조" w:hAnsi="휴먼명조" w:cs="휴먼명조"/>
                <w:b w:val="0"/>
                <w:sz w:val="18"/>
                <w:w w:val="97"/>
              </w:rPr>
              <w:t>Qwen3-VL-2B</w:t>
            </w:r>
          </w:p>
        </w:tc>
        <w:tc>
          <w:tcPr>
            <w:tcW w:type="dxa" w:w="1859"/>
          </w:tcPr>
          <w:p>
            <w:pPr>
              <w:spacing w:line="240" w:lineRule="auto"/>
              <w:jc w:val="center"/>
            </w:pPr>
            <w:r/>
            <w:r>
              <w:rPr>
                <w:rFonts w:ascii="휴먼명조" w:eastAsia="휴먼명조" w:hAnsi="휴먼명조" w:cs="휴먼명조"/>
                <w:b w:val="0"/>
                <w:sz w:val="18"/>
                <w:w w:val="97"/>
              </w:rPr>
              <w:t>2B</w:t>
            </w:r>
          </w:p>
        </w:tc>
        <w:tc>
          <w:tcPr>
            <w:tcW w:type="dxa" w:w="1859"/>
          </w:tcPr>
          <w:p>
            <w:pPr>
              <w:spacing w:line="240" w:lineRule="auto"/>
              <w:jc w:val="center"/>
            </w:pPr>
            <w:r/>
            <w:r>
              <w:rPr>
                <w:rFonts w:ascii="휴먼명조" w:eastAsia="휴먼명조" w:hAnsi="휴먼명조" w:cs="휴먼명조"/>
                <w:b w:val="0"/>
                <w:sz w:val="18"/>
                <w:w w:val="97"/>
              </w:rPr>
              <w:t>Thinking mode, DeepStack</w:t>
            </w:r>
          </w:p>
        </w:tc>
        <w:tc>
          <w:tcPr>
            <w:tcW w:type="dxa" w:w="1859"/>
          </w:tcPr>
          <w:p>
            <w:pPr>
              <w:spacing w:line="240" w:lineRule="auto"/>
              <w:jc w:val="center"/>
            </w:pPr>
            <w:r/>
            <w:r>
              <w:rPr>
                <w:rFonts w:ascii="휴먼명조" w:eastAsia="휴먼명조" w:hAnsi="휴먼명조" w:cs="휴먼명조"/>
                <w:b w:val="0"/>
                <w:sz w:val="18"/>
                <w:w w:val="97"/>
              </w:rPr>
              <w:t>~8-10 GB</w:t>
            </w:r>
          </w:p>
        </w:tc>
      </w:tr>
      <w:tr>
        <w:tc>
          <w:tcPr>
            <w:tcW w:type="dxa" w:w="1859"/>
          </w:tcPr>
          <w:p>
            <w:pPr>
              <w:spacing w:line="240" w:lineRule="auto"/>
              <w:jc w:val="center"/>
            </w:pPr>
            <w:r/>
            <w:r>
              <w:rPr>
                <w:rFonts w:ascii="휴먼명조" w:eastAsia="휴먼명조" w:hAnsi="휴먼명조" w:cs="휴먼명조"/>
                <w:b w:val="0"/>
                <w:sz w:val="18"/>
                <w:w w:val="97"/>
              </w:rPr>
              <w:t>Qwen2.5-VL-3B</w:t>
            </w:r>
          </w:p>
        </w:tc>
        <w:tc>
          <w:tcPr>
            <w:tcW w:type="dxa" w:w="1859"/>
          </w:tcPr>
          <w:p>
            <w:pPr>
              <w:spacing w:line="240" w:lineRule="auto"/>
              <w:jc w:val="center"/>
            </w:pPr>
            <w:r/>
            <w:r>
              <w:rPr>
                <w:rFonts w:ascii="휴먼명조" w:eastAsia="휴먼명조" w:hAnsi="휴먼명조" w:cs="휴먼명조"/>
                <w:b w:val="0"/>
                <w:sz w:val="18"/>
                <w:w w:val="97"/>
              </w:rPr>
              <w:t>3B</w:t>
            </w:r>
          </w:p>
        </w:tc>
        <w:tc>
          <w:tcPr>
            <w:tcW w:type="dxa" w:w="1859"/>
          </w:tcPr>
          <w:p>
            <w:pPr>
              <w:spacing w:line="240" w:lineRule="auto"/>
              <w:jc w:val="center"/>
            </w:pPr>
            <w:r/>
            <w:r>
              <w:rPr>
                <w:rFonts w:ascii="휴먼명조" w:eastAsia="휴먼명조" w:hAnsi="휴먼명조" w:cs="휴먼명조"/>
                <w:b w:val="0"/>
                <w:sz w:val="18"/>
                <w:w w:val="97"/>
              </w:rPr>
              <w:t>Dynamic resolution, OCR in 19 languages</w:t>
            </w:r>
          </w:p>
        </w:tc>
        <w:tc>
          <w:tcPr>
            <w:tcW w:type="dxa" w:w="1859"/>
          </w:tcPr>
          <w:p>
            <w:pPr>
              <w:spacing w:line="240" w:lineRule="auto"/>
              <w:jc w:val="center"/>
            </w:pPr>
            <w:r/>
            <w:r>
              <w:rPr>
                <w:rFonts w:ascii="휴먼명조" w:eastAsia="휴먼명조" w:hAnsi="휴먼명조" w:cs="휴먼명조"/>
                <w:b w:val="0"/>
                <w:sz w:val="18"/>
                <w:w w:val="97"/>
              </w:rPr>
              <w:t>~8-10 GB</w:t>
            </w:r>
          </w:p>
        </w:tc>
      </w:tr>
      <w:tr>
        <w:tc>
          <w:tcPr>
            <w:tcW w:type="dxa" w:w="1859"/>
          </w:tcPr>
          <w:p>
            <w:pPr>
              <w:spacing w:line="240" w:lineRule="auto"/>
              <w:jc w:val="center"/>
            </w:pPr>
            <w:r/>
            <w:r>
              <w:rPr>
                <w:rFonts w:ascii="휴먼명조" w:eastAsia="휴먼명조" w:hAnsi="휴먼명조" w:cs="휴먼명조"/>
                <w:b w:val="0"/>
                <w:sz w:val="18"/>
                <w:w w:val="97"/>
              </w:rPr>
              <w:t>SmolVLM2-2.2B</w:t>
            </w:r>
          </w:p>
        </w:tc>
        <w:tc>
          <w:tcPr>
            <w:tcW w:type="dxa" w:w="1859"/>
          </w:tcPr>
          <w:p>
            <w:pPr>
              <w:spacing w:line="240" w:lineRule="auto"/>
              <w:jc w:val="center"/>
            </w:pPr>
            <w:r/>
            <w:r>
              <w:rPr>
                <w:rFonts w:ascii="휴먼명조" w:eastAsia="휴먼명조" w:hAnsi="휴먼명조" w:cs="휴먼명조"/>
                <w:b w:val="0"/>
                <w:sz w:val="18"/>
                <w:w w:val="97"/>
              </w:rPr>
              <w:t>2.2B</w:t>
            </w:r>
          </w:p>
        </w:tc>
        <w:tc>
          <w:tcPr>
            <w:tcW w:type="dxa" w:w="1859"/>
          </w:tcPr>
          <w:p>
            <w:pPr>
              <w:spacing w:line="240" w:lineRule="auto"/>
              <w:jc w:val="center"/>
            </w:pPr>
            <w:r/>
            <w:r>
              <w:rPr>
                <w:rFonts w:ascii="휴먼명조" w:eastAsia="휴먼명조" w:hAnsi="휴먼명조" w:cs="휴먼명조"/>
                <w:b w:val="0"/>
                <w:sz w:val="18"/>
                <w:w w:val="97"/>
              </w:rPr>
              <w:t>HuggingFace lightweight VLM</w:t>
            </w:r>
          </w:p>
        </w:tc>
        <w:tc>
          <w:tcPr>
            <w:tcW w:type="dxa" w:w="1859"/>
          </w:tcPr>
          <w:p>
            <w:pPr>
              <w:spacing w:line="240" w:lineRule="auto"/>
              <w:jc w:val="center"/>
            </w:pPr>
            <w:r/>
            <w:r>
              <w:rPr>
                <w:rFonts w:ascii="휴먼명조" w:eastAsia="휴먼명조" w:hAnsi="휴먼명조" w:cs="휴먼명조"/>
                <w:b w:val="0"/>
                <w:sz w:val="18"/>
                <w:w w:val="97"/>
              </w:rPr>
              <w:t>~8-10 GB</w:t>
            </w:r>
          </w:p>
        </w:tc>
      </w:tr>
      <w:tr>
        <w:tc>
          <w:tcPr>
            <w:tcW w:type="dxa" w:w="1859"/>
          </w:tcPr>
          <w:p>
            <w:pPr>
              <w:spacing w:line="240" w:lineRule="auto"/>
              <w:jc w:val="center"/>
            </w:pPr>
            <w:r/>
            <w:r>
              <w:rPr>
                <w:rFonts w:ascii="휴먼명조" w:eastAsia="휴먼명조" w:hAnsi="휴먼명조" w:cs="휴먼명조"/>
                <w:b w:val="0"/>
                <w:sz w:val="18"/>
                <w:w w:val="97"/>
              </w:rPr>
              <w:t>Gemma4-E2B</w:t>
            </w:r>
          </w:p>
        </w:tc>
        <w:tc>
          <w:tcPr>
            <w:tcW w:type="dxa" w:w="1859"/>
          </w:tcPr>
          <w:p>
            <w:pPr>
              <w:spacing w:line="240" w:lineRule="auto"/>
              <w:jc w:val="center"/>
            </w:pPr>
            <w:r/>
            <w:r>
              <w:rPr>
                <w:rFonts w:ascii="휴먼명조" w:eastAsia="휴먼명조" w:hAnsi="휴먼명조" w:cs="휴먼명조"/>
                <w:b w:val="0"/>
                <w:sz w:val="18"/>
                <w:w w:val="97"/>
              </w:rPr>
              <w:t>2.3B (active) / 5.1B (total)</w:t>
            </w:r>
          </w:p>
        </w:tc>
        <w:tc>
          <w:tcPr>
            <w:tcW w:type="dxa" w:w="1859"/>
          </w:tcPr>
          <w:p>
            <w:pPr>
              <w:spacing w:line="240" w:lineRule="auto"/>
              <w:jc w:val="center"/>
            </w:pPr>
            <w:r/>
            <w:r>
              <w:rPr>
                <w:rFonts w:ascii="휴먼명조" w:eastAsia="휴먼명조" w:hAnsi="휴먼명조" w:cs="휴먼명조"/>
                <w:b w:val="0"/>
                <w:sz w:val="18"/>
                <w:w w:val="97"/>
              </w:rPr>
              <w:t>PLE (Per-Layer Embeddings), Apache 2.0</w:t>
            </w:r>
          </w:p>
        </w:tc>
        <w:tc>
          <w:tcPr>
            <w:tcW w:type="dxa" w:w="1859"/>
          </w:tcPr>
          <w:p>
            <w:pPr>
              <w:spacing w:line="240" w:lineRule="auto"/>
              <w:jc w:val="center"/>
            </w:pPr>
            <w:r/>
            <w:r>
              <w:rPr>
                <w:rFonts w:ascii="휴먼명조" w:eastAsia="휴먼명조" w:hAnsi="휴먼명조" w:cs="휴먼명조"/>
                <w:b w:val="0"/>
                <w:sz w:val="18"/>
                <w:w w:val="97"/>
              </w:rPr>
              <w:t>~12-14 GB</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The selection criteria were threefold: (1) QLoRA fine-tuning must be feasible within 16GB of VRAM (an a priori expectation, confirmed post hoc from measured peak VRAM - Section 3.2.1); (2) the license must be Apache 2.0 or MIT so that research use is unrestricted; and (3) the model must have sufficient community and framework support. Gemma4-E2B was included because its Mixture-of-Experts-family PLE technique activates only 2.3B parameters at inference while providing 5.1B-class expressive capacity; the influence of this architectural characteristic on the interpretation of results is discussed separately in Section 5.3 of Chapter V.</w:t>
      </w:r>
    </w:p>
    <w:p>
      <w:pPr>
        <w:spacing w:line="384" w:lineRule="auto" w:after="0"/>
        <w:jc w:val="left"/>
        <w:outlineLvl w:val="1"/>
      </w:pPr>
      <w:r>
        <w:rPr>
          <w:rFonts w:ascii="휴먼명조" w:eastAsia="휴먼명조" w:hAnsi="휴먼명조" w:cs="휴먼명조"/>
          <w:b/>
          <w:sz w:val="28"/>
          <w:w w:val="97"/>
        </w:rPr>
        <w:t>3.4 Datasets and Preprocessing</w:t>
      </w:r>
    </w:p>
    <w:p>
      <w:pPr>
        <w:pStyle w:val="표캡션"/>
        <w:spacing w:line="384" w:lineRule="auto" w:after="0"/>
        <w:jc w:val="center"/>
      </w:pPr>
      <w:r>
        <w:rPr>
          <w:rFonts w:ascii="휴먼명조" w:eastAsia="휴먼명조" w:hAnsi="휴먼명조" w:cs="휴먼명조"/>
          <w:b/>
          <w:sz w:val="22"/>
          <w:w w:val="97"/>
        </w:rPr>
        <w:t>Table 3.2. Target datasets</w:t>
      </w:r>
    </w:p>
    <w:tbl>
      <w:tblPr>
        <w:tblW w:type="auto" w:w="0"/>
        <w:tblLook w:firstColumn="1" w:firstRow="1" w:lastColumn="0" w:lastRow="0" w:noHBand="0" w:noVBand="1" w:val="04A0"/>
      </w:tblPr>
      <w:tblGrid>
        <w:gridCol w:w="1240"/>
        <w:gridCol w:w="1240"/>
        <w:gridCol w:w="1240"/>
        <w:gridCol w:w="1240"/>
        <w:gridCol w:w="1240"/>
        <w:gridCol w:w="1240"/>
      </w:tblGrid>
      <w:tr>
        <w:tc>
          <w:tcPr>
            <w:tcW w:type="dxa" w:w="1240"/>
          </w:tcPr>
          <w:p>
            <w:pPr>
              <w:spacing w:line="240" w:lineRule="auto"/>
              <w:jc w:val="center"/>
            </w:pPr>
            <w:r/>
            <w:r>
              <w:rPr>
                <w:rFonts w:ascii="휴먼명조" w:eastAsia="휴먼명조" w:hAnsi="휴먼명조" w:cs="휴먼명조"/>
                <w:b/>
                <w:sz w:val="18"/>
                <w:w w:val="97"/>
              </w:rPr>
              <w:t>Dataset</w:t>
            </w:r>
          </w:p>
        </w:tc>
        <w:tc>
          <w:tcPr>
            <w:tcW w:type="dxa" w:w="1240"/>
          </w:tcPr>
          <w:p>
            <w:pPr>
              <w:spacing w:line="240" w:lineRule="auto"/>
              <w:jc w:val="center"/>
            </w:pPr>
            <w:r/>
            <w:r>
              <w:rPr>
                <w:rFonts w:ascii="휴먼명조" w:eastAsia="휴먼명조" w:hAnsi="휴먼명조" w:cs="휴먼명조"/>
                <w:b/>
                <w:sz w:val="18"/>
                <w:w w:val="97"/>
              </w:rPr>
              <w:t>Images</w:t>
            </w:r>
          </w:p>
        </w:tc>
        <w:tc>
          <w:tcPr>
            <w:tcW w:type="dxa" w:w="1240"/>
          </w:tcPr>
          <w:p>
            <w:pPr>
              <w:spacing w:line="240" w:lineRule="auto"/>
              <w:jc w:val="center"/>
            </w:pPr>
            <w:r/>
            <w:r>
              <w:rPr>
                <w:rFonts w:ascii="휴먼명조" w:eastAsia="휴먼명조" w:hAnsi="휴먼명조" w:cs="휴먼명조"/>
                <w:b/>
                <w:sz w:val="18"/>
                <w:w w:val="97"/>
              </w:rPr>
              <w:t>QA pairs</w:t>
            </w:r>
          </w:p>
        </w:tc>
        <w:tc>
          <w:tcPr>
            <w:tcW w:type="dxa" w:w="1240"/>
          </w:tcPr>
          <w:p>
            <w:pPr>
              <w:spacing w:line="240" w:lineRule="auto"/>
              <w:jc w:val="center"/>
            </w:pPr>
            <w:r/>
            <w:r>
              <w:rPr>
                <w:rFonts w:ascii="휴먼명조" w:eastAsia="휴먼명조" w:hAnsi="휴먼명조" w:cs="휴먼명조"/>
                <w:b/>
                <w:sz w:val="18"/>
                <w:w w:val="97"/>
              </w:rPr>
              <w:t>Language</w:t>
            </w:r>
          </w:p>
        </w:tc>
        <w:tc>
          <w:tcPr>
            <w:tcW w:type="dxa" w:w="1240"/>
          </w:tcPr>
          <w:p>
            <w:pPr>
              <w:spacing w:line="240" w:lineRule="auto"/>
              <w:jc w:val="center"/>
            </w:pPr>
            <w:r/>
            <w:r>
              <w:rPr>
                <w:rFonts w:ascii="휴먼명조" w:eastAsia="휴먼명조" w:hAnsi="휴먼명조" w:cs="휴먼명조"/>
                <w:b/>
                <w:sz w:val="18"/>
                <w:w w:val="97"/>
              </w:rPr>
              <w:t>Domain</w:t>
            </w:r>
          </w:p>
        </w:tc>
        <w:tc>
          <w:tcPr>
            <w:tcW w:type="dxa" w:w="1240"/>
          </w:tcPr>
          <w:p>
            <w:pPr>
              <w:spacing w:line="240" w:lineRule="auto"/>
              <w:jc w:val="center"/>
            </w:pPr>
            <w:r/>
            <w:r>
              <w:rPr>
                <w:rFonts w:ascii="휴먼명조" w:eastAsia="휴먼명조" w:hAnsi="휴먼명조" w:cs="휴먼명조"/>
                <w:b/>
                <w:sz w:val="18"/>
                <w:w w:val="97"/>
              </w:rPr>
              <w:t>Question types</w:t>
            </w:r>
          </w:p>
        </w:tc>
      </w:tr>
      <w:tr>
        <w:tc>
          <w:tcPr>
            <w:tcW w:type="dxa" w:w="1240"/>
          </w:tcPr>
          <w:p>
            <w:pPr>
              <w:spacing w:line="240" w:lineRule="auto"/>
              <w:jc w:val="center"/>
            </w:pPr>
            <w:r/>
            <w:r>
              <w:rPr>
                <w:rFonts w:ascii="휴먼명조" w:eastAsia="휴먼명조" w:hAnsi="휴먼명조" w:cs="휴먼명조"/>
                <w:b w:val="0"/>
                <w:sz w:val="18"/>
                <w:w w:val="97"/>
              </w:rPr>
              <w:t>PathVQA</w:t>
            </w:r>
          </w:p>
        </w:tc>
        <w:tc>
          <w:tcPr>
            <w:tcW w:type="dxa" w:w="1240"/>
          </w:tcPr>
          <w:p>
            <w:pPr>
              <w:spacing w:line="240" w:lineRule="auto"/>
              <w:jc w:val="center"/>
            </w:pPr>
            <w:r/>
            <w:r>
              <w:rPr>
                <w:rFonts w:ascii="휴먼명조" w:eastAsia="휴먼명조" w:hAnsi="휴먼명조" w:cs="휴먼명조"/>
                <w:b w:val="0"/>
                <w:sz w:val="18"/>
                <w:w w:val="97"/>
              </w:rPr>
              <w:t>4,998</w:t>
            </w:r>
          </w:p>
        </w:tc>
        <w:tc>
          <w:tcPr>
            <w:tcW w:type="dxa" w:w="1240"/>
          </w:tcPr>
          <w:p>
            <w:pPr>
              <w:spacing w:line="240" w:lineRule="auto"/>
              <w:jc w:val="center"/>
            </w:pPr>
            <w:r/>
            <w:r>
              <w:rPr>
                <w:rFonts w:ascii="휴먼명조" w:eastAsia="휴먼명조" w:hAnsi="휴먼명조" w:cs="휴먼명조"/>
                <w:b w:val="0"/>
                <w:sz w:val="18"/>
                <w:w w:val="97"/>
              </w:rPr>
              <w:t>32,799</w:t>
            </w:r>
          </w:p>
        </w:tc>
        <w:tc>
          <w:tcPr>
            <w:tcW w:type="dxa" w:w="1240"/>
          </w:tcPr>
          <w:p>
            <w:pPr>
              <w:spacing w:line="240" w:lineRule="auto"/>
              <w:jc w:val="center"/>
            </w:pPr>
            <w:r/>
            <w:r>
              <w:rPr>
                <w:rFonts w:ascii="휴먼명조" w:eastAsia="휴먼명조" w:hAnsi="휴먼명조" w:cs="휴먼명조"/>
                <w:b w:val="0"/>
                <w:sz w:val="18"/>
                <w:w w:val="97"/>
              </w:rPr>
              <w:t>English</w:t>
            </w:r>
          </w:p>
        </w:tc>
        <w:tc>
          <w:tcPr>
            <w:tcW w:type="dxa" w:w="1240"/>
          </w:tcPr>
          <w:p>
            <w:pPr>
              <w:spacing w:line="240" w:lineRule="auto"/>
              <w:jc w:val="center"/>
            </w:pPr>
            <w:r/>
            <w:r>
              <w:rPr>
                <w:rFonts w:ascii="휴먼명조" w:eastAsia="휴먼명조" w:hAnsi="휴먼명조" w:cs="휴먼명조"/>
                <w:b w:val="0"/>
                <w:sz w:val="18"/>
                <w:w w:val="97"/>
              </w:rPr>
              <w:t>Pathology</w:t>
            </w:r>
          </w:p>
        </w:tc>
        <w:tc>
          <w:tcPr>
            <w:tcW w:type="dxa" w:w="1240"/>
          </w:tcPr>
          <w:p>
            <w:pPr>
              <w:spacing w:line="240" w:lineRule="auto"/>
              <w:jc w:val="center"/>
            </w:pPr>
            <w:r/>
            <w:r>
              <w:rPr>
                <w:rFonts w:ascii="휴먼명조" w:eastAsia="휴먼명조" w:hAnsi="휴먼명조" w:cs="휴먼명조"/>
                <w:b w:val="0"/>
                <w:sz w:val="18"/>
                <w:w w:val="97"/>
              </w:rPr>
              <w:t>Open + Closed (7 types)</w:t>
            </w:r>
          </w:p>
        </w:tc>
      </w:tr>
      <w:tr>
        <w:tc>
          <w:tcPr>
            <w:tcW w:type="dxa" w:w="1240"/>
          </w:tcPr>
          <w:p>
            <w:pPr>
              <w:spacing w:line="240" w:lineRule="auto"/>
              <w:jc w:val="center"/>
            </w:pPr>
            <w:r/>
            <w:r>
              <w:rPr>
                <w:rFonts w:ascii="휴먼명조" w:eastAsia="휴먼명조" w:hAnsi="휴먼명조" w:cs="휴먼명조"/>
                <w:b w:val="0"/>
                <w:sz w:val="18"/>
                <w:w w:val="97"/>
              </w:rPr>
              <w:t>SLAKE</w:t>
            </w:r>
          </w:p>
        </w:tc>
        <w:tc>
          <w:tcPr>
            <w:tcW w:type="dxa" w:w="1240"/>
          </w:tcPr>
          <w:p>
            <w:pPr>
              <w:spacing w:line="240" w:lineRule="auto"/>
              <w:jc w:val="center"/>
            </w:pPr>
            <w:r/>
            <w:r>
              <w:rPr>
                <w:rFonts w:ascii="휴먼명조" w:eastAsia="휴먼명조" w:hAnsi="휴먼명조" w:cs="휴먼명조"/>
                <w:b w:val="0"/>
                <w:sz w:val="18"/>
                <w:w w:val="97"/>
              </w:rPr>
              <w:t>642</w:t>
            </w:r>
          </w:p>
        </w:tc>
        <w:tc>
          <w:tcPr>
            <w:tcW w:type="dxa" w:w="1240"/>
          </w:tcPr>
          <w:p>
            <w:pPr>
              <w:spacing w:line="240" w:lineRule="auto"/>
              <w:jc w:val="center"/>
            </w:pPr>
            <w:r/>
            <w:r>
              <w:rPr>
                <w:rFonts w:ascii="휴먼명조" w:eastAsia="휴먼명조" w:hAnsi="휴먼명조" w:cs="휴먼명조"/>
                <w:b w:val="0"/>
                <w:sz w:val="18"/>
                <w:w w:val="97"/>
              </w:rPr>
              <w:t>14,028</w:t>
            </w:r>
          </w:p>
        </w:tc>
        <w:tc>
          <w:tcPr>
            <w:tcW w:type="dxa" w:w="1240"/>
          </w:tcPr>
          <w:p>
            <w:pPr>
              <w:spacing w:line="240" w:lineRule="auto"/>
              <w:jc w:val="center"/>
            </w:pPr>
            <w:r/>
            <w:r>
              <w:rPr>
                <w:rFonts w:ascii="휴먼명조" w:eastAsia="휴먼명조" w:hAnsi="휴먼명조" w:cs="휴먼명조"/>
                <w:b w:val="0"/>
                <w:sz w:val="18"/>
                <w:w w:val="97"/>
              </w:rPr>
              <w:t>English + Chinese</w:t>
            </w:r>
          </w:p>
        </w:tc>
        <w:tc>
          <w:tcPr>
            <w:tcW w:type="dxa" w:w="1240"/>
          </w:tcPr>
          <w:p>
            <w:pPr>
              <w:spacing w:line="240" w:lineRule="auto"/>
              <w:jc w:val="center"/>
            </w:pPr>
            <w:r/>
            <w:r>
              <w:rPr>
                <w:rFonts w:ascii="휴먼명조" w:eastAsia="휴먼명조" w:hAnsi="휴먼명조" w:cs="휴먼명조"/>
                <w:b w:val="0"/>
                <w:sz w:val="18"/>
                <w:w w:val="97"/>
              </w:rPr>
              <w:t>Radiology / CT</w:t>
            </w:r>
          </w:p>
        </w:tc>
        <w:tc>
          <w:tcPr>
            <w:tcW w:type="dxa" w:w="1240"/>
          </w:tcPr>
          <w:p>
            <w:pPr>
              <w:spacing w:line="240" w:lineRule="auto"/>
              <w:jc w:val="center"/>
            </w:pPr>
            <w:r/>
            <w:r>
              <w:rPr>
                <w:rFonts w:ascii="휴먼명조" w:eastAsia="휴먼명조" w:hAnsi="휴먼명조" w:cs="휴먼명조"/>
                <w:b w:val="0"/>
                <w:sz w:val="18"/>
                <w:w w:val="97"/>
              </w:rPr>
              <w:t>Open + Closed</w:t>
            </w:r>
          </w:p>
        </w:tc>
      </w:tr>
      <w:tr>
        <w:tc>
          <w:tcPr>
            <w:tcW w:type="dxa" w:w="1240"/>
          </w:tcPr>
          <w:p>
            <w:pPr>
              <w:spacing w:line="240" w:lineRule="auto"/>
              <w:jc w:val="center"/>
            </w:pPr>
            <w:r/>
            <w:r>
              <w:rPr>
                <w:rFonts w:ascii="휴먼명조" w:eastAsia="휴먼명조" w:hAnsi="휴먼명조" w:cs="휴먼명조"/>
                <w:b w:val="0"/>
                <w:sz w:val="18"/>
                <w:w w:val="97"/>
              </w:rPr>
              <w:t>VQA-RAD</w:t>
            </w:r>
          </w:p>
        </w:tc>
        <w:tc>
          <w:tcPr>
            <w:tcW w:type="dxa" w:w="1240"/>
          </w:tcPr>
          <w:p>
            <w:pPr>
              <w:spacing w:line="240" w:lineRule="auto"/>
              <w:jc w:val="center"/>
            </w:pPr>
            <w:r/>
            <w:r>
              <w:rPr>
                <w:rFonts w:ascii="휴먼명조" w:eastAsia="휴먼명조" w:hAnsi="휴먼명조" w:cs="휴먼명조"/>
                <w:b w:val="0"/>
                <w:sz w:val="18"/>
                <w:w w:val="97"/>
              </w:rPr>
              <w:t>315</w:t>
            </w:r>
          </w:p>
        </w:tc>
        <w:tc>
          <w:tcPr>
            <w:tcW w:type="dxa" w:w="1240"/>
          </w:tcPr>
          <w:p>
            <w:pPr>
              <w:spacing w:line="240" w:lineRule="auto"/>
              <w:jc w:val="center"/>
            </w:pPr>
            <w:r/>
            <w:r>
              <w:rPr>
                <w:rFonts w:ascii="휴먼명조" w:eastAsia="휴먼명조" w:hAnsi="휴먼명조" w:cs="휴먼명조"/>
                <w:b w:val="0"/>
                <w:sz w:val="18"/>
                <w:w w:val="97"/>
              </w:rPr>
              <w:t>2,248</w:t>
            </w:r>
          </w:p>
        </w:tc>
        <w:tc>
          <w:tcPr>
            <w:tcW w:type="dxa" w:w="1240"/>
          </w:tcPr>
          <w:p>
            <w:pPr>
              <w:spacing w:line="240" w:lineRule="auto"/>
              <w:jc w:val="center"/>
            </w:pPr>
            <w:r/>
            <w:r>
              <w:rPr>
                <w:rFonts w:ascii="휴먼명조" w:eastAsia="휴먼명조" w:hAnsi="휴먼명조" w:cs="휴먼명조"/>
                <w:b w:val="0"/>
                <w:sz w:val="18"/>
                <w:w w:val="97"/>
              </w:rPr>
              <w:t>English</w:t>
            </w:r>
          </w:p>
        </w:tc>
        <w:tc>
          <w:tcPr>
            <w:tcW w:type="dxa" w:w="1240"/>
          </w:tcPr>
          <w:p>
            <w:pPr>
              <w:spacing w:line="240" w:lineRule="auto"/>
              <w:jc w:val="center"/>
            </w:pPr>
            <w:r/>
            <w:r>
              <w:rPr>
                <w:rFonts w:ascii="휴먼명조" w:eastAsia="휴먼명조" w:hAnsi="휴먼명조" w:cs="휴먼명조"/>
                <w:b w:val="0"/>
                <w:sz w:val="18"/>
                <w:w w:val="97"/>
              </w:rPr>
              <w:t>Radiology</w:t>
            </w:r>
          </w:p>
        </w:tc>
        <w:tc>
          <w:tcPr>
            <w:tcW w:type="dxa" w:w="1240"/>
          </w:tcPr>
          <w:p>
            <w:pPr>
              <w:spacing w:line="240" w:lineRule="auto"/>
              <w:jc w:val="center"/>
            </w:pPr>
            <w:r/>
            <w:r>
              <w:rPr>
                <w:rFonts w:ascii="휴먼명조" w:eastAsia="휴먼명조" w:hAnsi="휴먼명조" w:cs="휴먼명조"/>
                <w:b w:val="0"/>
                <w:sz w:val="18"/>
                <w:w w:val="97"/>
              </w:rPr>
              <w:t>Open + Closed</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Each dataset was used with its official train/val/test split unchanged.</w:t>
      </w:r>
    </w:p>
    <w:p>
      <w:pPr>
        <w:spacing w:line="384" w:lineRule="auto" w:after="0"/>
        <w:ind w:firstLine="220"/>
        <w:jc w:val="both"/>
      </w:pPr>
      <w:r>
        <w:rPr>
          <w:rFonts w:ascii="휴먼명조" w:eastAsia="휴먼명조" w:hAnsi="휴먼명조" w:cs="휴먼명조"/>
          <w:b/>
          <w:sz w:val="22"/>
          <w:w w:val="97"/>
        </w:rPr>
        <w:t>Contamination control</w:t>
      </w:r>
      <w:r>
        <w:rPr>
          <w:rFonts w:ascii="휴먼명조" w:eastAsia="휴먼명조" w:hAnsi="휴먼명조" w:cs="휴먼명조"/>
          <w:b w:val="0"/>
          <w:sz w:val="22"/>
          <w:w w:val="97"/>
        </w:rPr>
        <w:t>: PathVQA (2018), SLAKE (2021), and VQA-RAD (2018) were all released before the pretraining cut-off of the target models (2025-2026), so the possibility of pretraining data contamination cannot be excluded. This study measures such contamination actively using the Min-K% Probability Attack (Shi et al., "Detecting Pretraining Data from Large Language Models", arXiv:2310.16789, ICLR 2024). The mean token-level log-probability of the lowest K% (K = 20) of tokens in each sample's gold answer text is used as the contamination indicator — on the theory that samples exposed during pretraining exhibit higher mean probability — and samples in the top 5% within a dataset are classified as suspected contamination, after which the principal conclusion (RQ1) is re-verified on the reduced sample set with those samples removed (see the contamination-robustness verification in Section 4.1.1). The procedure and interpretation criteria (a difference of less than 1%p between original and reduced results is deemed robust, 1-5%p is stated as a limitation, and more than 5%p requires reconsideration of the conclusion) are implemented in scripts/measure_contamination.py.</w:t>
      </w:r>
    </w:p>
    <w:p>
      <w:pPr>
        <w:spacing w:line="384" w:lineRule="auto" w:after="0"/>
        <w:jc w:val="left"/>
        <w:outlineLvl w:val="1"/>
      </w:pPr>
      <w:r>
        <w:rPr>
          <w:rFonts w:ascii="휴먼명조" w:eastAsia="휴먼명조" w:hAnsi="휴먼명조" w:cs="휴먼명조"/>
          <w:b/>
          <w:sz w:val="28"/>
          <w:w w:val="97"/>
        </w:rPr>
        <w:t>3.5 Experiment 1: Zero-Shot Baseline Evaluation (Phase 1)</w:t>
      </w:r>
    </w:p>
    <w:p>
      <w:pPr>
        <w:spacing w:line="384" w:lineRule="auto" w:after="0"/>
        <w:ind w:firstLine="220"/>
        <w:jc w:val="both"/>
      </w:pPr>
      <w:r>
        <w:rPr>
          <w:rFonts w:ascii="휴먼명조" w:eastAsia="휴먼명조" w:hAnsi="휴먼명조" w:cs="휴먼명조"/>
          <w:b w:val="0"/>
          <w:sz w:val="22"/>
          <w:w w:val="97"/>
        </w:rPr>
        <w:t>Zero-shot performance before fine-tuning was measured for 4 models × 3 datasets = 12 conditions. Because evaluation uses greedy decoding, it is deterministic: changing the seed does not change the result, so repeated trials are meaningless. Evaluation therefore used a single seed (42), and uncertainty is reported as a bootstrap 95% confidence interval over the per-sample correct/incorrect decisions of each condition. Since the four models are evaluated on an identical test set, comparison across models has a paired structure; accordingly, Cochran's Q test (binary correctness on a shared test set, H0: equal accuracy) and pairwise McNemar post-hoc tests with Bonferroni correction were used instead of ANOVA, which assumes independent samples.</w:t>
      </w:r>
    </w:p>
    <w:p>
      <w:pPr>
        <w:spacing w:line="384" w:lineRule="auto" w:after="0"/>
        <w:ind w:firstLine="220"/>
        <w:jc w:val="both"/>
      </w:pPr>
      <w:r>
        <w:rPr>
          <w:rFonts w:ascii="휴먼명조" w:eastAsia="휴먼명조" w:hAnsi="휴먼명조" w:cs="휴먼명조"/>
          <w:b w:val="0"/>
          <w:sz w:val="22"/>
          <w:w w:val="97"/>
        </w:rPr>
        <w:t>The measured metrics are closed-ended accuracy (multiple choice), open-ended accuracy (gold-token matching) together with BERTScore F1 (roberta-large), bootstrap 95% CIs for each accuracy, response time (ms per item), and peak VRAM (MB).</w:t>
      </w:r>
    </w:p>
    <w:p>
      <w:pPr>
        <w:spacing w:line="384" w:lineRule="auto" w:after="0"/>
        <w:jc w:val="left"/>
        <w:outlineLvl w:val="1"/>
      </w:pPr>
      <w:r>
        <w:rPr>
          <w:rFonts w:ascii="휴먼명조" w:eastAsia="휴먼명조" w:hAnsi="휴먼명조" w:cs="휴먼명조"/>
          <w:b/>
          <w:sz w:val="28"/>
          <w:w w:val="97"/>
        </w:rPr>
        <w:t>3.6 Experiment 2: QLoRA Fine-Tuning (Phase 2)</w:t>
      </w:r>
    </w:p>
    <w:p>
      <w:pPr>
        <w:pStyle w:val="표캡션"/>
        <w:spacing w:line="384" w:lineRule="auto" w:after="0"/>
        <w:jc w:val="center"/>
      </w:pPr>
      <w:r>
        <w:rPr>
          <w:rFonts w:ascii="휴먼명조" w:eastAsia="휴먼명조" w:hAnsi="휴먼명조" w:cs="휴먼명조"/>
          <w:b/>
          <w:sz w:val="22"/>
          <w:w w:val="97"/>
        </w:rPr>
        <w:t>Table 3.3. Base QLoRA configuration</w:t>
      </w:r>
    </w:p>
    <w:tbl>
      <w:tblPr>
        <w:tblW w:type="auto" w:w="0"/>
        <w:tblLook w:firstColumn="1" w:firstRow="1" w:lastColumn="0" w:lastRow="0" w:noHBand="0" w:noVBand="1" w:val="04A0"/>
      </w:tblPr>
      <w:tblGrid>
        <w:gridCol w:w="3719"/>
        <w:gridCol w:w="3719"/>
      </w:tblGrid>
      <w:tr>
        <w:tc>
          <w:tcPr>
            <w:tcW w:type="dxa" w:w="3719"/>
          </w:tcPr>
          <w:p>
            <w:pPr>
              <w:spacing w:line="240" w:lineRule="auto"/>
              <w:jc w:val="center"/>
            </w:pPr>
            <w:r/>
            <w:r>
              <w:rPr>
                <w:rFonts w:ascii="휴먼명조" w:eastAsia="휴먼명조" w:hAnsi="휴먼명조" w:cs="휴먼명조"/>
                <w:b/>
                <w:sz w:val="18"/>
                <w:w w:val="97"/>
              </w:rPr>
              <w:t>Parameter</w:t>
            </w:r>
          </w:p>
        </w:tc>
        <w:tc>
          <w:tcPr>
            <w:tcW w:type="dxa" w:w="3719"/>
          </w:tcPr>
          <w:p>
            <w:pPr>
              <w:spacing w:line="240" w:lineRule="auto"/>
              <w:jc w:val="center"/>
            </w:pPr>
            <w:r/>
            <w:r>
              <w:rPr>
                <w:rFonts w:ascii="휴먼명조" w:eastAsia="휴먼명조" w:hAnsi="휴먼명조" w:cs="휴먼명조"/>
                <w:b/>
                <w:sz w:val="18"/>
                <w:w w:val="97"/>
              </w:rPr>
              <w:t>Value</w:t>
            </w:r>
          </w:p>
        </w:tc>
      </w:tr>
      <w:tr>
        <w:tc>
          <w:tcPr>
            <w:tcW w:type="dxa" w:w="3719"/>
          </w:tcPr>
          <w:p>
            <w:pPr>
              <w:spacing w:line="240" w:lineRule="auto"/>
              <w:jc w:val="center"/>
            </w:pPr>
            <w:r/>
            <w:r>
              <w:rPr>
                <w:rFonts w:ascii="휴먼명조" w:eastAsia="휴먼명조" w:hAnsi="휴먼명조" w:cs="휴먼명조"/>
                <w:b w:val="0"/>
                <w:sz w:val="18"/>
                <w:w w:val="97"/>
              </w:rPr>
              <w:t>Quantization</w:t>
            </w:r>
          </w:p>
        </w:tc>
        <w:tc>
          <w:tcPr>
            <w:tcW w:type="dxa" w:w="3719"/>
          </w:tcPr>
          <w:p>
            <w:pPr>
              <w:spacing w:line="240" w:lineRule="auto"/>
              <w:jc w:val="center"/>
            </w:pPr>
            <w:r/>
            <w:r>
              <w:rPr>
                <w:rFonts w:ascii="휴먼명조" w:eastAsia="휴먼명조" w:hAnsi="휴먼명조" w:cs="휴먼명조"/>
                <w:b w:val="0"/>
                <w:sz w:val="18"/>
                <w:w w:val="97"/>
              </w:rPr>
              <w:t>NF4 (4-bit NormalFloat)</w:t>
            </w:r>
          </w:p>
        </w:tc>
      </w:tr>
      <w:tr>
        <w:tc>
          <w:tcPr>
            <w:tcW w:type="dxa" w:w="3719"/>
          </w:tcPr>
          <w:p>
            <w:pPr>
              <w:spacing w:line="240" w:lineRule="auto"/>
              <w:jc w:val="center"/>
            </w:pPr>
            <w:r/>
            <w:r>
              <w:rPr>
                <w:rFonts w:ascii="휴먼명조" w:eastAsia="휴먼명조" w:hAnsi="휴먼명조" w:cs="휴먼명조"/>
                <w:b w:val="0"/>
                <w:sz w:val="18"/>
                <w:w w:val="97"/>
              </w:rPr>
              <w:t>LoRA rank</w:t>
            </w:r>
          </w:p>
        </w:tc>
        <w:tc>
          <w:tcPr>
            <w:tcW w:type="dxa" w:w="3719"/>
          </w:tcPr>
          <w:p>
            <w:pPr>
              <w:spacing w:line="240" w:lineRule="auto"/>
              <w:jc w:val="center"/>
            </w:pPr>
            <w:r/>
            <w:r>
              <w:rPr>
                <w:rFonts w:ascii="휴먼명조" w:eastAsia="휴먼명조" w:hAnsi="휴먼명조" w:cs="휴먼명조"/>
                <w:b w:val="0"/>
                <w:sz w:val="18"/>
                <w:w w:val="97"/>
              </w:rPr>
              <w:t>64 (determined by Ablation B)</w:t>
            </w:r>
          </w:p>
        </w:tc>
      </w:tr>
      <w:tr>
        <w:tc>
          <w:tcPr>
            <w:tcW w:type="dxa" w:w="3719"/>
          </w:tcPr>
          <w:p>
            <w:pPr>
              <w:spacing w:line="240" w:lineRule="auto"/>
              <w:jc w:val="center"/>
            </w:pPr>
            <w:r/>
            <w:r>
              <w:rPr>
                <w:rFonts w:ascii="휴먼명조" w:eastAsia="휴먼명조" w:hAnsi="휴먼명조" w:cs="휴먼명조"/>
                <w:b w:val="0"/>
                <w:sz w:val="18"/>
                <w:w w:val="97"/>
              </w:rPr>
              <w:t>LoRA alpha</w:t>
            </w:r>
          </w:p>
        </w:tc>
        <w:tc>
          <w:tcPr>
            <w:tcW w:type="dxa" w:w="3719"/>
          </w:tcPr>
          <w:p>
            <w:pPr>
              <w:spacing w:line="240" w:lineRule="auto"/>
              <w:jc w:val="center"/>
            </w:pPr>
            <w:r/>
            <w:r>
              <w:rPr>
                <w:rFonts w:ascii="휴먼명조" w:eastAsia="휴먼명조" w:hAnsi="휴먼명조" w:cs="휴먼명조"/>
                <w:b w:val="0"/>
                <w:sz w:val="18"/>
                <w:w w:val="97"/>
              </w:rPr>
              <w:t>128</w:t>
            </w:r>
          </w:p>
        </w:tc>
      </w:tr>
      <w:tr>
        <w:tc>
          <w:tcPr>
            <w:tcW w:type="dxa" w:w="3719"/>
          </w:tcPr>
          <w:p>
            <w:pPr>
              <w:spacing w:line="240" w:lineRule="auto"/>
              <w:jc w:val="center"/>
            </w:pPr>
            <w:r/>
            <w:r>
              <w:rPr>
                <w:rFonts w:ascii="휴먼명조" w:eastAsia="휴먼명조" w:hAnsi="휴먼명조" w:cs="휴먼명조"/>
                <w:b w:val="0"/>
                <w:sz w:val="18"/>
                <w:w w:val="97"/>
              </w:rPr>
              <w:t>LoRA dropout</w:t>
            </w:r>
          </w:p>
        </w:tc>
        <w:tc>
          <w:tcPr>
            <w:tcW w:type="dxa" w:w="3719"/>
          </w:tcPr>
          <w:p>
            <w:pPr>
              <w:spacing w:line="240" w:lineRule="auto"/>
              <w:jc w:val="center"/>
            </w:pPr>
            <w:r/>
            <w:r>
              <w:rPr>
                <w:rFonts w:ascii="휴먼명조" w:eastAsia="휴먼명조" w:hAnsi="휴먼명조" w:cs="휴먼명조"/>
                <w:b w:val="0"/>
                <w:sz w:val="18"/>
                <w:w w:val="97"/>
              </w:rPr>
              <w:t>0.05</w:t>
            </w:r>
          </w:p>
        </w:tc>
      </w:tr>
      <w:tr>
        <w:tc>
          <w:tcPr>
            <w:tcW w:type="dxa" w:w="3719"/>
          </w:tcPr>
          <w:p>
            <w:pPr>
              <w:spacing w:line="240" w:lineRule="auto"/>
              <w:jc w:val="center"/>
            </w:pPr>
            <w:r/>
            <w:r>
              <w:rPr>
                <w:rFonts w:ascii="휴먼명조" w:eastAsia="휴먼명조" w:hAnsi="휴먼명조" w:cs="휴먼명조"/>
                <w:b w:val="0"/>
                <w:sz w:val="18"/>
                <w:w w:val="97"/>
              </w:rPr>
              <w:t>Target modules</w:t>
            </w:r>
          </w:p>
        </w:tc>
        <w:tc>
          <w:tcPr>
            <w:tcW w:type="dxa" w:w="3719"/>
          </w:tcPr>
          <w:p>
            <w:pPr>
              <w:spacing w:line="240" w:lineRule="auto"/>
              <w:jc w:val="center"/>
            </w:pPr>
            <w:r/>
            <w:r>
              <w:rPr>
                <w:rFonts w:ascii="휴먼명조" w:eastAsia="휴먼명조" w:hAnsi="휴먼명조" w:cs="휴먼명조"/>
                <w:b w:val="0"/>
                <w:sz w:val="18"/>
                <w:w w:val="97"/>
              </w:rPr>
              <w:t>all-linear (determined by Ablation C)</w:t>
            </w:r>
          </w:p>
        </w:tc>
      </w:tr>
      <w:tr>
        <w:tc>
          <w:tcPr>
            <w:tcW w:type="dxa" w:w="3719"/>
          </w:tcPr>
          <w:p>
            <w:pPr>
              <w:spacing w:line="240" w:lineRule="auto"/>
              <w:jc w:val="center"/>
            </w:pPr>
            <w:r/>
            <w:r>
              <w:rPr>
                <w:rFonts w:ascii="휴먼명조" w:eastAsia="휴먼명조" w:hAnsi="휴먼명조" w:cs="휴먼명조"/>
                <w:b w:val="0"/>
                <w:sz w:val="18"/>
                <w:w w:val="97"/>
              </w:rPr>
              <w:t>Learning rate</w:t>
            </w:r>
          </w:p>
        </w:tc>
        <w:tc>
          <w:tcPr>
            <w:tcW w:type="dxa" w:w="3719"/>
          </w:tcPr>
          <w:p>
            <w:pPr>
              <w:spacing w:line="240" w:lineRule="auto"/>
              <w:jc w:val="center"/>
            </w:pPr>
            <w:r/>
            <w:r>
              <w:rPr>
                <w:rFonts w:ascii="휴먼명조" w:eastAsia="휴먼명조" w:hAnsi="휴먼명조" w:cs="휴먼명조"/>
                <w:b w:val="0"/>
                <w:sz w:val="18"/>
                <w:w w:val="97"/>
              </w:rPr>
              <w:t>2e-4</w:t>
            </w:r>
          </w:p>
        </w:tc>
      </w:tr>
      <w:tr>
        <w:tc>
          <w:tcPr>
            <w:tcW w:type="dxa" w:w="3719"/>
          </w:tcPr>
          <w:p>
            <w:pPr>
              <w:spacing w:line="240" w:lineRule="auto"/>
              <w:jc w:val="center"/>
            </w:pPr>
            <w:r/>
            <w:r>
              <w:rPr>
                <w:rFonts w:ascii="휴먼명조" w:eastAsia="휴먼명조" w:hAnsi="휴먼명조" w:cs="휴먼명조"/>
                <w:b w:val="0"/>
                <w:sz w:val="18"/>
                <w:w w:val="97"/>
              </w:rPr>
              <w:t>Batch size</w:t>
            </w:r>
          </w:p>
        </w:tc>
        <w:tc>
          <w:tcPr>
            <w:tcW w:type="dxa" w:w="3719"/>
          </w:tcPr>
          <w:p>
            <w:pPr>
              <w:spacing w:line="240" w:lineRule="auto"/>
              <w:jc w:val="center"/>
            </w:pPr>
            <w:r/>
            <w:r>
              <w:rPr>
                <w:rFonts w:ascii="휴먼명조" w:eastAsia="휴먼명조" w:hAnsi="휴먼명조" w:cs="휴먼명조"/>
                <w:b w:val="0"/>
                <w:sz w:val="18"/>
                <w:w w:val="97"/>
              </w:rPr>
              <w:t>1 (gradient accumulation 8, effective batch = 8)</w:t>
            </w:r>
          </w:p>
        </w:tc>
      </w:tr>
      <w:tr>
        <w:tc>
          <w:tcPr>
            <w:tcW w:type="dxa" w:w="3719"/>
          </w:tcPr>
          <w:p>
            <w:pPr>
              <w:spacing w:line="240" w:lineRule="auto"/>
              <w:jc w:val="center"/>
            </w:pPr>
            <w:r/>
            <w:r>
              <w:rPr>
                <w:rFonts w:ascii="휴먼명조" w:eastAsia="휴먼명조" w:hAnsi="휴먼명조" w:cs="휴먼명조"/>
                <w:b w:val="0"/>
                <w:sz w:val="18"/>
                <w:w w:val="97"/>
              </w:rPr>
              <w:t>Optimizer</w:t>
            </w:r>
          </w:p>
        </w:tc>
        <w:tc>
          <w:tcPr>
            <w:tcW w:type="dxa" w:w="3719"/>
          </w:tcPr>
          <w:p>
            <w:pPr>
              <w:spacing w:line="240" w:lineRule="auto"/>
              <w:jc w:val="center"/>
            </w:pPr>
            <w:r/>
            <w:r>
              <w:rPr>
                <w:rFonts w:ascii="휴먼명조" w:eastAsia="휴먼명조" w:hAnsi="휴먼명조" w:cs="휴먼명조"/>
                <w:b w:val="0"/>
                <w:sz w:val="18"/>
                <w:w w:val="97"/>
              </w:rPr>
              <w:t>paged_adamw_8bit</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The training budget targeted 3 epochs, but a ceiling of max_steps=500 (samples_seen fixed at 4,000 per condition) was imposed because of cloud GPU time and cost constraints. Since the training volume is fixed regardless of dataset size, the small VQA-RAD receives roughly 2 epochs or more while the medium SLAKE and large PathVQA receive less than 1 epoch; the effect of this asymmetry on the interpretation of results is discussed in Section 5.3 of Chapter V.</w:t>
      </w:r>
    </w:p>
    <w:p>
      <w:pPr>
        <w:spacing w:line="384" w:lineRule="auto" w:after="0"/>
        <w:ind w:firstLine="220"/>
        <w:jc w:val="both"/>
      </w:pPr>
      <w:r>
        <w:rPr>
          <w:rFonts w:ascii="휴먼명조" w:eastAsia="휴먼명조" w:hAnsi="휴먼명조" w:cs="휴먼명조"/>
          <w:b/>
          <w:sz w:val="22"/>
          <w:w w:val="97"/>
        </w:rPr>
        <w:t>Experimental conditions</w:t>
      </w:r>
      <w:r>
        <w:rPr>
          <w:rFonts w:ascii="휴먼명조" w:eastAsia="휴먼명조" w:hAnsi="휴먼명조" w:cs="휴먼명조"/>
          <w:b w:val="0"/>
          <w:sz w:val="22"/>
          <w:w w:val="97"/>
        </w:rPr>
        <w:t>: 4 models × 3 datasets = 12 conditions, each repeated 3 times (seeds 42/123/456). The values LoRA rank = 64 and target = all-linear were fixed on the basis of the three ablation studies below; detailed results appear in Sections 4.2.2-4.2.4 of Chapter IV.</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A (effect of data size)</w:t>
      </w:r>
      <w:r>
        <w:rPr>
          <w:rFonts w:ascii="휴먼명조" w:eastAsia="휴먼명조" w:hAnsi="휴먼명조" w:cs="휴먼명조"/>
          <w:b w:val="0"/>
          <w:sz w:val="22"/>
          <w:w w:val="97"/>
        </w:rPr>
        <w:t>: PathVQA and Qwen3-VL-2B fixed; training-data ratio 5/10/25/50/100%</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B (effect of LoRA rank)</w:t>
      </w:r>
      <w:r>
        <w:rPr>
          <w:rFonts w:ascii="휴먼명조" w:eastAsia="휴먼명조" w:hAnsi="휴먼명조" w:cs="휴먼명조"/>
          <w:b w:val="0"/>
          <w:sz w:val="22"/>
          <w:w w:val="97"/>
        </w:rPr>
        <w:t>: PathVQA and Qwen3-VL-2B fixed; rank ∈ {4, 8, 16, 32, 64}</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C (effect of target modules)</w:t>
      </w:r>
      <w:r>
        <w:rPr>
          <w:rFonts w:ascii="휴먼명조" w:eastAsia="휴먼명조" w:hAnsi="휴먼명조" w:cs="휴먼명조"/>
          <w:b w:val="0"/>
          <w:sz w:val="22"/>
          <w:w w:val="97"/>
        </w:rPr>
        <w:t>: PathVQA and Qwen3-VL-2B fixed; {q/v_proj} vs {q/k/v/o_proj} vs {all-linear}</w:t>
      </w:r>
    </w:p>
    <w:p>
      <w:pPr>
        <w:spacing w:line="384" w:lineRule="auto" w:after="0"/>
        <w:ind w:firstLine="220"/>
        <w:jc w:val="both"/>
      </w:pPr>
      <w:r>
        <w:rPr>
          <w:rFonts w:ascii="휴먼명조" w:eastAsia="휴먼명조" w:hAnsi="휴먼명조" w:cs="휴먼명조"/>
          <w:b/>
          <w:sz w:val="22"/>
          <w:w w:val="97"/>
        </w:rPr>
        <w:t>Catastrophic forgetting</w:t>
      </w:r>
      <w:r>
        <w:rPr>
          <w:rFonts w:ascii="휴먼명조" w:eastAsia="휴먼명조" w:hAnsi="휴먼명조" w:cs="휴먼명조"/>
          <w:b w:val="0"/>
          <w:sz w:val="22"/>
          <w:w w:val="97"/>
        </w:rPr>
        <w:t xml:space="preserve"> is measured in two ways. (A) Change in general capability: the rate of accuracy decrease before and after fine-tuning is measured on a VQAv2 validation subset (2,000 samples) across all 12 conditions. (B) Cross-dataset generalization within the medical domain: evaluation on a dataset other than the training dataset (for example, train on PathVQA → evaluate on SLAKE/VQA-RAD), giving 12 conditions × 2 cross-datasets = 24 additional evaluations. Because PathVQA (pathology) and SLAKE/VQA-RAD (radiology) differ in image domain itself, the results of (B) are interpreted as a domain-generalization gap rather than as catastrophic forgetting in the strict sense (Section 4.2.5).</w:t>
      </w:r>
    </w:p>
    <w:p>
      <w:pPr>
        <w:spacing w:line="384" w:lineRule="auto" w:after="0"/>
        <w:jc w:val="left"/>
        <w:outlineLvl w:val="1"/>
      </w:pPr>
      <w:r>
        <w:rPr>
          <w:rFonts w:ascii="휴먼명조" w:eastAsia="휴먼명조" w:hAnsi="휴먼명조" w:cs="휴먼명조"/>
          <w:b/>
          <w:sz w:val="28"/>
          <w:w w:val="97"/>
        </w:rPr>
        <w:t>3.7 Experiment 3: Autonomous Hyperparameter Optimization (Phase 3)</w:t>
      </w:r>
    </w:p>
    <w:p>
      <w:pPr>
        <w:pStyle w:val="표캡션"/>
        <w:spacing w:line="384" w:lineRule="auto" w:after="0"/>
        <w:jc w:val="center"/>
      </w:pPr>
      <w:r>
        <w:rPr>
          <w:rFonts w:ascii="휴먼명조" w:eastAsia="휴먼명조" w:hAnsi="휴먼명조" w:cs="휴먼명조"/>
          <w:b/>
          <w:sz w:val="22"/>
          <w:w w:val="97"/>
        </w:rPr>
        <w:t>Table 3.4. Phase 3 search space</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Parameter</w:t>
            </w:r>
          </w:p>
        </w:tc>
        <w:tc>
          <w:tcPr>
            <w:tcW w:type="dxa" w:w="2479"/>
          </w:tcPr>
          <w:p>
            <w:pPr>
              <w:spacing w:line="240" w:lineRule="auto"/>
              <w:jc w:val="center"/>
            </w:pPr>
            <w:r/>
            <w:r>
              <w:rPr>
                <w:rFonts w:ascii="휴먼명조" w:eastAsia="휴먼명조" w:hAnsi="휴먼명조" w:cs="휴먼명조"/>
                <w:b/>
                <w:sz w:val="18"/>
                <w:w w:val="97"/>
              </w:rPr>
              <w:t>Search range</w:t>
            </w:r>
          </w:p>
        </w:tc>
        <w:tc>
          <w:tcPr>
            <w:tcW w:type="dxa" w:w="2479"/>
          </w:tcPr>
          <w:p>
            <w:pPr>
              <w:spacing w:line="240" w:lineRule="auto"/>
              <w:jc w:val="center"/>
            </w:pPr>
            <w:r/>
            <w:r>
              <w:rPr>
                <w:rFonts w:ascii="휴먼명조" w:eastAsia="휴먼명조" w:hAnsi="휴먼명조" w:cs="휴먼명조"/>
                <w:b/>
                <w:sz w:val="18"/>
                <w:w w:val="97"/>
              </w:rPr>
              <w:t>Type</w:t>
            </w:r>
          </w:p>
        </w:tc>
      </w:tr>
      <w:tr>
        <w:tc>
          <w:tcPr>
            <w:tcW w:type="dxa" w:w="2479"/>
          </w:tcPr>
          <w:p>
            <w:pPr>
              <w:spacing w:line="240" w:lineRule="auto"/>
              <w:jc w:val="center"/>
            </w:pPr>
            <w:r/>
            <w:r>
              <w:rPr>
                <w:rFonts w:ascii="휴먼명조" w:eastAsia="휴먼명조" w:hAnsi="휴먼명조" w:cs="휴먼명조"/>
                <w:b w:val="0"/>
                <w:sz w:val="18"/>
                <w:w w:val="97"/>
              </w:rPr>
              <w:t>lora_rank</w:t>
            </w:r>
          </w:p>
        </w:tc>
        <w:tc>
          <w:tcPr>
            <w:tcW w:type="dxa" w:w="2479"/>
          </w:tcPr>
          <w:p>
            <w:pPr>
              <w:spacing w:line="240" w:lineRule="auto"/>
              <w:jc w:val="center"/>
            </w:pPr>
            <w:r/>
            <w:r>
              <w:rPr>
                <w:rFonts w:ascii="휴먼명조" w:eastAsia="휴먼명조" w:hAnsi="휴먼명조" w:cs="휴먼명조"/>
                <w:b w:val="0"/>
                <w:sz w:val="18"/>
                <w:w w:val="97"/>
              </w:rPr>
              <w:t>{4, 8, 16, 32, 64}</w:t>
            </w:r>
          </w:p>
        </w:tc>
        <w:tc>
          <w:tcPr>
            <w:tcW w:type="dxa" w:w="2479"/>
          </w:tcPr>
          <w:p>
            <w:pPr>
              <w:spacing w:line="240" w:lineRule="auto"/>
              <w:jc w:val="center"/>
            </w:pPr>
            <w:r/>
            <w:r>
              <w:rPr>
                <w:rFonts w:ascii="휴먼명조" w:eastAsia="휴먼명조" w:hAnsi="휴먼명조" w:cs="휴먼명조"/>
                <w:b w:val="0"/>
                <w:sz w:val="18"/>
                <w:w w:val="97"/>
              </w:rPr>
              <w:t>Discrete</w:t>
            </w:r>
          </w:p>
        </w:tc>
      </w:tr>
      <w:tr>
        <w:tc>
          <w:tcPr>
            <w:tcW w:type="dxa" w:w="2479"/>
          </w:tcPr>
          <w:p>
            <w:pPr>
              <w:spacing w:line="240" w:lineRule="auto"/>
              <w:jc w:val="center"/>
            </w:pPr>
            <w:r/>
            <w:r>
              <w:rPr>
                <w:rFonts w:ascii="휴먼명조" w:eastAsia="휴먼명조" w:hAnsi="휴먼명조" w:cs="휴먼명조"/>
                <w:b w:val="0"/>
                <w:sz w:val="18"/>
                <w:w w:val="97"/>
              </w:rPr>
              <w:t>lora_alpha</w:t>
            </w:r>
          </w:p>
        </w:tc>
        <w:tc>
          <w:tcPr>
            <w:tcW w:type="dxa" w:w="2479"/>
          </w:tcPr>
          <w:p>
            <w:pPr>
              <w:spacing w:line="240" w:lineRule="auto"/>
              <w:jc w:val="center"/>
            </w:pPr>
            <w:r/>
            <w:r>
              <w:rPr>
                <w:rFonts w:ascii="휴먼명조" w:eastAsia="휴먼명조" w:hAnsi="휴먼명조" w:cs="휴먼명조"/>
                <w:b w:val="0"/>
                <w:sz w:val="18"/>
                <w:w w:val="97"/>
              </w:rPr>
              <w:t>rank × {1, 2, 4}</w:t>
            </w:r>
          </w:p>
        </w:tc>
        <w:tc>
          <w:tcPr>
            <w:tcW w:type="dxa" w:w="2479"/>
          </w:tcPr>
          <w:p>
            <w:pPr>
              <w:spacing w:line="240" w:lineRule="auto"/>
              <w:jc w:val="center"/>
            </w:pPr>
            <w:r/>
            <w:r>
              <w:rPr>
                <w:rFonts w:ascii="휴먼명조" w:eastAsia="휴먼명조" w:hAnsi="휴먼명조" w:cs="휴먼명조"/>
                <w:b w:val="0"/>
                <w:sz w:val="18"/>
                <w:w w:val="97"/>
              </w:rPr>
              <w:t>Discrete</w:t>
            </w:r>
          </w:p>
        </w:tc>
      </w:tr>
      <w:tr>
        <w:tc>
          <w:tcPr>
            <w:tcW w:type="dxa" w:w="2479"/>
          </w:tcPr>
          <w:p>
            <w:pPr>
              <w:spacing w:line="240" w:lineRule="auto"/>
              <w:jc w:val="center"/>
            </w:pPr>
            <w:r/>
            <w:r>
              <w:rPr>
                <w:rFonts w:ascii="휴먼명조" w:eastAsia="휴먼명조" w:hAnsi="휴먼명조" w:cs="휴먼명조"/>
                <w:b w:val="0"/>
                <w:sz w:val="18"/>
                <w:w w:val="97"/>
              </w:rPr>
              <w:t>learning_rate</w:t>
            </w:r>
          </w:p>
        </w:tc>
        <w:tc>
          <w:tcPr>
            <w:tcW w:type="dxa" w:w="2479"/>
          </w:tcPr>
          <w:p>
            <w:pPr>
              <w:spacing w:line="240" w:lineRule="auto"/>
              <w:jc w:val="center"/>
            </w:pPr>
            <w:r/>
            <w:r>
              <w:rPr>
                <w:rFonts w:ascii="휴먼명조" w:eastAsia="휴먼명조" w:hAnsi="휴먼명조" w:cs="휴먼명조"/>
                <w:b w:val="0"/>
                <w:sz w:val="18"/>
                <w:w w:val="97"/>
              </w:rPr>
              <w:t>[1e-5, 5e-4]</w:t>
            </w:r>
          </w:p>
        </w:tc>
        <w:tc>
          <w:tcPr>
            <w:tcW w:type="dxa" w:w="2479"/>
          </w:tcPr>
          <w:p>
            <w:pPr>
              <w:spacing w:line="240" w:lineRule="auto"/>
              <w:jc w:val="center"/>
            </w:pPr>
            <w:r/>
            <w:r>
              <w:rPr>
                <w:rFonts w:ascii="휴먼명조" w:eastAsia="휴먼명조" w:hAnsi="휴먼명조" w:cs="휴먼명조"/>
                <w:b w:val="0"/>
                <w:sz w:val="18"/>
                <w:w w:val="97"/>
              </w:rPr>
              <w:t>Continuous (log scale)</w:t>
            </w:r>
          </w:p>
        </w:tc>
      </w:tr>
      <w:tr>
        <w:tc>
          <w:tcPr>
            <w:tcW w:type="dxa" w:w="2479"/>
          </w:tcPr>
          <w:p>
            <w:pPr>
              <w:spacing w:line="240" w:lineRule="auto"/>
              <w:jc w:val="center"/>
            </w:pPr>
            <w:r/>
            <w:r>
              <w:rPr>
                <w:rFonts w:ascii="휴먼명조" w:eastAsia="휴먼명조" w:hAnsi="휴먼명조" w:cs="휴먼명조"/>
                <w:b w:val="0"/>
                <w:sz w:val="18"/>
                <w:w w:val="97"/>
              </w:rPr>
              <w:t>batch_size</w:t>
            </w:r>
          </w:p>
        </w:tc>
        <w:tc>
          <w:tcPr>
            <w:tcW w:type="dxa" w:w="2479"/>
          </w:tcPr>
          <w:p>
            <w:pPr>
              <w:spacing w:line="240" w:lineRule="auto"/>
              <w:jc w:val="center"/>
            </w:pPr>
            <w:r/>
            <w:r>
              <w:rPr>
                <w:rFonts w:ascii="휴먼명조" w:eastAsia="휴먼명조" w:hAnsi="휴먼명조" w:cs="휴먼명조"/>
                <w:b w:val="0"/>
                <w:sz w:val="18"/>
                <w:w w:val="97"/>
              </w:rPr>
              <w:t>{1, 2, 4}</w:t>
            </w:r>
          </w:p>
        </w:tc>
        <w:tc>
          <w:tcPr>
            <w:tcW w:type="dxa" w:w="2479"/>
          </w:tcPr>
          <w:p>
            <w:pPr>
              <w:spacing w:line="240" w:lineRule="auto"/>
              <w:jc w:val="center"/>
            </w:pPr>
            <w:r/>
            <w:r>
              <w:rPr>
                <w:rFonts w:ascii="휴먼명조" w:eastAsia="휴먼명조" w:hAnsi="휴먼명조" w:cs="휴먼명조"/>
                <w:b w:val="0"/>
                <w:sz w:val="18"/>
                <w:w w:val="97"/>
              </w:rPr>
              <w:t>Discrete</w:t>
            </w:r>
          </w:p>
        </w:tc>
      </w:tr>
      <w:tr>
        <w:tc>
          <w:tcPr>
            <w:tcW w:type="dxa" w:w="2479"/>
          </w:tcPr>
          <w:p>
            <w:pPr>
              <w:spacing w:line="240" w:lineRule="auto"/>
              <w:jc w:val="center"/>
            </w:pPr>
            <w:r/>
            <w:r>
              <w:rPr>
                <w:rFonts w:ascii="휴먼명조" w:eastAsia="휴먼명조" w:hAnsi="휴먼명조" w:cs="휴먼명조"/>
                <w:b w:val="0"/>
                <w:sz w:val="18"/>
                <w:w w:val="97"/>
              </w:rPr>
              <w:t>grad_accum_steps</w:t>
            </w:r>
          </w:p>
        </w:tc>
        <w:tc>
          <w:tcPr>
            <w:tcW w:type="dxa" w:w="2479"/>
          </w:tcPr>
          <w:p>
            <w:pPr>
              <w:spacing w:line="240" w:lineRule="auto"/>
              <w:jc w:val="center"/>
            </w:pPr>
            <w:r/>
            <w:r>
              <w:rPr>
                <w:rFonts w:ascii="휴먼명조" w:eastAsia="휴먼명조" w:hAnsi="휴먼명조" w:cs="휴먼명조"/>
                <w:b w:val="0"/>
                <w:sz w:val="18"/>
                <w:w w:val="97"/>
              </w:rPr>
              <w:t>{4, 8, 16}</w:t>
            </w:r>
          </w:p>
        </w:tc>
        <w:tc>
          <w:tcPr>
            <w:tcW w:type="dxa" w:w="2479"/>
          </w:tcPr>
          <w:p>
            <w:pPr>
              <w:spacing w:line="240" w:lineRule="auto"/>
              <w:jc w:val="center"/>
            </w:pPr>
            <w:r/>
            <w:r>
              <w:rPr>
                <w:rFonts w:ascii="휴먼명조" w:eastAsia="휴먼명조" w:hAnsi="휴먼명조" w:cs="휴먼명조"/>
                <w:b w:val="0"/>
                <w:sz w:val="18"/>
                <w:w w:val="97"/>
              </w:rPr>
              <w:t>Discrete</w:t>
            </w:r>
          </w:p>
        </w:tc>
      </w:tr>
      <w:tr>
        <w:tc>
          <w:tcPr>
            <w:tcW w:type="dxa" w:w="2479"/>
          </w:tcPr>
          <w:p>
            <w:pPr>
              <w:spacing w:line="240" w:lineRule="auto"/>
              <w:jc w:val="center"/>
            </w:pPr>
            <w:r/>
            <w:r>
              <w:rPr>
                <w:rFonts w:ascii="휴먼명조" w:eastAsia="휴먼명조" w:hAnsi="휴먼명조" w:cs="휴먼명조"/>
                <w:b w:val="0"/>
                <w:sz w:val="18"/>
                <w:w w:val="97"/>
              </w:rPr>
              <w:t>warmup_ratio</w:t>
            </w:r>
          </w:p>
        </w:tc>
        <w:tc>
          <w:tcPr>
            <w:tcW w:type="dxa" w:w="2479"/>
          </w:tcPr>
          <w:p>
            <w:pPr>
              <w:spacing w:line="240" w:lineRule="auto"/>
              <w:jc w:val="center"/>
            </w:pPr>
            <w:r/>
            <w:r>
              <w:rPr>
                <w:rFonts w:ascii="휴먼명조" w:eastAsia="휴먼명조" w:hAnsi="휴먼명조" w:cs="휴먼명조"/>
                <w:b w:val="0"/>
                <w:sz w:val="18"/>
                <w:w w:val="97"/>
              </w:rPr>
              <w:t>[0.0, 0.1]</w:t>
            </w:r>
          </w:p>
        </w:tc>
        <w:tc>
          <w:tcPr>
            <w:tcW w:type="dxa" w:w="2479"/>
          </w:tcPr>
          <w:p>
            <w:pPr>
              <w:spacing w:line="240" w:lineRule="auto"/>
              <w:jc w:val="center"/>
            </w:pPr>
            <w:r/>
            <w:r>
              <w:rPr>
                <w:rFonts w:ascii="휴먼명조" w:eastAsia="휴먼명조" w:hAnsi="휴먼명조" w:cs="휴먼명조"/>
                <w:b w:val="0"/>
                <w:sz w:val="18"/>
                <w:w w:val="97"/>
              </w:rPr>
              <w:t>Continuous</w:t>
            </w:r>
          </w:p>
        </w:tc>
      </w:tr>
      <w:tr>
        <w:tc>
          <w:tcPr>
            <w:tcW w:type="dxa" w:w="2479"/>
          </w:tcPr>
          <w:p>
            <w:pPr>
              <w:spacing w:line="240" w:lineRule="auto"/>
              <w:jc w:val="center"/>
            </w:pPr>
            <w:r/>
            <w:r>
              <w:rPr>
                <w:rFonts w:ascii="휴먼명조" w:eastAsia="휴먼명조" w:hAnsi="휴먼명조" w:cs="휴먼명조"/>
                <w:b w:val="0"/>
                <w:sz w:val="18"/>
                <w:w w:val="97"/>
              </w:rPr>
              <w:t>weight_decay</w:t>
            </w:r>
          </w:p>
        </w:tc>
        <w:tc>
          <w:tcPr>
            <w:tcW w:type="dxa" w:w="2479"/>
          </w:tcPr>
          <w:p>
            <w:pPr>
              <w:spacing w:line="240" w:lineRule="auto"/>
              <w:jc w:val="center"/>
            </w:pPr>
            <w:r/>
            <w:r>
              <w:rPr>
                <w:rFonts w:ascii="휴먼명조" w:eastAsia="휴먼명조" w:hAnsi="휴먼명조" w:cs="휴먼명조"/>
                <w:b w:val="0"/>
                <w:sz w:val="18"/>
                <w:w w:val="97"/>
              </w:rPr>
              <w:t>[0.0, 0.1]</w:t>
            </w:r>
          </w:p>
        </w:tc>
        <w:tc>
          <w:tcPr>
            <w:tcW w:type="dxa" w:w="2479"/>
          </w:tcPr>
          <w:p>
            <w:pPr>
              <w:spacing w:line="240" w:lineRule="auto"/>
              <w:jc w:val="center"/>
            </w:pPr>
            <w:r/>
            <w:r>
              <w:rPr>
                <w:rFonts w:ascii="휴먼명조" w:eastAsia="휴먼명조" w:hAnsi="휴먼명조" w:cs="휴먼명조"/>
                <w:b w:val="0"/>
                <w:sz w:val="18"/>
                <w:w w:val="97"/>
              </w:rPr>
              <w:t>Continuous</w:t>
            </w:r>
          </w:p>
        </w:tc>
      </w:tr>
      <w:tr>
        <w:tc>
          <w:tcPr>
            <w:tcW w:type="dxa" w:w="2479"/>
          </w:tcPr>
          <w:p>
            <w:pPr>
              <w:spacing w:line="240" w:lineRule="auto"/>
              <w:jc w:val="center"/>
            </w:pPr>
            <w:r/>
            <w:r>
              <w:rPr>
                <w:rFonts w:ascii="휴먼명조" w:eastAsia="휴먼명조" w:hAnsi="휴먼명조" w:cs="휴먼명조"/>
                <w:b w:val="0"/>
                <w:sz w:val="18"/>
                <w:w w:val="97"/>
              </w:rPr>
              <w:t>lora_targets</w:t>
            </w:r>
          </w:p>
        </w:tc>
        <w:tc>
          <w:tcPr>
            <w:tcW w:type="dxa" w:w="2479"/>
          </w:tcPr>
          <w:p>
            <w:pPr>
              <w:spacing w:line="240" w:lineRule="auto"/>
              <w:jc w:val="center"/>
            </w:pPr>
            <w:r/>
            <w:r>
              <w:rPr>
                <w:rFonts w:ascii="휴먼명조" w:eastAsia="휴먼명조" w:hAnsi="휴먼명조" w:cs="휴먼명조"/>
                <w:b w:val="0"/>
                <w:sz w:val="18"/>
                <w:w w:val="97"/>
              </w:rPr>
              <w:t>{minimal, medium, full}</w:t>
            </w:r>
          </w:p>
        </w:tc>
        <w:tc>
          <w:tcPr>
            <w:tcW w:type="dxa" w:w="2479"/>
          </w:tcPr>
          <w:p>
            <w:pPr>
              <w:spacing w:line="240" w:lineRule="auto"/>
              <w:jc w:val="center"/>
            </w:pPr>
            <w:r/>
            <w:r>
              <w:rPr>
                <w:rFonts w:ascii="휴먼명조" w:eastAsia="휴먼명조" w:hAnsi="휴먼명조" w:cs="휴먼명조"/>
                <w:b w:val="0"/>
                <w:sz w:val="18"/>
                <w:w w:val="97"/>
              </w:rPr>
              <w:t>Categorical</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Four strategies compared</w:t>
      </w:r>
      <w:r>
        <w:rPr>
          <w:rFonts w:ascii="휴먼명조" w:eastAsia="휴먼명조" w:hAnsi="휴먼명조" w:cs="휴먼명조"/>
          <w:b w:val="0"/>
          <w:sz w:val="22"/>
          <w:w w:val="97"/>
        </w:rPr>
        <w:t>: Manual (the researcher's default values, one run) / Random Search (random sampling) / Optuna TPE (Bayesian optimization) / Autoresearch (autonomous search by an LLM agent). Autoresearch repeats a loop that (1) reads the previous experimental results (results.tsv), (2) proposes the next configuration together with a natural-language rationale (config.yaml + rationale.md), (3) performs a git commit, (4) runs fixed training, (5) evaluates on the validation set, and (6) retains the configuration if performance improves and discards it otherwise.</w:t>
      </w:r>
    </w:p>
    <w:p>
      <w:pPr>
        <w:spacing w:line="384" w:lineRule="auto" w:after="0"/>
        <w:ind w:firstLine="220"/>
        <w:jc w:val="both"/>
      </w:pPr>
      <w:r>
        <w:rPr>
          <w:rFonts w:ascii="휴먼명조" w:eastAsia="휴먼명조" w:hAnsi="휴먼명조" w:cs="휴먼명조"/>
          <w:b w:val="0"/>
          <w:sz w:val="22"/>
          <w:w w:val="97"/>
        </w:rPr>
        <w:t xml:space="preserve">All trials share the same model (the best model from Phase 2), the same dataset (PathVQA), and a fixed max_steps=200 in order to control training volume; the wall-clock ceiling time_budget_min serves as a safety device to prevent pathological combinations rather than as an experimental control variable. The original design called for Manual 10 + Random Search 400 + Optuna 400 + Autoresearch 400 = 1,210 trials in total (40 trials per strategy × 10 independent repeats). A </w:t>
      </w:r>
      <w:r>
        <w:rPr>
          <w:rFonts w:ascii="휴먼명조" w:eastAsia="휴먼명조" w:hAnsi="휴먼명조" w:cs="휴먼명조"/>
          <w:b/>
          <w:sz w:val="22"/>
          <w:w w:val="97"/>
        </w:rPr>
        <w:t>preliminary smoke test conducted solely to size the execution</w:t>
      </w:r>
      <w:r>
        <w:rPr>
          <w:rFonts w:ascii="휴먼명조" w:eastAsia="휴먼명조" w:hAnsi="휴먼명조" w:cs="휴먼명조"/>
          <w:b w:val="0"/>
          <w:sz w:val="22"/>
          <w:w w:val="97"/>
        </w:rPr>
        <w:t xml:space="preserve"> (on the local dual-GPU workstation, for timing measurement only and not reported in this thesis), however, indicated on a wall-clock basis — counting not only training but also validation and final test evaluation time — that the original scale would require roughly 24-25 days even with two GPUs in parallel. The number of repeats (10), which is the unit of statistical testing and the basis of run-level statistical power, was therefore preserved, while the number of search trials per strategy was reduced from 40 to 20, halving the total time to approximately 12.8 days. </w:t>
      </w:r>
      <w:r>
        <w:rPr>
          <w:rFonts w:ascii="휴먼명조" w:eastAsia="휴먼명조" w:hAnsi="휴먼명조" w:cs="휴먼명조"/>
          <w:b/>
          <w:sz w:val="22"/>
          <w:w w:val="97"/>
        </w:rPr>
        <w:t>The final execution scale is Manual 10 + Random Search 200 + Optuna 200 + Autoresearch 200 = 610 trials in total (20 trials per strategy × 10 independent repeats).</w:t>
      </w:r>
      <w:r>
        <w:rPr>
          <w:rFonts w:ascii="휴먼명조" w:eastAsia="휴먼명조" w:hAnsi="휴먼명조" w:cs="휴먼명조"/>
          <w:b w:val="0"/>
          <w:sz w:val="22"/>
          <w:w w:val="97"/>
        </w:rPr>
        <w:t xml:space="preserve"> This reduction carries the trade-off of halving the diversity of hyperparameter combinations explored per strategy, but it does not affect the validity of the run-level statistical tests based on 10 independent repeats.</w:t>
      </w:r>
    </w:p>
    <w:p>
      <w:pPr>
        <w:spacing w:line="384" w:lineRule="auto" w:after="0"/>
        <w:ind w:firstLine="220"/>
        <w:jc w:val="both"/>
      </w:pPr>
      <w:r>
        <w:rPr>
          <w:rFonts w:ascii="휴먼명조" w:eastAsia="휴먼명조" w:hAnsi="휴먼명조" w:cs="휴먼명조"/>
          <w:b/>
          <w:sz w:val="22"/>
          <w:w w:val="97"/>
        </w:rPr>
        <w:t>Statistical verification is performed only at the run level, not at the trial level.</w:t>
      </w:r>
      <w:r>
        <w:rPr>
          <w:rFonts w:ascii="휴먼명조" w:eastAsia="휴먼명조" w:hAnsi="휴먼명조" w:cs="휴먼명조"/>
          <w:b w:val="0"/>
          <w:sz w:val="22"/>
          <w:w w:val="97"/>
        </w:rPr>
        <w:t xml:space="preserve"> Because Autoresearch and Optuna are sequential optimizers, trials within the same run are dependent (the result of trial t influences the proposal at t+1), violating the assumption of independent observations. The unit of testing is the 10 final performance values obtained from the 10 independent repeats of each strategy, analysed with the Kruskal-Wallis test (four-group comparison), the Mann-Whitney U test (pairwise, Autoresearch vs Optuna), and BCa bootstrap 95% CIs. Trial-level data are used only for visualization such as anytime performance curves.</w:t>
      </w:r>
    </w:p>
    <w:p>
      <w:pPr>
        <w:spacing w:line="384" w:lineRule="auto" w:after="0"/>
        <w:jc w:val="left"/>
        <w:outlineLvl w:val="1"/>
      </w:pPr>
      <w:r>
        <w:rPr>
          <w:rFonts w:ascii="휴먼명조" w:eastAsia="휴먼명조" w:hAnsi="휴먼명조" w:cs="휴먼명조"/>
          <w:b/>
          <w:sz w:val="28"/>
          <w:w w:val="97"/>
        </w:rPr>
        <w:t>3.8 Evaluation Metrics and Statistical Analysis</w:t>
      </w:r>
    </w:p>
    <w:p>
      <w:pPr>
        <w:spacing w:line="384" w:lineRule="auto" w:after="0"/>
        <w:jc w:val="left"/>
        <w:outlineLvl w:val="2"/>
      </w:pPr>
      <w:r>
        <w:rPr>
          <w:rFonts w:ascii="휴먼명조" w:eastAsia="휴먼명조" w:hAnsi="휴먼명조" w:cs="휴먼명조"/>
          <w:b/>
          <w:sz w:val="22"/>
          <w:w w:val="97"/>
        </w:rPr>
        <w:t>3.8.1 Dual Reporting of BERTScore</w:t>
      </w:r>
    </w:p>
    <w:p>
      <w:pPr>
        <w:spacing w:line="384" w:lineRule="auto" w:after="0"/>
        <w:ind w:firstLine="220"/>
        <w:jc w:val="both"/>
      </w:pPr>
      <w:r>
        <w:rPr>
          <w:rFonts w:ascii="휴먼명조" w:eastAsia="휴먼명조" w:hAnsi="휴먼명조" w:cs="휴먼명조"/>
          <w:b w:val="0"/>
          <w:sz w:val="22"/>
          <w:w w:val="97"/>
        </w:rPr>
        <w:t>Open-ended responses are reported with both exact match and BERTScore F1. The general-purpose criterion (roberta-large, threshold ≥ 0.7) is the sole decision metric (primary) for accuracy and statistical testing, while the medical-specialized criterion (BioBERT, dmis-lab/biobert-v1.1) is reported alongside as a secondary metric only; no dual gating (requiring both metrics to pass before an answer is judged correct) is applied.</w:t>
      </w:r>
    </w:p>
    <w:p>
      <w:pPr>
        <w:spacing w:line="384" w:lineRule="auto" w:after="0"/>
        <w:jc w:val="left"/>
        <w:outlineLvl w:val="2"/>
      </w:pPr>
      <w:r>
        <w:rPr>
          <w:rFonts w:ascii="휴먼명조" w:eastAsia="휴먼명조" w:hAnsi="휴먼명조" w:cs="휴먼명조"/>
          <w:b/>
          <w:sz w:val="22"/>
          <w:w w:val="97"/>
        </w:rPr>
        <w:t>3.8.2 Dual Measurement of Catastrophic Forgetting</w:t>
      </w:r>
    </w:p>
    <w:p>
      <w:pPr>
        <w:spacing w:line="384" w:lineRule="auto" w:after="0"/>
        <w:ind w:firstLine="220"/>
        <w:jc w:val="both"/>
      </w:pPr>
      <w:r>
        <w:rPr>
          <w:rFonts w:ascii="휴먼명조" w:eastAsia="휴먼명조" w:hAnsi="휴먼명조" w:cs="휴먼명조"/>
          <w:b w:val="0"/>
          <w:sz w:val="22"/>
          <w:w w:val="97"/>
        </w:rPr>
        <w:t>Both (A) the change in general capability measured on VQAv2 and (B) the cross-dataset generalization gap described in Section 3.6 are reported, so that side effects of fine-tuning that a single metric cannot capture are measured from multiple angles.</w:t>
      </w:r>
    </w:p>
    <w:p>
      <w:pPr>
        <w:spacing w:line="384" w:lineRule="auto" w:after="0"/>
        <w:jc w:val="left"/>
        <w:outlineLvl w:val="2"/>
      </w:pPr>
      <w:r>
        <w:rPr>
          <w:rFonts w:ascii="휴먼명조" w:eastAsia="휴먼명조" w:hAnsi="휴먼명조" w:cs="휴먼명조"/>
          <w:b/>
          <w:sz w:val="22"/>
          <w:w w:val="97"/>
        </w:rPr>
        <w:t>3.8.3 Clinical Significance Analysis (WCA + ECE)</w:t>
      </w:r>
    </w:p>
    <w:p>
      <w:pPr>
        <w:spacing w:line="384" w:lineRule="auto" w:after="0"/>
        <w:ind w:firstLine="220"/>
        <w:jc w:val="both"/>
      </w:pPr>
      <w:r>
        <w:rPr>
          <w:rFonts w:ascii="휴먼명조" w:eastAsia="휴먼명조" w:hAnsi="휴먼명조" w:cs="휴먼명조"/>
          <w:b w:val="0"/>
          <w:sz w:val="22"/>
          <w:w w:val="97"/>
        </w:rPr>
        <w:t>Motivated by the concern that plain accuracy does not fully capture the clinical value of medical AI, Weighted Clinical Accuracy (WCA) is computed using the labels of the seven PathVQA question types (diagnosis, location, measurement, description, temporal, yes_no, unknown).</w:t>
      </w:r>
    </w:p>
    <w:p>
      <w:pPr>
        <w:spacing w:line="384" w:lineRule="auto" w:after="0"/>
        <w:ind w:firstLine="220"/>
        <w:jc w:val="both"/>
      </w:pPr>
      <w:r>
        <w:rPr>
          <w:rFonts w:ascii="휴먼명조" w:eastAsia="휴먼명조" w:hAnsi="휴먼명조" w:cs="휴먼명조"/>
          <w:b w:val="0"/>
          <w:sz w:val="22"/>
          <w:w w:val="97"/>
        </w:rPr>
        <w:t>WCA = Σ(accuracy per type × weight) / Σweights</w:t>
      </w:r>
    </w:p>
    <w:p>
      <w:pPr>
        <w:spacing w:line="384" w:lineRule="auto" w:after="0"/>
        <w:ind w:firstLine="220"/>
        <w:jc w:val="both"/>
      </w:pPr>
      <w:r>
        <w:rPr>
          <w:rFonts w:ascii="휴먼명조" w:eastAsia="휴먼명조" w:hAnsi="휴먼명조" w:cs="휴먼명조"/>
          <w:b w:val="0"/>
          <w:sz w:val="22"/>
          <w:w w:val="97"/>
        </w:rPr>
        <w:t>Weights were assigned by clinical importance in the order diagnosis = 1.0 (a diagnostic error directly affects the direction of treatment) &gt; location = 0.8 &gt; measurement = 0.7 &gt; description = 0.6 &gt; temporal = yes_no = 0.5 (binary judgements with limited information content). These weights, however, were set arbitrarily by the researcher without external clinical literature or Delphi consensus; they cannot be interpreted as an absolute scale of clinical importance and are used only in a limited way as a supplementary reference metric complementing the primary metrics (accuracy and BERTScore).</w:t>
      </w:r>
    </w:p>
    <w:p>
      <w:pPr>
        <w:spacing w:line="384" w:lineRule="auto" w:after="0"/>
        <w:ind w:firstLine="220"/>
        <w:jc w:val="both"/>
      </w:pPr>
      <w:r>
        <w:rPr>
          <w:rFonts w:ascii="휴먼명조" w:eastAsia="휴먼명조" w:hAnsi="휴먼명조" w:cs="휴먼명조"/>
          <w:b w:val="0"/>
          <w:sz w:val="22"/>
          <w:w w:val="97"/>
        </w:rPr>
        <w:t>Expected Calibration Error (ECE, Guo et al., ICML 2017), a metric measuring how well a model's predicted confidence matches its actual accuracy, was planned for inclusion but could not be computed because the current evaluation pipeline does not store per-sample confidence (see the limitations in Section 5.3 of Chapter V).</w:t>
      </w:r>
    </w:p>
    <w:p>
      <w:pPr>
        <w:spacing w:line="384" w:lineRule="auto" w:after="0"/>
        <w:jc w:val="left"/>
        <w:outlineLvl w:val="2"/>
      </w:pPr>
      <w:r>
        <w:rPr>
          <w:rFonts w:ascii="휴먼명조" w:eastAsia="휴먼명조" w:hAnsi="휴먼명조" w:cs="휴먼명조"/>
          <w:b/>
          <w:sz w:val="22"/>
          <w:w w:val="97"/>
        </w:rPr>
        <w:t>3.8.4 Robust Statistics (Bootstrap + Mixed-Effects)</w:t>
      </w:r>
    </w:p>
    <w:p>
      <w:pPr>
        <w:spacing w:line="384" w:lineRule="auto" w:after="0"/>
        <w:ind w:firstLine="220"/>
        <w:jc w:val="both"/>
      </w:pPr>
      <w:r>
        <w:rPr>
          <w:rFonts w:ascii="휴먼명조" w:eastAsia="휴먼명조" w:hAnsi="휴먼명조" w:cs="휴먼명조"/>
          <w:b w:val="0"/>
          <w:sz w:val="22"/>
          <w:w w:val="97"/>
        </w:rPr>
        <w:t>Given the sample-size limitation of n = 9 (3 datasets × 3 seeds), the test of the fine-tuning effect in Phase 2 uses three methods in parallel: (1) a paired t-test with Cohen's d (the conventional comparison), (2) a 95% CI for Cohen's d obtained by BCa bootstrap with 10,000 resamples (robust estimation), and (3) the Wilcoxon signed-rank test (non-parametric). A Mixed-Effects Model pooling the four models (accuracy ~ condition + dataset, group = seed) is additionally applied as a supplement; however, because heterogeneous effects across models may cancel in a pooled estimate, the triple verification performed per model is treated as the primary evidence and the MEM result is used only as supporting explanation — a phenomenon actually observed in Section 4.2.1.</w:t>
      </w:r>
    </w:p>
    <w:p>
      <w:pPr>
        <w:spacing w:line="384" w:lineRule="auto" w:after="0"/>
        <w:jc w:val="left"/>
        <w:outlineLvl w:val="2"/>
      </w:pPr>
      <w:r>
        <w:rPr>
          <w:rFonts w:ascii="휴먼명조" w:eastAsia="휴먼명조" w:hAnsi="휴먼명조" w:cs="휴먼명조"/>
          <w:b/>
          <w:sz w:val="22"/>
          <w:w w:val="97"/>
        </w:rPr>
        <w:t>3.8.5 Contamination Control (Min-K% Probability)</w:t>
      </w:r>
    </w:p>
    <w:p>
      <w:pPr>
        <w:spacing w:line="384" w:lineRule="auto" w:after="0"/>
        <w:ind w:firstLine="220"/>
        <w:jc w:val="both"/>
      </w:pPr>
      <w:r>
        <w:rPr>
          <w:rFonts w:ascii="휴먼명조" w:eastAsia="휴먼명조" w:hAnsi="휴먼명조" w:cs="휴먼명조"/>
          <w:b w:val="0"/>
          <w:sz w:val="22"/>
          <w:w w:val="97"/>
        </w:rPr>
        <w:t>The methodology is as described in Section 3.4. The robustness verification results are presented in Section 4.1.1 of Chapter IV.</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Chapter IV. Experimental Results and Analysis</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4.1 Phase 1: Zero-Shot Baseline Results</w:t>
      </w:r>
    </w:p>
    <w:p>
      <w:pPr>
        <w:spacing w:line="384" w:lineRule="auto" w:after="0"/>
        <w:ind w:firstLine="220"/>
        <w:jc w:val="both"/>
      </w:pPr>
      <w:r>
        <w:rPr>
          <w:rFonts w:ascii="휴먼명조" w:eastAsia="휴먼명조" w:hAnsi="휴먼명조" w:cs="휴먼명조"/>
          <w:b w:val="0"/>
          <w:sz w:val="22"/>
          <w:w w:val="97"/>
        </w:rPr>
        <w:t>Phase 1 measured the zero-shot performance of four lightweight VLMs (Gemma4-E2B, Qwen2.5-VL-3B, Qwen3-VL-2B, SmolVLM2-2.2B) before fine-tuning on three medical VQA datasets (PathVQA, SLAKE, VQA-RAD), answering RQ1 ("do lightweight VLMs show practical performance on medical VQA without fine-tuning, and are the differences across models significant?"). Evaluation was performed with seed 42 on the full test split of each dataset (PathVQA 6,719 / SLAKE 1,061 / VQA-RAD 451 items).</w:t>
      </w:r>
    </w:p>
    <w:p>
      <w:pPr>
        <w:spacing w:line="384" w:lineRule="auto" w:after="0"/>
        <w:jc w:val="left"/>
        <w:outlineLvl w:val="2"/>
      </w:pPr>
      <w:r>
        <w:rPr>
          <w:rFonts w:ascii="휴먼명조" w:eastAsia="휴먼명조" w:hAnsi="휴먼명조" w:cs="휴먼명조"/>
          <w:b/>
          <w:sz w:val="22"/>
          <w:w w:val="97"/>
        </w:rPr>
        <w:t>4.1.1 Performance Comparison across Models</w:t>
      </w:r>
    </w:p>
    <w:p>
      <w:pPr>
        <w:pStyle w:val="표캡션"/>
        <w:spacing w:line="384" w:lineRule="auto" w:after="0"/>
        <w:jc w:val="center"/>
      </w:pPr>
      <w:r>
        <w:rPr>
          <w:rFonts w:ascii="휴먼명조" w:eastAsia="휴먼명조" w:hAnsi="휴먼명조" w:cs="휴먼명조"/>
          <w:b/>
          <w:sz w:val="22"/>
          <w:w w:val="97"/>
        </w:rPr>
        <w:t>Table 4.1. Zero-shot baseline results (model × dataset)</w:t>
      </w:r>
    </w:p>
    <w:tbl>
      <w:tblPr>
        <w:tblW w:type="auto" w:w="0"/>
        <w:tblLook w:firstColumn="1" w:firstRow="1" w:lastColumn="0" w:lastRow="0" w:noHBand="0" w:noVBand="1" w:val="04A0"/>
      </w:tblPr>
      <w:tblGrid>
        <w:gridCol w:w="930"/>
        <w:gridCol w:w="930"/>
        <w:gridCol w:w="930"/>
        <w:gridCol w:w="930"/>
        <w:gridCol w:w="930"/>
        <w:gridCol w:w="930"/>
        <w:gridCol w:w="930"/>
        <w:gridCol w:w="930"/>
      </w:tblGrid>
      <w:tr>
        <w:tc>
          <w:tcPr>
            <w:tcW w:type="dxa" w:w="930"/>
          </w:tcPr>
          <w:p>
            <w:pPr>
              <w:spacing w:line="240" w:lineRule="auto"/>
              <w:jc w:val="center"/>
            </w:pPr>
            <w:r/>
            <w:r>
              <w:rPr>
                <w:rFonts w:ascii="휴먼명조" w:eastAsia="휴먼명조" w:hAnsi="휴먼명조" w:cs="휴먼명조"/>
                <w:b/>
                <w:sz w:val="18"/>
                <w:w w:val="97"/>
              </w:rPr>
              <w:t>Model</w:t>
            </w:r>
          </w:p>
        </w:tc>
        <w:tc>
          <w:tcPr>
            <w:tcW w:type="dxa" w:w="930"/>
          </w:tcPr>
          <w:p>
            <w:pPr>
              <w:spacing w:line="240" w:lineRule="auto"/>
              <w:jc w:val="center"/>
            </w:pPr>
            <w:r/>
            <w:r>
              <w:rPr>
                <w:rFonts w:ascii="휴먼명조" w:eastAsia="휴먼명조" w:hAnsi="휴먼명조" w:cs="휴먼명조"/>
                <w:b/>
                <w:sz w:val="18"/>
                <w:w w:val="97"/>
              </w:rPr>
              <w:t>Dataset</w:t>
            </w:r>
          </w:p>
        </w:tc>
        <w:tc>
          <w:tcPr>
            <w:tcW w:type="dxa" w:w="930"/>
          </w:tcPr>
          <w:p>
            <w:pPr>
              <w:spacing w:line="240" w:lineRule="auto"/>
              <w:jc w:val="center"/>
            </w:pPr>
            <w:r/>
            <w:r>
              <w:rPr>
                <w:rFonts w:ascii="휴먼명조" w:eastAsia="휴먼명조" w:hAnsi="휴먼명조" w:cs="휴먼명조"/>
                <w:b/>
                <w:sz w:val="18"/>
                <w:w w:val="97"/>
              </w:rPr>
              <w:t>Closed Acc</w:t>
            </w:r>
          </w:p>
        </w:tc>
        <w:tc>
          <w:tcPr>
            <w:tcW w:type="dxa" w:w="930"/>
          </w:tcPr>
          <w:p>
            <w:pPr>
              <w:spacing w:line="240" w:lineRule="auto"/>
              <w:jc w:val="center"/>
            </w:pPr>
            <w:r/>
            <w:r>
              <w:rPr>
                <w:rFonts w:ascii="휴먼명조" w:eastAsia="휴먼명조" w:hAnsi="휴먼명조" w:cs="휴먼명조"/>
                <w:b/>
                <w:sz w:val="18"/>
                <w:w w:val="97"/>
              </w:rPr>
              <w:t>Open Acc</w:t>
            </w:r>
          </w:p>
        </w:tc>
        <w:tc>
          <w:tcPr>
            <w:tcW w:type="dxa" w:w="930"/>
          </w:tcPr>
          <w:p>
            <w:pPr>
              <w:spacing w:line="240" w:lineRule="auto"/>
              <w:jc w:val="center"/>
            </w:pPr>
            <w:r/>
            <w:r>
              <w:rPr>
                <w:rFonts w:ascii="휴먼명조" w:eastAsia="휴먼명조" w:hAnsi="휴먼명조" w:cs="휴먼명조"/>
                <w:b/>
                <w:sz w:val="18"/>
                <w:w w:val="97"/>
              </w:rPr>
              <w:t>Overall Acc</w:t>
            </w:r>
          </w:p>
        </w:tc>
        <w:tc>
          <w:tcPr>
            <w:tcW w:type="dxa" w:w="930"/>
          </w:tcPr>
          <w:p>
            <w:pPr>
              <w:spacing w:line="240" w:lineRule="auto"/>
              <w:jc w:val="center"/>
            </w:pPr>
            <w:r/>
            <w:r>
              <w:rPr>
                <w:rFonts w:ascii="휴먼명조" w:eastAsia="휴먼명조" w:hAnsi="휴먼명조" w:cs="휴먼명조"/>
                <w:b/>
                <w:sz w:val="18"/>
                <w:w w:val="97"/>
              </w:rPr>
              <w:t>BERTScore F1</w:t>
            </w:r>
          </w:p>
        </w:tc>
        <w:tc>
          <w:tcPr>
            <w:tcW w:type="dxa" w:w="930"/>
          </w:tcPr>
          <w:p>
            <w:pPr>
              <w:spacing w:line="240" w:lineRule="auto"/>
              <w:jc w:val="center"/>
            </w:pPr>
            <w:r/>
            <w:r>
              <w:rPr>
                <w:rFonts w:ascii="휴먼명조" w:eastAsia="휴먼명조" w:hAnsi="휴먼명조" w:cs="휴먼명조"/>
                <w:b/>
                <w:sz w:val="18"/>
                <w:w w:val="97"/>
              </w:rPr>
              <w:t>Response time (ms)</w:t>
            </w:r>
          </w:p>
        </w:tc>
        <w:tc>
          <w:tcPr>
            <w:tcW w:type="dxa" w:w="930"/>
          </w:tcPr>
          <w:p>
            <w:pPr>
              <w:spacing w:line="240" w:lineRule="auto"/>
              <w:jc w:val="center"/>
            </w:pPr>
            <w:r/>
            <w:r>
              <w:rPr>
                <w:rFonts w:ascii="휴먼명조" w:eastAsia="휴먼명조" w:hAnsi="휴먼명조" w:cs="휴먼명조"/>
                <w:b/>
                <w:sz w:val="18"/>
                <w:w w:val="97"/>
              </w:rPr>
              <w:t>Peak VRAM (MB)</w:t>
            </w:r>
          </w:p>
        </w:tc>
      </w:tr>
      <w:tr>
        <w:tc>
          <w:tcPr>
            <w:tcW w:type="dxa" w:w="930"/>
          </w:tcPr>
          <w:p>
            <w:pPr>
              <w:spacing w:line="240" w:lineRule="auto"/>
              <w:jc w:val="center"/>
            </w:pPr>
            <w:r/>
            <w:r>
              <w:rPr>
                <w:rFonts w:ascii="휴먼명조" w:eastAsia="휴먼명조" w:hAnsi="휴먼명조" w:cs="휴먼명조"/>
                <w:b w:val="0"/>
                <w:sz w:val="18"/>
                <w:w w:val="97"/>
              </w:rPr>
              <w:t>Gemma4-E2B</w:t>
            </w:r>
          </w:p>
        </w:tc>
        <w:tc>
          <w:tcPr>
            <w:tcW w:type="dxa" w:w="930"/>
          </w:tcPr>
          <w:p>
            <w:pPr>
              <w:spacing w:line="240" w:lineRule="auto"/>
              <w:jc w:val="center"/>
            </w:pPr>
            <w:r/>
            <w:r>
              <w:rPr>
                <w:rFonts w:ascii="휴먼명조" w:eastAsia="휴먼명조" w:hAnsi="휴먼명조" w:cs="휴먼명조"/>
                <w:b w:val="0"/>
                <w:sz w:val="18"/>
                <w:w w:val="97"/>
              </w:rPr>
              <w:t>PathVQA</w:t>
            </w:r>
          </w:p>
        </w:tc>
        <w:tc>
          <w:tcPr>
            <w:tcW w:type="dxa" w:w="930"/>
          </w:tcPr>
          <w:p>
            <w:pPr>
              <w:spacing w:line="240" w:lineRule="auto"/>
              <w:jc w:val="center"/>
            </w:pPr>
            <w:r/>
            <w:r>
              <w:rPr>
                <w:rFonts w:ascii="휴먼명조" w:eastAsia="휴먼명조" w:hAnsi="휴먼명조" w:cs="휴먼명조"/>
                <w:b w:val="0"/>
                <w:sz w:val="18"/>
                <w:w w:val="97"/>
              </w:rPr>
              <w:t>0.1633</w:t>
            </w:r>
          </w:p>
        </w:tc>
        <w:tc>
          <w:tcPr>
            <w:tcW w:type="dxa" w:w="930"/>
          </w:tcPr>
          <w:p>
            <w:pPr>
              <w:spacing w:line="240" w:lineRule="auto"/>
              <w:jc w:val="center"/>
            </w:pPr>
            <w:r/>
            <w:r>
              <w:rPr>
                <w:rFonts w:ascii="휴먼명조" w:eastAsia="휴먼명조" w:hAnsi="휴먼명조" w:cs="휴먼명조"/>
                <w:b w:val="0"/>
                <w:sz w:val="18"/>
                <w:w w:val="97"/>
              </w:rPr>
              <w:t>0.0477</w:t>
            </w:r>
          </w:p>
        </w:tc>
        <w:tc>
          <w:tcPr>
            <w:tcW w:type="dxa" w:w="930"/>
          </w:tcPr>
          <w:p>
            <w:pPr>
              <w:spacing w:line="240" w:lineRule="auto"/>
              <w:jc w:val="center"/>
            </w:pPr>
            <w:r/>
            <w:r>
              <w:rPr>
                <w:rFonts w:ascii="휴먼명조" w:eastAsia="휴먼명조" w:hAnsi="휴먼명조" w:cs="휴먼명조"/>
                <w:b/>
                <w:sz w:val="18"/>
                <w:w w:val="97"/>
              </w:rPr>
              <w:t>0.1055</w:t>
            </w:r>
          </w:p>
        </w:tc>
        <w:tc>
          <w:tcPr>
            <w:tcW w:type="dxa" w:w="930"/>
          </w:tcPr>
          <w:p>
            <w:pPr>
              <w:spacing w:line="240" w:lineRule="auto"/>
              <w:jc w:val="center"/>
            </w:pPr>
            <w:r/>
            <w:r>
              <w:rPr>
                <w:rFonts w:ascii="휴먼명조" w:eastAsia="휴먼명조" w:hAnsi="휴먼명조" w:cs="휴먼명조"/>
                <w:b w:val="0"/>
                <w:sz w:val="18"/>
                <w:w w:val="97"/>
              </w:rPr>
              <w:t>0.8069</w:t>
            </w:r>
          </w:p>
        </w:tc>
        <w:tc>
          <w:tcPr>
            <w:tcW w:type="dxa" w:w="930"/>
          </w:tcPr>
          <w:p>
            <w:pPr>
              <w:spacing w:line="240" w:lineRule="auto"/>
              <w:jc w:val="center"/>
            </w:pPr>
            <w:r/>
            <w:r>
              <w:rPr>
                <w:rFonts w:ascii="휴먼명조" w:eastAsia="휴먼명조" w:hAnsi="휴먼명조" w:cs="휴먼명조"/>
                <w:b w:val="0"/>
                <w:sz w:val="18"/>
                <w:w w:val="97"/>
              </w:rPr>
              <w:t>892.6</w:t>
            </w:r>
          </w:p>
        </w:tc>
        <w:tc>
          <w:tcPr>
            <w:tcW w:type="dxa" w:w="930"/>
          </w:tcPr>
          <w:p>
            <w:pPr>
              <w:spacing w:line="240" w:lineRule="auto"/>
              <w:jc w:val="center"/>
            </w:pPr>
            <w:r/>
            <w:r>
              <w:rPr>
                <w:rFonts w:ascii="휴먼명조" w:eastAsia="휴먼명조" w:hAnsi="휴먼명조" w:cs="휴먼명조"/>
                <w:b w:val="0"/>
                <w:sz w:val="18"/>
                <w:w w:val="97"/>
              </w:rPr>
              <w:t>13,932.7</w:t>
            </w:r>
          </w:p>
        </w:tc>
      </w:tr>
      <w:tr>
        <w:tc>
          <w:tcPr>
            <w:tcW w:type="dxa" w:w="930"/>
          </w:tcPr>
          <w:p>
            <w:pPr>
              <w:spacing w:line="240" w:lineRule="auto"/>
              <w:jc w:val="center"/>
            </w:pPr>
            <w:r/>
            <w:r>
              <w:rPr>
                <w:rFonts w:ascii="휴먼명조" w:eastAsia="휴먼명조" w:hAnsi="휴먼명조" w:cs="휴먼명조"/>
                <w:b w:val="0"/>
                <w:sz w:val="18"/>
                <w:w w:val="97"/>
              </w:rPr>
              <w:t>Gemma4-E2B</w:t>
            </w:r>
          </w:p>
        </w:tc>
        <w:tc>
          <w:tcPr>
            <w:tcW w:type="dxa" w:w="930"/>
          </w:tcPr>
          <w:p>
            <w:pPr>
              <w:spacing w:line="240" w:lineRule="auto"/>
              <w:jc w:val="center"/>
            </w:pPr>
            <w:r/>
            <w:r>
              <w:rPr>
                <w:rFonts w:ascii="휴먼명조" w:eastAsia="휴먼명조" w:hAnsi="휴먼명조" w:cs="휴먼명조"/>
                <w:b w:val="0"/>
                <w:sz w:val="18"/>
                <w:w w:val="97"/>
              </w:rPr>
              <w:t>SLAKE</w:t>
            </w:r>
          </w:p>
        </w:tc>
        <w:tc>
          <w:tcPr>
            <w:tcW w:type="dxa" w:w="930"/>
          </w:tcPr>
          <w:p>
            <w:pPr>
              <w:spacing w:line="240" w:lineRule="auto"/>
              <w:jc w:val="center"/>
            </w:pPr>
            <w:r/>
            <w:r>
              <w:rPr>
                <w:rFonts w:ascii="휴먼명조" w:eastAsia="휴먼명조" w:hAnsi="휴먼명조" w:cs="휴먼명조"/>
                <w:b w:val="0"/>
                <w:sz w:val="18"/>
                <w:w w:val="97"/>
              </w:rPr>
              <w:t>0.6394</w:t>
            </w:r>
          </w:p>
        </w:tc>
        <w:tc>
          <w:tcPr>
            <w:tcW w:type="dxa" w:w="930"/>
          </w:tcPr>
          <w:p>
            <w:pPr>
              <w:spacing w:line="240" w:lineRule="auto"/>
              <w:jc w:val="center"/>
            </w:pPr>
            <w:r/>
            <w:r>
              <w:rPr>
                <w:rFonts w:ascii="휴먼명조" w:eastAsia="휴먼명조" w:hAnsi="휴먼명조" w:cs="휴먼명조"/>
                <w:b w:val="0"/>
                <w:sz w:val="18"/>
                <w:w w:val="97"/>
              </w:rPr>
              <w:t>0.4178</w:t>
            </w:r>
          </w:p>
        </w:tc>
        <w:tc>
          <w:tcPr>
            <w:tcW w:type="dxa" w:w="930"/>
          </w:tcPr>
          <w:p>
            <w:pPr>
              <w:spacing w:line="240" w:lineRule="auto"/>
              <w:jc w:val="center"/>
            </w:pPr>
            <w:r/>
            <w:r>
              <w:rPr>
                <w:rFonts w:ascii="휴먼명조" w:eastAsia="휴먼명조" w:hAnsi="휴먼명조" w:cs="휴먼명조"/>
                <w:b/>
                <w:sz w:val="18"/>
                <w:w w:val="97"/>
              </w:rPr>
              <w:t>0.4920</w:t>
            </w:r>
          </w:p>
        </w:tc>
        <w:tc>
          <w:tcPr>
            <w:tcW w:type="dxa" w:w="930"/>
          </w:tcPr>
          <w:p>
            <w:pPr>
              <w:spacing w:line="240" w:lineRule="auto"/>
              <w:jc w:val="center"/>
            </w:pPr>
            <w:r/>
            <w:r>
              <w:rPr>
                <w:rFonts w:ascii="휴먼명조" w:eastAsia="휴먼명조" w:hAnsi="휴먼명조" w:cs="휴먼명조"/>
                <w:b w:val="0"/>
                <w:sz w:val="18"/>
                <w:w w:val="97"/>
              </w:rPr>
              <w:t>0.8679</w:t>
            </w:r>
          </w:p>
        </w:tc>
        <w:tc>
          <w:tcPr>
            <w:tcW w:type="dxa" w:w="930"/>
          </w:tcPr>
          <w:p>
            <w:pPr>
              <w:spacing w:line="240" w:lineRule="auto"/>
              <w:jc w:val="center"/>
            </w:pPr>
            <w:r/>
            <w:r>
              <w:rPr>
                <w:rFonts w:ascii="휴먼명조" w:eastAsia="휴먼명조" w:hAnsi="휴먼명조" w:cs="휴먼명조"/>
                <w:b w:val="0"/>
                <w:sz w:val="18"/>
                <w:w w:val="97"/>
              </w:rPr>
              <w:t>689.8</w:t>
            </w:r>
          </w:p>
        </w:tc>
        <w:tc>
          <w:tcPr>
            <w:tcW w:type="dxa" w:w="930"/>
          </w:tcPr>
          <w:p>
            <w:pPr>
              <w:spacing w:line="240" w:lineRule="auto"/>
              <w:jc w:val="center"/>
            </w:pPr>
            <w:r/>
            <w:r>
              <w:rPr>
                <w:rFonts w:ascii="휴먼명조" w:eastAsia="휴먼명조" w:hAnsi="휴먼명조" w:cs="휴먼명조"/>
                <w:b w:val="0"/>
                <w:sz w:val="18"/>
                <w:w w:val="97"/>
              </w:rPr>
              <w:t>13,927.3</w:t>
            </w:r>
          </w:p>
        </w:tc>
      </w:tr>
      <w:tr>
        <w:tc>
          <w:tcPr>
            <w:tcW w:type="dxa" w:w="930"/>
          </w:tcPr>
          <w:p>
            <w:pPr>
              <w:spacing w:line="240" w:lineRule="auto"/>
              <w:jc w:val="center"/>
            </w:pPr>
            <w:r/>
            <w:r>
              <w:rPr>
                <w:rFonts w:ascii="휴먼명조" w:eastAsia="휴먼명조" w:hAnsi="휴먼명조" w:cs="휴먼명조"/>
                <w:b w:val="0"/>
                <w:sz w:val="18"/>
                <w:w w:val="97"/>
              </w:rPr>
              <w:t>Gemma4-E2B</w:t>
            </w:r>
          </w:p>
        </w:tc>
        <w:tc>
          <w:tcPr>
            <w:tcW w:type="dxa" w:w="930"/>
          </w:tcPr>
          <w:p>
            <w:pPr>
              <w:spacing w:line="240" w:lineRule="auto"/>
              <w:jc w:val="center"/>
            </w:pPr>
            <w:r/>
            <w:r>
              <w:rPr>
                <w:rFonts w:ascii="휴먼명조" w:eastAsia="휴먼명조" w:hAnsi="휴먼명조" w:cs="휴먼명조"/>
                <w:b w:val="0"/>
                <w:sz w:val="18"/>
                <w:w w:val="97"/>
              </w:rPr>
              <w:t>VQA-RAD</w:t>
            </w:r>
          </w:p>
        </w:tc>
        <w:tc>
          <w:tcPr>
            <w:tcW w:type="dxa" w:w="930"/>
          </w:tcPr>
          <w:p>
            <w:pPr>
              <w:spacing w:line="240" w:lineRule="auto"/>
              <w:jc w:val="center"/>
            </w:pPr>
            <w:r/>
            <w:r>
              <w:rPr>
                <w:rFonts w:ascii="휴먼명조" w:eastAsia="휴먼명조" w:hAnsi="휴먼명조" w:cs="휴먼명조"/>
                <w:b w:val="0"/>
                <w:sz w:val="18"/>
                <w:w w:val="97"/>
              </w:rPr>
              <w:t>0.4502</w:t>
            </w:r>
          </w:p>
        </w:tc>
        <w:tc>
          <w:tcPr>
            <w:tcW w:type="dxa" w:w="930"/>
          </w:tcPr>
          <w:p>
            <w:pPr>
              <w:spacing w:line="240" w:lineRule="auto"/>
              <w:jc w:val="center"/>
            </w:pPr>
            <w:r/>
            <w:r>
              <w:rPr>
                <w:rFonts w:ascii="휴먼명조" w:eastAsia="휴먼명조" w:hAnsi="휴먼명조" w:cs="휴먼명조"/>
                <w:b w:val="0"/>
                <w:sz w:val="18"/>
                <w:w w:val="97"/>
              </w:rPr>
              <w:t>0.3100</w:t>
            </w:r>
          </w:p>
        </w:tc>
        <w:tc>
          <w:tcPr>
            <w:tcW w:type="dxa" w:w="930"/>
          </w:tcPr>
          <w:p>
            <w:pPr>
              <w:spacing w:line="240" w:lineRule="auto"/>
              <w:jc w:val="center"/>
            </w:pPr>
            <w:r/>
            <w:r>
              <w:rPr>
                <w:rFonts w:ascii="휴먼명조" w:eastAsia="휴먼명조" w:hAnsi="휴먼명조" w:cs="휴먼명조"/>
                <w:b/>
                <w:sz w:val="18"/>
                <w:w w:val="97"/>
              </w:rPr>
              <w:t>0.3880</w:t>
            </w:r>
          </w:p>
        </w:tc>
        <w:tc>
          <w:tcPr>
            <w:tcW w:type="dxa" w:w="930"/>
          </w:tcPr>
          <w:p>
            <w:pPr>
              <w:spacing w:line="240" w:lineRule="auto"/>
              <w:jc w:val="center"/>
            </w:pPr>
            <w:r/>
            <w:r>
              <w:rPr>
                <w:rFonts w:ascii="휴먼명조" w:eastAsia="휴먼명조" w:hAnsi="휴먼명조" w:cs="휴먼명조"/>
                <w:b w:val="0"/>
                <w:sz w:val="18"/>
                <w:w w:val="97"/>
              </w:rPr>
              <w:t>0.8373</w:t>
            </w:r>
          </w:p>
        </w:tc>
        <w:tc>
          <w:tcPr>
            <w:tcW w:type="dxa" w:w="930"/>
          </w:tcPr>
          <w:p>
            <w:pPr>
              <w:spacing w:line="240" w:lineRule="auto"/>
              <w:jc w:val="center"/>
            </w:pPr>
            <w:r/>
            <w:r>
              <w:rPr>
                <w:rFonts w:ascii="휴먼명조" w:eastAsia="휴먼명조" w:hAnsi="휴먼명조" w:cs="휴먼명조"/>
                <w:b w:val="0"/>
                <w:sz w:val="18"/>
                <w:w w:val="97"/>
              </w:rPr>
              <w:t>721.5</w:t>
            </w:r>
          </w:p>
        </w:tc>
        <w:tc>
          <w:tcPr>
            <w:tcW w:type="dxa" w:w="930"/>
          </w:tcPr>
          <w:p>
            <w:pPr>
              <w:spacing w:line="240" w:lineRule="auto"/>
              <w:jc w:val="center"/>
            </w:pPr>
            <w:r/>
            <w:r>
              <w:rPr>
                <w:rFonts w:ascii="휴먼명조" w:eastAsia="휴먼명조" w:hAnsi="휴먼명조" w:cs="휴먼명조"/>
                <w:b w:val="0"/>
                <w:sz w:val="18"/>
                <w:w w:val="97"/>
              </w:rPr>
              <w:t>13,929.1</w:t>
            </w:r>
          </w:p>
        </w:tc>
      </w:tr>
      <w:tr>
        <w:tc>
          <w:tcPr>
            <w:tcW w:type="dxa" w:w="930"/>
          </w:tcPr>
          <w:p>
            <w:pPr>
              <w:spacing w:line="240" w:lineRule="auto"/>
              <w:jc w:val="center"/>
            </w:pPr>
            <w:r/>
            <w:r>
              <w:rPr>
                <w:rFonts w:ascii="휴먼명조" w:eastAsia="휴먼명조" w:hAnsi="휴먼명조" w:cs="휴먼명조"/>
                <w:b w:val="0"/>
                <w:sz w:val="18"/>
                <w:w w:val="97"/>
              </w:rPr>
              <w:t>Qwen2.5-VL-3B</w:t>
            </w:r>
          </w:p>
        </w:tc>
        <w:tc>
          <w:tcPr>
            <w:tcW w:type="dxa" w:w="930"/>
          </w:tcPr>
          <w:p>
            <w:pPr>
              <w:spacing w:line="240" w:lineRule="auto"/>
              <w:jc w:val="center"/>
            </w:pPr>
            <w:r/>
            <w:r>
              <w:rPr>
                <w:rFonts w:ascii="휴먼명조" w:eastAsia="휴먼명조" w:hAnsi="휴먼명조" w:cs="휴먼명조"/>
                <w:b w:val="0"/>
                <w:sz w:val="18"/>
                <w:w w:val="97"/>
              </w:rPr>
              <w:t>PathVQA</w:t>
            </w:r>
          </w:p>
        </w:tc>
        <w:tc>
          <w:tcPr>
            <w:tcW w:type="dxa" w:w="930"/>
          </w:tcPr>
          <w:p>
            <w:pPr>
              <w:spacing w:line="240" w:lineRule="auto"/>
              <w:jc w:val="center"/>
            </w:pPr>
            <w:r/>
            <w:r>
              <w:rPr>
                <w:rFonts w:ascii="휴먼명조" w:eastAsia="휴먼명조" w:hAnsi="휴먼명조" w:cs="휴먼명조"/>
                <w:b w:val="0"/>
                <w:sz w:val="18"/>
                <w:w w:val="97"/>
              </w:rPr>
              <w:t>0.6130</w:t>
            </w:r>
          </w:p>
        </w:tc>
        <w:tc>
          <w:tcPr>
            <w:tcW w:type="dxa" w:w="930"/>
          </w:tcPr>
          <w:p>
            <w:pPr>
              <w:spacing w:line="240" w:lineRule="auto"/>
              <w:jc w:val="center"/>
            </w:pPr>
            <w:r/>
            <w:r>
              <w:rPr>
                <w:rFonts w:ascii="휴먼명조" w:eastAsia="휴먼명조" w:hAnsi="휴먼명조" w:cs="휴먼명조"/>
                <w:b w:val="0"/>
                <w:sz w:val="18"/>
                <w:w w:val="97"/>
              </w:rPr>
              <w:t>0.0354</w:t>
            </w:r>
          </w:p>
        </w:tc>
        <w:tc>
          <w:tcPr>
            <w:tcW w:type="dxa" w:w="930"/>
          </w:tcPr>
          <w:p>
            <w:pPr>
              <w:spacing w:line="240" w:lineRule="auto"/>
              <w:jc w:val="center"/>
            </w:pPr>
            <w:r/>
            <w:r>
              <w:rPr>
                <w:rFonts w:ascii="휴먼명조" w:eastAsia="휴먼명조" w:hAnsi="휴먼명조" w:cs="휴먼명조"/>
                <w:b/>
                <w:sz w:val="18"/>
                <w:w w:val="97"/>
              </w:rPr>
              <w:t>0.3245</w:t>
            </w:r>
          </w:p>
        </w:tc>
        <w:tc>
          <w:tcPr>
            <w:tcW w:type="dxa" w:w="930"/>
          </w:tcPr>
          <w:p>
            <w:pPr>
              <w:spacing w:line="240" w:lineRule="auto"/>
              <w:jc w:val="center"/>
            </w:pPr>
            <w:r/>
            <w:r>
              <w:rPr>
                <w:rFonts w:ascii="휴먼명조" w:eastAsia="휴먼명조" w:hAnsi="휴먼명조" w:cs="휴먼명조"/>
                <w:b w:val="0"/>
                <w:sz w:val="18"/>
                <w:w w:val="97"/>
              </w:rPr>
              <w:t>0.8613</w:t>
            </w:r>
          </w:p>
        </w:tc>
        <w:tc>
          <w:tcPr>
            <w:tcW w:type="dxa" w:w="930"/>
          </w:tcPr>
          <w:p>
            <w:pPr>
              <w:spacing w:line="240" w:lineRule="auto"/>
              <w:jc w:val="center"/>
            </w:pPr>
            <w:r/>
            <w:r>
              <w:rPr>
                <w:rFonts w:ascii="휴먼명조" w:eastAsia="휴먼명조" w:hAnsi="휴먼명조" w:cs="휴먼명조"/>
                <w:b w:val="0"/>
                <w:sz w:val="18"/>
                <w:w w:val="97"/>
              </w:rPr>
              <w:t>483.4</w:t>
            </w:r>
          </w:p>
        </w:tc>
        <w:tc>
          <w:tcPr>
            <w:tcW w:type="dxa" w:w="930"/>
          </w:tcPr>
          <w:p>
            <w:pPr>
              <w:spacing w:line="240" w:lineRule="auto"/>
              <w:jc w:val="center"/>
            </w:pPr>
            <w:r/>
            <w:r>
              <w:rPr>
                <w:rFonts w:ascii="휴먼명조" w:eastAsia="휴먼명조" w:hAnsi="휴먼명조" w:cs="휴먼명조"/>
                <w:b w:val="0"/>
                <w:sz w:val="18"/>
                <w:w w:val="97"/>
              </w:rPr>
              <w:t>7,581.3</w:t>
            </w:r>
          </w:p>
        </w:tc>
      </w:tr>
      <w:tr>
        <w:tc>
          <w:tcPr>
            <w:tcW w:type="dxa" w:w="930"/>
          </w:tcPr>
          <w:p>
            <w:pPr>
              <w:spacing w:line="240" w:lineRule="auto"/>
              <w:jc w:val="center"/>
            </w:pPr>
            <w:r/>
            <w:r>
              <w:rPr>
                <w:rFonts w:ascii="휴먼명조" w:eastAsia="휴먼명조" w:hAnsi="휴먼명조" w:cs="휴먼명조"/>
                <w:b w:val="0"/>
                <w:sz w:val="18"/>
                <w:w w:val="97"/>
              </w:rPr>
              <w:t>Qwen2.5-VL-3B</w:t>
            </w:r>
          </w:p>
        </w:tc>
        <w:tc>
          <w:tcPr>
            <w:tcW w:type="dxa" w:w="930"/>
          </w:tcPr>
          <w:p>
            <w:pPr>
              <w:spacing w:line="240" w:lineRule="auto"/>
              <w:jc w:val="center"/>
            </w:pPr>
            <w:r/>
            <w:r>
              <w:rPr>
                <w:rFonts w:ascii="휴먼명조" w:eastAsia="휴먼명조" w:hAnsi="휴먼명조" w:cs="휴먼명조"/>
                <w:b w:val="0"/>
                <w:sz w:val="18"/>
                <w:w w:val="97"/>
              </w:rPr>
              <w:t>SLAKE</w:t>
            </w:r>
          </w:p>
        </w:tc>
        <w:tc>
          <w:tcPr>
            <w:tcW w:type="dxa" w:w="930"/>
          </w:tcPr>
          <w:p>
            <w:pPr>
              <w:spacing w:line="240" w:lineRule="auto"/>
              <w:jc w:val="center"/>
            </w:pPr>
            <w:r/>
            <w:r>
              <w:rPr>
                <w:rFonts w:ascii="휴먼명조" w:eastAsia="휴먼명조" w:hAnsi="휴먼명조" w:cs="휴먼명조"/>
                <w:b w:val="0"/>
                <w:sz w:val="18"/>
                <w:w w:val="97"/>
              </w:rPr>
              <w:t>0.7465</w:t>
            </w:r>
          </w:p>
        </w:tc>
        <w:tc>
          <w:tcPr>
            <w:tcW w:type="dxa" w:w="930"/>
          </w:tcPr>
          <w:p>
            <w:pPr>
              <w:spacing w:line="240" w:lineRule="auto"/>
              <w:jc w:val="center"/>
            </w:pPr>
            <w:r/>
            <w:r>
              <w:rPr>
                <w:rFonts w:ascii="휴먼명조" w:eastAsia="휴먼명조" w:hAnsi="휴먼명조" w:cs="휴먼명조"/>
                <w:b w:val="0"/>
                <w:sz w:val="18"/>
                <w:w w:val="97"/>
              </w:rPr>
              <w:t>0.4632</w:t>
            </w:r>
          </w:p>
        </w:tc>
        <w:tc>
          <w:tcPr>
            <w:tcW w:type="dxa" w:w="930"/>
          </w:tcPr>
          <w:p>
            <w:pPr>
              <w:spacing w:line="240" w:lineRule="auto"/>
              <w:jc w:val="center"/>
            </w:pPr>
            <w:r/>
            <w:r>
              <w:rPr>
                <w:rFonts w:ascii="휴먼명조" w:eastAsia="휴먼명조" w:hAnsi="휴먼명조" w:cs="휴먼명조"/>
                <w:b/>
                <w:sz w:val="18"/>
                <w:w w:val="97"/>
              </w:rPr>
              <w:t>0.5580</w:t>
            </w:r>
          </w:p>
        </w:tc>
        <w:tc>
          <w:tcPr>
            <w:tcW w:type="dxa" w:w="930"/>
          </w:tcPr>
          <w:p>
            <w:pPr>
              <w:spacing w:line="240" w:lineRule="auto"/>
              <w:jc w:val="center"/>
            </w:pPr>
            <w:r/>
            <w:r>
              <w:rPr>
                <w:rFonts w:ascii="휴먼명조" w:eastAsia="휴먼명조" w:hAnsi="휴먼명조" w:cs="휴먼명조"/>
                <w:b w:val="0"/>
                <w:sz w:val="18"/>
                <w:w w:val="97"/>
              </w:rPr>
              <w:t>0.9359</w:t>
            </w:r>
          </w:p>
        </w:tc>
        <w:tc>
          <w:tcPr>
            <w:tcW w:type="dxa" w:w="930"/>
          </w:tcPr>
          <w:p>
            <w:pPr>
              <w:spacing w:line="240" w:lineRule="auto"/>
              <w:jc w:val="center"/>
            </w:pPr>
            <w:r/>
            <w:r>
              <w:rPr>
                <w:rFonts w:ascii="휴먼명조" w:eastAsia="휴먼명조" w:hAnsi="휴먼명조" w:cs="휴먼명조"/>
                <w:b w:val="0"/>
                <w:sz w:val="18"/>
                <w:w w:val="97"/>
              </w:rPr>
              <w:t>254.8</w:t>
            </w:r>
          </w:p>
        </w:tc>
        <w:tc>
          <w:tcPr>
            <w:tcW w:type="dxa" w:w="930"/>
          </w:tcPr>
          <w:p>
            <w:pPr>
              <w:spacing w:line="240" w:lineRule="auto"/>
              <w:jc w:val="center"/>
            </w:pPr>
            <w:r/>
            <w:r>
              <w:rPr>
                <w:rFonts w:ascii="휴먼명조" w:eastAsia="휴먼명조" w:hAnsi="휴먼명조" w:cs="휴먼명조"/>
                <w:b w:val="0"/>
                <w:sz w:val="18"/>
                <w:w w:val="97"/>
              </w:rPr>
              <w:t>7,561.9</w:t>
            </w:r>
          </w:p>
        </w:tc>
      </w:tr>
      <w:tr>
        <w:tc>
          <w:tcPr>
            <w:tcW w:type="dxa" w:w="930"/>
          </w:tcPr>
          <w:p>
            <w:pPr>
              <w:spacing w:line="240" w:lineRule="auto"/>
              <w:jc w:val="center"/>
            </w:pPr>
            <w:r/>
            <w:r>
              <w:rPr>
                <w:rFonts w:ascii="휴먼명조" w:eastAsia="휴먼명조" w:hAnsi="휴먼명조" w:cs="휴먼명조"/>
                <w:b w:val="0"/>
                <w:sz w:val="18"/>
                <w:w w:val="97"/>
              </w:rPr>
              <w:t>Qwen2.5-VL-3B</w:t>
            </w:r>
          </w:p>
        </w:tc>
        <w:tc>
          <w:tcPr>
            <w:tcW w:type="dxa" w:w="930"/>
          </w:tcPr>
          <w:p>
            <w:pPr>
              <w:spacing w:line="240" w:lineRule="auto"/>
              <w:jc w:val="center"/>
            </w:pPr>
            <w:r/>
            <w:r>
              <w:rPr>
                <w:rFonts w:ascii="휴먼명조" w:eastAsia="휴먼명조" w:hAnsi="휴먼명조" w:cs="휴먼명조"/>
                <w:b w:val="0"/>
                <w:sz w:val="18"/>
                <w:w w:val="97"/>
              </w:rPr>
              <w:t>VQA-RAD</w:t>
            </w:r>
          </w:p>
        </w:tc>
        <w:tc>
          <w:tcPr>
            <w:tcW w:type="dxa" w:w="930"/>
          </w:tcPr>
          <w:p>
            <w:pPr>
              <w:spacing w:line="240" w:lineRule="auto"/>
              <w:jc w:val="center"/>
            </w:pPr>
            <w:r/>
            <w:r>
              <w:rPr>
                <w:rFonts w:ascii="휴먼명조" w:eastAsia="휴먼명조" w:hAnsi="휴먼명조" w:cs="휴먼명조"/>
                <w:b w:val="0"/>
                <w:sz w:val="18"/>
                <w:w w:val="97"/>
              </w:rPr>
              <w:t>0.6614</w:t>
            </w:r>
          </w:p>
        </w:tc>
        <w:tc>
          <w:tcPr>
            <w:tcW w:type="dxa" w:w="930"/>
          </w:tcPr>
          <w:p>
            <w:pPr>
              <w:spacing w:line="240" w:lineRule="auto"/>
              <w:jc w:val="center"/>
            </w:pPr>
            <w:r/>
            <w:r>
              <w:rPr>
                <w:rFonts w:ascii="휴먼명조" w:eastAsia="휴먼명조" w:hAnsi="휴먼명조" w:cs="휴먼명조"/>
                <w:b w:val="0"/>
                <w:sz w:val="18"/>
                <w:w w:val="97"/>
              </w:rPr>
              <w:t>0.2800</w:t>
            </w:r>
          </w:p>
        </w:tc>
        <w:tc>
          <w:tcPr>
            <w:tcW w:type="dxa" w:w="930"/>
          </w:tcPr>
          <w:p>
            <w:pPr>
              <w:spacing w:line="240" w:lineRule="auto"/>
              <w:jc w:val="center"/>
            </w:pPr>
            <w:r/>
            <w:r>
              <w:rPr>
                <w:rFonts w:ascii="휴먼명조" w:eastAsia="휴먼명조" w:hAnsi="휴먼명조" w:cs="휴먼명조"/>
                <w:b/>
                <w:sz w:val="18"/>
                <w:w w:val="97"/>
              </w:rPr>
              <w:t>0.4922</w:t>
            </w:r>
          </w:p>
        </w:tc>
        <w:tc>
          <w:tcPr>
            <w:tcW w:type="dxa" w:w="930"/>
          </w:tcPr>
          <w:p>
            <w:pPr>
              <w:spacing w:line="240" w:lineRule="auto"/>
              <w:jc w:val="center"/>
            </w:pPr>
            <w:r/>
            <w:r>
              <w:rPr>
                <w:rFonts w:ascii="휴먼명조" w:eastAsia="휴먼명조" w:hAnsi="휴먼명조" w:cs="휴먼명조"/>
                <w:b w:val="0"/>
                <w:sz w:val="18"/>
                <w:w w:val="97"/>
              </w:rPr>
              <w:t>0.8886</w:t>
            </w:r>
          </w:p>
        </w:tc>
        <w:tc>
          <w:tcPr>
            <w:tcW w:type="dxa" w:w="930"/>
          </w:tcPr>
          <w:p>
            <w:pPr>
              <w:spacing w:line="240" w:lineRule="auto"/>
              <w:jc w:val="center"/>
            </w:pPr>
            <w:r/>
            <w:r>
              <w:rPr>
                <w:rFonts w:ascii="휴먼명조" w:eastAsia="휴먼명조" w:hAnsi="휴먼명조" w:cs="휴먼명조"/>
                <w:b w:val="0"/>
                <w:sz w:val="18"/>
                <w:w w:val="97"/>
              </w:rPr>
              <w:t>310.6</w:t>
            </w:r>
          </w:p>
        </w:tc>
        <w:tc>
          <w:tcPr>
            <w:tcW w:type="dxa" w:w="930"/>
          </w:tcPr>
          <w:p>
            <w:pPr>
              <w:spacing w:line="240" w:lineRule="auto"/>
              <w:jc w:val="center"/>
            </w:pPr>
            <w:r/>
            <w:r>
              <w:rPr>
                <w:rFonts w:ascii="휴먼명조" w:eastAsia="휴먼명조" w:hAnsi="휴먼명조" w:cs="휴먼명조"/>
                <w:b w:val="0"/>
                <w:sz w:val="18"/>
                <w:w w:val="97"/>
              </w:rPr>
              <w:t>7,580.5</w:t>
            </w:r>
          </w:p>
        </w:tc>
      </w:tr>
      <w:tr>
        <w:tc>
          <w:tcPr>
            <w:tcW w:type="dxa" w:w="930"/>
          </w:tcPr>
          <w:p>
            <w:pPr>
              <w:spacing w:line="240" w:lineRule="auto"/>
              <w:jc w:val="center"/>
            </w:pPr>
            <w:r/>
            <w:r>
              <w:rPr>
                <w:rFonts w:ascii="휴먼명조" w:eastAsia="휴먼명조" w:hAnsi="휴먼명조" w:cs="휴먼명조"/>
                <w:b w:val="0"/>
                <w:sz w:val="18"/>
                <w:w w:val="97"/>
              </w:rPr>
              <w:t>Qwen3-VL-2B</w:t>
            </w:r>
          </w:p>
        </w:tc>
        <w:tc>
          <w:tcPr>
            <w:tcW w:type="dxa" w:w="930"/>
          </w:tcPr>
          <w:p>
            <w:pPr>
              <w:spacing w:line="240" w:lineRule="auto"/>
              <w:jc w:val="center"/>
            </w:pPr>
            <w:r/>
            <w:r>
              <w:rPr>
                <w:rFonts w:ascii="휴먼명조" w:eastAsia="휴먼명조" w:hAnsi="휴먼명조" w:cs="휴먼명조"/>
                <w:b w:val="0"/>
                <w:sz w:val="18"/>
                <w:w w:val="97"/>
              </w:rPr>
              <w:t>PathVQA</w:t>
            </w:r>
          </w:p>
        </w:tc>
        <w:tc>
          <w:tcPr>
            <w:tcW w:type="dxa" w:w="930"/>
          </w:tcPr>
          <w:p>
            <w:pPr>
              <w:spacing w:line="240" w:lineRule="auto"/>
              <w:jc w:val="center"/>
            </w:pPr>
            <w:r/>
            <w:r>
              <w:rPr>
                <w:rFonts w:ascii="휴먼명조" w:eastAsia="휴먼명조" w:hAnsi="휴먼명조" w:cs="휴먼명조"/>
                <w:b w:val="0"/>
                <w:sz w:val="18"/>
                <w:w w:val="97"/>
              </w:rPr>
              <w:t>0.6336</w:t>
            </w:r>
          </w:p>
        </w:tc>
        <w:tc>
          <w:tcPr>
            <w:tcW w:type="dxa" w:w="930"/>
          </w:tcPr>
          <w:p>
            <w:pPr>
              <w:spacing w:line="240" w:lineRule="auto"/>
              <w:jc w:val="center"/>
            </w:pPr>
            <w:r/>
            <w:r>
              <w:rPr>
                <w:rFonts w:ascii="휴먼명조" w:eastAsia="휴먼명조" w:hAnsi="휴먼명조" w:cs="휴먼명조"/>
                <w:b w:val="0"/>
                <w:sz w:val="18"/>
                <w:w w:val="97"/>
              </w:rPr>
              <w:t>0.0605</w:t>
            </w:r>
          </w:p>
        </w:tc>
        <w:tc>
          <w:tcPr>
            <w:tcW w:type="dxa" w:w="930"/>
          </w:tcPr>
          <w:p>
            <w:pPr>
              <w:spacing w:line="240" w:lineRule="auto"/>
              <w:jc w:val="center"/>
            </w:pPr>
            <w:r/>
            <w:r>
              <w:rPr>
                <w:rFonts w:ascii="휴먼명조" w:eastAsia="휴먼명조" w:hAnsi="휴먼명조" w:cs="휴먼명조"/>
                <w:b/>
                <w:sz w:val="18"/>
                <w:w w:val="97"/>
              </w:rPr>
              <w:t>0.3472</w:t>
            </w:r>
          </w:p>
        </w:tc>
        <w:tc>
          <w:tcPr>
            <w:tcW w:type="dxa" w:w="930"/>
          </w:tcPr>
          <w:p>
            <w:pPr>
              <w:spacing w:line="240" w:lineRule="auto"/>
              <w:jc w:val="center"/>
            </w:pPr>
            <w:r/>
            <w:r>
              <w:rPr>
                <w:rFonts w:ascii="휴먼명조" w:eastAsia="휴먼명조" w:hAnsi="휴먼명조" w:cs="휴먼명조"/>
                <w:b w:val="0"/>
                <w:sz w:val="18"/>
                <w:w w:val="97"/>
              </w:rPr>
              <w:t>0.8487</w:t>
            </w:r>
          </w:p>
        </w:tc>
        <w:tc>
          <w:tcPr>
            <w:tcW w:type="dxa" w:w="930"/>
          </w:tcPr>
          <w:p>
            <w:pPr>
              <w:spacing w:line="240" w:lineRule="auto"/>
              <w:jc w:val="center"/>
            </w:pPr>
            <w:r/>
            <w:r>
              <w:rPr>
                <w:rFonts w:ascii="휴먼명조" w:eastAsia="휴먼명조" w:hAnsi="휴먼명조" w:cs="휴먼명조"/>
                <w:b w:val="0"/>
                <w:sz w:val="18"/>
                <w:w w:val="97"/>
              </w:rPr>
              <w:t>419.1</w:t>
            </w:r>
          </w:p>
        </w:tc>
        <w:tc>
          <w:tcPr>
            <w:tcW w:type="dxa" w:w="930"/>
          </w:tcPr>
          <w:p>
            <w:pPr>
              <w:spacing w:line="240" w:lineRule="auto"/>
              <w:jc w:val="center"/>
            </w:pPr>
            <w:r/>
            <w:r>
              <w:rPr>
                <w:rFonts w:ascii="휴먼명조" w:eastAsia="휴먼명조" w:hAnsi="휴먼명조" w:cs="휴먼명조"/>
                <w:b w:val="0"/>
                <w:sz w:val="18"/>
                <w:w w:val="97"/>
              </w:rPr>
              <w:t>4,527.3</w:t>
            </w:r>
          </w:p>
        </w:tc>
      </w:tr>
      <w:tr>
        <w:tc>
          <w:tcPr>
            <w:tcW w:type="dxa" w:w="930"/>
          </w:tcPr>
          <w:p>
            <w:pPr>
              <w:spacing w:line="240" w:lineRule="auto"/>
              <w:jc w:val="center"/>
            </w:pPr>
            <w:r/>
            <w:r>
              <w:rPr>
                <w:rFonts w:ascii="휴먼명조" w:eastAsia="휴먼명조" w:hAnsi="휴먼명조" w:cs="휴먼명조"/>
                <w:b w:val="0"/>
                <w:sz w:val="18"/>
                <w:w w:val="97"/>
              </w:rPr>
              <w:t>Qwen3-VL-2B</w:t>
            </w:r>
          </w:p>
        </w:tc>
        <w:tc>
          <w:tcPr>
            <w:tcW w:type="dxa" w:w="930"/>
          </w:tcPr>
          <w:p>
            <w:pPr>
              <w:spacing w:line="240" w:lineRule="auto"/>
              <w:jc w:val="center"/>
            </w:pPr>
            <w:r/>
            <w:r>
              <w:rPr>
                <w:rFonts w:ascii="휴먼명조" w:eastAsia="휴먼명조" w:hAnsi="휴먼명조" w:cs="휴먼명조"/>
                <w:b w:val="0"/>
                <w:sz w:val="18"/>
                <w:w w:val="97"/>
              </w:rPr>
              <w:t>SLAKE</w:t>
            </w:r>
          </w:p>
        </w:tc>
        <w:tc>
          <w:tcPr>
            <w:tcW w:type="dxa" w:w="930"/>
          </w:tcPr>
          <w:p>
            <w:pPr>
              <w:spacing w:line="240" w:lineRule="auto"/>
              <w:jc w:val="center"/>
            </w:pPr>
            <w:r/>
            <w:r>
              <w:rPr>
                <w:rFonts w:ascii="휴먼명조" w:eastAsia="휴먼명조" w:hAnsi="휴먼명조" w:cs="휴먼명조"/>
                <w:b w:val="0"/>
                <w:sz w:val="18"/>
                <w:w w:val="97"/>
              </w:rPr>
              <w:t>0.7915</w:t>
            </w:r>
          </w:p>
        </w:tc>
        <w:tc>
          <w:tcPr>
            <w:tcW w:type="dxa" w:w="930"/>
          </w:tcPr>
          <w:p>
            <w:pPr>
              <w:spacing w:line="240" w:lineRule="auto"/>
              <w:jc w:val="center"/>
            </w:pPr>
            <w:r/>
            <w:r>
              <w:rPr>
                <w:rFonts w:ascii="휴먼명조" w:eastAsia="휴먼명조" w:hAnsi="휴먼명조" w:cs="휴먼명조"/>
                <w:b w:val="0"/>
                <w:sz w:val="18"/>
                <w:w w:val="97"/>
              </w:rPr>
              <w:t>0.4575</w:t>
            </w:r>
          </w:p>
        </w:tc>
        <w:tc>
          <w:tcPr>
            <w:tcW w:type="dxa" w:w="930"/>
          </w:tcPr>
          <w:p>
            <w:pPr>
              <w:spacing w:line="240" w:lineRule="auto"/>
              <w:jc w:val="center"/>
            </w:pPr>
            <w:r/>
            <w:r>
              <w:rPr>
                <w:rFonts w:ascii="휴먼명조" w:eastAsia="휴먼명조" w:hAnsi="휴먼명조" w:cs="휴먼명조"/>
                <w:b/>
                <w:sz w:val="18"/>
                <w:w w:val="97"/>
              </w:rPr>
              <w:t>0.5693</w:t>
            </w:r>
          </w:p>
        </w:tc>
        <w:tc>
          <w:tcPr>
            <w:tcW w:type="dxa" w:w="930"/>
          </w:tcPr>
          <w:p>
            <w:pPr>
              <w:spacing w:line="240" w:lineRule="auto"/>
              <w:jc w:val="center"/>
            </w:pPr>
            <w:r/>
            <w:r>
              <w:rPr>
                <w:rFonts w:ascii="휴먼명조" w:eastAsia="휴먼명조" w:hAnsi="휴먼명조" w:cs="휴먼명조"/>
                <w:b w:val="0"/>
                <w:sz w:val="18"/>
                <w:w w:val="97"/>
              </w:rPr>
              <w:t>0.9081</w:t>
            </w:r>
          </w:p>
        </w:tc>
        <w:tc>
          <w:tcPr>
            <w:tcW w:type="dxa" w:w="930"/>
          </w:tcPr>
          <w:p>
            <w:pPr>
              <w:spacing w:line="240" w:lineRule="auto"/>
              <w:jc w:val="center"/>
            </w:pPr>
            <w:r/>
            <w:r>
              <w:rPr>
                <w:rFonts w:ascii="휴먼명조" w:eastAsia="휴먼명조" w:hAnsi="휴먼명조" w:cs="휴먼명조"/>
                <w:b w:val="0"/>
                <w:sz w:val="18"/>
                <w:w w:val="97"/>
              </w:rPr>
              <w:t>344.9</w:t>
            </w:r>
          </w:p>
        </w:tc>
        <w:tc>
          <w:tcPr>
            <w:tcW w:type="dxa" w:w="930"/>
          </w:tcPr>
          <w:p>
            <w:pPr>
              <w:spacing w:line="240" w:lineRule="auto"/>
              <w:jc w:val="center"/>
            </w:pPr>
            <w:r/>
            <w:r>
              <w:rPr>
                <w:rFonts w:ascii="휴먼명조" w:eastAsia="휴먼명조" w:hAnsi="휴먼명조" w:cs="휴먼명조"/>
                <w:b w:val="0"/>
                <w:sz w:val="18"/>
                <w:w w:val="97"/>
              </w:rPr>
              <w:t>4,412.9</w:t>
            </w:r>
          </w:p>
        </w:tc>
      </w:tr>
      <w:tr>
        <w:tc>
          <w:tcPr>
            <w:tcW w:type="dxa" w:w="930"/>
          </w:tcPr>
          <w:p>
            <w:pPr>
              <w:spacing w:line="240" w:lineRule="auto"/>
              <w:jc w:val="center"/>
            </w:pPr>
            <w:r/>
            <w:r>
              <w:rPr>
                <w:rFonts w:ascii="휴먼명조" w:eastAsia="휴먼명조" w:hAnsi="휴먼명조" w:cs="휴먼명조"/>
                <w:b w:val="0"/>
                <w:sz w:val="18"/>
                <w:w w:val="97"/>
              </w:rPr>
              <w:t>Qwen3-VL-2B</w:t>
            </w:r>
          </w:p>
        </w:tc>
        <w:tc>
          <w:tcPr>
            <w:tcW w:type="dxa" w:w="930"/>
          </w:tcPr>
          <w:p>
            <w:pPr>
              <w:spacing w:line="240" w:lineRule="auto"/>
              <w:jc w:val="center"/>
            </w:pPr>
            <w:r/>
            <w:r>
              <w:rPr>
                <w:rFonts w:ascii="휴먼명조" w:eastAsia="휴먼명조" w:hAnsi="휴먼명조" w:cs="휴먼명조"/>
                <w:b w:val="0"/>
                <w:sz w:val="18"/>
                <w:w w:val="97"/>
              </w:rPr>
              <w:t>VQA-RAD</w:t>
            </w:r>
          </w:p>
        </w:tc>
        <w:tc>
          <w:tcPr>
            <w:tcW w:type="dxa" w:w="930"/>
          </w:tcPr>
          <w:p>
            <w:pPr>
              <w:spacing w:line="240" w:lineRule="auto"/>
              <w:jc w:val="center"/>
            </w:pPr>
            <w:r/>
            <w:r>
              <w:rPr>
                <w:rFonts w:ascii="휴먼명조" w:eastAsia="휴먼명조" w:hAnsi="휴먼명조" w:cs="휴먼명조"/>
                <w:b w:val="0"/>
                <w:sz w:val="18"/>
                <w:w w:val="97"/>
              </w:rPr>
              <w:t>0.7211</w:t>
            </w:r>
          </w:p>
        </w:tc>
        <w:tc>
          <w:tcPr>
            <w:tcW w:type="dxa" w:w="930"/>
          </w:tcPr>
          <w:p>
            <w:pPr>
              <w:spacing w:line="240" w:lineRule="auto"/>
              <w:jc w:val="center"/>
            </w:pPr>
            <w:r/>
            <w:r>
              <w:rPr>
                <w:rFonts w:ascii="휴먼명조" w:eastAsia="휴먼명조" w:hAnsi="휴먼명조" w:cs="휴먼명조"/>
                <w:b w:val="0"/>
                <w:sz w:val="18"/>
                <w:w w:val="97"/>
              </w:rPr>
              <w:t>0.2250</w:t>
            </w:r>
          </w:p>
        </w:tc>
        <w:tc>
          <w:tcPr>
            <w:tcW w:type="dxa" w:w="930"/>
          </w:tcPr>
          <w:p>
            <w:pPr>
              <w:spacing w:line="240" w:lineRule="auto"/>
              <w:jc w:val="center"/>
            </w:pPr>
            <w:r/>
            <w:r>
              <w:rPr>
                <w:rFonts w:ascii="휴먼명조" w:eastAsia="휴먼명조" w:hAnsi="휴먼명조" w:cs="휴먼명조"/>
                <w:b/>
                <w:sz w:val="18"/>
                <w:w w:val="97"/>
              </w:rPr>
              <w:t>0.5011</w:t>
            </w:r>
          </w:p>
        </w:tc>
        <w:tc>
          <w:tcPr>
            <w:tcW w:type="dxa" w:w="930"/>
          </w:tcPr>
          <w:p>
            <w:pPr>
              <w:spacing w:line="240" w:lineRule="auto"/>
              <w:jc w:val="center"/>
            </w:pPr>
            <w:r/>
            <w:r>
              <w:rPr>
                <w:rFonts w:ascii="휴먼명조" w:eastAsia="휴먼명조" w:hAnsi="휴먼명조" w:cs="휴먼명조"/>
                <w:b w:val="0"/>
                <w:sz w:val="18"/>
                <w:w w:val="97"/>
              </w:rPr>
              <w:t>0.8894</w:t>
            </w:r>
          </w:p>
        </w:tc>
        <w:tc>
          <w:tcPr>
            <w:tcW w:type="dxa" w:w="930"/>
          </w:tcPr>
          <w:p>
            <w:pPr>
              <w:spacing w:line="240" w:lineRule="auto"/>
              <w:jc w:val="center"/>
            </w:pPr>
            <w:r/>
            <w:r>
              <w:rPr>
                <w:rFonts w:ascii="휴먼명조" w:eastAsia="휴먼명조" w:hAnsi="휴먼명조" w:cs="휴먼명조"/>
                <w:b w:val="0"/>
                <w:sz w:val="18"/>
                <w:w w:val="97"/>
              </w:rPr>
              <w:t>245.7</w:t>
            </w:r>
          </w:p>
        </w:tc>
        <w:tc>
          <w:tcPr>
            <w:tcW w:type="dxa" w:w="930"/>
          </w:tcPr>
          <w:p>
            <w:pPr>
              <w:spacing w:line="240" w:lineRule="auto"/>
              <w:jc w:val="center"/>
            </w:pPr>
            <w:r/>
            <w:r>
              <w:rPr>
                <w:rFonts w:ascii="휴먼명조" w:eastAsia="휴먼명조" w:hAnsi="휴먼명조" w:cs="휴먼명조"/>
                <w:b w:val="0"/>
                <w:sz w:val="18"/>
                <w:w w:val="97"/>
              </w:rPr>
              <w:t>4,428.5</w:t>
            </w:r>
          </w:p>
        </w:tc>
      </w:tr>
      <w:tr>
        <w:tc>
          <w:tcPr>
            <w:tcW w:type="dxa" w:w="930"/>
          </w:tcPr>
          <w:p>
            <w:pPr>
              <w:spacing w:line="240" w:lineRule="auto"/>
              <w:jc w:val="center"/>
            </w:pPr>
            <w:r/>
            <w:r>
              <w:rPr>
                <w:rFonts w:ascii="휴먼명조" w:eastAsia="휴먼명조" w:hAnsi="휴먼명조" w:cs="휴먼명조"/>
                <w:b w:val="0"/>
                <w:sz w:val="18"/>
                <w:w w:val="97"/>
              </w:rPr>
              <w:t>SmolVLM2-2.2B</w:t>
            </w:r>
          </w:p>
        </w:tc>
        <w:tc>
          <w:tcPr>
            <w:tcW w:type="dxa" w:w="930"/>
          </w:tcPr>
          <w:p>
            <w:pPr>
              <w:spacing w:line="240" w:lineRule="auto"/>
              <w:jc w:val="center"/>
            </w:pPr>
            <w:r/>
            <w:r>
              <w:rPr>
                <w:rFonts w:ascii="휴먼명조" w:eastAsia="휴먼명조" w:hAnsi="휴먼명조" w:cs="휴먼명조"/>
                <w:b w:val="0"/>
                <w:sz w:val="18"/>
                <w:w w:val="97"/>
              </w:rPr>
              <w:t>PathVQA</w:t>
            </w:r>
          </w:p>
        </w:tc>
        <w:tc>
          <w:tcPr>
            <w:tcW w:type="dxa" w:w="930"/>
          </w:tcPr>
          <w:p>
            <w:pPr>
              <w:spacing w:line="240" w:lineRule="auto"/>
              <w:jc w:val="center"/>
            </w:pPr>
            <w:r/>
            <w:r>
              <w:rPr>
                <w:rFonts w:ascii="휴먼명조" w:eastAsia="휴먼명조" w:hAnsi="휴먼명조" w:cs="휴먼명조"/>
                <w:b w:val="0"/>
                <w:sz w:val="18"/>
                <w:w w:val="97"/>
              </w:rPr>
              <w:t>0.5892</w:t>
            </w:r>
          </w:p>
        </w:tc>
        <w:tc>
          <w:tcPr>
            <w:tcW w:type="dxa" w:w="930"/>
          </w:tcPr>
          <w:p>
            <w:pPr>
              <w:spacing w:line="240" w:lineRule="auto"/>
              <w:jc w:val="center"/>
            </w:pPr>
            <w:r/>
            <w:r>
              <w:rPr>
                <w:rFonts w:ascii="휴먼명조" w:eastAsia="휴먼명조" w:hAnsi="휴먼명조" w:cs="휴먼명조"/>
                <w:b w:val="0"/>
                <w:sz w:val="18"/>
                <w:w w:val="97"/>
              </w:rPr>
              <w:t>0.0274</w:t>
            </w:r>
          </w:p>
        </w:tc>
        <w:tc>
          <w:tcPr>
            <w:tcW w:type="dxa" w:w="930"/>
          </w:tcPr>
          <w:p>
            <w:pPr>
              <w:spacing w:line="240" w:lineRule="auto"/>
              <w:jc w:val="center"/>
            </w:pPr>
            <w:r/>
            <w:r>
              <w:rPr>
                <w:rFonts w:ascii="휴먼명조" w:eastAsia="휴먼명조" w:hAnsi="휴먼명조" w:cs="휴먼명조"/>
                <w:b/>
                <w:sz w:val="18"/>
                <w:w w:val="97"/>
              </w:rPr>
              <w:t>0.3085</w:t>
            </w:r>
          </w:p>
        </w:tc>
        <w:tc>
          <w:tcPr>
            <w:tcW w:type="dxa" w:w="930"/>
          </w:tcPr>
          <w:p>
            <w:pPr>
              <w:spacing w:line="240" w:lineRule="auto"/>
              <w:jc w:val="center"/>
            </w:pPr>
            <w:r/>
            <w:r>
              <w:rPr>
                <w:rFonts w:ascii="휴먼명조" w:eastAsia="휴먼명조" w:hAnsi="휴먼명조" w:cs="휴먼명조"/>
                <w:b w:val="0"/>
                <w:sz w:val="18"/>
                <w:w w:val="97"/>
              </w:rPr>
              <w:t>0.8557</w:t>
            </w:r>
          </w:p>
        </w:tc>
        <w:tc>
          <w:tcPr>
            <w:tcW w:type="dxa" w:w="930"/>
          </w:tcPr>
          <w:p>
            <w:pPr>
              <w:spacing w:line="240" w:lineRule="auto"/>
              <w:jc w:val="center"/>
            </w:pPr>
            <w:r/>
            <w:r>
              <w:rPr>
                <w:rFonts w:ascii="휴먼명조" w:eastAsia="휴먼명조" w:hAnsi="휴먼명조" w:cs="휴먼명조"/>
                <w:b w:val="0"/>
                <w:sz w:val="18"/>
                <w:w w:val="97"/>
              </w:rPr>
              <w:t>666.0</w:t>
            </w:r>
          </w:p>
        </w:tc>
        <w:tc>
          <w:tcPr>
            <w:tcW w:type="dxa" w:w="930"/>
          </w:tcPr>
          <w:p>
            <w:pPr>
              <w:spacing w:line="240" w:lineRule="auto"/>
              <w:jc w:val="center"/>
            </w:pPr>
            <w:r/>
            <w:r>
              <w:rPr>
                <w:rFonts w:ascii="휴먼명조" w:eastAsia="휴먼명조" w:hAnsi="휴먼명조" w:cs="휴먼명조"/>
                <w:b w:val="0"/>
                <w:sz w:val="18"/>
                <w:w w:val="97"/>
              </w:rPr>
              <w:t>6,021.3</w:t>
            </w:r>
          </w:p>
        </w:tc>
      </w:tr>
      <w:tr>
        <w:tc>
          <w:tcPr>
            <w:tcW w:type="dxa" w:w="930"/>
          </w:tcPr>
          <w:p>
            <w:pPr>
              <w:spacing w:line="240" w:lineRule="auto"/>
              <w:jc w:val="center"/>
            </w:pPr>
            <w:r/>
            <w:r>
              <w:rPr>
                <w:rFonts w:ascii="휴먼명조" w:eastAsia="휴먼명조" w:hAnsi="휴먼명조" w:cs="휴먼명조"/>
                <w:b w:val="0"/>
                <w:sz w:val="18"/>
                <w:w w:val="97"/>
              </w:rPr>
              <w:t>SmolVLM2-2.2B</w:t>
            </w:r>
          </w:p>
        </w:tc>
        <w:tc>
          <w:tcPr>
            <w:tcW w:type="dxa" w:w="930"/>
          </w:tcPr>
          <w:p>
            <w:pPr>
              <w:spacing w:line="240" w:lineRule="auto"/>
              <w:jc w:val="center"/>
            </w:pPr>
            <w:r/>
            <w:r>
              <w:rPr>
                <w:rFonts w:ascii="휴먼명조" w:eastAsia="휴먼명조" w:hAnsi="휴먼명조" w:cs="휴먼명조"/>
                <w:b w:val="0"/>
                <w:sz w:val="18"/>
                <w:w w:val="97"/>
              </w:rPr>
              <w:t>SLAKE</w:t>
            </w:r>
          </w:p>
        </w:tc>
        <w:tc>
          <w:tcPr>
            <w:tcW w:type="dxa" w:w="930"/>
          </w:tcPr>
          <w:p>
            <w:pPr>
              <w:spacing w:line="240" w:lineRule="auto"/>
              <w:jc w:val="center"/>
            </w:pPr>
            <w:r/>
            <w:r>
              <w:rPr>
                <w:rFonts w:ascii="휴먼명조" w:eastAsia="휴먼명조" w:hAnsi="휴먼명조" w:cs="휴먼명조"/>
                <w:b w:val="0"/>
                <w:sz w:val="18"/>
                <w:w w:val="97"/>
              </w:rPr>
              <w:t>0.6648</w:t>
            </w:r>
          </w:p>
        </w:tc>
        <w:tc>
          <w:tcPr>
            <w:tcW w:type="dxa" w:w="930"/>
          </w:tcPr>
          <w:p>
            <w:pPr>
              <w:spacing w:line="240" w:lineRule="auto"/>
              <w:jc w:val="center"/>
            </w:pPr>
            <w:r/>
            <w:r>
              <w:rPr>
                <w:rFonts w:ascii="휴먼명조" w:eastAsia="휴먼명조" w:hAnsi="휴먼명조" w:cs="휴먼명조"/>
                <w:b w:val="0"/>
                <w:sz w:val="18"/>
                <w:w w:val="97"/>
              </w:rPr>
              <w:t>0.3598</w:t>
            </w:r>
          </w:p>
        </w:tc>
        <w:tc>
          <w:tcPr>
            <w:tcW w:type="dxa" w:w="930"/>
          </w:tcPr>
          <w:p>
            <w:pPr>
              <w:spacing w:line="240" w:lineRule="auto"/>
              <w:jc w:val="center"/>
            </w:pPr>
            <w:r/>
            <w:r>
              <w:rPr>
                <w:rFonts w:ascii="휴먼명조" w:eastAsia="휴먼명조" w:hAnsi="휴먼명조" w:cs="휴먼명조"/>
                <w:b/>
                <w:sz w:val="18"/>
                <w:w w:val="97"/>
              </w:rPr>
              <w:t>0.4618</w:t>
            </w:r>
          </w:p>
        </w:tc>
        <w:tc>
          <w:tcPr>
            <w:tcW w:type="dxa" w:w="930"/>
          </w:tcPr>
          <w:p>
            <w:pPr>
              <w:spacing w:line="240" w:lineRule="auto"/>
              <w:jc w:val="center"/>
            </w:pPr>
            <w:r/>
            <w:r>
              <w:rPr>
                <w:rFonts w:ascii="휴먼명조" w:eastAsia="휴먼명조" w:hAnsi="휴먼명조" w:cs="휴먼명조"/>
                <w:b w:val="0"/>
                <w:sz w:val="18"/>
                <w:w w:val="97"/>
              </w:rPr>
              <w:t>0.9130</w:t>
            </w:r>
          </w:p>
        </w:tc>
        <w:tc>
          <w:tcPr>
            <w:tcW w:type="dxa" w:w="930"/>
          </w:tcPr>
          <w:p>
            <w:pPr>
              <w:spacing w:line="240" w:lineRule="auto"/>
              <w:jc w:val="center"/>
            </w:pPr>
            <w:r/>
            <w:r>
              <w:rPr>
                <w:rFonts w:ascii="휴먼명조" w:eastAsia="휴먼명조" w:hAnsi="휴먼명조" w:cs="휴먼명조"/>
                <w:b w:val="0"/>
                <w:sz w:val="18"/>
                <w:w w:val="97"/>
              </w:rPr>
              <w:t>774.7</w:t>
            </w:r>
          </w:p>
        </w:tc>
        <w:tc>
          <w:tcPr>
            <w:tcW w:type="dxa" w:w="930"/>
          </w:tcPr>
          <w:p>
            <w:pPr>
              <w:spacing w:line="240" w:lineRule="auto"/>
              <w:jc w:val="center"/>
            </w:pPr>
            <w:r/>
            <w:r>
              <w:rPr>
                <w:rFonts w:ascii="휴먼명조" w:eastAsia="휴먼명조" w:hAnsi="휴먼명조" w:cs="휴먼명조"/>
                <w:b w:val="0"/>
                <w:sz w:val="18"/>
                <w:w w:val="97"/>
              </w:rPr>
              <w:t>5,991.2</w:t>
            </w:r>
          </w:p>
        </w:tc>
      </w:tr>
      <w:tr>
        <w:tc>
          <w:tcPr>
            <w:tcW w:type="dxa" w:w="930"/>
          </w:tcPr>
          <w:p>
            <w:pPr>
              <w:spacing w:line="240" w:lineRule="auto"/>
              <w:jc w:val="center"/>
            </w:pPr>
            <w:r/>
            <w:r>
              <w:rPr>
                <w:rFonts w:ascii="휴먼명조" w:eastAsia="휴먼명조" w:hAnsi="휴먼명조" w:cs="휴먼명조"/>
                <w:b w:val="0"/>
                <w:sz w:val="18"/>
                <w:w w:val="97"/>
              </w:rPr>
              <w:t>SmolVLM2-2.2B</w:t>
            </w:r>
          </w:p>
        </w:tc>
        <w:tc>
          <w:tcPr>
            <w:tcW w:type="dxa" w:w="930"/>
          </w:tcPr>
          <w:p>
            <w:pPr>
              <w:spacing w:line="240" w:lineRule="auto"/>
              <w:jc w:val="center"/>
            </w:pPr>
            <w:r/>
            <w:r>
              <w:rPr>
                <w:rFonts w:ascii="휴먼명조" w:eastAsia="휴먼명조" w:hAnsi="휴먼명조" w:cs="휴먼명조"/>
                <w:b w:val="0"/>
                <w:sz w:val="18"/>
                <w:w w:val="97"/>
              </w:rPr>
              <w:t>VQA-RAD</w:t>
            </w:r>
          </w:p>
        </w:tc>
        <w:tc>
          <w:tcPr>
            <w:tcW w:type="dxa" w:w="930"/>
          </w:tcPr>
          <w:p>
            <w:pPr>
              <w:spacing w:line="240" w:lineRule="auto"/>
              <w:jc w:val="center"/>
            </w:pPr>
            <w:r/>
            <w:r>
              <w:rPr>
                <w:rFonts w:ascii="휴먼명조" w:eastAsia="휴먼명조" w:hAnsi="휴먼명조" w:cs="휴먼명조"/>
                <w:b w:val="0"/>
                <w:sz w:val="18"/>
                <w:w w:val="97"/>
              </w:rPr>
              <w:t>0.6574</w:t>
            </w:r>
          </w:p>
        </w:tc>
        <w:tc>
          <w:tcPr>
            <w:tcW w:type="dxa" w:w="930"/>
          </w:tcPr>
          <w:p>
            <w:pPr>
              <w:spacing w:line="240" w:lineRule="auto"/>
              <w:jc w:val="center"/>
            </w:pPr>
            <w:r/>
            <w:r>
              <w:rPr>
                <w:rFonts w:ascii="휴먼명조" w:eastAsia="휴먼명조" w:hAnsi="휴먼명조" w:cs="휴먼명조"/>
                <w:b w:val="0"/>
                <w:sz w:val="18"/>
                <w:w w:val="97"/>
              </w:rPr>
              <w:t>0.3150</w:t>
            </w:r>
          </w:p>
        </w:tc>
        <w:tc>
          <w:tcPr>
            <w:tcW w:type="dxa" w:w="930"/>
          </w:tcPr>
          <w:p>
            <w:pPr>
              <w:spacing w:line="240" w:lineRule="auto"/>
              <w:jc w:val="center"/>
            </w:pPr>
            <w:r/>
            <w:r>
              <w:rPr>
                <w:rFonts w:ascii="휴먼명조" w:eastAsia="휴먼명조" w:hAnsi="휴먼명조" w:cs="휴먼명조"/>
                <w:b/>
                <w:sz w:val="18"/>
                <w:w w:val="97"/>
              </w:rPr>
              <w:t>0.5055</w:t>
            </w:r>
          </w:p>
        </w:tc>
        <w:tc>
          <w:tcPr>
            <w:tcW w:type="dxa" w:w="930"/>
          </w:tcPr>
          <w:p>
            <w:pPr>
              <w:spacing w:line="240" w:lineRule="auto"/>
              <w:jc w:val="center"/>
            </w:pPr>
            <w:r/>
            <w:r>
              <w:rPr>
                <w:rFonts w:ascii="휴먼명조" w:eastAsia="휴먼명조" w:hAnsi="휴먼명조" w:cs="휴먼명조"/>
                <w:b w:val="0"/>
                <w:sz w:val="18"/>
                <w:w w:val="97"/>
              </w:rPr>
              <w:t>0.9029</w:t>
            </w:r>
          </w:p>
        </w:tc>
        <w:tc>
          <w:tcPr>
            <w:tcW w:type="dxa" w:w="930"/>
          </w:tcPr>
          <w:p>
            <w:pPr>
              <w:spacing w:line="240" w:lineRule="auto"/>
              <w:jc w:val="center"/>
            </w:pPr>
            <w:r/>
            <w:r>
              <w:rPr>
                <w:rFonts w:ascii="휴먼명조" w:eastAsia="휴먼명조" w:hAnsi="휴먼명조" w:cs="휴먼명조"/>
                <w:b w:val="0"/>
                <w:sz w:val="18"/>
                <w:w w:val="97"/>
              </w:rPr>
              <w:t>756.7</w:t>
            </w:r>
          </w:p>
        </w:tc>
        <w:tc>
          <w:tcPr>
            <w:tcW w:type="dxa" w:w="930"/>
          </w:tcPr>
          <w:p>
            <w:pPr>
              <w:spacing w:line="240" w:lineRule="auto"/>
              <w:jc w:val="center"/>
            </w:pPr>
            <w:r/>
            <w:r>
              <w:rPr>
                <w:rFonts w:ascii="휴먼명조" w:eastAsia="휴먼명조" w:hAnsi="휴먼명조" w:cs="휴먼명조"/>
                <w:b w:val="0"/>
                <w:sz w:val="18"/>
                <w:w w:val="97"/>
              </w:rPr>
              <w:t>5,996.2</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Overall Acc denotes accuracy computed over closed-ended and open-ended items combined. Open items are scored by BERTScore (roberta-large backbone, threshold method) and closed items by exact string match against the gold answer.</w:t>
      </w:r>
    </w:p>
    <w:p>
      <w:pPr>
        <w:spacing w:line="384" w:lineRule="auto" w:after="0"/>
        <w:ind w:firstLine="220"/>
        <w:jc w:val="both"/>
      </w:pPr>
      <w:r>
        <w:rPr>
          <w:rFonts w:ascii="휴먼명조" w:eastAsia="휴먼명조" w:hAnsi="휴먼명조" w:cs="휴먼명조"/>
          <w:b w:val="0"/>
          <w:sz w:val="22"/>
          <w:w w:val="97"/>
        </w:rPr>
        <w:t>On pooled accuracy across all datasets, the performance of the four models is as follows (n = 8,231, the total number of items across the three datasets).</w:t>
      </w:r>
    </w:p>
    <w:p>
      <w:pPr>
        <w:pStyle w:val="표캡션"/>
        <w:spacing w:line="384" w:lineRule="auto" w:after="0"/>
        <w:jc w:val="center"/>
      </w:pPr>
      <w:r>
        <w:rPr>
          <w:rFonts w:ascii="휴먼명조" w:eastAsia="휴먼명조" w:hAnsi="휴먼명조" w:cs="휴먼명조"/>
          <w:b/>
          <w:sz w:val="22"/>
          <w:w w:val="97"/>
        </w:rPr>
        <w:t>Table 4.1a. Pooled accuracy and statistical tests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Rank</w:t>
            </w:r>
          </w:p>
        </w:tc>
        <w:tc>
          <w:tcPr>
            <w:tcW w:type="dxa" w:w="1859"/>
          </w:tcPr>
          <w:p>
            <w:pPr>
              <w:spacing w:line="240" w:lineRule="auto"/>
              <w:jc w:val="center"/>
            </w:pPr>
            <w:r/>
            <w:r>
              <w:rPr>
                <w:rFonts w:ascii="휴먼명조" w:eastAsia="휴먼명조" w:hAnsi="휴먼명조" w:cs="휴먼명조"/>
                <w:b/>
                <w:sz w:val="18"/>
                <w:w w:val="97"/>
              </w:rPr>
              <w:t>Model</w:t>
            </w:r>
          </w:p>
        </w:tc>
        <w:tc>
          <w:tcPr>
            <w:tcW w:type="dxa" w:w="1859"/>
          </w:tcPr>
          <w:p>
            <w:pPr>
              <w:spacing w:line="240" w:lineRule="auto"/>
              <w:jc w:val="center"/>
            </w:pPr>
            <w:r/>
            <w:r>
              <w:rPr>
                <w:rFonts w:ascii="휴먼명조" w:eastAsia="휴먼명조" w:hAnsi="휴먼명조" w:cs="휴먼명조"/>
                <w:b/>
                <w:sz w:val="18"/>
                <w:w w:val="97"/>
              </w:rPr>
              <w:t>Pooled Overall Acc</w:t>
            </w:r>
          </w:p>
        </w:tc>
        <w:tc>
          <w:tcPr>
            <w:tcW w:type="dxa" w:w="1859"/>
          </w:tcPr>
          <w:p>
            <w:pPr>
              <w:spacing w:line="240" w:lineRule="auto"/>
              <w:jc w:val="center"/>
            </w:pPr>
            <w:r/>
            <w:r>
              <w:rPr>
                <w:rFonts w:ascii="휴먼명조" w:eastAsia="휴먼명조" w:hAnsi="휴먼명조" w:cs="휴먼명조"/>
                <w:b/>
                <w:sz w:val="18"/>
                <w:w w:val="97"/>
              </w:rPr>
              <w:t>95% CI</w:t>
            </w:r>
          </w:p>
        </w:tc>
      </w:tr>
      <w:tr>
        <w:tc>
          <w:tcPr>
            <w:tcW w:type="dxa" w:w="1859"/>
          </w:tcPr>
          <w:p>
            <w:pPr>
              <w:spacing w:line="240" w:lineRule="auto"/>
              <w:jc w:val="center"/>
            </w:pPr>
            <w:r/>
            <w:r>
              <w:rPr>
                <w:rFonts w:ascii="휴먼명조" w:eastAsia="휴먼명조" w:hAnsi="휴먼명조" w:cs="휴먼명조"/>
                <w:b w:val="0"/>
                <w:sz w:val="18"/>
                <w:w w:val="97"/>
              </w:rPr>
              <w:t>1</w:t>
            </w:r>
          </w:p>
        </w:tc>
        <w:tc>
          <w:tcPr>
            <w:tcW w:type="dxa" w:w="1859"/>
          </w:tcPr>
          <w:p>
            <w:pPr>
              <w:spacing w:line="240" w:lineRule="auto"/>
              <w:jc w:val="center"/>
            </w:pPr>
            <w:r/>
            <w:r>
              <w:rPr>
                <w:rFonts w:ascii="휴먼명조" w:eastAsia="휴먼명조" w:hAnsi="휴먼명조" w:cs="휴먼명조"/>
                <w:b/>
                <w:sz w:val="18"/>
                <w:w w:val="97"/>
              </w:rPr>
              <w:t>Qwen3-VL-2B</w:t>
            </w:r>
          </w:p>
        </w:tc>
        <w:tc>
          <w:tcPr>
            <w:tcW w:type="dxa" w:w="1859"/>
          </w:tcPr>
          <w:p>
            <w:pPr>
              <w:spacing w:line="240" w:lineRule="auto"/>
              <w:jc w:val="center"/>
            </w:pPr>
            <w:r/>
            <w:r>
              <w:rPr>
                <w:rFonts w:ascii="휴먼명조" w:eastAsia="휴먼명조" w:hAnsi="휴먼명조" w:cs="휴먼명조"/>
                <w:b/>
                <w:sz w:val="18"/>
                <w:w w:val="97"/>
              </w:rPr>
              <w:t>0.3843</w:t>
            </w:r>
          </w:p>
        </w:tc>
        <w:tc>
          <w:tcPr>
            <w:tcW w:type="dxa" w:w="1859"/>
          </w:tcPr>
          <w:p>
            <w:pPr>
              <w:spacing w:line="240" w:lineRule="auto"/>
              <w:jc w:val="center"/>
            </w:pPr>
            <w:r/>
            <w:r>
              <w:rPr>
                <w:rFonts w:ascii="휴먼명조" w:eastAsia="휴먼명조" w:hAnsi="휴먼명조" w:cs="휴먼명조"/>
                <w:b w:val="0"/>
                <w:sz w:val="18"/>
                <w:w w:val="97"/>
              </w:rPr>
              <w:t>[0.3740, 0.3947]</w:t>
            </w:r>
          </w:p>
        </w:tc>
      </w:tr>
      <w:tr>
        <w:tc>
          <w:tcPr>
            <w:tcW w:type="dxa" w:w="1859"/>
          </w:tcPr>
          <w:p>
            <w:pPr>
              <w:spacing w:line="240" w:lineRule="auto"/>
              <w:jc w:val="center"/>
            </w:pPr>
            <w:r/>
            <w:r>
              <w:rPr>
                <w:rFonts w:ascii="휴먼명조" w:eastAsia="휴먼명조" w:hAnsi="휴먼명조" w:cs="휴먼명조"/>
                <w:b w:val="0"/>
                <w:sz w:val="18"/>
                <w:w w:val="97"/>
              </w:rPr>
              <w:t>2</w:t>
            </w:r>
          </w:p>
        </w:tc>
        <w:tc>
          <w:tcPr>
            <w:tcW w:type="dxa" w:w="1859"/>
          </w:tcPr>
          <w:p>
            <w:pPr>
              <w:spacing w:line="240" w:lineRule="auto"/>
              <w:jc w:val="center"/>
            </w:pPr>
            <w:r/>
            <w:r>
              <w:rPr>
                <w:rFonts w:ascii="휴먼명조" w:eastAsia="휴먼명조" w:hAnsi="휴먼명조" w:cs="휴먼명조"/>
                <w:b w:val="0"/>
                <w:sz w:val="18"/>
                <w:w w:val="97"/>
              </w:rPr>
              <w:t>Qwen2.5-VL-3B</w:t>
            </w:r>
          </w:p>
        </w:tc>
        <w:tc>
          <w:tcPr>
            <w:tcW w:type="dxa" w:w="1859"/>
          </w:tcPr>
          <w:p>
            <w:pPr>
              <w:spacing w:line="240" w:lineRule="auto"/>
              <w:jc w:val="center"/>
            </w:pPr>
            <w:r/>
            <w:r>
              <w:rPr>
                <w:rFonts w:ascii="휴먼명조" w:eastAsia="휴먼명조" w:hAnsi="휴먼명조" w:cs="휴먼명조"/>
                <w:b w:val="0"/>
                <w:sz w:val="18"/>
                <w:w w:val="97"/>
              </w:rPr>
              <w:t>0.3637</w:t>
            </w:r>
          </w:p>
        </w:tc>
        <w:tc>
          <w:tcPr>
            <w:tcW w:type="dxa" w:w="1859"/>
          </w:tcPr>
          <w:p>
            <w:pPr>
              <w:spacing w:line="240" w:lineRule="auto"/>
              <w:jc w:val="center"/>
            </w:pPr>
            <w:r/>
            <w:r>
              <w:rPr>
                <w:rFonts w:ascii="휴먼명조" w:eastAsia="휴먼명조" w:hAnsi="휴먼명조" w:cs="휴먼명조"/>
                <w:b w:val="0"/>
                <w:sz w:val="18"/>
                <w:w w:val="97"/>
              </w:rPr>
              <w:t>[0.3533, 0.3740]</w:t>
            </w:r>
          </w:p>
        </w:tc>
      </w:tr>
      <w:tr>
        <w:tc>
          <w:tcPr>
            <w:tcW w:type="dxa" w:w="1859"/>
          </w:tcPr>
          <w:p>
            <w:pPr>
              <w:spacing w:line="240" w:lineRule="auto"/>
              <w:jc w:val="center"/>
            </w:pPr>
            <w:r/>
            <w:r>
              <w:rPr>
                <w:rFonts w:ascii="휴먼명조" w:eastAsia="휴먼명조" w:hAnsi="휴먼명조" w:cs="휴먼명조"/>
                <w:b w:val="0"/>
                <w:sz w:val="18"/>
                <w:w w:val="97"/>
              </w:rPr>
              <w:t>3</w:t>
            </w:r>
          </w:p>
        </w:tc>
        <w:tc>
          <w:tcPr>
            <w:tcW w:type="dxa" w:w="1859"/>
          </w:tcPr>
          <w:p>
            <w:pPr>
              <w:spacing w:line="240" w:lineRule="auto"/>
              <w:jc w:val="center"/>
            </w:pPr>
            <w:r/>
            <w:r>
              <w:rPr>
                <w:rFonts w:ascii="휴먼명조" w:eastAsia="휴먼명조" w:hAnsi="휴먼명조" w:cs="휴먼명조"/>
                <w:b w:val="0"/>
                <w:sz w:val="18"/>
                <w:w w:val="97"/>
              </w:rPr>
              <w:t>SmolVLM2-2.2B</w:t>
            </w:r>
          </w:p>
        </w:tc>
        <w:tc>
          <w:tcPr>
            <w:tcW w:type="dxa" w:w="1859"/>
          </w:tcPr>
          <w:p>
            <w:pPr>
              <w:spacing w:line="240" w:lineRule="auto"/>
              <w:jc w:val="center"/>
            </w:pPr>
            <w:r/>
            <w:r>
              <w:rPr>
                <w:rFonts w:ascii="휴먼명조" w:eastAsia="휴먼명조" w:hAnsi="휴먼명조" w:cs="휴먼명조"/>
                <w:b w:val="0"/>
                <w:sz w:val="18"/>
                <w:w w:val="97"/>
              </w:rPr>
              <w:t>0.3391</w:t>
            </w:r>
          </w:p>
        </w:tc>
        <w:tc>
          <w:tcPr>
            <w:tcW w:type="dxa" w:w="1859"/>
          </w:tcPr>
          <w:p>
            <w:pPr>
              <w:spacing w:line="240" w:lineRule="auto"/>
              <w:jc w:val="center"/>
            </w:pPr>
            <w:r/>
            <w:r>
              <w:rPr>
                <w:rFonts w:ascii="휴먼명조" w:eastAsia="휴먼명조" w:hAnsi="휴먼명조" w:cs="휴먼명조"/>
                <w:b w:val="0"/>
                <w:sz w:val="18"/>
                <w:w w:val="97"/>
              </w:rPr>
              <w:t>[0.3289, 0.3495]</w:t>
            </w:r>
          </w:p>
        </w:tc>
      </w:tr>
      <w:tr>
        <w:tc>
          <w:tcPr>
            <w:tcW w:type="dxa" w:w="1859"/>
          </w:tcPr>
          <w:p>
            <w:pPr>
              <w:spacing w:line="240" w:lineRule="auto"/>
              <w:jc w:val="center"/>
            </w:pPr>
            <w:r/>
            <w:r>
              <w:rPr>
                <w:rFonts w:ascii="휴먼명조" w:eastAsia="휴먼명조" w:hAnsi="휴먼명조" w:cs="휴먼명조"/>
                <w:b w:val="0"/>
                <w:sz w:val="18"/>
                <w:w w:val="97"/>
              </w:rPr>
              <w:t>4</w:t>
            </w:r>
          </w:p>
        </w:tc>
        <w:tc>
          <w:tcPr>
            <w:tcW w:type="dxa" w:w="1859"/>
          </w:tcPr>
          <w:p>
            <w:pPr>
              <w:spacing w:line="240" w:lineRule="auto"/>
              <w:jc w:val="center"/>
            </w:pPr>
            <w:r/>
            <w:r>
              <w:rPr>
                <w:rFonts w:ascii="휴먼명조" w:eastAsia="휴먼명조" w:hAnsi="휴먼명조" w:cs="휴먼명조"/>
                <w:b w:val="0"/>
                <w:sz w:val="18"/>
                <w:w w:val="97"/>
              </w:rPr>
              <w:t>Gemma4-E2B</w:t>
            </w:r>
          </w:p>
        </w:tc>
        <w:tc>
          <w:tcPr>
            <w:tcW w:type="dxa" w:w="1859"/>
          </w:tcPr>
          <w:p>
            <w:pPr>
              <w:spacing w:line="240" w:lineRule="auto"/>
              <w:jc w:val="center"/>
            </w:pPr>
            <w:r/>
            <w:r>
              <w:rPr>
                <w:rFonts w:ascii="휴먼명조" w:eastAsia="휴먼명조" w:hAnsi="휴먼명조" w:cs="휴먼명조"/>
                <w:b w:val="0"/>
                <w:sz w:val="18"/>
                <w:w w:val="97"/>
              </w:rPr>
              <w:t>0.1708</w:t>
            </w:r>
          </w:p>
        </w:tc>
        <w:tc>
          <w:tcPr>
            <w:tcW w:type="dxa" w:w="1859"/>
          </w:tcPr>
          <w:p>
            <w:pPr>
              <w:spacing w:line="240" w:lineRule="auto"/>
              <w:jc w:val="center"/>
            </w:pPr>
            <w:r/>
            <w:r>
              <w:rPr>
                <w:rFonts w:ascii="휴먼명조" w:eastAsia="휴먼명조" w:hAnsi="휴먼명조" w:cs="휴먼명조"/>
                <w:b w:val="0"/>
                <w:sz w:val="18"/>
                <w:w w:val="97"/>
              </w:rPr>
              <w:t>[0.1627, 0.1790]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Cochran's Q test showed that the correctness patterns of the four models differ significantly on a pooled basis (Q = 1904.28, df = 3, p &lt; .001). Testing each dataset individually, all three were also significant (PathVQA: Q = 2067.08, p &lt; .001 / SLAKE: Q = 71.34, p &lt; .001 / VQA-RAD: Q = 27.18, p &lt; .001).</w:t>
      </w:r>
    </w:p>
    <w:p>
      <w:pPr>
        <w:spacing w:line="384" w:lineRule="auto" w:after="0"/>
        <w:ind w:firstLine="220"/>
        <w:jc w:val="both"/>
      </w:pPr>
      <w:r>
        <w:rPr>
          <w:rFonts w:ascii="휴먼명조" w:eastAsia="휴먼명조" w:hAnsi="휴먼명조" w:cs="휴먼명조"/>
          <w:b w:val="0"/>
          <w:sz w:val="22"/>
          <w:w w:val="97"/>
        </w:rPr>
        <w:t xml:space="preserve">In pairwise McNemar post-hoc tests with Bonferroni correction, </w:t>
      </w:r>
      <w:r>
        <w:rPr>
          <w:rFonts w:ascii="휴먼명조" w:eastAsia="휴먼명조" w:hAnsi="휴먼명조" w:cs="휴먼명조"/>
          <w:b/>
          <w:sz w:val="22"/>
          <w:w w:val="97"/>
        </w:rPr>
        <w:t>Gemma4-E2B performed significantly worse than all three other models on the pooled basis and on the PathVQA and VQA-RAD datasets individually</w:t>
      </w:r>
      <w:r>
        <w:rPr>
          <w:rFonts w:ascii="휴먼명조" w:eastAsia="휴먼명조" w:hAnsi="휴먼명조" w:cs="휴먼명조"/>
          <w:b w:val="0"/>
          <w:sz w:val="22"/>
          <w:w w:val="97"/>
        </w:rPr>
        <w:t xml:space="preserve"> (all such comparisons p(adj) &lt; .005). SLAKE was an exception, where the difference between Gemma4-E2B and SmolVLM2-2.2B was not significant (0.492 vs 0.462, p(adj) = 0.326) — Gemma4-E2B performs relatively better on SLAKE than on the other two datasets, so this single pair is not statistically separable. Significance also varied by dataset among the three top models (Qwen2.5-VL-3B, Qwen3-VL-2B, SmolVLM2-2.2B): all three differed significantly from one another on the pooled basis (p(adj) &lt; .001), yet on SLAKE and VQA-RAD individually the difference between Qwen2.5-VL-3B and Qwen3-VL-2B was not significant (p(adj) = 1 in both cases). In short, </w:t>
      </w:r>
      <w:r>
        <w:rPr>
          <w:rFonts w:ascii="휴먼명조" w:eastAsia="휴먼명조" w:hAnsi="휴먼명조" w:cs="휴먼명조"/>
          <w:b/>
          <w:sz w:val="22"/>
          <w:w w:val="97"/>
        </w:rPr>
        <w:t>Qwen3-VL-2B is the best model on pooled accuracy, but it is close enough to Qwen2.5-VL-3B that the two are not statistically separable on some datasets.</w:t>
      </w:r>
    </w:p>
    <w:p>
      <w:pPr>
        <w:spacing w:line="384" w:lineRule="auto" w:after="0"/>
        <w:ind w:firstLine="220"/>
        <w:jc w:val="both"/>
      </w:pPr>
      <w:r>
        <w:rPr>
          <w:rFonts w:ascii="휴먼명조" w:eastAsia="휴먼명조" w:hAnsi="휴먼명조" w:cs="휴먼명조"/>
          <w:b/>
          <w:sz w:val="22"/>
          <w:w w:val="97"/>
        </w:rPr>
        <w:t>Contamination robustness verification</w:t>
      </w:r>
      <w:r>
        <w:rPr>
          <w:rFonts w:ascii="휴먼명조" w:eastAsia="휴먼명조" w:hAnsi="휴먼명조" w:cs="휴먼명조"/>
          <w:b w:val="0"/>
          <w:sz w:val="22"/>
          <w:w w:val="97"/>
        </w:rPr>
        <w:t xml:space="preserve">: Samples suspected of pretraining exposure — identified by the Phase 1.5 Min-K% Probability analysis (K = 20%, outliers in the top 5% within each dataset; 1,020 for PathVQA, 233 for SLAKE, and 73 for VQA-RAD, taken as the union across the four models) — were removed and the same tests were re-run. Cochran's Q remained significant on all three datasets, and </w:t>
      </w:r>
      <w:r>
        <w:rPr>
          <w:rFonts w:ascii="휴먼명조" w:eastAsia="휴먼명조" w:hAnsi="휴먼명조" w:cs="휴먼명조"/>
          <w:b/>
          <w:sz w:val="22"/>
          <w:w w:val="97"/>
        </w:rPr>
        <w:t>the pooled model ranking and the best model (Qwen3-VL-2B) were preserved</w:t>
      </w:r>
      <w:r>
        <w:rPr>
          <w:rFonts w:ascii="휴먼명조" w:eastAsia="휴먼명조" w:hAnsi="휴먼명조" w:cs="휴먼명조"/>
          <w:b w:val="0"/>
          <w:sz w:val="22"/>
          <w:w w:val="97"/>
        </w:rPr>
        <w:t xml:space="preserve"> (original 0.3849 → reduced set 0.3041: absolute accuracy falls but the ranking is unchanged). The conclusions of this section are therefore robust to potential data contamination (details: results/phase1_baseline/phase1_robustness.md).</w:t>
      </w:r>
    </w:p>
    <w:p>
      <w:pPr>
        <w:spacing w:line="384" w:lineRule="auto" w:after="0"/>
        <w:jc w:val="left"/>
        <w:outlineLvl w:val="2"/>
      </w:pPr>
      <w:r>
        <w:rPr>
          <w:rFonts w:ascii="휴먼명조" w:eastAsia="휴먼명조" w:hAnsi="휴먼명조" w:cs="휴먼명조"/>
          <w:b/>
          <w:sz w:val="22"/>
          <w:w w:val="97"/>
        </w:rPr>
        <w:t>4.1.2 Analysis of Dataset Difficulty</w:t>
      </w:r>
    </w:p>
    <w:p>
      <w:pPr>
        <w:spacing w:line="384" w:lineRule="auto" w:after="0"/>
        <w:ind w:firstLine="220"/>
        <w:jc w:val="both"/>
      </w:pPr>
      <w:r>
        <w:rPr>
          <w:rFonts w:ascii="휴먼명조" w:eastAsia="휴먼명조" w:hAnsi="휴먼명조" w:cs="휴먼명조"/>
          <w:b w:val="0"/>
          <w:sz w:val="22"/>
          <w:w w:val="97"/>
        </w:rPr>
        <w:t xml:space="preserve">The difficulty of the three datasets follows a clear order independent of the model. Comparing the mean Overall Acc of the four models by dataset gives </w:t>
      </w:r>
      <w:r>
        <w:rPr>
          <w:rFonts w:ascii="휴먼명조" w:eastAsia="휴먼명조" w:hAnsi="휴먼명조" w:cs="휴먼명조"/>
          <w:b/>
          <w:sz w:val="22"/>
          <w:w w:val="97"/>
        </w:rPr>
        <w:t>PathVQA (mean 0.271) &lt; VQA-RAD (mean 0.472) &lt; SLAKE (mean 0.520)</w:t>
      </w:r>
      <w:r>
        <w:rPr>
          <w:rFonts w:ascii="휴먼명조" w:eastAsia="휴먼명조" w:hAnsi="휴먼명조" w:cs="휴먼명조"/>
          <w:b w:val="0"/>
          <w:sz w:val="22"/>
          <w:w w:val="97"/>
        </w:rPr>
        <w:t>, so PathVQA is markedly harder than the other two.</w:t>
      </w:r>
    </w:p>
    <w:p>
      <w:pPr>
        <w:spacing w:line="384" w:lineRule="auto" w:after="0"/>
        <w:ind w:firstLine="220"/>
        <w:jc w:val="both"/>
      </w:pPr>
      <w:r>
        <w:rPr>
          <w:rFonts w:ascii="휴먼명조" w:eastAsia="휴먼명조" w:hAnsi="휴먼명조" w:cs="휴먼명조"/>
          <w:b w:val="0"/>
          <w:sz w:val="22"/>
          <w:w w:val="97"/>
        </w:rPr>
        <w:t xml:space="preserve">This gap is especially pronounced on </w:t>
      </w:r>
      <w:r>
        <w:rPr>
          <w:rFonts w:ascii="휴먼명조" w:eastAsia="휴먼명조" w:hAnsi="휴먼명조" w:cs="휴먼명조"/>
          <w:b/>
          <w:sz w:val="22"/>
          <w:w w:val="97"/>
        </w:rPr>
        <w:t>open-ended items</w:t>
      </w:r>
      <w:r>
        <w:rPr>
          <w:rFonts w:ascii="휴먼명조" w:eastAsia="휴먼명조" w:hAnsi="휴먼명조" w:cs="휴먼명조"/>
          <w:b w:val="0"/>
          <w:sz w:val="22"/>
          <w:w w:val="97"/>
        </w:rPr>
        <w:t>. On all three datasets, open-item accuracy (0.03-0.46) is far below closed-item accuracy (0.45-0.79), but the drop is most severe on PathVQA: its open accuracy is 0.027-0.061 across all models, more than an order of magnitude below SLAKE (0.360-0.463) and VQA-RAD (0.225-0.315). PathVQA contains a high proportion of items requiring free-form description of detailed findings in pathology tissue images, so generative open-ended responses are interpreted as being harder than on SLAKE and VQA-RAD, which contain relatively more multiple-choice-type items.</w:t>
      </w:r>
    </w:p>
    <w:p>
      <w:pPr>
        <w:spacing w:line="384" w:lineRule="auto" w:after="0"/>
        <w:ind w:firstLine="220"/>
        <w:jc w:val="both"/>
      </w:pPr>
      <w:r>
        <w:rPr>
          <w:rFonts w:ascii="휴먼명조" w:eastAsia="휴먼명조" w:hAnsi="휴먼명조" w:cs="휴먼명조"/>
          <w:b w:val="0"/>
          <w:sz w:val="22"/>
          <w:w w:val="97"/>
        </w:rPr>
        <w:t>Response time and VRAM scale with model size, and differences across datasets are negligible (VRAM variation across datasets within the same model is &lt; 1%). Response time does, however, vary somewhat by model according to item characteristics such as the length of description required — for example, Gemma4-E2B takes 892.6 ms on PathVQA, longer than on SLAKE or VQA-RAD.</w:t>
      </w:r>
    </w:p>
    <w:p>
      <w:pPr>
        <w:spacing w:line="384" w:lineRule="auto" w:after="0"/>
        <w:jc w:val="left"/>
        <w:outlineLvl w:val="2"/>
      </w:pPr>
      <w:r>
        <w:rPr>
          <w:rFonts w:ascii="휴먼명조" w:eastAsia="휴먼명조" w:hAnsi="휴먼명조" w:cs="휴먼명조"/>
          <w:b/>
          <w:sz w:val="22"/>
          <w:w w:val="97"/>
        </w:rPr>
        <w:t>4.1.3 Error Type Analysis</w:t>
      </w:r>
    </w:p>
    <w:p>
      <w:pPr>
        <w:spacing w:line="384" w:lineRule="auto" w:after="0"/>
        <w:ind w:firstLine="220"/>
        <w:jc w:val="both"/>
      </w:pPr>
      <w:r>
        <w:rPr>
          <w:rFonts w:ascii="휴먼명조" w:eastAsia="휴먼명조" w:hAnsi="휴먼명조" w:cs="휴먼명조"/>
          <w:b w:val="0"/>
          <w:sz w:val="22"/>
          <w:w w:val="97"/>
        </w:rPr>
        <w:t>For the WCA (Weighted Clinical Accuracy) analysis, PathVQA items (seed 42) were classified into seven clinical question types (diagnosis, location, measurement, description, temporal, yes_no, unknown) and accuracy was computed per type. As discussed in Section 5.3, the weights are a provisional scale without clinical-literature validation and are used here only to identify reference error patterns.</w:t>
      </w:r>
    </w:p>
    <w:p>
      <w:pPr>
        <w:pStyle w:val="표캡션"/>
        <w:spacing w:line="384" w:lineRule="auto" w:after="0"/>
        <w:jc w:val="center"/>
      </w:pPr>
      <w:r>
        <w:rPr>
          <w:rFonts w:ascii="휴먼명조" w:eastAsia="휴먼명조" w:hAnsi="휴먼명조" w:cs="휴먼명조"/>
          <w:b/>
          <w:sz w:val="22"/>
          <w:w w:val="97"/>
        </w:rPr>
        <w:t>Table 4.1b. PathVQA accuracy by question type</w:t>
      </w:r>
    </w:p>
    <w:tbl>
      <w:tblPr>
        <w:tblW w:type="auto" w:w="0"/>
        <w:tblLook w:firstColumn="1" w:firstRow="1" w:lastColumn="0" w:lastRow="0" w:noHBand="0" w:noVBand="1" w:val="04A0"/>
      </w:tblPr>
      <w:tblGrid>
        <w:gridCol w:w="1240"/>
        <w:gridCol w:w="1240"/>
        <w:gridCol w:w="1240"/>
        <w:gridCol w:w="1240"/>
        <w:gridCol w:w="1240"/>
        <w:gridCol w:w="1240"/>
      </w:tblGrid>
      <w:tr>
        <w:tc>
          <w:tcPr>
            <w:tcW w:type="dxa" w:w="1240"/>
          </w:tcPr>
          <w:p>
            <w:pPr>
              <w:spacing w:line="240" w:lineRule="auto"/>
              <w:jc w:val="center"/>
            </w:pPr>
            <w:r/>
            <w:r>
              <w:rPr>
                <w:rFonts w:ascii="휴먼명조" w:eastAsia="휴먼명조" w:hAnsi="휴먼명조" w:cs="휴먼명조"/>
                <w:b/>
                <w:sz w:val="18"/>
                <w:w w:val="97"/>
              </w:rPr>
              <w:t>Type</w:t>
            </w:r>
          </w:p>
        </w:tc>
        <w:tc>
          <w:tcPr>
            <w:tcW w:type="dxa" w:w="1240"/>
          </w:tcPr>
          <w:p>
            <w:pPr>
              <w:spacing w:line="240" w:lineRule="auto"/>
              <w:jc w:val="center"/>
            </w:pPr>
            <w:r/>
            <w:r>
              <w:rPr>
                <w:rFonts w:ascii="휴먼명조" w:eastAsia="휴먼명조" w:hAnsi="휴먼명조" w:cs="휴먼명조"/>
                <w:b/>
                <w:sz w:val="18"/>
                <w:w w:val="97"/>
              </w:rPr>
              <w:t>Samples</w:t>
            </w:r>
          </w:p>
        </w:tc>
        <w:tc>
          <w:tcPr>
            <w:tcW w:type="dxa" w:w="1240"/>
          </w:tcPr>
          <w:p>
            <w:pPr>
              <w:spacing w:line="240" w:lineRule="auto"/>
              <w:jc w:val="center"/>
            </w:pPr>
            <w:r/>
            <w:r>
              <w:rPr>
                <w:rFonts w:ascii="휴먼명조" w:eastAsia="휴먼명조" w:hAnsi="휴먼명조" w:cs="휴먼명조"/>
                <w:b/>
                <w:sz w:val="18"/>
                <w:w w:val="97"/>
              </w:rPr>
              <w:t>Gemma4-E2B</w:t>
            </w:r>
          </w:p>
        </w:tc>
        <w:tc>
          <w:tcPr>
            <w:tcW w:type="dxa" w:w="1240"/>
          </w:tcPr>
          <w:p>
            <w:pPr>
              <w:spacing w:line="240" w:lineRule="auto"/>
              <w:jc w:val="center"/>
            </w:pPr>
            <w:r/>
            <w:r>
              <w:rPr>
                <w:rFonts w:ascii="휴먼명조" w:eastAsia="휴먼명조" w:hAnsi="휴먼명조" w:cs="휴먼명조"/>
                <w:b/>
                <w:sz w:val="18"/>
                <w:w w:val="97"/>
              </w:rPr>
              <w:t>Qwen2.5-VL-3B</w:t>
            </w:r>
          </w:p>
        </w:tc>
        <w:tc>
          <w:tcPr>
            <w:tcW w:type="dxa" w:w="1240"/>
          </w:tcPr>
          <w:p>
            <w:pPr>
              <w:spacing w:line="240" w:lineRule="auto"/>
              <w:jc w:val="center"/>
            </w:pPr>
            <w:r/>
            <w:r>
              <w:rPr>
                <w:rFonts w:ascii="휴먼명조" w:eastAsia="휴먼명조" w:hAnsi="휴먼명조" w:cs="휴먼명조"/>
                <w:b/>
                <w:sz w:val="18"/>
                <w:w w:val="97"/>
              </w:rPr>
              <w:t>Qwen3-VL-2B</w:t>
            </w:r>
          </w:p>
        </w:tc>
        <w:tc>
          <w:tcPr>
            <w:tcW w:type="dxa" w:w="1240"/>
          </w:tcPr>
          <w:p>
            <w:pPr>
              <w:spacing w:line="240" w:lineRule="auto"/>
              <w:jc w:val="center"/>
            </w:pPr>
            <w:r/>
            <w:r>
              <w:rPr>
                <w:rFonts w:ascii="휴먼명조" w:eastAsia="휴먼명조" w:hAnsi="휴먼명조" w:cs="휴먼명조"/>
                <w:b/>
                <w:sz w:val="18"/>
                <w:w w:val="97"/>
              </w:rPr>
              <w:t>SmolVLM2-2.2B</w:t>
            </w:r>
          </w:p>
        </w:tc>
      </w:tr>
      <w:tr>
        <w:tc>
          <w:tcPr>
            <w:tcW w:type="dxa" w:w="1240"/>
          </w:tcPr>
          <w:p>
            <w:pPr>
              <w:spacing w:line="240" w:lineRule="auto"/>
              <w:jc w:val="center"/>
            </w:pPr>
            <w:r/>
            <w:r>
              <w:rPr>
                <w:rFonts w:ascii="휴먼명조" w:eastAsia="휴먼명조" w:hAnsi="휴먼명조" w:cs="휴먼명조"/>
                <w:b w:val="0"/>
                <w:sz w:val="18"/>
                <w:w w:val="97"/>
              </w:rPr>
              <w:t>diagnosis</w:t>
            </w:r>
          </w:p>
        </w:tc>
        <w:tc>
          <w:tcPr>
            <w:tcW w:type="dxa" w:w="1240"/>
          </w:tcPr>
          <w:p>
            <w:pPr>
              <w:spacing w:line="240" w:lineRule="auto"/>
              <w:jc w:val="center"/>
            </w:pPr>
            <w:r/>
            <w:r>
              <w:rPr>
                <w:rFonts w:ascii="휴먼명조" w:eastAsia="휴먼명조" w:hAnsi="휴먼명조" w:cs="휴먼명조"/>
                <w:b w:val="0"/>
                <w:sz w:val="18"/>
                <w:w w:val="97"/>
              </w:rPr>
              <w:t>23</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r>
      <w:tr>
        <w:tc>
          <w:tcPr>
            <w:tcW w:type="dxa" w:w="1240"/>
          </w:tcPr>
          <w:p>
            <w:pPr>
              <w:spacing w:line="240" w:lineRule="auto"/>
              <w:jc w:val="center"/>
            </w:pPr>
            <w:r/>
            <w:r>
              <w:rPr>
                <w:rFonts w:ascii="휴먼명조" w:eastAsia="휴먼명조" w:hAnsi="휴먼명조" w:cs="휴먼명조"/>
                <w:b w:val="0"/>
                <w:sz w:val="18"/>
                <w:w w:val="97"/>
              </w:rPr>
              <w:t>location</w:t>
            </w:r>
          </w:p>
        </w:tc>
        <w:tc>
          <w:tcPr>
            <w:tcW w:type="dxa" w:w="1240"/>
          </w:tcPr>
          <w:p>
            <w:pPr>
              <w:spacing w:line="240" w:lineRule="auto"/>
              <w:jc w:val="center"/>
            </w:pPr>
            <w:r/>
            <w:r>
              <w:rPr>
                <w:rFonts w:ascii="휴먼명조" w:eastAsia="휴먼명조" w:hAnsi="휴먼명조" w:cs="휴먼명조"/>
                <w:b w:val="0"/>
                <w:sz w:val="18"/>
                <w:w w:val="97"/>
              </w:rPr>
              <w:t>433</w:t>
            </w:r>
          </w:p>
        </w:tc>
        <w:tc>
          <w:tcPr>
            <w:tcW w:type="dxa" w:w="1240"/>
          </w:tcPr>
          <w:p>
            <w:pPr>
              <w:spacing w:line="240" w:lineRule="auto"/>
              <w:jc w:val="center"/>
            </w:pPr>
            <w:r/>
            <w:r>
              <w:rPr>
                <w:rFonts w:ascii="휴먼명조" w:eastAsia="휴먼명조" w:hAnsi="휴먼명조" w:cs="휴먼명조"/>
                <w:b w:val="0"/>
                <w:sz w:val="18"/>
                <w:w w:val="97"/>
              </w:rPr>
              <w:t>0.0647</w:t>
            </w:r>
          </w:p>
        </w:tc>
        <w:tc>
          <w:tcPr>
            <w:tcW w:type="dxa" w:w="1240"/>
          </w:tcPr>
          <w:p>
            <w:pPr>
              <w:spacing w:line="240" w:lineRule="auto"/>
              <w:jc w:val="center"/>
            </w:pPr>
            <w:r/>
            <w:r>
              <w:rPr>
                <w:rFonts w:ascii="휴먼명조" w:eastAsia="휴먼명조" w:hAnsi="휴먼명조" w:cs="휴먼명조"/>
                <w:b w:val="0"/>
                <w:sz w:val="18"/>
                <w:w w:val="97"/>
              </w:rPr>
              <w:t>0.1062</w:t>
            </w:r>
          </w:p>
        </w:tc>
        <w:tc>
          <w:tcPr>
            <w:tcW w:type="dxa" w:w="1240"/>
          </w:tcPr>
          <w:p>
            <w:pPr>
              <w:spacing w:line="240" w:lineRule="auto"/>
              <w:jc w:val="center"/>
            </w:pPr>
            <w:r/>
            <w:r>
              <w:rPr>
                <w:rFonts w:ascii="휴먼명조" w:eastAsia="휴먼명조" w:hAnsi="휴먼명조" w:cs="휴먼명조"/>
                <w:b w:val="0"/>
                <w:sz w:val="18"/>
                <w:w w:val="97"/>
              </w:rPr>
              <w:t>0.1478</w:t>
            </w:r>
          </w:p>
        </w:tc>
        <w:tc>
          <w:tcPr>
            <w:tcW w:type="dxa" w:w="1240"/>
          </w:tcPr>
          <w:p>
            <w:pPr>
              <w:spacing w:line="240" w:lineRule="auto"/>
              <w:jc w:val="center"/>
            </w:pPr>
            <w:r/>
            <w:r>
              <w:rPr>
                <w:rFonts w:ascii="휴먼명조" w:eastAsia="휴먼명조" w:hAnsi="휴먼명조" w:cs="휴먼명조"/>
                <w:b w:val="0"/>
                <w:sz w:val="18"/>
                <w:w w:val="97"/>
              </w:rPr>
              <w:t>0.0762</w:t>
            </w:r>
          </w:p>
        </w:tc>
      </w:tr>
      <w:tr>
        <w:tc>
          <w:tcPr>
            <w:tcW w:type="dxa" w:w="1240"/>
          </w:tcPr>
          <w:p>
            <w:pPr>
              <w:spacing w:line="240" w:lineRule="auto"/>
              <w:jc w:val="center"/>
            </w:pPr>
            <w:r/>
            <w:r>
              <w:rPr>
                <w:rFonts w:ascii="휴먼명조" w:eastAsia="휴먼명조" w:hAnsi="휴먼명조" w:cs="휴먼명조"/>
                <w:b w:val="0"/>
                <w:sz w:val="18"/>
                <w:w w:val="97"/>
              </w:rPr>
              <w:t>measurement</w:t>
            </w:r>
          </w:p>
        </w:tc>
        <w:tc>
          <w:tcPr>
            <w:tcW w:type="dxa" w:w="1240"/>
          </w:tcPr>
          <w:p>
            <w:pPr>
              <w:spacing w:line="240" w:lineRule="auto"/>
              <w:jc w:val="center"/>
            </w:pPr>
            <w:r/>
            <w:r>
              <w:rPr>
                <w:rFonts w:ascii="휴먼명조" w:eastAsia="휴먼명조" w:hAnsi="휴먼명조" w:cs="휴먼명조"/>
                <w:b w:val="0"/>
                <w:sz w:val="18"/>
                <w:w w:val="97"/>
              </w:rPr>
              <w:t>33</w:t>
            </w:r>
          </w:p>
        </w:tc>
        <w:tc>
          <w:tcPr>
            <w:tcW w:type="dxa" w:w="1240"/>
          </w:tcPr>
          <w:p>
            <w:pPr>
              <w:spacing w:line="240" w:lineRule="auto"/>
              <w:jc w:val="center"/>
            </w:pPr>
            <w:r/>
            <w:r>
              <w:rPr>
                <w:rFonts w:ascii="휴먼명조" w:eastAsia="휴먼명조" w:hAnsi="휴먼명조" w:cs="휴먼명조"/>
                <w:b w:val="0"/>
                <w:sz w:val="18"/>
                <w:w w:val="97"/>
              </w:rPr>
              <w:t>0.2121</w:t>
            </w:r>
          </w:p>
        </w:tc>
        <w:tc>
          <w:tcPr>
            <w:tcW w:type="dxa" w:w="1240"/>
          </w:tcPr>
          <w:p>
            <w:pPr>
              <w:spacing w:line="240" w:lineRule="auto"/>
              <w:jc w:val="center"/>
            </w:pPr>
            <w:r/>
            <w:r>
              <w:rPr>
                <w:rFonts w:ascii="휴먼명조" w:eastAsia="휴먼명조" w:hAnsi="휴먼명조" w:cs="휴먼명조"/>
                <w:b w:val="0"/>
                <w:sz w:val="18"/>
                <w:w w:val="97"/>
              </w:rPr>
              <w:t>0.0909</w:t>
            </w:r>
          </w:p>
        </w:tc>
        <w:tc>
          <w:tcPr>
            <w:tcW w:type="dxa" w:w="1240"/>
          </w:tcPr>
          <w:p>
            <w:pPr>
              <w:spacing w:line="240" w:lineRule="auto"/>
              <w:jc w:val="center"/>
            </w:pPr>
            <w:r/>
            <w:r>
              <w:rPr>
                <w:rFonts w:ascii="휴먼명조" w:eastAsia="휴먼명조" w:hAnsi="휴먼명조" w:cs="휴먼명조"/>
                <w:b w:val="0"/>
                <w:sz w:val="18"/>
                <w:w w:val="97"/>
              </w:rPr>
              <w:t>0.1515</w:t>
            </w:r>
          </w:p>
        </w:tc>
        <w:tc>
          <w:tcPr>
            <w:tcW w:type="dxa" w:w="1240"/>
          </w:tcPr>
          <w:p>
            <w:pPr>
              <w:spacing w:line="240" w:lineRule="auto"/>
              <w:jc w:val="center"/>
            </w:pPr>
            <w:r/>
            <w:r>
              <w:rPr>
                <w:rFonts w:ascii="휴먼명조" w:eastAsia="휴먼명조" w:hAnsi="휴먼명조" w:cs="휴먼명조"/>
                <w:b w:val="0"/>
                <w:sz w:val="18"/>
                <w:w w:val="97"/>
              </w:rPr>
              <w:t>0.0909</w:t>
            </w:r>
          </w:p>
        </w:tc>
      </w:tr>
      <w:tr>
        <w:tc>
          <w:tcPr>
            <w:tcW w:type="dxa" w:w="1240"/>
          </w:tcPr>
          <w:p>
            <w:pPr>
              <w:spacing w:line="240" w:lineRule="auto"/>
              <w:jc w:val="center"/>
            </w:pPr>
            <w:r/>
            <w:r>
              <w:rPr>
                <w:rFonts w:ascii="휴먼명조" w:eastAsia="휴먼명조" w:hAnsi="휴먼명조" w:cs="휴먼명조"/>
                <w:b w:val="0"/>
                <w:sz w:val="18"/>
                <w:w w:val="97"/>
              </w:rPr>
              <w:t>description</w:t>
            </w:r>
          </w:p>
        </w:tc>
        <w:tc>
          <w:tcPr>
            <w:tcW w:type="dxa" w:w="1240"/>
          </w:tcPr>
          <w:p>
            <w:pPr>
              <w:spacing w:line="240" w:lineRule="auto"/>
              <w:jc w:val="center"/>
            </w:pPr>
            <w:r/>
            <w:r>
              <w:rPr>
                <w:rFonts w:ascii="휴먼명조" w:eastAsia="휴먼명조" w:hAnsi="휴먼명조" w:cs="휴먼명조"/>
                <w:b w:val="0"/>
                <w:sz w:val="18"/>
                <w:w w:val="97"/>
              </w:rPr>
              <w:t>2,729</w:t>
            </w:r>
          </w:p>
        </w:tc>
        <w:tc>
          <w:tcPr>
            <w:tcW w:type="dxa" w:w="1240"/>
          </w:tcPr>
          <w:p>
            <w:pPr>
              <w:spacing w:line="240" w:lineRule="auto"/>
              <w:jc w:val="center"/>
            </w:pPr>
            <w:r/>
            <w:r>
              <w:rPr>
                <w:rFonts w:ascii="휴먼명조" w:eastAsia="휴먼명조" w:hAnsi="휴먼명조" w:cs="휴먼명조"/>
                <w:b w:val="0"/>
                <w:sz w:val="18"/>
                <w:w w:val="97"/>
              </w:rPr>
              <w:t>0.0425</w:t>
            </w:r>
          </w:p>
        </w:tc>
        <w:tc>
          <w:tcPr>
            <w:tcW w:type="dxa" w:w="1240"/>
          </w:tcPr>
          <w:p>
            <w:pPr>
              <w:spacing w:line="240" w:lineRule="auto"/>
              <w:jc w:val="center"/>
            </w:pPr>
            <w:r/>
            <w:r>
              <w:rPr>
                <w:rFonts w:ascii="휴먼명조" w:eastAsia="휴먼명조" w:hAnsi="휴먼명조" w:cs="휴먼명조"/>
                <w:b w:val="0"/>
                <w:sz w:val="18"/>
                <w:w w:val="97"/>
              </w:rPr>
              <w:t>0.0224</w:t>
            </w:r>
          </w:p>
        </w:tc>
        <w:tc>
          <w:tcPr>
            <w:tcW w:type="dxa" w:w="1240"/>
          </w:tcPr>
          <w:p>
            <w:pPr>
              <w:spacing w:line="240" w:lineRule="auto"/>
              <w:jc w:val="center"/>
            </w:pPr>
            <w:r/>
            <w:r>
              <w:rPr>
                <w:rFonts w:ascii="휴먼명조" w:eastAsia="휴먼명조" w:hAnsi="휴먼명조" w:cs="휴먼명조"/>
                <w:b w:val="0"/>
                <w:sz w:val="18"/>
                <w:w w:val="97"/>
              </w:rPr>
              <w:t>0.0447</w:t>
            </w:r>
          </w:p>
        </w:tc>
        <w:tc>
          <w:tcPr>
            <w:tcW w:type="dxa" w:w="1240"/>
          </w:tcPr>
          <w:p>
            <w:pPr>
              <w:spacing w:line="240" w:lineRule="auto"/>
              <w:jc w:val="center"/>
            </w:pPr>
            <w:r/>
            <w:r>
              <w:rPr>
                <w:rFonts w:ascii="휴먼명조" w:eastAsia="휴먼명조" w:hAnsi="휴먼명조" w:cs="휴먼명조"/>
                <w:b w:val="0"/>
                <w:sz w:val="18"/>
                <w:w w:val="97"/>
              </w:rPr>
              <w:t>0.0198</w:t>
            </w:r>
          </w:p>
        </w:tc>
      </w:tr>
      <w:tr>
        <w:tc>
          <w:tcPr>
            <w:tcW w:type="dxa" w:w="1240"/>
          </w:tcPr>
          <w:p>
            <w:pPr>
              <w:spacing w:line="240" w:lineRule="auto"/>
              <w:jc w:val="center"/>
            </w:pPr>
            <w:r/>
            <w:r>
              <w:rPr>
                <w:rFonts w:ascii="휴먼명조" w:eastAsia="휴먼명조" w:hAnsi="휴먼명조" w:cs="휴먼명조"/>
                <w:b w:val="0"/>
                <w:sz w:val="18"/>
                <w:w w:val="97"/>
              </w:rPr>
              <w:t>temporal</w:t>
            </w:r>
          </w:p>
        </w:tc>
        <w:tc>
          <w:tcPr>
            <w:tcW w:type="dxa" w:w="1240"/>
          </w:tcPr>
          <w:p>
            <w:pPr>
              <w:spacing w:line="240" w:lineRule="auto"/>
              <w:jc w:val="center"/>
            </w:pPr>
            <w:r/>
            <w:r>
              <w:rPr>
                <w:rFonts w:ascii="휴먼명조" w:eastAsia="휴먼명조" w:hAnsi="휴먼명조" w:cs="휴먼명조"/>
                <w:b w:val="0"/>
                <w:sz w:val="18"/>
                <w:w w:val="97"/>
              </w:rPr>
              <w:t>9</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r>
      <w:tr>
        <w:tc>
          <w:tcPr>
            <w:tcW w:type="dxa" w:w="1240"/>
          </w:tcPr>
          <w:p>
            <w:pPr>
              <w:spacing w:line="240" w:lineRule="auto"/>
              <w:jc w:val="center"/>
            </w:pPr>
            <w:r/>
            <w:r>
              <w:rPr>
                <w:rFonts w:ascii="휴먼명조" w:eastAsia="휴먼명조" w:hAnsi="휴먼명조" w:cs="휴먼명조"/>
                <w:b w:val="0"/>
                <w:sz w:val="18"/>
                <w:w w:val="97"/>
              </w:rPr>
              <w:t>yes_no</w:t>
            </w:r>
          </w:p>
        </w:tc>
        <w:tc>
          <w:tcPr>
            <w:tcW w:type="dxa" w:w="1240"/>
          </w:tcPr>
          <w:p>
            <w:pPr>
              <w:spacing w:line="240" w:lineRule="auto"/>
              <w:jc w:val="center"/>
            </w:pPr>
            <w:r/>
            <w:r>
              <w:rPr>
                <w:rFonts w:ascii="휴먼명조" w:eastAsia="휴먼명조" w:hAnsi="휴먼명조" w:cs="휴먼명조"/>
                <w:b w:val="0"/>
                <w:sz w:val="18"/>
                <w:w w:val="97"/>
              </w:rPr>
              <w:t>3,362</w:t>
            </w:r>
          </w:p>
        </w:tc>
        <w:tc>
          <w:tcPr>
            <w:tcW w:type="dxa" w:w="1240"/>
          </w:tcPr>
          <w:p>
            <w:pPr>
              <w:spacing w:line="240" w:lineRule="auto"/>
              <w:jc w:val="center"/>
            </w:pPr>
            <w:r/>
            <w:r>
              <w:rPr>
                <w:rFonts w:ascii="휴먼명조" w:eastAsia="휴먼명조" w:hAnsi="휴먼명조" w:cs="휴먼명조"/>
                <w:b w:val="0"/>
                <w:sz w:val="18"/>
                <w:w w:val="97"/>
              </w:rPr>
              <w:t>0.1633</w:t>
            </w:r>
          </w:p>
        </w:tc>
        <w:tc>
          <w:tcPr>
            <w:tcW w:type="dxa" w:w="1240"/>
          </w:tcPr>
          <w:p>
            <w:pPr>
              <w:spacing w:line="240" w:lineRule="auto"/>
              <w:jc w:val="center"/>
            </w:pPr>
            <w:r/>
            <w:r>
              <w:rPr>
                <w:rFonts w:ascii="휴먼명조" w:eastAsia="휴먼명조" w:hAnsi="휴먼명조" w:cs="휴먼명조"/>
                <w:b w:val="0"/>
                <w:sz w:val="18"/>
                <w:w w:val="97"/>
              </w:rPr>
              <w:t>0.6130</w:t>
            </w:r>
          </w:p>
        </w:tc>
        <w:tc>
          <w:tcPr>
            <w:tcW w:type="dxa" w:w="1240"/>
          </w:tcPr>
          <w:p>
            <w:pPr>
              <w:spacing w:line="240" w:lineRule="auto"/>
              <w:jc w:val="center"/>
            </w:pPr>
            <w:r/>
            <w:r>
              <w:rPr>
                <w:rFonts w:ascii="휴먼명조" w:eastAsia="휴먼명조" w:hAnsi="휴먼명조" w:cs="휴먼명조"/>
                <w:b w:val="0"/>
                <w:sz w:val="18"/>
                <w:w w:val="97"/>
              </w:rPr>
              <w:t>0.6336</w:t>
            </w:r>
          </w:p>
        </w:tc>
        <w:tc>
          <w:tcPr>
            <w:tcW w:type="dxa" w:w="1240"/>
          </w:tcPr>
          <w:p>
            <w:pPr>
              <w:spacing w:line="240" w:lineRule="auto"/>
              <w:jc w:val="center"/>
            </w:pPr>
            <w:r/>
            <w:r>
              <w:rPr>
                <w:rFonts w:ascii="휴먼명조" w:eastAsia="휴먼명조" w:hAnsi="휴먼명조" w:cs="휴먼명조"/>
                <w:b w:val="0"/>
                <w:sz w:val="18"/>
                <w:w w:val="97"/>
              </w:rPr>
              <w:t>0.5892</w:t>
            </w:r>
          </w:p>
        </w:tc>
      </w:tr>
      <w:tr>
        <w:tc>
          <w:tcPr>
            <w:tcW w:type="dxa" w:w="1240"/>
          </w:tcPr>
          <w:p>
            <w:pPr>
              <w:spacing w:line="240" w:lineRule="auto"/>
              <w:jc w:val="center"/>
            </w:pPr>
            <w:r/>
            <w:r>
              <w:rPr>
                <w:rFonts w:ascii="휴먼명조" w:eastAsia="휴먼명조" w:hAnsi="휴먼명조" w:cs="휴먼명조"/>
                <w:b w:val="0"/>
                <w:sz w:val="18"/>
                <w:w w:val="97"/>
              </w:rPr>
              <w:t>unknown</w:t>
            </w:r>
          </w:p>
        </w:tc>
        <w:tc>
          <w:tcPr>
            <w:tcW w:type="dxa" w:w="1240"/>
          </w:tcPr>
          <w:p>
            <w:pPr>
              <w:spacing w:line="240" w:lineRule="auto"/>
              <w:jc w:val="center"/>
            </w:pPr>
            <w:r/>
            <w:r>
              <w:rPr>
                <w:rFonts w:ascii="휴먼명조" w:eastAsia="휴먼명조" w:hAnsi="휴먼명조" w:cs="휴먼명조"/>
                <w:b w:val="0"/>
                <w:sz w:val="18"/>
                <w:w w:val="97"/>
              </w:rPr>
              <w:t>130</w:t>
            </w:r>
          </w:p>
        </w:tc>
        <w:tc>
          <w:tcPr>
            <w:tcW w:type="dxa" w:w="1240"/>
          </w:tcPr>
          <w:p>
            <w:pPr>
              <w:spacing w:line="240" w:lineRule="auto"/>
              <w:jc w:val="center"/>
            </w:pPr>
            <w:r/>
            <w:r>
              <w:rPr>
                <w:rFonts w:ascii="휴먼명조" w:eastAsia="휴먼명조" w:hAnsi="휴먼명조" w:cs="휴먼명조"/>
                <w:b w:val="0"/>
                <w:sz w:val="18"/>
                <w:w w:val="97"/>
              </w:rPr>
              <w:t>0.0692</w:t>
            </w:r>
          </w:p>
        </w:tc>
        <w:tc>
          <w:tcPr>
            <w:tcW w:type="dxa" w:w="1240"/>
          </w:tcPr>
          <w:p>
            <w:pPr>
              <w:spacing w:line="240" w:lineRule="auto"/>
              <w:jc w:val="center"/>
            </w:pPr>
            <w:r/>
            <w:r>
              <w:rPr>
                <w:rFonts w:ascii="휴먼명조" w:eastAsia="휴먼명조" w:hAnsi="휴먼명조" w:cs="휴먼명조"/>
                <w:b w:val="0"/>
                <w:sz w:val="18"/>
                <w:w w:val="97"/>
              </w:rPr>
              <w:t>0.0692</w:t>
            </w:r>
          </w:p>
        </w:tc>
        <w:tc>
          <w:tcPr>
            <w:tcW w:type="dxa" w:w="1240"/>
          </w:tcPr>
          <w:p>
            <w:pPr>
              <w:spacing w:line="240" w:lineRule="auto"/>
              <w:jc w:val="center"/>
            </w:pPr>
            <w:r/>
            <w:r>
              <w:rPr>
                <w:rFonts w:ascii="휴먼명조" w:eastAsia="휴먼명조" w:hAnsi="휴먼명조" w:cs="휴먼명조"/>
                <w:b w:val="0"/>
                <w:sz w:val="18"/>
                <w:w w:val="97"/>
              </w:rPr>
              <w:t>0.0923</w:t>
            </w:r>
          </w:p>
        </w:tc>
        <w:tc>
          <w:tcPr>
            <w:tcW w:type="dxa" w:w="1240"/>
          </w:tcPr>
          <w:p>
            <w:pPr>
              <w:spacing w:line="240" w:lineRule="auto"/>
              <w:jc w:val="center"/>
            </w:pPr>
            <w:r/>
            <w:r>
              <w:rPr>
                <w:rFonts w:ascii="휴먼명조" w:eastAsia="휴먼명조" w:hAnsi="휴먼명조" w:cs="휴먼명조"/>
                <w:b w:val="0"/>
                <w:sz w:val="18"/>
                <w:w w:val="97"/>
              </w:rPr>
              <w:t>0.0154</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The most striking pattern is that </w:t>
      </w:r>
      <w:r>
        <w:rPr>
          <w:rFonts w:ascii="휴먼명조" w:eastAsia="휴먼명조" w:hAnsi="휴먼명조" w:cs="휴먼명조"/>
          <w:b/>
          <w:sz w:val="22"/>
          <w:w w:val="97"/>
        </w:rPr>
        <w:t>all four models score exactly 0.0000 on the diagnosis and temporal question types</w:t>
      </w:r>
      <w:r>
        <w:rPr>
          <w:rFonts w:ascii="휴먼명조" w:eastAsia="휴먼명조" w:hAnsi="휴먼명조" w:cs="휴먼명조"/>
          <w:b w:val="0"/>
          <w:sz w:val="22"/>
          <w:w w:val="97"/>
        </w:rPr>
        <w:t>. Although diagnosis carries the highest WCA weight (1.0) and is clinically the most important type, the models in their zero-shot state were entirely unable to derive a diagnostic name from pathological findings. The description type (free-form narration) also remains at 0.02-0.04 accuracy despite having the largest sample count (2,729 items, 41% of the total), and is confirmed as the principal factor depressing overall PathVQA accuracy.</w:t>
      </w:r>
    </w:p>
    <w:p>
      <w:pPr>
        <w:spacing w:line="384" w:lineRule="auto" w:after="0"/>
        <w:ind w:firstLine="220"/>
        <w:jc w:val="both"/>
      </w:pPr>
      <w:r>
        <w:rPr>
          <w:rFonts w:ascii="휴먼명조" w:eastAsia="휴먼명조" w:hAnsi="휴먼명조" w:cs="휴먼명조"/>
          <w:b w:val="0"/>
          <w:sz w:val="22"/>
          <w:w w:val="97"/>
        </w:rPr>
        <w:t xml:space="preserve">Conversely, </w:t>
      </w:r>
      <w:r>
        <w:rPr>
          <w:rFonts w:ascii="휴먼명조" w:eastAsia="휴먼명조" w:hAnsi="휴먼명조" w:cs="휴먼명조"/>
          <w:b/>
          <w:sz w:val="22"/>
          <w:w w:val="97"/>
        </w:rPr>
        <w:t>the yes_no type shows relatively high accuracy</w:t>
      </w:r>
      <w:r>
        <w:rPr>
          <w:rFonts w:ascii="휴먼명조" w:eastAsia="휴먼명조" w:hAnsi="휴먼명조" w:cs="휴먼명조"/>
          <w:b w:val="0"/>
          <w:sz w:val="22"/>
          <w:w w:val="97"/>
        </w:rPr>
        <w:t xml:space="preserve"> (for example, 0.6336 for Qwen3-VL-2B), and the ranking across models largely matches the overall ranking in Section 4.1.1 (Qwen3-VL-2B &gt; Qwen2.5-VL-3B &gt; SmolVLM2-2.2B ≫ Gemma4-E2B). Gemma4-E2B, however, lags far behind the other three even on yes_no (0.1633 versus 0.59-0.63), confirming that its overall inferiority in Section 4.1.1 is not confined to particular types but extends across all of them.</w:t>
      </w:r>
    </w:p>
    <w:p>
      <w:pPr>
        <w:spacing w:line="384" w:lineRule="auto" w:after="0"/>
        <w:ind w:firstLine="220"/>
        <w:jc w:val="both"/>
      </w:pPr>
      <w:r>
        <w:rPr>
          <w:rFonts w:ascii="휴먼명조" w:eastAsia="휴먼명조" w:hAnsi="휴먼명조" w:cs="휴먼명조"/>
          <w:b w:val="0"/>
          <w:sz w:val="22"/>
          <w:w w:val="97"/>
        </w:rPr>
        <w:t xml:space="preserve">In summary, zero-shot lightweight VLMs </w:t>
      </w:r>
      <w:r>
        <w:rPr>
          <w:rFonts w:ascii="휴먼명조" w:eastAsia="휴먼명조" w:hAnsi="휴먼명조" w:cs="휴먼명조"/>
          <w:b/>
          <w:sz w:val="22"/>
          <w:w w:val="97"/>
        </w:rPr>
        <w:t>can cope to some degree with binary discrimination (yes_no) tasks, but are effectively unable to handle clinically important open-ended tasks such as deriving a diagnosis or generating free-form descriptions of findings.</w:t>
      </w:r>
      <w:r>
        <w:rPr>
          <w:rFonts w:ascii="휴먼명조" w:eastAsia="휴먼명조" w:hAnsi="휴먼명조" w:cs="휴먼명조"/>
          <w:b w:val="0"/>
          <w:sz w:val="22"/>
          <w:w w:val="97"/>
        </w:rPr>
        <w:t xml:space="preserve"> This supports the need for RQ2 (the effect of fine-tuning), and is discussed in connection with how these type-level gaps change after fine-tuning in Section 4.2 (clinical significance analysis in Section 4.2.5).</w:t>
      </w:r>
    </w:p>
    <w:p>
      <w:pPr>
        <w:spacing w:line="384" w:lineRule="auto" w:after="0"/>
        <w:jc w:val="left"/>
        <w:outlineLvl w:val="1"/>
      </w:pPr>
      <w:r>
        <w:rPr>
          <w:rFonts w:ascii="휴먼명조" w:eastAsia="휴먼명조" w:hAnsi="휴먼명조" w:cs="휴먼명조"/>
          <w:b/>
          <w:sz w:val="28"/>
          <w:w w:val="97"/>
        </w:rPr>
        <w:t>4.2 Phase 2: QLoRA Fine-Tuning Results</w:t>
      </w:r>
    </w:p>
    <w:p>
      <w:pPr>
        <w:spacing w:line="384" w:lineRule="auto" w:after="0"/>
        <w:ind w:firstLine="220"/>
        <w:jc w:val="both"/>
      </w:pPr>
      <w:r>
        <w:rPr>
          <w:rFonts w:ascii="휴먼명조" w:eastAsia="휴먼명조" w:hAnsi="휴먼명조" w:cs="휴먼명조"/>
          <w:b w:val="0"/>
          <w:sz w:val="22"/>
          <w:w w:val="97"/>
        </w:rPr>
        <w:t>Phase 2 fine-tuned each of the four models on each of the three datasets with QLoRA (rank = 64, alpha = 128, target = all-linear, ceiling max_steps=500) and verified RQ2 ("does domain-specific fine-tuning significantly improve performance over zero-shot?"). In addition to the 36 main conditions (4 models × 3 datasets × 3 seeds), 39 further conditions were run under fixed Qwen3-VL-2B and PathVQA settings for Ablation A (data ratio), B (LoRA rank), and C (target modules), giving 75 conditions in total.</w:t>
      </w:r>
    </w:p>
    <w:p>
      <w:pPr>
        <w:spacing w:line="384" w:lineRule="auto" w:after="0"/>
        <w:jc w:val="left"/>
        <w:outlineLvl w:val="2"/>
      </w:pPr>
      <w:r>
        <w:rPr>
          <w:rFonts w:ascii="휴먼명조" w:eastAsia="휴먼명조" w:hAnsi="휴먼명조" w:cs="휴먼명조"/>
          <w:b/>
          <w:sz w:val="22"/>
          <w:w w:val="97"/>
        </w:rPr>
        <w:t>4.2.1 Base vs Fine-Tuned Performance</w:t>
      </w:r>
    </w:p>
    <w:p>
      <w:pPr>
        <w:pStyle w:val="표캡션"/>
        <w:spacing w:line="384" w:lineRule="auto" w:after="0"/>
        <w:jc w:val="center"/>
      </w:pPr>
      <w:r>
        <w:rPr>
          <w:rFonts w:ascii="휴먼명조" w:eastAsia="휴먼명조" w:hAnsi="휴먼명조" w:cs="휴먼명조"/>
          <w:b/>
          <w:sz w:val="22"/>
          <w:w w:val="97"/>
        </w:rPr>
        <w:t>Table 4.2. Fine-tuning effect by model (paired, n = 9 = 3 datasets × 3 seeds)</w:t>
      </w:r>
    </w:p>
    <w:tbl>
      <w:tblPr>
        <w:tblW w:type="auto" w:w="0"/>
        <w:tblLook w:firstColumn="1" w:firstRow="1" w:lastColumn="0" w:lastRow="0" w:noHBand="0" w:noVBand="1" w:val="04A0"/>
      </w:tblPr>
      <w:tblGrid>
        <w:gridCol w:w="1063"/>
        <w:gridCol w:w="1063"/>
        <w:gridCol w:w="1063"/>
        <w:gridCol w:w="1063"/>
        <w:gridCol w:w="1063"/>
        <w:gridCol w:w="1063"/>
        <w:gridCol w:w="1063"/>
      </w:tblGrid>
      <w:tr>
        <w:tc>
          <w:tcPr>
            <w:tcW w:type="dxa" w:w="1063"/>
          </w:tcPr>
          <w:p>
            <w:pPr>
              <w:spacing w:line="240" w:lineRule="auto"/>
              <w:jc w:val="center"/>
            </w:pPr>
            <w:r/>
            <w:r>
              <w:rPr>
                <w:rFonts w:ascii="휴먼명조" w:eastAsia="휴먼명조" w:hAnsi="휴먼명조" w:cs="휴먼명조"/>
                <w:b/>
                <w:sz w:val="18"/>
                <w:w w:val="97"/>
              </w:rPr>
              <w:t>Model</w:t>
            </w:r>
          </w:p>
        </w:tc>
        <w:tc>
          <w:tcPr>
            <w:tcW w:type="dxa" w:w="1063"/>
          </w:tcPr>
          <w:p>
            <w:pPr>
              <w:spacing w:line="240" w:lineRule="auto"/>
              <w:jc w:val="center"/>
            </w:pPr>
            <w:r/>
            <w:r>
              <w:rPr>
                <w:rFonts w:ascii="휴먼명조" w:eastAsia="휴먼명조" w:hAnsi="휴먼명조" w:cs="휴먼명조"/>
                <w:b/>
                <w:sz w:val="18"/>
                <w:w w:val="97"/>
              </w:rPr>
              <w:t>Base Acc</w:t>
            </w:r>
          </w:p>
        </w:tc>
        <w:tc>
          <w:tcPr>
            <w:tcW w:type="dxa" w:w="1063"/>
          </w:tcPr>
          <w:p>
            <w:pPr>
              <w:spacing w:line="240" w:lineRule="auto"/>
              <w:jc w:val="center"/>
            </w:pPr>
            <w:r/>
            <w:r>
              <w:rPr>
                <w:rFonts w:ascii="휴먼명조" w:eastAsia="휴먼명조" w:hAnsi="휴먼명조" w:cs="휴먼명조"/>
                <w:b/>
                <w:sz w:val="18"/>
                <w:w w:val="97"/>
              </w:rPr>
              <w:t>FT Acc</w:t>
            </w:r>
          </w:p>
        </w:tc>
        <w:tc>
          <w:tcPr>
            <w:tcW w:type="dxa" w:w="1063"/>
          </w:tcPr>
          <w:p>
            <w:pPr>
              <w:spacing w:line="240" w:lineRule="auto"/>
              <w:jc w:val="center"/>
            </w:pPr>
            <w:r/>
            <w:r>
              <w:rPr>
                <w:rFonts w:ascii="휴먼명조" w:eastAsia="휴먼명조" w:hAnsi="휴먼명조" w:cs="휴먼명조"/>
                <w:b/>
                <w:sz w:val="18"/>
                <w:w w:val="97"/>
              </w:rPr>
              <w:t>Cohen's d</w:t>
            </w:r>
          </w:p>
        </w:tc>
        <w:tc>
          <w:tcPr>
            <w:tcW w:type="dxa" w:w="1063"/>
          </w:tcPr>
          <w:p>
            <w:pPr>
              <w:spacing w:line="240" w:lineRule="auto"/>
              <w:jc w:val="center"/>
            </w:pPr>
            <w:r/>
            <w:r>
              <w:rPr>
                <w:rFonts w:ascii="휴먼명조" w:eastAsia="휴먼명조" w:hAnsi="휴먼명조" w:cs="휴먼명조"/>
                <w:b/>
                <w:sz w:val="18"/>
                <w:w w:val="97"/>
              </w:rPr>
              <w:t>d 95% CI (BCa)</w:t>
            </w:r>
          </w:p>
        </w:tc>
        <w:tc>
          <w:tcPr>
            <w:tcW w:type="dxa" w:w="1063"/>
          </w:tcPr>
          <w:p>
            <w:pPr>
              <w:spacing w:line="240" w:lineRule="auto"/>
              <w:jc w:val="center"/>
            </w:pPr>
            <w:r/>
            <w:r>
              <w:rPr>
                <w:rFonts w:ascii="휴먼명조" w:eastAsia="휴먼명조" w:hAnsi="휴먼명조" w:cs="휴먼명조"/>
                <w:b/>
                <w:sz w:val="18"/>
                <w:w w:val="97"/>
              </w:rPr>
              <w:t>paired t-test p</w:t>
            </w:r>
          </w:p>
        </w:tc>
        <w:tc>
          <w:tcPr>
            <w:tcW w:type="dxa" w:w="1063"/>
          </w:tcPr>
          <w:p>
            <w:pPr>
              <w:spacing w:line="240" w:lineRule="auto"/>
              <w:jc w:val="center"/>
            </w:pPr>
            <w:r/>
            <w:r>
              <w:rPr>
                <w:rFonts w:ascii="휴먼명조" w:eastAsia="휴먼명조" w:hAnsi="휴먼명조" w:cs="휴먼명조"/>
                <w:b/>
                <w:sz w:val="18"/>
                <w:w w:val="97"/>
              </w:rPr>
              <w:t>Wilcoxon p</w:t>
            </w:r>
          </w:p>
        </w:tc>
      </w:tr>
      <w:tr>
        <w:tc>
          <w:tcPr>
            <w:tcW w:type="dxa" w:w="1063"/>
          </w:tcPr>
          <w:p>
            <w:pPr>
              <w:spacing w:line="240" w:lineRule="auto"/>
              <w:jc w:val="center"/>
            </w:pPr>
            <w:r/>
            <w:r>
              <w:rPr>
                <w:rFonts w:ascii="휴먼명조" w:eastAsia="휴먼명조" w:hAnsi="휴먼명조" w:cs="휴먼명조"/>
                <w:b w:val="0"/>
                <w:sz w:val="18"/>
                <w:w w:val="97"/>
              </w:rPr>
              <w:t>Qwen2.5-VL-3B</w:t>
            </w:r>
          </w:p>
        </w:tc>
        <w:tc>
          <w:tcPr>
            <w:tcW w:type="dxa" w:w="1063"/>
          </w:tcPr>
          <w:p>
            <w:pPr>
              <w:spacing w:line="240" w:lineRule="auto"/>
              <w:jc w:val="center"/>
            </w:pPr>
            <w:r/>
            <w:r>
              <w:rPr>
                <w:rFonts w:ascii="휴먼명조" w:eastAsia="휴먼명조" w:hAnsi="휴먼명조" w:cs="휴먼명조"/>
                <w:b w:val="0"/>
                <w:sz w:val="18"/>
                <w:w w:val="97"/>
              </w:rPr>
              <w:t>0.4582</w:t>
            </w:r>
          </w:p>
        </w:tc>
        <w:tc>
          <w:tcPr>
            <w:tcW w:type="dxa" w:w="1063"/>
          </w:tcPr>
          <w:p>
            <w:pPr>
              <w:spacing w:line="240" w:lineRule="auto"/>
              <w:jc w:val="center"/>
            </w:pPr>
            <w:r/>
            <w:r>
              <w:rPr>
                <w:rFonts w:ascii="휴먼명조" w:eastAsia="휴먼명조" w:hAnsi="휴먼명조" w:cs="휴먼명조"/>
                <w:b w:val="0"/>
                <w:sz w:val="18"/>
                <w:w w:val="97"/>
              </w:rPr>
              <w:t>0.5749</w:t>
            </w:r>
          </w:p>
        </w:tc>
        <w:tc>
          <w:tcPr>
            <w:tcW w:type="dxa" w:w="1063"/>
          </w:tcPr>
          <w:p>
            <w:pPr>
              <w:spacing w:line="240" w:lineRule="auto"/>
              <w:jc w:val="center"/>
            </w:pPr>
            <w:r/>
            <w:r>
              <w:rPr>
                <w:rFonts w:ascii="휴먼명조" w:eastAsia="휴먼명조" w:hAnsi="휴먼명조" w:cs="휴먼명조"/>
                <w:b/>
                <w:sz w:val="18"/>
                <w:w w:val="97"/>
              </w:rPr>
              <w:t>+2.646</w:t>
            </w:r>
          </w:p>
        </w:tc>
        <w:tc>
          <w:tcPr>
            <w:tcW w:type="dxa" w:w="1063"/>
          </w:tcPr>
          <w:p>
            <w:pPr>
              <w:spacing w:line="240" w:lineRule="auto"/>
              <w:jc w:val="center"/>
            </w:pPr>
            <w:r/>
            <w:r>
              <w:rPr>
                <w:rFonts w:ascii="휴먼명조" w:eastAsia="휴먼명조" w:hAnsi="휴먼명조" w:cs="휴먼명조"/>
                <w:b w:val="0"/>
                <w:sz w:val="18"/>
                <w:w w:val="97"/>
              </w:rPr>
              <w:t>[1.953, 4.723]</w:t>
            </w:r>
          </w:p>
        </w:tc>
        <w:tc>
          <w:tcPr>
            <w:tcW w:type="dxa" w:w="1063"/>
          </w:tcPr>
          <w:p>
            <w:pPr>
              <w:spacing w:line="240" w:lineRule="auto"/>
              <w:jc w:val="center"/>
            </w:pPr>
            <w:r/>
            <w:r>
              <w:rPr>
                <w:rFonts w:ascii="휴먼명조" w:eastAsia="휴먼명조" w:hAnsi="휴먼명조" w:cs="휴먼명조"/>
                <w:b w:val="0"/>
                <w:sz w:val="18"/>
                <w:w w:val="97"/>
              </w:rPr>
              <w:t>&lt; .001</w:t>
            </w:r>
          </w:p>
        </w:tc>
        <w:tc>
          <w:tcPr>
            <w:tcW w:type="dxa" w:w="1063"/>
          </w:tcPr>
          <w:p>
            <w:pPr>
              <w:spacing w:line="240" w:lineRule="auto"/>
              <w:jc w:val="center"/>
            </w:pPr>
            <w:r/>
            <w:r>
              <w:rPr>
                <w:rFonts w:ascii="휴먼명조" w:eastAsia="휴먼명조" w:hAnsi="휴먼명조" w:cs="휴먼명조"/>
                <w:b w:val="0"/>
                <w:sz w:val="18"/>
                <w:w w:val="97"/>
              </w:rPr>
              <w:t>.0039</w:t>
            </w:r>
          </w:p>
        </w:tc>
      </w:tr>
      <w:tr>
        <w:tc>
          <w:tcPr>
            <w:tcW w:type="dxa" w:w="1063"/>
          </w:tcPr>
          <w:p>
            <w:pPr>
              <w:spacing w:line="240" w:lineRule="auto"/>
              <w:jc w:val="center"/>
            </w:pPr>
            <w:r/>
            <w:r>
              <w:rPr>
                <w:rFonts w:ascii="휴먼명조" w:eastAsia="휴먼명조" w:hAnsi="휴먼명조" w:cs="휴먼명조"/>
                <w:b w:val="0"/>
                <w:sz w:val="18"/>
                <w:w w:val="97"/>
              </w:rPr>
              <w:t>Qwen3-VL-2B</w:t>
            </w:r>
          </w:p>
        </w:tc>
        <w:tc>
          <w:tcPr>
            <w:tcW w:type="dxa" w:w="1063"/>
          </w:tcPr>
          <w:p>
            <w:pPr>
              <w:spacing w:line="240" w:lineRule="auto"/>
              <w:jc w:val="center"/>
            </w:pPr>
            <w:r/>
            <w:r>
              <w:rPr>
                <w:rFonts w:ascii="휴먼명조" w:eastAsia="휴먼명조" w:hAnsi="휴먼명조" w:cs="휴먼명조"/>
                <w:b w:val="0"/>
                <w:sz w:val="18"/>
                <w:w w:val="97"/>
              </w:rPr>
              <w:t>0.4725</w:t>
            </w:r>
          </w:p>
        </w:tc>
        <w:tc>
          <w:tcPr>
            <w:tcW w:type="dxa" w:w="1063"/>
          </w:tcPr>
          <w:p>
            <w:pPr>
              <w:spacing w:line="240" w:lineRule="auto"/>
              <w:jc w:val="center"/>
            </w:pPr>
            <w:r/>
            <w:r>
              <w:rPr>
                <w:rFonts w:ascii="휴먼명조" w:eastAsia="휴먼명조" w:hAnsi="휴먼명조" w:cs="휴먼명조"/>
                <w:b w:val="0"/>
                <w:sz w:val="18"/>
                <w:w w:val="97"/>
              </w:rPr>
              <w:t>0.5845</w:t>
            </w:r>
          </w:p>
        </w:tc>
        <w:tc>
          <w:tcPr>
            <w:tcW w:type="dxa" w:w="1063"/>
          </w:tcPr>
          <w:p>
            <w:pPr>
              <w:spacing w:line="240" w:lineRule="auto"/>
              <w:jc w:val="center"/>
            </w:pPr>
            <w:r/>
            <w:r>
              <w:rPr>
                <w:rFonts w:ascii="휴먼명조" w:eastAsia="휴먼명조" w:hAnsi="휴먼명조" w:cs="휴먼명조"/>
                <w:b/>
                <w:sz w:val="18"/>
                <w:w w:val="97"/>
              </w:rPr>
              <w:t>+1.620</w:t>
            </w:r>
          </w:p>
        </w:tc>
        <w:tc>
          <w:tcPr>
            <w:tcW w:type="dxa" w:w="1063"/>
          </w:tcPr>
          <w:p>
            <w:pPr>
              <w:spacing w:line="240" w:lineRule="auto"/>
              <w:jc w:val="center"/>
            </w:pPr>
            <w:r/>
            <w:r>
              <w:rPr>
                <w:rFonts w:ascii="휴먼명조" w:eastAsia="휴먼명조" w:hAnsi="휴먼명조" w:cs="휴먼명조"/>
                <w:b w:val="0"/>
                <w:sz w:val="18"/>
                <w:w w:val="97"/>
              </w:rPr>
              <w:t>[0.932, 3.153]</w:t>
            </w:r>
          </w:p>
        </w:tc>
        <w:tc>
          <w:tcPr>
            <w:tcW w:type="dxa" w:w="1063"/>
          </w:tcPr>
          <w:p>
            <w:pPr>
              <w:spacing w:line="240" w:lineRule="auto"/>
              <w:jc w:val="center"/>
            </w:pPr>
            <w:r/>
            <w:r>
              <w:rPr>
                <w:rFonts w:ascii="휴먼명조" w:eastAsia="휴먼명조" w:hAnsi="휴먼명조" w:cs="휴먼명조"/>
                <w:b w:val="0"/>
                <w:sz w:val="18"/>
                <w:w w:val="97"/>
              </w:rPr>
              <w:t>.0013</w:t>
            </w:r>
          </w:p>
        </w:tc>
        <w:tc>
          <w:tcPr>
            <w:tcW w:type="dxa" w:w="1063"/>
          </w:tcPr>
          <w:p>
            <w:pPr>
              <w:spacing w:line="240" w:lineRule="auto"/>
              <w:jc w:val="center"/>
            </w:pPr>
            <w:r/>
            <w:r>
              <w:rPr>
                <w:rFonts w:ascii="휴먼명조" w:eastAsia="휴먼명조" w:hAnsi="휴먼명조" w:cs="휴먼명조"/>
                <w:b w:val="0"/>
                <w:sz w:val="18"/>
                <w:w w:val="97"/>
              </w:rPr>
              <w:t>.0039</w:t>
            </w:r>
          </w:p>
        </w:tc>
      </w:tr>
      <w:tr>
        <w:tc>
          <w:tcPr>
            <w:tcW w:type="dxa" w:w="1063"/>
          </w:tcPr>
          <w:p>
            <w:pPr>
              <w:spacing w:line="240" w:lineRule="auto"/>
              <w:jc w:val="center"/>
            </w:pPr>
            <w:r/>
            <w:r>
              <w:rPr>
                <w:rFonts w:ascii="휴먼명조" w:eastAsia="휴먼명조" w:hAnsi="휴먼명조" w:cs="휴먼명조"/>
                <w:b w:val="0"/>
                <w:sz w:val="18"/>
                <w:w w:val="97"/>
              </w:rPr>
              <w:t>SmolVLM2-2.2B</w:t>
            </w:r>
          </w:p>
        </w:tc>
        <w:tc>
          <w:tcPr>
            <w:tcW w:type="dxa" w:w="1063"/>
          </w:tcPr>
          <w:p>
            <w:pPr>
              <w:spacing w:line="240" w:lineRule="auto"/>
              <w:jc w:val="center"/>
            </w:pPr>
            <w:r/>
            <w:r>
              <w:rPr>
                <w:rFonts w:ascii="휴먼명조" w:eastAsia="휴먼명조" w:hAnsi="휴먼명조" w:cs="휴먼명조"/>
                <w:b w:val="0"/>
                <w:sz w:val="18"/>
                <w:w w:val="97"/>
              </w:rPr>
              <w:t>0.4253</w:t>
            </w:r>
          </w:p>
        </w:tc>
        <w:tc>
          <w:tcPr>
            <w:tcW w:type="dxa" w:w="1063"/>
          </w:tcPr>
          <w:p>
            <w:pPr>
              <w:spacing w:line="240" w:lineRule="auto"/>
              <w:jc w:val="center"/>
            </w:pPr>
            <w:r/>
            <w:r>
              <w:rPr>
                <w:rFonts w:ascii="휴먼명조" w:eastAsia="휴먼명조" w:hAnsi="휴먼명조" w:cs="휴먼명조"/>
                <w:b w:val="0"/>
                <w:sz w:val="18"/>
                <w:w w:val="97"/>
              </w:rPr>
              <w:t>0.4036</w:t>
            </w:r>
          </w:p>
        </w:tc>
        <w:tc>
          <w:tcPr>
            <w:tcW w:type="dxa" w:w="1063"/>
          </w:tcPr>
          <w:p>
            <w:pPr>
              <w:spacing w:line="240" w:lineRule="auto"/>
              <w:jc w:val="center"/>
            </w:pPr>
            <w:r/>
            <w:r>
              <w:rPr>
                <w:rFonts w:ascii="휴먼명조" w:eastAsia="휴먼명조" w:hAnsi="휴먼명조" w:cs="휴먼명조"/>
                <w:b/>
                <w:sz w:val="18"/>
                <w:w w:val="97"/>
              </w:rPr>
              <w:t>-2.284</w:t>
            </w:r>
          </w:p>
        </w:tc>
        <w:tc>
          <w:tcPr>
            <w:tcW w:type="dxa" w:w="1063"/>
          </w:tcPr>
          <w:p>
            <w:pPr>
              <w:spacing w:line="240" w:lineRule="auto"/>
              <w:jc w:val="center"/>
            </w:pPr>
            <w:r/>
            <w:r>
              <w:rPr>
                <w:rFonts w:ascii="휴먼명조" w:eastAsia="휴먼명조" w:hAnsi="휴먼명조" w:cs="휴먼명조"/>
                <w:b w:val="0"/>
                <w:sz w:val="18"/>
                <w:w w:val="97"/>
              </w:rPr>
              <w:t>[-3.160, -1.552]</w:t>
            </w:r>
          </w:p>
        </w:tc>
        <w:tc>
          <w:tcPr>
            <w:tcW w:type="dxa" w:w="1063"/>
          </w:tcPr>
          <w:p>
            <w:pPr>
              <w:spacing w:line="240" w:lineRule="auto"/>
              <w:jc w:val="center"/>
            </w:pPr>
            <w:r/>
            <w:r>
              <w:rPr>
                <w:rFonts w:ascii="휴먼명조" w:eastAsia="휴먼명조" w:hAnsi="휴먼명조" w:cs="휴먼명조"/>
                <w:b w:val="0"/>
                <w:sz w:val="18"/>
                <w:w w:val="97"/>
              </w:rPr>
              <w:t>&lt; .001</w:t>
            </w:r>
          </w:p>
        </w:tc>
        <w:tc>
          <w:tcPr>
            <w:tcW w:type="dxa" w:w="1063"/>
          </w:tcPr>
          <w:p>
            <w:pPr>
              <w:spacing w:line="240" w:lineRule="auto"/>
              <w:jc w:val="center"/>
            </w:pPr>
            <w:r/>
            <w:r>
              <w:rPr>
                <w:rFonts w:ascii="휴먼명조" w:eastAsia="휴먼명조" w:hAnsi="휴먼명조" w:cs="휴먼명조"/>
                <w:b w:val="0"/>
                <w:sz w:val="18"/>
                <w:w w:val="97"/>
              </w:rPr>
              <w:t>.0039</w:t>
            </w:r>
          </w:p>
        </w:tc>
      </w:tr>
      <w:tr>
        <w:tc>
          <w:tcPr>
            <w:tcW w:type="dxa" w:w="1063"/>
          </w:tcPr>
          <w:p>
            <w:pPr>
              <w:spacing w:line="240" w:lineRule="auto"/>
              <w:jc w:val="center"/>
            </w:pPr>
            <w:r/>
            <w:r>
              <w:rPr>
                <w:rFonts w:ascii="휴먼명조" w:eastAsia="휴먼명조" w:hAnsi="휴먼명조" w:cs="휴먼명조"/>
                <w:b w:val="0"/>
                <w:sz w:val="18"/>
                <w:w w:val="97"/>
              </w:rPr>
              <w:t>Gemma4-E2B</w:t>
            </w:r>
          </w:p>
        </w:tc>
        <w:tc>
          <w:tcPr>
            <w:tcW w:type="dxa" w:w="1063"/>
          </w:tcPr>
          <w:p>
            <w:pPr>
              <w:spacing w:line="240" w:lineRule="auto"/>
              <w:jc w:val="center"/>
            </w:pPr>
            <w:r/>
            <w:r>
              <w:rPr>
                <w:rFonts w:ascii="휴먼명조" w:eastAsia="휴먼명조" w:hAnsi="휴먼명조" w:cs="휴먼명조"/>
                <w:b w:val="0"/>
                <w:sz w:val="18"/>
                <w:w w:val="97"/>
              </w:rPr>
              <w:t>0.3285</w:t>
            </w:r>
          </w:p>
        </w:tc>
        <w:tc>
          <w:tcPr>
            <w:tcW w:type="dxa" w:w="1063"/>
          </w:tcPr>
          <w:p>
            <w:pPr>
              <w:spacing w:line="240" w:lineRule="auto"/>
              <w:jc w:val="center"/>
            </w:pPr>
            <w:r/>
            <w:r>
              <w:rPr>
                <w:rFonts w:ascii="휴먼명조" w:eastAsia="휴먼명조" w:hAnsi="휴먼명조" w:cs="휴먼명조"/>
                <w:b w:val="0"/>
                <w:sz w:val="18"/>
                <w:w w:val="97"/>
              </w:rPr>
              <w:t>0.2288</w:t>
            </w:r>
          </w:p>
        </w:tc>
        <w:tc>
          <w:tcPr>
            <w:tcW w:type="dxa" w:w="1063"/>
          </w:tcPr>
          <w:p>
            <w:pPr>
              <w:spacing w:line="240" w:lineRule="auto"/>
              <w:jc w:val="center"/>
            </w:pPr>
            <w:r/>
            <w:r>
              <w:rPr>
                <w:rFonts w:ascii="휴먼명조" w:eastAsia="휴먼명조" w:hAnsi="휴먼명조" w:cs="휴먼명조"/>
                <w:b w:val="0"/>
                <w:sz w:val="18"/>
                <w:w w:val="97"/>
              </w:rPr>
              <w:t>-0.652</w:t>
            </w:r>
          </w:p>
        </w:tc>
        <w:tc>
          <w:tcPr>
            <w:tcW w:type="dxa" w:w="1063"/>
          </w:tcPr>
          <w:p>
            <w:pPr>
              <w:spacing w:line="240" w:lineRule="auto"/>
              <w:jc w:val="center"/>
            </w:pPr>
            <w:r/>
            <w:r>
              <w:rPr>
                <w:rFonts w:ascii="휴먼명조" w:eastAsia="휴먼명조" w:hAnsi="휴먼명조" w:cs="휴먼명조"/>
                <w:b w:val="0"/>
                <w:sz w:val="18"/>
                <w:w w:val="97"/>
              </w:rPr>
              <w:t>[-1.599, 0.032]</w:t>
            </w:r>
          </w:p>
        </w:tc>
        <w:tc>
          <w:tcPr>
            <w:tcW w:type="dxa" w:w="1063"/>
          </w:tcPr>
          <w:p>
            <w:pPr>
              <w:spacing w:line="240" w:lineRule="auto"/>
              <w:jc w:val="center"/>
            </w:pPr>
            <w:r/>
            <w:r>
              <w:rPr>
                <w:rFonts w:ascii="휴먼명조" w:eastAsia="휴먼명조" w:hAnsi="휴먼명조" w:cs="휴먼명조"/>
                <w:b w:val="0"/>
                <w:sz w:val="18"/>
                <w:w w:val="97"/>
              </w:rPr>
              <w:t>.0864 (n.s.)</w:t>
            </w:r>
          </w:p>
        </w:tc>
        <w:tc>
          <w:tcPr>
            <w:tcW w:type="dxa" w:w="1063"/>
          </w:tcPr>
          <w:p>
            <w:pPr>
              <w:spacing w:line="240" w:lineRule="auto"/>
              <w:jc w:val="center"/>
            </w:pPr>
            <w:r/>
            <w:r>
              <w:rPr>
                <w:rFonts w:ascii="휴먼명조" w:eastAsia="휴먼명조" w:hAnsi="휴먼명조" w:cs="휴먼명조"/>
                <w:b w:val="0"/>
                <w:sz w:val="18"/>
                <w:w w:val="97"/>
              </w:rPr>
              <w:t>.1289 (n.s.)</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The effect of fine-tuning is heterogeneous across models. </w:t>
      </w:r>
      <w:r>
        <w:rPr>
          <w:rFonts w:ascii="휴먼명조" w:eastAsia="휴먼명조" w:hAnsi="휴먼명조" w:cs="휴먼명조"/>
          <w:b/>
          <w:sz w:val="22"/>
          <w:w w:val="97"/>
        </w:rPr>
        <w:t>Qwen2.5-VL-3B and Qwen3-VL-2B improved significantly</w:t>
      </w:r>
      <w:r>
        <w:rPr>
          <w:rFonts w:ascii="휴먼명조" w:eastAsia="휴먼명조" w:hAnsi="휴먼명조" w:cs="휴먼명조"/>
          <w:b w:val="0"/>
          <w:sz w:val="22"/>
          <w:w w:val="97"/>
        </w:rPr>
        <w:t xml:space="preserve"> (p &lt; .01, large effect size), whereas </w:t>
      </w:r>
      <w:r>
        <w:rPr>
          <w:rFonts w:ascii="휴먼명조" w:eastAsia="휴먼명조" w:hAnsi="휴먼명조" w:cs="휴먼명조"/>
          <w:b/>
          <w:sz w:val="22"/>
          <w:w w:val="97"/>
        </w:rPr>
        <w:t>SmolVLM2-2.2B significantly deteriorated</w:t>
      </w:r>
      <w:r>
        <w:rPr>
          <w:rFonts w:ascii="휴먼명조" w:eastAsia="휴먼명조" w:hAnsi="휴먼명조" w:cs="휴먼명조"/>
          <w:b w:val="0"/>
          <w:sz w:val="22"/>
          <w:w w:val="97"/>
        </w:rPr>
        <w:t>, and Gemma4-E2B moved in a negative direction without reaching statistical significance. All three tests (paired t-test, BCa bootstrap Cohen's d, and Wilcoxon) reached consistent conclusions for each model, supporting the robustness of the result.</w:t>
      </w:r>
    </w:p>
    <w:p>
      <w:pPr>
        <w:spacing w:line="384" w:lineRule="auto" w:after="0"/>
        <w:ind w:firstLine="220"/>
        <w:jc w:val="both"/>
      </w:pPr>
      <w:r>
        <w:rPr>
          <w:rFonts w:ascii="휴먼명조" w:eastAsia="휴먼명조" w:hAnsi="휴먼명조" w:cs="휴먼명조"/>
          <w:b w:val="0"/>
          <w:sz w:val="22"/>
          <w:w w:val="97"/>
        </w:rPr>
        <w:t xml:space="preserve">A Mixed-Effects Model estimated by pooling the four models without distinguishing them (accuracy ~ condition + dataset, group = seed) found no significant fixed effect (coefficient = 0.0268, p = .3629, ICC(seed) = 0.0, n = 72). This is not a computational error but a consequence of </w:t>
      </w:r>
      <w:r>
        <w:rPr>
          <w:rFonts w:ascii="휴먼명조" w:eastAsia="휴먼명조" w:hAnsi="휴먼명조" w:cs="휴먼명조"/>
          <w:b/>
          <w:sz w:val="22"/>
          <w:w w:val="97"/>
        </w:rPr>
        <w:t>heterogeneous effects across models cancelling in the pooled mean</w:t>
      </w:r>
      <w:r>
        <w:rPr>
          <w:rFonts w:ascii="휴먼명조" w:eastAsia="휴먼명조" w:hAnsi="휴먼명조" w:cs="휴먼명조"/>
          <w:b w:val="0"/>
          <w:sz w:val="22"/>
          <w:w w:val="97"/>
        </w:rPr>
        <w:t>. The per-model triple verification above is therefore taken as the primary evidence for RQ2, and the pooled MEM result is cited only as supporting explanation that "the overall effect without distinguishing models is not significant because of heterogeneity."</w:t>
      </w:r>
    </w:p>
    <w:p>
      <w:pPr>
        <w:spacing w:line="384" w:lineRule="auto" w:after="0"/>
        <w:jc w:val="left"/>
        <w:outlineLvl w:val="2"/>
      </w:pPr>
      <w:r>
        <w:rPr>
          <w:rFonts w:ascii="휴먼명조" w:eastAsia="휴먼명조" w:hAnsi="휴먼명조" w:cs="휴먼명조"/>
          <w:b/>
          <w:sz w:val="22"/>
          <w:w w:val="97"/>
        </w:rPr>
        <w:t>4.2.2 Effect of Data Size (Ablation A)</w:t>
      </w:r>
    </w:p>
    <w:p>
      <w:pPr>
        <w:pStyle w:val="표캡션"/>
        <w:spacing w:line="384" w:lineRule="auto" w:after="0"/>
        <w:jc w:val="center"/>
      </w:pPr>
      <w:r>
        <w:rPr>
          <w:rFonts w:ascii="휴먼명조" w:eastAsia="휴먼명조" w:hAnsi="휴먼명조" w:cs="휴먼명조"/>
          <w:b/>
          <w:sz w:val="22"/>
          <w:w w:val="97"/>
        </w:rPr>
        <w:t>Table 4.2a. Performance by training-data ratio (Qwen3-VL-2B, PathVQA, mean of 3 seeds)</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subset_ratio</w:t>
            </w:r>
          </w:p>
        </w:tc>
        <w:tc>
          <w:tcPr>
            <w:tcW w:type="dxa" w:w="2479"/>
          </w:tcPr>
          <w:p>
            <w:pPr>
              <w:spacing w:line="240" w:lineRule="auto"/>
              <w:jc w:val="center"/>
            </w:pPr>
            <w:r/>
            <w:r>
              <w:rPr>
                <w:rFonts w:ascii="휴먼명조" w:eastAsia="휴먼명조" w:hAnsi="휴먼명조" w:cs="휴먼명조"/>
                <w:b/>
                <w:sz w:val="18"/>
                <w:w w:val="97"/>
              </w:rPr>
              <w:t>Training samples</w:t>
            </w:r>
          </w:p>
        </w:tc>
        <w:tc>
          <w:tcPr>
            <w:tcW w:type="dxa" w:w="2479"/>
          </w:tcPr>
          <w:p>
            <w:pPr>
              <w:spacing w:line="240" w:lineRule="auto"/>
              <w:jc w:val="center"/>
            </w:pPr>
            <w:r/>
            <w:r>
              <w:rPr>
                <w:rFonts w:ascii="휴먼명조" w:eastAsia="휴먼명조" w:hAnsi="휴먼명조" w:cs="휴먼명조"/>
                <w:b/>
                <w:sz w:val="18"/>
                <w:w w:val="97"/>
              </w:rPr>
              <w:t>Overall Acc (mean)</w:t>
            </w:r>
          </w:p>
        </w:tc>
      </w:tr>
      <w:tr>
        <w:tc>
          <w:tcPr>
            <w:tcW w:type="dxa" w:w="2479"/>
          </w:tcPr>
          <w:p>
            <w:pPr>
              <w:spacing w:line="240" w:lineRule="auto"/>
              <w:jc w:val="center"/>
            </w:pPr>
            <w:r/>
            <w:r>
              <w:rPr>
                <w:rFonts w:ascii="휴먼명조" w:eastAsia="휴먼명조" w:hAnsi="휴먼명조" w:cs="휴먼명조"/>
                <w:b w:val="0"/>
                <w:sz w:val="18"/>
                <w:w w:val="97"/>
              </w:rPr>
              <w:t>0.05</w:t>
            </w:r>
          </w:p>
        </w:tc>
        <w:tc>
          <w:tcPr>
            <w:tcW w:type="dxa" w:w="2479"/>
          </w:tcPr>
          <w:p>
            <w:pPr>
              <w:spacing w:line="240" w:lineRule="auto"/>
              <w:jc w:val="center"/>
            </w:pPr>
            <w:r/>
            <w:r>
              <w:rPr>
                <w:rFonts w:ascii="휴먼명조" w:eastAsia="휴먼명조" w:hAnsi="휴먼명조" w:cs="휴먼명조"/>
                <w:b w:val="0"/>
                <w:sz w:val="18"/>
                <w:w w:val="97"/>
              </w:rPr>
              <w:t>982</w:t>
            </w:r>
          </w:p>
        </w:tc>
        <w:tc>
          <w:tcPr>
            <w:tcW w:type="dxa" w:w="2479"/>
          </w:tcPr>
          <w:p>
            <w:pPr>
              <w:spacing w:line="240" w:lineRule="auto"/>
              <w:jc w:val="center"/>
            </w:pPr>
            <w:r/>
            <w:r>
              <w:rPr>
                <w:rFonts w:ascii="휴먼명조" w:eastAsia="휴먼명조" w:hAnsi="휴먼명조" w:cs="휴먼명조"/>
                <w:b w:val="0"/>
                <w:sz w:val="18"/>
                <w:w w:val="97"/>
              </w:rPr>
              <w:t>0.4150</w:t>
            </w:r>
          </w:p>
        </w:tc>
      </w:tr>
      <w:tr>
        <w:tc>
          <w:tcPr>
            <w:tcW w:type="dxa" w:w="2479"/>
          </w:tcPr>
          <w:p>
            <w:pPr>
              <w:spacing w:line="240" w:lineRule="auto"/>
              <w:jc w:val="center"/>
            </w:pPr>
            <w:r/>
            <w:r>
              <w:rPr>
                <w:rFonts w:ascii="휴먼명조" w:eastAsia="휴먼명조" w:hAnsi="휴먼명조" w:cs="휴먼명조"/>
                <w:b w:val="0"/>
                <w:sz w:val="18"/>
                <w:w w:val="97"/>
              </w:rPr>
              <w:t>0.10</w:t>
            </w:r>
          </w:p>
        </w:tc>
        <w:tc>
          <w:tcPr>
            <w:tcW w:type="dxa" w:w="2479"/>
          </w:tcPr>
          <w:p>
            <w:pPr>
              <w:spacing w:line="240" w:lineRule="auto"/>
              <w:jc w:val="center"/>
            </w:pPr>
            <w:r/>
            <w:r>
              <w:rPr>
                <w:rFonts w:ascii="휴먼명조" w:eastAsia="휴먼명조" w:hAnsi="휴먼명조" w:cs="휴먼명조"/>
                <w:b w:val="0"/>
                <w:sz w:val="18"/>
                <w:w w:val="97"/>
              </w:rPr>
              <w:t>1,965</w:t>
            </w:r>
          </w:p>
        </w:tc>
        <w:tc>
          <w:tcPr>
            <w:tcW w:type="dxa" w:w="2479"/>
          </w:tcPr>
          <w:p>
            <w:pPr>
              <w:spacing w:line="240" w:lineRule="auto"/>
              <w:jc w:val="center"/>
            </w:pPr>
            <w:r/>
            <w:r>
              <w:rPr>
                <w:rFonts w:ascii="휴먼명조" w:eastAsia="휴먼명조" w:hAnsi="휴먼명조" w:cs="휴먼명조"/>
                <w:b w:val="0"/>
                <w:sz w:val="18"/>
                <w:w w:val="97"/>
              </w:rPr>
              <w:t>0.4309</w:t>
            </w:r>
          </w:p>
        </w:tc>
      </w:tr>
      <w:tr>
        <w:tc>
          <w:tcPr>
            <w:tcW w:type="dxa" w:w="2479"/>
          </w:tcPr>
          <w:p>
            <w:pPr>
              <w:spacing w:line="240" w:lineRule="auto"/>
              <w:jc w:val="center"/>
            </w:pPr>
            <w:r/>
            <w:r>
              <w:rPr>
                <w:rFonts w:ascii="휴먼명조" w:eastAsia="휴먼명조" w:hAnsi="휴먼명조" w:cs="휴먼명조"/>
                <w:b w:val="0"/>
                <w:sz w:val="18"/>
                <w:w w:val="97"/>
              </w:rPr>
              <w:t>0.25</w:t>
            </w:r>
          </w:p>
        </w:tc>
        <w:tc>
          <w:tcPr>
            <w:tcW w:type="dxa" w:w="2479"/>
          </w:tcPr>
          <w:p>
            <w:pPr>
              <w:spacing w:line="240" w:lineRule="auto"/>
              <w:jc w:val="center"/>
            </w:pPr>
            <w:r/>
            <w:r>
              <w:rPr>
                <w:rFonts w:ascii="휴먼명조" w:eastAsia="휴먼명조" w:hAnsi="휴먼명조" w:cs="휴먼명조"/>
                <w:b w:val="0"/>
                <w:sz w:val="18"/>
                <w:w w:val="97"/>
              </w:rPr>
              <w:t>4,913</w:t>
            </w:r>
          </w:p>
        </w:tc>
        <w:tc>
          <w:tcPr>
            <w:tcW w:type="dxa" w:w="2479"/>
          </w:tcPr>
          <w:p>
            <w:pPr>
              <w:spacing w:line="240" w:lineRule="auto"/>
              <w:jc w:val="center"/>
            </w:pPr>
            <w:r/>
            <w:r>
              <w:rPr>
                <w:rFonts w:ascii="휴먼명조" w:eastAsia="휴먼명조" w:hAnsi="휴먼명조" w:cs="휴먼명조"/>
                <w:b w:val="0"/>
                <w:sz w:val="18"/>
                <w:w w:val="97"/>
              </w:rPr>
              <w:t>0.4357</w:t>
            </w:r>
          </w:p>
        </w:tc>
      </w:tr>
      <w:tr>
        <w:tc>
          <w:tcPr>
            <w:tcW w:type="dxa" w:w="2479"/>
          </w:tcPr>
          <w:p>
            <w:pPr>
              <w:spacing w:line="240" w:lineRule="auto"/>
              <w:jc w:val="center"/>
            </w:pPr>
            <w:r/>
            <w:r>
              <w:rPr>
                <w:rFonts w:ascii="휴먼명조" w:eastAsia="휴먼명조" w:hAnsi="휴먼명조" w:cs="휴먼명조"/>
                <w:b w:val="0"/>
                <w:sz w:val="18"/>
                <w:w w:val="97"/>
              </w:rPr>
              <w:t>0.50</w:t>
            </w:r>
          </w:p>
        </w:tc>
        <w:tc>
          <w:tcPr>
            <w:tcW w:type="dxa" w:w="2479"/>
          </w:tcPr>
          <w:p>
            <w:pPr>
              <w:spacing w:line="240" w:lineRule="auto"/>
              <w:jc w:val="center"/>
            </w:pPr>
            <w:r/>
            <w:r>
              <w:rPr>
                <w:rFonts w:ascii="휴먼명조" w:eastAsia="휴먼명조" w:hAnsi="휴먼명조" w:cs="휴먼명조"/>
                <w:b w:val="0"/>
                <w:sz w:val="18"/>
                <w:w w:val="97"/>
              </w:rPr>
              <w:t>9,827</w:t>
            </w:r>
          </w:p>
        </w:tc>
        <w:tc>
          <w:tcPr>
            <w:tcW w:type="dxa" w:w="2479"/>
          </w:tcPr>
          <w:p>
            <w:pPr>
              <w:spacing w:line="240" w:lineRule="auto"/>
              <w:jc w:val="center"/>
            </w:pPr>
            <w:r/>
            <w:r>
              <w:rPr>
                <w:rFonts w:ascii="휴먼명조" w:eastAsia="휴먼명조" w:hAnsi="휴먼명조" w:cs="휴먼명조"/>
                <w:b w:val="0"/>
                <w:sz w:val="18"/>
                <w:w w:val="97"/>
              </w:rPr>
              <w:t>0.4628</w:t>
            </w:r>
          </w:p>
        </w:tc>
      </w:tr>
      <w:tr>
        <w:tc>
          <w:tcPr>
            <w:tcW w:type="dxa" w:w="2479"/>
          </w:tcPr>
          <w:p>
            <w:pPr>
              <w:spacing w:line="240" w:lineRule="auto"/>
              <w:jc w:val="center"/>
            </w:pPr>
            <w:r/>
            <w:r>
              <w:rPr>
                <w:rFonts w:ascii="휴먼명조" w:eastAsia="휴먼명조" w:hAnsi="휴먼명조" w:cs="휴먼명조"/>
                <w:b w:val="0"/>
                <w:sz w:val="18"/>
                <w:w w:val="97"/>
              </w:rPr>
              <w:t>1.00</w:t>
            </w:r>
          </w:p>
        </w:tc>
        <w:tc>
          <w:tcPr>
            <w:tcW w:type="dxa" w:w="2479"/>
          </w:tcPr>
          <w:p>
            <w:pPr>
              <w:spacing w:line="240" w:lineRule="auto"/>
              <w:jc w:val="center"/>
            </w:pPr>
            <w:r/>
            <w:r>
              <w:rPr>
                <w:rFonts w:ascii="휴먼명조" w:eastAsia="휴먼명조" w:hAnsi="휴먼명조" w:cs="휴먼명조"/>
                <w:b w:val="0"/>
                <w:sz w:val="18"/>
                <w:w w:val="97"/>
              </w:rPr>
              <w:t>19,654</w:t>
            </w:r>
          </w:p>
        </w:tc>
        <w:tc>
          <w:tcPr>
            <w:tcW w:type="dxa" w:w="2479"/>
          </w:tcPr>
          <w:p>
            <w:pPr>
              <w:spacing w:line="240" w:lineRule="auto"/>
              <w:jc w:val="center"/>
            </w:pPr>
            <w:r/>
            <w:r>
              <w:rPr>
                <w:rFonts w:ascii="휴먼명조" w:eastAsia="휴먼명조" w:hAnsi="휴먼명조" w:cs="휴먼명조"/>
                <w:b/>
                <w:sz w:val="18"/>
                <w:w w:val="97"/>
              </w:rPr>
              <w:t>0.5019</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Accuracy increases monotonically with the training-data ratio, with no sign of reaching a performance ceiling over the interval from 0.05 to 1.0; within the experimental range, </w:t>
      </w:r>
      <w:r>
        <w:rPr>
          <w:rFonts w:ascii="휴먼명조" w:eastAsia="휴먼명조" w:hAnsi="휴먼명조" w:cs="휴먼명조"/>
          <w:b/>
          <w:sz w:val="22"/>
          <w:w w:val="97"/>
        </w:rPr>
        <w:t>using the full dataset (ratio = 1.0) is optimal</w:t>
      </w:r>
      <w:r>
        <w:rPr>
          <w:rFonts w:ascii="휴먼명조" w:eastAsia="휴먼명조" w:hAnsi="휴먼명조" w:cs="휴먼명조"/>
          <w:b w:val="0"/>
          <w:sz w:val="22"/>
          <w:w w:val="97"/>
        </w:rPr>
        <w:t>.</w:t>
      </w:r>
    </w:p>
    <w:p>
      <w:pPr>
        <w:spacing w:line="384" w:lineRule="auto" w:after="0"/>
        <w:jc w:val="left"/>
      </w:pPr>
      <w:r>
        <w:rPr>
          <w:rFonts w:ascii="휴먼명조" w:eastAsia="휴먼명조" w:hAnsi="휴먼명조" w:cs="휴먼명조"/>
          <w:b/>
          <w:sz w:val="20"/>
          <w:w w:val="97"/>
        </w:rPr>
        <w:t>Bug in the train_time_min field (cause identified)</w:t>
      </w:r>
      <w:r>
        <w:rPr>
          <w:rFonts w:ascii="휴먼명조" w:eastAsia="휴먼명조" w:hAnsi="휴먼명조" w:cs="휴먼명조"/>
          <w:b w:val="0"/>
          <w:sz w:val="20"/>
          <w:w w:val="97"/>
        </w:rPr>
        <w:t xml:space="preserve">: Although not included in the table above, the train_time_min column of phase2_summary.csv is unusually large for seed 42 alone under identical conditions (for example, at ratio = 1.0, seed 42 = 369.6 minutes versus about 28 minutes for seeds 123 and 456). Direct comparison against each condition's train_result.json showed that train_runtime_sec, measured internally by the Trainer, was </w:t>
      </w:r>
      <w:r>
        <w:rPr>
          <w:rFonts w:ascii="휴먼명조" w:eastAsia="휴먼명조" w:hAnsi="휴먼명조" w:cs="휴먼명조"/>
          <w:b/>
          <w:sz w:val="20"/>
          <w:w w:val="97"/>
        </w:rPr>
        <w:t>consistently normal at 27-29 minutes across all seeds</w:t>
      </w:r>
      <w:r>
        <w:rPr>
          <w:rFonts w:ascii="휴먼명조" w:eastAsia="휴먼명조" w:hAnsi="휴먼명조" w:cs="휴먼명조"/>
          <w:b w:val="0"/>
          <w:sz w:val="20"/>
          <w:w w:val="97"/>
        </w:rPr>
        <w:t xml:space="preserve">; the problem lay only in train_time_min, which the wrapping script measures by wall clock. The bug appears only in the condition that </w:t>
      </w:r>
      <w:r>
        <w:rPr>
          <w:rFonts w:ascii="휴먼명조" w:eastAsia="휴먼명조" w:hAnsi="휴먼명조" w:cs="휴먼명조"/>
          <w:b/>
          <w:sz w:val="20"/>
          <w:w w:val="97"/>
        </w:rPr>
        <w:t>first creates</w:t>
      </w:r>
      <w:r>
        <w:rPr>
          <w:rFonts w:ascii="휴먼명조" w:eastAsia="휴먼명조" w:hAnsi="휴먼명조" w:cs="휴먼명조"/>
          <w:b w:val="0"/>
          <w:sz w:val="20"/>
          <w:w w:val="97"/>
        </w:rPr>
        <w:t xml:space="preserve"> the preprocessing cache for a (model, dataset) combination, where the one-off cost of cache creation is added to wall-clock time; the same pattern was confirmed in an exhaustive check of the 36 main conditions (for example, qwen25-vl-3b/pathvqa/seed42 at 395.4 minutes versus 44.9 minutes actual). </w:t>
      </w:r>
      <w:r>
        <w:rPr>
          <w:rFonts w:ascii="휴먼명조" w:eastAsia="휴먼명조" w:hAnsi="휴먼명조" w:cs="휴먼명조"/>
          <w:b/>
          <w:sz w:val="20"/>
          <w:w w:val="97"/>
        </w:rPr>
        <w:t>Training-outcome metrics such as accuracy and loss are unaffected by this bug, and the accuracy-based conclusions of this section are unchanged.</w:t>
      </w:r>
      <w:r>
        <w:rPr>
          <w:rFonts w:ascii="휴먼명조" w:eastAsia="휴먼명조" w:hAnsi="휴먼명조" w:cs="휴먼명조"/>
          <w:b w:val="0"/>
          <w:sz w:val="20"/>
          <w:w w:val="97"/>
        </w:rPr>
        <w:t xml:space="preserve"> Future analyses requiring time comparisons (such as Phase 3 cost estimation) should use train_runtime_sec rather than train_time_min.</w:t>
      </w:r>
    </w:p>
    <w:p>
      <w:pPr>
        <w:spacing w:line="384" w:lineRule="auto" w:after="0"/>
        <w:jc w:val="left"/>
        <w:outlineLvl w:val="2"/>
      </w:pPr>
      <w:r>
        <w:rPr>
          <w:rFonts w:ascii="휴먼명조" w:eastAsia="휴먼명조" w:hAnsi="휴먼명조" w:cs="휴먼명조"/>
          <w:b/>
          <w:sz w:val="22"/>
          <w:w w:val="97"/>
        </w:rPr>
        <w:t>4.2.3 Effect of LoRA Rank (Ablation B)</w:t>
      </w:r>
    </w:p>
    <w:p>
      <w:pPr>
        <w:pStyle w:val="표캡션"/>
        <w:spacing w:line="384" w:lineRule="auto" w:after="0"/>
        <w:jc w:val="center"/>
      </w:pPr>
      <w:r>
        <w:rPr>
          <w:rFonts w:ascii="휴먼명조" w:eastAsia="휴먼명조" w:hAnsi="휴먼명조" w:cs="휴먼명조"/>
          <w:b/>
          <w:sz w:val="22"/>
          <w:w w:val="97"/>
        </w:rPr>
        <w:t>Table 4.2b. Performance by LoRA rank (Qwen3-VL-2B, PathVQA, mean of 3 seeds)</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LoRA rank</w:t>
            </w:r>
          </w:p>
        </w:tc>
        <w:tc>
          <w:tcPr>
            <w:tcW w:type="dxa" w:w="2479"/>
          </w:tcPr>
          <w:p>
            <w:pPr>
              <w:spacing w:line="240" w:lineRule="auto"/>
              <w:jc w:val="center"/>
            </w:pPr>
            <w:r/>
            <w:r>
              <w:rPr>
                <w:rFonts w:ascii="휴먼명조" w:eastAsia="휴먼명조" w:hAnsi="휴먼명조" w:cs="휴먼명조"/>
                <w:b/>
                <w:sz w:val="18"/>
                <w:w w:val="97"/>
              </w:rPr>
              <w:t>Peak VRAM (MB)</w:t>
            </w:r>
          </w:p>
        </w:tc>
        <w:tc>
          <w:tcPr>
            <w:tcW w:type="dxa" w:w="2479"/>
          </w:tcPr>
          <w:p>
            <w:pPr>
              <w:spacing w:line="240" w:lineRule="auto"/>
              <w:jc w:val="center"/>
            </w:pPr>
            <w:r/>
            <w:r>
              <w:rPr>
                <w:rFonts w:ascii="휴먼명조" w:eastAsia="휴먼명조" w:hAnsi="휴먼명조" w:cs="휴먼명조"/>
                <w:b/>
                <w:sz w:val="18"/>
                <w:w w:val="97"/>
              </w:rPr>
              <w:t>Overall Acc (mean)</w:t>
            </w:r>
          </w:p>
        </w:tc>
      </w:tr>
      <w:tr>
        <w:tc>
          <w:tcPr>
            <w:tcW w:type="dxa" w:w="2479"/>
          </w:tcPr>
          <w:p>
            <w:pPr>
              <w:spacing w:line="240" w:lineRule="auto"/>
              <w:jc w:val="center"/>
            </w:pPr>
            <w:r/>
            <w:r>
              <w:rPr>
                <w:rFonts w:ascii="휴먼명조" w:eastAsia="휴먼명조" w:hAnsi="휴먼명조" w:cs="휴먼명조"/>
                <w:b w:val="0"/>
                <w:sz w:val="18"/>
                <w:w w:val="97"/>
              </w:rPr>
              <w:t>4</w:t>
            </w:r>
          </w:p>
        </w:tc>
        <w:tc>
          <w:tcPr>
            <w:tcW w:type="dxa" w:w="2479"/>
          </w:tcPr>
          <w:p>
            <w:pPr>
              <w:spacing w:line="240" w:lineRule="auto"/>
              <w:jc w:val="center"/>
            </w:pPr>
            <w:r/>
            <w:r>
              <w:rPr>
                <w:rFonts w:ascii="휴먼명조" w:eastAsia="휴먼명조" w:hAnsi="휴먼명조" w:cs="휴먼명조"/>
                <w:b w:val="0"/>
                <w:sz w:val="18"/>
                <w:w w:val="97"/>
              </w:rPr>
              <w:t>3,870.6</w:t>
            </w:r>
          </w:p>
        </w:tc>
        <w:tc>
          <w:tcPr>
            <w:tcW w:type="dxa" w:w="2479"/>
          </w:tcPr>
          <w:p>
            <w:pPr>
              <w:spacing w:line="240" w:lineRule="auto"/>
              <w:jc w:val="center"/>
            </w:pPr>
            <w:r/>
            <w:r>
              <w:rPr>
                <w:rFonts w:ascii="휴먼명조" w:eastAsia="휴먼명조" w:hAnsi="휴먼명조" w:cs="휴먼명조"/>
                <w:b w:val="0"/>
                <w:sz w:val="18"/>
                <w:w w:val="97"/>
              </w:rPr>
              <w:t>0.4733</w:t>
            </w:r>
          </w:p>
        </w:tc>
      </w:tr>
      <w:tr>
        <w:tc>
          <w:tcPr>
            <w:tcW w:type="dxa" w:w="2479"/>
          </w:tcPr>
          <w:p>
            <w:pPr>
              <w:spacing w:line="240" w:lineRule="auto"/>
              <w:jc w:val="center"/>
            </w:pPr>
            <w:r/>
            <w:r>
              <w:rPr>
                <w:rFonts w:ascii="휴먼명조" w:eastAsia="휴먼명조" w:hAnsi="휴먼명조" w:cs="휴먼명조"/>
                <w:b w:val="0"/>
                <w:sz w:val="18"/>
                <w:w w:val="97"/>
              </w:rPr>
              <w:t>8</w:t>
            </w:r>
          </w:p>
        </w:tc>
        <w:tc>
          <w:tcPr>
            <w:tcW w:type="dxa" w:w="2479"/>
          </w:tcPr>
          <w:p>
            <w:pPr>
              <w:spacing w:line="240" w:lineRule="auto"/>
              <w:jc w:val="center"/>
            </w:pPr>
            <w:r/>
            <w:r>
              <w:rPr>
                <w:rFonts w:ascii="휴먼명조" w:eastAsia="휴먼명조" w:hAnsi="휴먼명조" w:cs="휴먼명조"/>
                <w:b w:val="0"/>
                <w:sz w:val="18"/>
                <w:w w:val="97"/>
              </w:rPr>
              <w:t>3,875.2</w:t>
            </w:r>
          </w:p>
        </w:tc>
        <w:tc>
          <w:tcPr>
            <w:tcW w:type="dxa" w:w="2479"/>
          </w:tcPr>
          <w:p>
            <w:pPr>
              <w:spacing w:line="240" w:lineRule="auto"/>
              <w:jc w:val="center"/>
            </w:pPr>
            <w:r/>
            <w:r>
              <w:rPr>
                <w:rFonts w:ascii="휴먼명조" w:eastAsia="휴먼명조" w:hAnsi="휴먼명조" w:cs="휴먼명조"/>
                <w:b w:val="0"/>
                <w:sz w:val="18"/>
                <w:w w:val="97"/>
              </w:rPr>
              <w:t>0.4907</w:t>
            </w:r>
          </w:p>
        </w:tc>
      </w:tr>
      <w:tr>
        <w:tc>
          <w:tcPr>
            <w:tcW w:type="dxa" w:w="2479"/>
          </w:tcPr>
          <w:p>
            <w:pPr>
              <w:spacing w:line="240" w:lineRule="auto"/>
              <w:jc w:val="center"/>
            </w:pPr>
            <w:r/>
            <w:r>
              <w:rPr>
                <w:rFonts w:ascii="휴먼명조" w:eastAsia="휴먼명조" w:hAnsi="휴먼명조" w:cs="휴먼명조"/>
                <w:b w:val="0"/>
                <w:sz w:val="18"/>
                <w:w w:val="97"/>
              </w:rPr>
              <w:t>16</w:t>
            </w:r>
          </w:p>
        </w:tc>
        <w:tc>
          <w:tcPr>
            <w:tcW w:type="dxa" w:w="2479"/>
          </w:tcPr>
          <w:p>
            <w:pPr>
              <w:spacing w:line="240" w:lineRule="auto"/>
              <w:jc w:val="center"/>
            </w:pPr>
            <w:r/>
            <w:r>
              <w:rPr>
                <w:rFonts w:ascii="휴먼명조" w:eastAsia="휴먼명조" w:hAnsi="휴먼명조" w:cs="휴먼명조"/>
                <w:b w:val="0"/>
                <w:sz w:val="18"/>
                <w:w w:val="97"/>
              </w:rPr>
              <w:t>3,884.4</w:t>
            </w:r>
          </w:p>
        </w:tc>
        <w:tc>
          <w:tcPr>
            <w:tcW w:type="dxa" w:w="2479"/>
          </w:tcPr>
          <w:p>
            <w:pPr>
              <w:spacing w:line="240" w:lineRule="auto"/>
              <w:jc w:val="center"/>
            </w:pPr>
            <w:r/>
            <w:r>
              <w:rPr>
                <w:rFonts w:ascii="휴먼명조" w:eastAsia="휴먼명조" w:hAnsi="휴먼명조" w:cs="휴먼명조"/>
                <w:b w:val="0"/>
                <w:sz w:val="18"/>
                <w:w w:val="97"/>
              </w:rPr>
              <w:t>0.5020</w:t>
            </w:r>
          </w:p>
        </w:tc>
      </w:tr>
      <w:tr>
        <w:tc>
          <w:tcPr>
            <w:tcW w:type="dxa" w:w="2479"/>
          </w:tcPr>
          <w:p>
            <w:pPr>
              <w:spacing w:line="240" w:lineRule="auto"/>
              <w:jc w:val="center"/>
            </w:pPr>
            <w:r/>
            <w:r>
              <w:rPr>
                <w:rFonts w:ascii="휴먼명조" w:eastAsia="휴먼명조" w:hAnsi="휴먼명조" w:cs="휴먼명조"/>
                <w:b w:val="0"/>
                <w:sz w:val="18"/>
                <w:w w:val="97"/>
              </w:rPr>
              <w:t>32</w:t>
            </w:r>
          </w:p>
        </w:tc>
        <w:tc>
          <w:tcPr>
            <w:tcW w:type="dxa" w:w="2479"/>
          </w:tcPr>
          <w:p>
            <w:pPr>
              <w:spacing w:line="240" w:lineRule="auto"/>
              <w:jc w:val="center"/>
            </w:pPr>
            <w:r/>
            <w:r>
              <w:rPr>
                <w:rFonts w:ascii="휴먼명조" w:eastAsia="휴먼명조" w:hAnsi="휴먼명조" w:cs="휴먼명조"/>
                <w:b w:val="0"/>
                <w:sz w:val="18"/>
                <w:w w:val="97"/>
              </w:rPr>
              <w:t>3,902.8</w:t>
            </w:r>
          </w:p>
        </w:tc>
        <w:tc>
          <w:tcPr>
            <w:tcW w:type="dxa" w:w="2479"/>
          </w:tcPr>
          <w:p>
            <w:pPr>
              <w:spacing w:line="240" w:lineRule="auto"/>
              <w:jc w:val="center"/>
            </w:pPr>
            <w:r/>
            <w:r>
              <w:rPr>
                <w:rFonts w:ascii="휴먼명조" w:eastAsia="휴먼명조" w:hAnsi="휴먼명조" w:cs="휴먼명조"/>
                <w:b w:val="0"/>
                <w:sz w:val="18"/>
                <w:w w:val="97"/>
              </w:rPr>
              <w:t>0.5172</w:t>
            </w:r>
          </w:p>
        </w:tc>
      </w:tr>
      <w:tr>
        <w:tc>
          <w:tcPr>
            <w:tcW w:type="dxa" w:w="2479"/>
          </w:tcPr>
          <w:p>
            <w:pPr>
              <w:spacing w:line="240" w:lineRule="auto"/>
              <w:jc w:val="center"/>
            </w:pPr>
            <w:r/>
            <w:r>
              <w:rPr>
                <w:rFonts w:ascii="휴먼명조" w:eastAsia="휴먼명조" w:hAnsi="휴먼명조" w:cs="휴먼명조"/>
                <w:b w:val="0"/>
                <w:sz w:val="18"/>
                <w:w w:val="97"/>
              </w:rPr>
              <w:t>64</w:t>
            </w:r>
          </w:p>
        </w:tc>
        <w:tc>
          <w:tcPr>
            <w:tcW w:type="dxa" w:w="2479"/>
          </w:tcPr>
          <w:p>
            <w:pPr>
              <w:spacing w:line="240" w:lineRule="auto"/>
              <w:jc w:val="center"/>
            </w:pPr>
            <w:r/>
            <w:r>
              <w:rPr>
                <w:rFonts w:ascii="휴먼명조" w:eastAsia="휴먼명조" w:hAnsi="휴먼명조" w:cs="휴먼명조"/>
                <w:b w:val="0"/>
                <w:sz w:val="18"/>
                <w:w w:val="97"/>
              </w:rPr>
              <w:t>3,918.8</w:t>
            </w:r>
          </w:p>
        </w:tc>
        <w:tc>
          <w:tcPr>
            <w:tcW w:type="dxa" w:w="2479"/>
          </w:tcPr>
          <w:p>
            <w:pPr>
              <w:spacing w:line="240" w:lineRule="auto"/>
              <w:jc w:val="center"/>
            </w:pPr>
            <w:r/>
            <w:r>
              <w:rPr>
                <w:rFonts w:ascii="휴먼명조" w:eastAsia="휴먼명조" w:hAnsi="휴먼명조" w:cs="휴먼명조"/>
                <w:b/>
                <w:sz w:val="18"/>
                <w:w w:val="97"/>
              </w:rPr>
              <w:t>0.5210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Performance increases monotonically with rank, though the gain flattens between 32 and 64 (+0.0038 from 32 to 64 versus +0.0152 from 16 to 32), while the VRAM increase across the whole range from rank 4 to 64 is a negligible 1.3% (3,870.6 → 3,918.8 MB). Since the performance gain relative to VRAM cost remains positive, </w:t>
      </w:r>
      <w:r>
        <w:rPr>
          <w:rFonts w:ascii="휴먼명조" w:eastAsia="휴먼명조" w:hAnsi="휴먼명조" w:cs="휴먼명조"/>
          <w:b/>
          <w:sz w:val="22"/>
          <w:w w:val="97"/>
        </w:rPr>
        <w:t>rank = 64 was adopted</w:t>
      </w:r>
      <w:r>
        <w:rPr>
          <w:rFonts w:ascii="휴먼명조" w:eastAsia="휴먼명조" w:hAnsi="휴먼명조" w:cs="휴먼명조"/>
          <w:b w:val="0"/>
          <w:sz w:val="22"/>
          <w:w w:val="97"/>
        </w:rPr>
        <w:t xml:space="preserve"> (the setting used in the Phase 2 main experiment).</w:t>
      </w:r>
    </w:p>
    <w:p>
      <w:pPr>
        <w:spacing w:line="384" w:lineRule="auto" w:after="0"/>
        <w:jc w:val="left"/>
        <w:outlineLvl w:val="2"/>
      </w:pPr>
      <w:r>
        <w:rPr>
          <w:rFonts w:ascii="휴먼명조" w:eastAsia="휴먼명조" w:hAnsi="휴먼명조" w:cs="휴먼명조"/>
          <w:b/>
          <w:sz w:val="22"/>
          <w:w w:val="97"/>
        </w:rPr>
        <w:t>4.2.4 Effect of Target Modules (Ablation C)</w:t>
      </w:r>
    </w:p>
    <w:p>
      <w:pPr>
        <w:pStyle w:val="표캡션"/>
        <w:spacing w:line="384" w:lineRule="auto" w:after="0"/>
        <w:jc w:val="center"/>
      </w:pPr>
      <w:r>
        <w:rPr>
          <w:rFonts w:ascii="휴먼명조" w:eastAsia="휴먼명조" w:hAnsi="휴먼명조" w:cs="휴먼명조"/>
          <w:b/>
          <w:sz w:val="22"/>
          <w:w w:val="97"/>
        </w:rPr>
        <w:t>Table 4.2c. Performance by target-module scope (Qwen3-VL-2B, PathVQA, mean of 3 seeds)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Setting</w:t>
            </w:r>
          </w:p>
        </w:tc>
        <w:tc>
          <w:tcPr>
            <w:tcW w:type="dxa" w:w="1859"/>
          </w:tcPr>
          <w:p>
            <w:pPr>
              <w:spacing w:line="240" w:lineRule="auto"/>
              <w:jc w:val="center"/>
            </w:pPr>
            <w:r/>
            <w:r>
              <w:rPr>
                <w:rFonts w:ascii="휴먼명조" w:eastAsia="휴먼명조" w:hAnsi="휴먼명조" w:cs="휴먼명조"/>
                <w:b/>
                <w:sz w:val="18"/>
                <w:w w:val="97"/>
              </w:rPr>
              <w:t>Target modules</w:t>
            </w:r>
          </w:p>
        </w:tc>
        <w:tc>
          <w:tcPr>
            <w:tcW w:type="dxa" w:w="1859"/>
          </w:tcPr>
          <w:p>
            <w:pPr>
              <w:spacing w:line="240" w:lineRule="auto"/>
              <w:jc w:val="center"/>
            </w:pPr>
            <w:r/>
            <w:r>
              <w:rPr>
                <w:rFonts w:ascii="휴먼명조" w:eastAsia="휴먼명조" w:hAnsi="휴먼명조" w:cs="휴먼명조"/>
                <w:b/>
                <w:sz w:val="18"/>
                <w:w w:val="97"/>
              </w:rPr>
              <w:t>Trainable-parameter ratio</w:t>
            </w:r>
          </w:p>
        </w:tc>
        <w:tc>
          <w:tcPr>
            <w:tcW w:type="dxa" w:w="1859"/>
          </w:tcPr>
          <w:p>
            <w:pPr>
              <w:spacing w:line="240" w:lineRule="auto"/>
              <w:jc w:val="center"/>
            </w:pPr>
            <w:r/>
            <w:r>
              <w:rPr>
                <w:rFonts w:ascii="휴먼명조" w:eastAsia="휴먼명조" w:hAnsi="휴먼명조" w:cs="휴먼명조"/>
                <w:b/>
                <w:sz w:val="18"/>
                <w:w w:val="97"/>
              </w:rPr>
              <w:t>Overall Acc (mean)</w:t>
            </w:r>
          </w:p>
        </w:tc>
      </w:tr>
      <w:tr>
        <w:tc>
          <w:tcPr>
            <w:tcW w:type="dxa" w:w="1859"/>
          </w:tcPr>
          <w:p>
            <w:pPr>
              <w:spacing w:line="240" w:lineRule="auto"/>
              <w:jc w:val="center"/>
            </w:pPr>
            <w:r/>
            <w:r>
              <w:rPr>
                <w:rFonts w:ascii="휴먼명조" w:eastAsia="휴먼명조" w:hAnsi="휴먼명조" w:cs="휴먼명조"/>
                <w:b w:val="0"/>
                <w:sz w:val="18"/>
                <w:w w:val="97"/>
              </w:rPr>
              <w:t>minimal</w:t>
            </w:r>
          </w:p>
        </w:tc>
        <w:tc>
          <w:tcPr>
            <w:tcW w:type="dxa" w:w="1859"/>
          </w:tcPr>
          <w:p>
            <w:pPr>
              <w:spacing w:line="240" w:lineRule="auto"/>
              <w:jc w:val="center"/>
            </w:pPr>
            <w:r/>
            <w:r>
              <w:rPr>
                <w:rFonts w:ascii="휴먼명조" w:eastAsia="휴먼명조" w:hAnsi="휴먼명조" w:cs="휴먼명조"/>
                <w:b w:val="0"/>
                <w:sz w:val="18"/>
                <w:w w:val="97"/>
              </w:rPr>
              <w:t>q_proj, v_proj</w:t>
            </w:r>
          </w:p>
        </w:tc>
        <w:tc>
          <w:tcPr>
            <w:tcW w:type="dxa" w:w="1859"/>
          </w:tcPr>
          <w:p>
            <w:pPr>
              <w:spacing w:line="240" w:lineRule="auto"/>
              <w:jc w:val="center"/>
            </w:pPr>
            <w:r/>
            <w:r>
              <w:rPr>
                <w:rFonts w:ascii="휴먼명조" w:eastAsia="휴먼명조" w:hAnsi="휴먼명조" w:cs="휴먼명조"/>
                <w:b w:val="0"/>
                <w:sz w:val="18"/>
                <w:w w:val="97"/>
              </w:rPr>
              <w:t>0.21%</w:t>
            </w:r>
          </w:p>
        </w:tc>
        <w:tc>
          <w:tcPr>
            <w:tcW w:type="dxa" w:w="1859"/>
          </w:tcPr>
          <w:p>
            <w:pPr>
              <w:spacing w:line="240" w:lineRule="auto"/>
              <w:jc w:val="center"/>
            </w:pPr>
            <w:r/>
            <w:r>
              <w:rPr>
                <w:rFonts w:ascii="휴먼명조" w:eastAsia="휴먼명조" w:hAnsi="휴먼명조" w:cs="휴먼명조"/>
                <w:b w:val="0"/>
                <w:sz w:val="18"/>
                <w:w w:val="97"/>
              </w:rPr>
              <w:t>0.5015</w:t>
            </w:r>
          </w:p>
        </w:tc>
      </w:tr>
      <w:tr>
        <w:tc>
          <w:tcPr>
            <w:tcW w:type="dxa" w:w="1859"/>
          </w:tcPr>
          <w:p>
            <w:pPr>
              <w:spacing w:line="240" w:lineRule="auto"/>
              <w:jc w:val="center"/>
            </w:pPr>
            <w:r/>
            <w:r>
              <w:rPr>
                <w:rFonts w:ascii="휴먼명조" w:eastAsia="휴먼명조" w:hAnsi="휴먼명조" w:cs="휴먼명조"/>
                <w:b w:val="0"/>
                <w:sz w:val="18"/>
                <w:w w:val="97"/>
              </w:rPr>
              <w:t>medium</w:t>
            </w:r>
          </w:p>
        </w:tc>
        <w:tc>
          <w:tcPr>
            <w:tcW w:type="dxa" w:w="1859"/>
          </w:tcPr>
          <w:p>
            <w:pPr>
              <w:spacing w:line="240" w:lineRule="auto"/>
              <w:jc w:val="center"/>
            </w:pPr>
            <w:r/>
            <w:r>
              <w:rPr>
                <w:rFonts w:ascii="휴먼명조" w:eastAsia="휴먼명조" w:hAnsi="휴먼명조" w:cs="휴먼명조"/>
                <w:b w:val="0"/>
                <w:sz w:val="18"/>
                <w:w w:val="97"/>
              </w:rPr>
              <w:t>q/k/v/o_proj</w:t>
            </w:r>
          </w:p>
        </w:tc>
        <w:tc>
          <w:tcPr>
            <w:tcW w:type="dxa" w:w="1859"/>
          </w:tcPr>
          <w:p>
            <w:pPr>
              <w:spacing w:line="240" w:lineRule="auto"/>
              <w:jc w:val="center"/>
            </w:pPr>
            <w:r/>
            <w:r>
              <w:rPr>
                <w:rFonts w:ascii="휴먼명조" w:eastAsia="휴먼명조" w:hAnsi="휴먼명조" w:cs="휴먼명조"/>
                <w:b w:val="0"/>
                <w:sz w:val="18"/>
                <w:w w:val="97"/>
              </w:rPr>
              <w:t>0.43%</w:t>
            </w:r>
          </w:p>
        </w:tc>
        <w:tc>
          <w:tcPr>
            <w:tcW w:type="dxa" w:w="1859"/>
          </w:tcPr>
          <w:p>
            <w:pPr>
              <w:spacing w:line="240" w:lineRule="auto"/>
              <w:jc w:val="center"/>
            </w:pPr>
            <w:r/>
            <w:r>
              <w:rPr>
                <w:rFonts w:ascii="휴먼명조" w:eastAsia="휴먼명조" w:hAnsi="휴먼명조" w:cs="휴먼명조"/>
                <w:b w:val="0"/>
                <w:sz w:val="18"/>
                <w:w w:val="97"/>
              </w:rPr>
              <w:t>0.5155</w:t>
            </w:r>
          </w:p>
        </w:tc>
      </w:tr>
      <w:tr>
        <w:tc>
          <w:tcPr>
            <w:tcW w:type="dxa" w:w="1859"/>
          </w:tcPr>
          <w:p>
            <w:pPr>
              <w:spacing w:line="240" w:lineRule="auto"/>
              <w:jc w:val="center"/>
            </w:pPr>
            <w:r/>
            <w:r>
              <w:rPr>
                <w:rFonts w:ascii="휴먼명조" w:eastAsia="휴먼명조" w:hAnsi="휴먼명조" w:cs="휴먼명조"/>
                <w:b/>
                <w:sz w:val="18"/>
                <w:w w:val="97"/>
              </w:rPr>
              <w:t>full</w:t>
            </w:r>
          </w:p>
        </w:tc>
        <w:tc>
          <w:tcPr>
            <w:tcW w:type="dxa" w:w="1859"/>
          </w:tcPr>
          <w:p>
            <w:pPr>
              <w:spacing w:line="240" w:lineRule="auto"/>
              <w:jc w:val="center"/>
            </w:pPr>
            <w:r/>
            <w:r>
              <w:rPr>
                <w:rFonts w:ascii="휴먼명조" w:eastAsia="휴먼명조" w:hAnsi="휴먼명조" w:cs="휴먼명조"/>
                <w:b w:val="0"/>
                <w:sz w:val="18"/>
                <w:w w:val="97"/>
              </w:rPr>
              <w:t>all-linear</w:t>
            </w:r>
          </w:p>
        </w:tc>
        <w:tc>
          <w:tcPr>
            <w:tcW w:type="dxa" w:w="1859"/>
          </w:tcPr>
          <w:p>
            <w:pPr>
              <w:spacing w:line="240" w:lineRule="auto"/>
              <w:jc w:val="center"/>
            </w:pPr>
            <w:r/>
            <w:r>
              <w:rPr>
                <w:rFonts w:ascii="휴먼명조" w:eastAsia="휴먼명조" w:hAnsi="휴먼명조" w:cs="휴먼명조"/>
                <w:b w:val="0"/>
                <w:sz w:val="18"/>
                <w:w w:val="97"/>
              </w:rPr>
              <w:t>1.55%</w:t>
            </w:r>
          </w:p>
        </w:tc>
        <w:tc>
          <w:tcPr>
            <w:tcW w:type="dxa" w:w="1859"/>
          </w:tcPr>
          <w:p>
            <w:pPr>
              <w:spacing w:line="240" w:lineRule="auto"/>
              <w:jc w:val="center"/>
            </w:pPr>
            <w:r/>
            <w:r>
              <w:rPr>
                <w:rFonts w:ascii="휴먼명조" w:eastAsia="휴먼명조" w:hAnsi="휴먼명조" w:cs="휴먼명조"/>
                <w:b/>
                <w:sz w:val="18"/>
                <w:w w:val="97"/>
              </w:rPr>
              <w:t>0.5400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Performance increases monotonically as the target-module scope widens (LoRA applied to more linear layers). </w:t>
      </w:r>
      <w:r>
        <w:rPr>
          <w:rFonts w:ascii="휴먼명조" w:eastAsia="휴먼명조" w:hAnsi="휴먼명조" w:cs="휴먼명조"/>
          <w:b/>
          <w:sz w:val="22"/>
          <w:w w:val="97"/>
        </w:rPr>
        <w:t>full (all-linear) gives the best performance of the three settings</w:t>
      </w:r>
      <w:r>
        <w:rPr>
          <w:rFonts w:ascii="휴먼명조" w:eastAsia="휴먼명조" w:hAnsi="휴먼명조" w:cs="휴먼명조"/>
          <w:b w:val="0"/>
          <w:sz w:val="22"/>
          <w:w w:val="97"/>
        </w:rPr>
        <w:t xml:space="preserve"> and was adopted as the default configuration of the Phase 2 main experiment (rank = 64, alpha = 128, </w:t>
      </w:r>
      <w:r>
        <w:rPr>
          <w:rFonts w:ascii="휴먼명조" w:eastAsia="휴먼명조" w:hAnsi="휴먼명조" w:cs="휴먼명조"/>
          <w:b/>
          <w:sz w:val="22"/>
          <w:w w:val="97"/>
        </w:rPr>
        <w:t>target = all-linear</w:t>
      </w:r>
      <w:r>
        <w:rPr>
          <w:rFonts w:ascii="휴먼명조" w:eastAsia="휴먼명조" w:hAnsi="휴먼명조" w:cs="휴먼명조"/>
          <w:b w:val="0"/>
          <w:sz w:val="22"/>
          <w:w w:val="97"/>
        </w:rPr>
        <w:t>). It should be noted, however, that these three axes (ratio, rank, target) were each verified independently with the other two held fixed; the combination applying all three optima simultaneously was not itself separately verified (see the limitations in Section 5.3).</w:t>
      </w:r>
    </w:p>
    <w:p>
      <w:pPr>
        <w:spacing w:line="384" w:lineRule="auto" w:after="0"/>
        <w:jc w:val="left"/>
        <w:outlineLvl w:val="2"/>
      </w:pPr>
      <w:r>
        <w:rPr>
          <w:rFonts w:ascii="휴먼명조" w:eastAsia="휴먼명조" w:hAnsi="휴먼명조" w:cs="휴먼명조"/>
          <w:b/>
          <w:sz w:val="22"/>
          <w:w w:val="97"/>
        </w:rPr>
        <w:t>4.2.5 Catastrophic Forgetting Analysis (VQAv2 + cross-dataset)</w:t>
      </w:r>
    </w:p>
    <w:p>
      <w:pPr>
        <w:spacing w:line="384" w:lineRule="auto" w:after="0"/>
        <w:ind w:firstLine="220"/>
        <w:jc w:val="both"/>
      </w:pPr>
      <w:r>
        <w:rPr>
          <w:rFonts w:ascii="휴먼명조" w:eastAsia="휴먼명조" w:hAnsi="휴먼명조" w:cs="휴먼명조"/>
          <w:b/>
          <w:sz w:val="22"/>
          <w:w w:val="97"/>
        </w:rPr>
        <w:t>(A) Loss of general capability — measured on a VQAv2 validation subset (2,000 samples)</w:t>
      </w:r>
    </w:p>
    <w:p>
      <w:pPr>
        <w:pStyle w:val="표캡션"/>
        <w:spacing w:line="384" w:lineRule="auto" w:after="0"/>
        <w:jc w:val="center"/>
      </w:pPr>
      <w:r>
        <w:rPr>
          <w:rFonts w:ascii="휴먼명조" w:eastAsia="휴먼명조" w:hAnsi="휴먼명조" w:cs="휴먼명조"/>
          <w:b/>
          <w:sz w:val="22"/>
          <w:w w:val="97"/>
        </w:rPr>
        <w:t>Table 4.2d. VQAv2 performance degradation rate by model (n = 9 = mean over 3 datasets × 3 seeds)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Model</w:t>
            </w:r>
          </w:p>
        </w:tc>
        <w:tc>
          <w:tcPr>
            <w:tcW w:type="dxa" w:w="1859"/>
          </w:tcPr>
          <w:p>
            <w:pPr>
              <w:spacing w:line="240" w:lineRule="auto"/>
              <w:jc w:val="center"/>
            </w:pPr>
            <w:r/>
            <w:r>
              <w:rPr>
                <w:rFonts w:ascii="휴먼명조" w:eastAsia="휴먼명조" w:hAnsi="휴먼명조" w:cs="휴먼명조"/>
                <w:b/>
                <w:sz w:val="18"/>
                <w:w w:val="97"/>
              </w:rPr>
              <w:t>Mean degradation (%)</w:t>
            </w:r>
          </w:p>
        </w:tc>
        <w:tc>
          <w:tcPr>
            <w:tcW w:type="dxa" w:w="1859"/>
          </w:tcPr>
          <w:p>
            <w:pPr>
              <w:spacing w:line="240" w:lineRule="auto"/>
              <w:jc w:val="center"/>
            </w:pPr>
            <w:r/>
            <w:r>
              <w:rPr>
                <w:rFonts w:ascii="휴먼명조" w:eastAsia="휴먼명조" w:hAnsi="휴먼명조" w:cs="휴먼명조"/>
                <w:b/>
                <w:sz w:val="18"/>
                <w:w w:val="97"/>
              </w:rPr>
              <w:t>SD</w:t>
            </w:r>
          </w:p>
        </w:tc>
        <w:tc>
          <w:tcPr>
            <w:tcW w:type="dxa" w:w="1859"/>
          </w:tcPr>
          <w:p>
            <w:pPr>
              <w:spacing w:line="240" w:lineRule="auto"/>
              <w:jc w:val="center"/>
            </w:pPr>
            <w:r/>
            <w:r>
              <w:rPr>
                <w:rFonts w:ascii="휴먼명조" w:eastAsia="휴먼명조" w:hAnsi="휴먼명조" w:cs="휴먼명조"/>
                <w:b/>
                <w:sz w:val="18"/>
                <w:w w:val="97"/>
              </w:rPr>
              <w:t>Range</w:t>
            </w:r>
          </w:p>
        </w:tc>
      </w:tr>
      <w:tr>
        <w:tc>
          <w:tcPr>
            <w:tcW w:type="dxa" w:w="1859"/>
          </w:tcPr>
          <w:p>
            <w:pPr>
              <w:spacing w:line="240" w:lineRule="auto"/>
              <w:jc w:val="center"/>
            </w:pPr>
            <w:r/>
            <w:r>
              <w:rPr>
                <w:rFonts w:ascii="휴먼명조" w:eastAsia="휴먼명조" w:hAnsi="휴먼명조" w:cs="휴먼명조"/>
                <w:b/>
                <w:sz w:val="18"/>
                <w:w w:val="97"/>
              </w:rPr>
              <w:t>Gemma4-E2B</w:t>
            </w:r>
          </w:p>
        </w:tc>
        <w:tc>
          <w:tcPr>
            <w:tcW w:type="dxa" w:w="1859"/>
          </w:tcPr>
          <w:p>
            <w:pPr>
              <w:spacing w:line="240" w:lineRule="auto"/>
              <w:jc w:val="center"/>
            </w:pPr>
            <w:r/>
            <w:r>
              <w:rPr>
                <w:rFonts w:ascii="휴먼명조" w:eastAsia="휴먼명조" w:hAnsi="휴먼명조" w:cs="휴먼명조"/>
                <w:b/>
                <w:sz w:val="18"/>
                <w:w w:val="97"/>
              </w:rPr>
              <w:t>51.50</w:t>
            </w:r>
          </w:p>
        </w:tc>
        <w:tc>
          <w:tcPr>
            <w:tcW w:type="dxa" w:w="1859"/>
          </w:tcPr>
          <w:p>
            <w:pPr>
              <w:spacing w:line="240" w:lineRule="auto"/>
              <w:jc w:val="center"/>
            </w:pPr>
            <w:r/>
            <w:r>
              <w:rPr>
                <w:rFonts w:ascii="휴먼명조" w:eastAsia="휴먼명조" w:hAnsi="휴먼명조" w:cs="휴먼명조"/>
                <w:b w:val="0"/>
                <w:sz w:val="18"/>
                <w:w w:val="97"/>
              </w:rPr>
              <w:t>4.74</w:t>
            </w:r>
          </w:p>
        </w:tc>
        <w:tc>
          <w:tcPr>
            <w:tcW w:type="dxa" w:w="1859"/>
          </w:tcPr>
          <w:p>
            <w:pPr>
              <w:spacing w:line="240" w:lineRule="auto"/>
              <w:jc w:val="center"/>
            </w:pPr>
            <w:r/>
            <w:r>
              <w:rPr>
                <w:rFonts w:ascii="휴먼명조" w:eastAsia="휴먼명조" w:hAnsi="휴먼명조" w:cs="휴먼명조"/>
                <w:b w:val="0"/>
                <w:sz w:val="18"/>
                <w:w w:val="97"/>
              </w:rPr>
              <w:t>43.50 - 57.49</w:t>
            </w:r>
          </w:p>
        </w:tc>
      </w:tr>
      <w:tr>
        <w:tc>
          <w:tcPr>
            <w:tcW w:type="dxa" w:w="1859"/>
          </w:tcPr>
          <w:p>
            <w:pPr>
              <w:spacing w:line="240" w:lineRule="auto"/>
              <w:jc w:val="center"/>
            </w:pPr>
            <w:r/>
            <w:r>
              <w:rPr>
                <w:rFonts w:ascii="휴먼명조" w:eastAsia="휴먼명조" w:hAnsi="휴먼명조" w:cs="휴먼명조"/>
                <w:b w:val="0"/>
                <w:sz w:val="18"/>
                <w:w w:val="97"/>
              </w:rPr>
              <w:t>Qwen3-VL-2B</w:t>
            </w:r>
          </w:p>
        </w:tc>
        <w:tc>
          <w:tcPr>
            <w:tcW w:type="dxa" w:w="1859"/>
          </w:tcPr>
          <w:p>
            <w:pPr>
              <w:spacing w:line="240" w:lineRule="auto"/>
              <w:jc w:val="center"/>
            </w:pPr>
            <w:r/>
            <w:r>
              <w:rPr>
                <w:rFonts w:ascii="휴먼명조" w:eastAsia="휴먼명조" w:hAnsi="휴먼명조" w:cs="휴먼명조"/>
                <w:b w:val="0"/>
                <w:sz w:val="18"/>
                <w:w w:val="97"/>
              </w:rPr>
              <w:t>7.23</w:t>
            </w:r>
          </w:p>
        </w:tc>
        <w:tc>
          <w:tcPr>
            <w:tcW w:type="dxa" w:w="1859"/>
          </w:tcPr>
          <w:p>
            <w:pPr>
              <w:spacing w:line="240" w:lineRule="auto"/>
              <w:jc w:val="center"/>
            </w:pPr>
            <w:r/>
            <w:r>
              <w:rPr>
                <w:rFonts w:ascii="휴먼명조" w:eastAsia="휴먼명조" w:hAnsi="휴먼명조" w:cs="휴먼명조"/>
                <w:b w:val="0"/>
                <w:sz w:val="18"/>
                <w:w w:val="97"/>
              </w:rPr>
              <w:t>3.11</w:t>
            </w:r>
          </w:p>
        </w:tc>
        <w:tc>
          <w:tcPr>
            <w:tcW w:type="dxa" w:w="1859"/>
          </w:tcPr>
          <w:p>
            <w:pPr>
              <w:spacing w:line="240" w:lineRule="auto"/>
              <w:jc w:val="center"/>
            </w:pPr>
            <w:r/>
            <w:r>
              <w:rPr>
                <w:rFonts w:ascii="휴먼명조" w:eastAsia="휴먼명조" w:hAnsi="휴먼명조" w:cs="휴먼명조"/>
                <w:b w:val="0"/>
                <w:sz w:val="18"/>
                <w:w w:val="97"/>
              </w:rPr>
              <w:t>3.29 - 10.47</w:t>
            </w:r>
          </w:p>
        </w:tc>
      </w:tr>
      <w:tr>
        <w:tc>
          <w:tcPr>
            <w:tcW w:type="dxa" w:w="1859"/>
          </w:tcPr>
          <w:p>
            <w:pPr>
              <w:spacing w:line="240" w:lineRule="auto"/>
              <w:jc w:val="center"/>
            </w:pPr>
            <w:r/>
            <w:r>
              <w:rPr>
                <w:rFonts w:ascii="휴먼명조" w:eastAsia="휴먼명조" w:hAnsi="휴먼명조" w:cs="휴먼명조"/>
                <w:b w:val="0"/>
                <w:sz w:val="18"/>
                <w:w w:val="97"/>
              </w:rPr>
              <w:t>Qwen2.5-VL-3B</w:t>
            </w:r>
          </w:p>
        </w:tc>
        <w:tc>
          <w:tcPr>
            <w:tcW w:type="dxa" w:w="1859"/>
          </w:tcPr>
          <w:p>
            <w:pPr>
              <w:spacing w:line="240" w:lineRule="auto"/>
              <w:jc w:val="center"/>
            </w:pPr>
            <w:r/>
            <w:r>
              <w:rPr>
                <w:rFonts w:ascii="휴먼명조" w:eastAsia="휴먼명조" w:hAnsi="휴먼명조" w:cs="휴먼명조"/>
                <w:b w:val="0"/>
                <w:sz w:val="18"/>
                <w:w w:val="97"/>
              </w:rPr>
              <w:t>4.42</w:t>
            </w:r>
          </w:p>
        </w:tc>
        <w:tc>
          <w:tcPr>
            <w:tcW w:type="dxa" w:w="1859"/>
          </w:tcPr>
          <w:p>
            <w:pPr>
              <w:spacing w:line="240" w:lineRule="auto"/>
              <w:jc w:val="center"/>
            </w:pPr>
            <w:r/>
            <w:r>
              <w:rPr>
                <w:rFonts w:ascii="휴먼명조" w:eastAsia="휴먼명조" w:hAnsi="휴먼명조" w:cs="휴먼명조"/>
                <w:b w:val="0"/>
                <w:sz w:val="18"/>
                <w:w w:val="97"/>
              </w:rPr>
              <w:t>3.60</w:t>
            </w:r>
          </w:p>
        </w:tc>
        <w:tc>
          <w:tcPr>
            <w:tcW w:type="dxa" w:w="1859"/>
          </w:tcPr>
          <w:p>
            <w:pPr>
              <w:spacing w:line="240" w:lineRule="auto"/>
              <w:jc w:val="center"/>
            </w:pPr>
            <w:r/>
            <w:r>
              <w:rPr>
                <w:rFonts w:ascii="휴먼명조" w:eastAsia="휴먼명조" w:hAnsi="휴먼명조" w:cs="휴먼명조"/>
                <w:b w:val="0"/>
                <w:sz w:val="18"/>
                <w:w w:val="97"/>
              </w:rPr>
              <w:t>-0.34 - 8.30</w:t>
            </w:r>
          </w:p>
        </w:tc>
      </w:tr>
      <w:tr>
        <w:tc>
          <w:tcPr>
            <w:tcW w:type="dxa" w:w="1859"/>
          </w:tcPr>
          <w:p>
            <w:pPr>
              <w:spacing w:line="240" w:lineRule="auto"/>
              <w:jc w:val="center"/>
            </w:pPr>
            <w:r/>
            <w:r>
              <w:rPr>
                <w:rFonts w:ascii="휴먼명조" w:eastAsia="휴먼명조" w:hAnsi="휴먼명조" w:cs="휴먼명조"/>
                <w:b w:val="0"/>
                <w:sz w:val="18"/>
                <w:w w:val="97"/>
              </w:rPr>
              <w:t>SmolVLM2-2.2B</w:t>
            </w:r>
          </w:p>
        </w:tc>
        <w:tc>
          <w:tcPr>
            <w:tcW w:type="dxa" w:w="1859"/>
          </w:tcPr>
          <w:p>
            <w:pPr>
              <w:spacing w:line="240" w:lineRule="auto"/>
              <w:jc w:val="center"/>
            </w:pPr>
            <w:r/>
            <w:r>
              <w:rPr>
                <w:rFonts w:ascii="휴먼명조" w:eastAsia="휴먼명조" w:hAnsi="휴먼명조" w:cs="휴먼명조"/>
                <w:b w:val="0"/>
                <w:sz w:val="18"/>
                <w:w w:val="97"/>
              </w:rPr>
              <w:t>0.49</w:t>
            </w:r>
          </w:p>
        </w:tc>
        <w:tc>
          <w:tcPr>
            <w:tcW w:type="dxa" w:w="1859"/>
          </w:tcPr>
          <w:p>
            <w:pPr>
              <w:spacing w:line="240" w:lineRule="auto"/>
              <w:jc w:val="center"/>
            </w:pPr>
            <w:r/>
            <w:r>
              <w:rPr>
                <w:rFonts w:ascii="휴먼명조" w:eastAsia="휴먼명조" w:hAnsi="휴먼명조" w:cs="휴먼명조"/>
                <w:b w:val="0"/>
                <w:sz w:val="18"/>
                <w:w w:val="97"/>
              </w:rPr>
              <w:t>0.29</w:t>
            </w:r>
          </w:p>
        </w:tc>
        <w:tc>
          <w:tcPr>
            <w:tcW w:type="dxa" w:w="1859"/>
          </w:tcPr>
          <w:p>
            <w:pPr>
              <w:spacing w:line="240" w:lineRule="auto"/>
              <w:jc w:val="center"/>
            </w:pPr>
            <w:r/>
            <w:r>
              <w:rPr>
                <w:rFonts w:ascii="휴먼명조" w:eastAsia="휴먼명조" w:hAnsi="휴먼명조" w:cs="휴먼명조"/>
                <w:b w:val="0"/>
                <w:sz w:val="18"/>
                <w:w w:val="97"/>
              </w:rPr>
              <w:t>0.15 - 0.96</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The degree of general-capability loss measured on VQAv2 diverges sharply across models. </w:t>
      </w:r>
      <w:r>
        <w:rPr>
          <w:rFonts w:ascii="휴먼명조" w:eastAsia="휴먼명조" w:hAnsi="휴먼명조" w:cs="휴먼명조"/>
          <w:b/>
          <w:sz w:val="22"/>
          <w:w w:val="97"/>
        </w:rPr>
        <w:t>Gemma4-E2B loses on average 51.5% of its VQAv2 performance after fine-tuning</w:t>
      </w:r>
      <w:r>
        <w:rPr>
          <w:rFonts w:ascii="휴먼명조" w:eastAsia="휴먼명조" w:hAnsi="휴먼명조" w:cs="휴먼명조"/>
          <w:b w:val="0"/>
          <w:sz w:val="22"/>
          <w:w w:val="97"/>
        </w:rPr>
        <w:t xml:space="preserve">, exhibiting clear catastrophic forgetting, whereas </w:t>
      </w:r>
      <w:r>
        <w:rPr>
          <w:rFonts w:ascii="휴먼명조" w:eastAsia="휴먼명조" w:hAnsi="휴먼명조" w:cs="휴먼명조"/>
          <w:b/>
          <w:sz w:val="22"/>
          <w:w w:val="97"/>
        </w:rPr>
        <w:t>SmolVLM2-2.2B shows essentially no degradation (mean 0.49%)</w:t>
      </w:r>
      <w:r>
        <w:rPr>
          <w:rFonts w:ascii="휴먼명조" w:eastAsia="휴먼명조" w:hAnsi="휴먼명조" w:cs="휴먼명조"/>
          <w:b w:val="0"/>
          <w:sz w:val="22"/>
          <w:w w:val="97"/>
        </w:rPr>
        <w:t>. Interestingly, this ordering runs opposite to the ranking of domain-performance improvement in Section 4.2.1: the Qwen family, which gained most in the domain, gives up some general capability (4-7%), while Gemma4-E2B suffers a double loss — neither significant domain improvement (Section 4.2.1) nor retention of general capability (51.5% loss) — and SmolVLM2-2.2B preserves general capability but significantly deteriorates in the domain. This correlation is an observed pattern; the present study did not separately verify a causal relationship.</w:t>
      </w:r>
    </w:p>
    <w:p>
      <w:pPr>
        <w:spacing w:line="384" w:lineRule="auto" w:after="0"/>
        <w:ind w:firstLine="220"/>
        <w:jc w:val="both"/>
      </w:pPr>
      <w:r>
        <w:rPr>
          <w:rFonts w:ascii="휴먼명조" w:eastAsia="휴먼명조" w:hAnsi="휴먼명조" w:cs="휴먼명조"/>
          <w:b/>
          <w:sz w:val="22"/>
          <w:w w:val="97"/>
        </w:rPr>
        <w:t>(B) Cross-dataset generalization gap — rate of change when evaluated on a dataset other than the training domain</w:t>
      </w:r>
    </w:p>
    <w:p>
      <w:pPr>
        <w:pStyle w:val="표캡션"/>
        <w:spacing w:line="384" w:lineRule="auto" w:after="0"/>
        <w:jc w:val="center"/>
      </w:pPr>
      <w:r>
        <w:rPr>
          <w:rFonts w:ascii="휴먼명조" w:eastAsia="휴먼명조" w:hAnsi="휴먼명조" w:cs="휴먼명조"/>
          <w:b/>
          <w:sz w:val="22"/>
          <w:w w:val="97"/>
        </w:rPr>
        <w:t>Table 4.2e. Cross-dataset performance change rate by model (n = 18 = 2 eval sets × 3 training sets × 3 seeds)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Model</w:t>
            </w:r>
          </w:p>
        </w:tc>
        <w:tc>
          <w:tcPr>
            <w:tcW w:type="dxa" w:w="1859"/>
          </w:tcPr>
          <w:p>
            <w:pPr>
              <w:spacing w:line="240" w:lineRule="auto"/>
              <w:jc w:val="center"/>
            </w:pPr>
            <w:r/>
            <w:r>
              <w:rPr>
                <w:rFonts w:ascii="휴먼명조" w:eastAsia="휴먼명조" w:hAnsi="휴먼명조" w:cs="휴먼명조"/>
                <w:b/>
                <w:sz w:val="18"/>
                <w:w w:val="97"/>
              </w:rPr>
              <w:t>Mean change (%)</w:t>
            </w:r>
          </w:p>
        </w:tc>
        <w:tc>
          <w:tcPr>
            <w:tcW w:type="dxa" w:w="1859"/>
          </w:tcPr>
          <w:p>
            <w:pPr>
              <w:spacing w:line="240" w:lineRule="auto"/>
              <w:jc w:val="center"/>
            </w:pPr>
            <w:r/>
            <w:r>
              <w:rPr>
                <w:rFonts w:ascii="휴먼명조" w:eastAsia="휴먼명조" w:hAnsi="휴먼명조" w:cs="휴먼명조"/>
                <w:b/>
                <w:sz w:val="18"/>
                <w:w w:val="97"/>
              </w:rPr>
              <w:t>SD</w:t>
            </w:r>
          </w:p>
        </w:tc>
        <w:tc>
          <w:tcPr>
            <w:tcW w:type="dxa" w:w="1859"/>
          </w:tcPr>
          <w:p>
            <w:pPr>
              <w:spacing w:line="240" w:lineRule="auto"/>
              <w:jc w:val="center"/>
            </w:pPr>
            <w:r/>
            <w:r>
              <w:rPr>
                <w:rFonts w:ascii="휴먼명조" w:eastAsia="휴먼명조" w:hAnsi="휴먼명조" w:cs="휴먼명조"/>
                <w:b/>
                <w:sz w:val="18"/>
                <w:w w:val="97"/>
              </w:rPr>
              <w:t>Share positive</w:t>
            </w:r>
          </w:p>
        </w:tc>
      </w:tr>
      <w:tr>
        <w:tc>
          <w:tcPr>
            <w:tcW w:type="dxa" w:w="1859"/>
          </w:tcPr>
          <w:p>
            <w:pPr>
              <w:spacing w:line="240" w:lineRule="auto"/>
              <w:jc w:val="center"/>
            </w:pPr>
            <w:r/>
            <w:r>
              <w:rPr>
                <w:rFonts w:ascii="휴먼명조" w:eastAsia="휴먼명조" w:hAnsi="휴먼명조" w:cs="휴먼명조"/>
                <w:b w:val="0"/>
                <w:sz w:val="18"/>
                <w:w w:val="97"/>
              </w:rPr>
              <w:t>Gemma4-E2B</w:t>
            </w:r>
          </w:p>
        </w:tc>
        <w:tc>
          <w:tcPr>
            <w:tcW w:type="dxa" w:w="1859"/>
          </w:tcPr>
          <w:p>
            <w:pPr>
              <w:spacing w:line="240" w:lineRule="auto"/>
              <w:jc w:val="center"/>
            </w:pPr>
            <w:r/>
            <w:r>
              <w:rPr>
                <w:rFonts w:ascii="휴먼명조" w:eastAsia="휴먼명조" w:hAnsi="휴먼명조" w:cs="휴먼명조"/>
                <w:b w:val="0"/>
                <w:sz w:val="18"/>
                <w:w w:val="97"/>
              </w:rPr>
              <w:t>+73.94</w:t>
            </w:r>
          </w:p>
        </w:tc>
        <w:tc>
          <w:tcPr>
            <w:tcW w:type="dxa" w:w="1859"/>
          </w:tcPr>
          <w:p>
            <w:pPr>
              <w:spacing w:line="240" w:lineRule="auto"/>
              <w:jc w:val="center"/>
            </w:pPr>
            <w:r/>
            <w:r>
              <w:rPr>
                <w:rFonts w:ascii="휴먼명조" w:eastAsia="휴먼명조" w:hAnsi="휴먼명조" w:cs="휴먼명조"/>
                <w:b w:val="0"/>
                <w:sz w:val="18"/>
                <w:w w:val="97"/>
              </w:rPr>
              <w:t>79.97</w:t>
            </w:r>
          </w:p>
        </w:tc>
        <w:tc>
          <w:tcPr>
            <w:tcW w:type="dxa" w:w="1859"/>
          </w:tcPr>
          <w:p>
            <w:pPr>
              <w:spacing w:line="240" w:lineRule="auto"/>
              <w:jc w:val="center"/>
            </w:pPr>
            <w:r/>
            <w:r>
              <w:rPr>
                <w:rFonts w:ascii="휴먼명조" w:eastAsia="휴먼명조" w:hAnsi="휴먼명조" w:cs="휴먼명조"/>
                <w:b w:val="0"/>
                <w:sz w:val="18"/>
                <w:w w:val="97"/>
              </w:rPr>
              <w:t>15/18</w:t>
            </w:r>
          </w:p>
        </w:tc>
      </w:tr>
      <w:tr>
        <w:tc>
          <w:tcPr>
            <w:tcW w:type="dxa" w:w="1859"/>
          </w:tcPr>
          <w:p>
            <w:pPr>
              <w:spacing w:line="240" w:lineRule="auto"/>
              <w:jc w:val="center"/>
            </w:pPr>
            <w:r/>
            <w:r>
              <w:rPr>
                <w:rFonts w:ascii="휴먼명조" w:eastAsia="휴먼명조" w:hAnsi="휴먼명조" w:cs="휴먼명조"/>
                <w:b w:val="0"/>
                <w:sz w:val="18"/>
                <w:w w:val="97"/>
              </w:rPr>
              <w:t>Qwen2.5-VL-3B</w:t>
            </w:r>
          </w:p>
        </w:tc>
        <w:tc>
          <w:tcPr>
            <w:tcW w:type="dxa" w:w="1859"/>
          </w:tcPr>
          <w:p>
            <w:pPr>
              <w:spacing w:line="240" w:lineRule="auto"/>
              <w:jc w:val="center"/>
            </w:pPr>
            <w:r/>
            <w:r>
              <w:rPr>
                <w:rFonts w:ascii="휴먼명조" w:eastAsia="휴먼명조" w:hAnsi="휴먼명조" w:cs="휴먼명조"/>
                <w:b w:val="0"/>
                <w:sz w:val="18"/>
                <w:w w:val="97"/>
              </w:rPr>
              <w:t>+0.38</w:t>
            </w:r>
          </w:p>
        </w:tc>
        <w:tc>
          <w:tcPr>
            <w:tcW w:type="dxa" w:w="1859"/>
          </w:tcPr>
          <w:p>
            <w:pPr>
              <w:spacing w:line="240" w:lineRule="auto"/>
              <w:jc w:val="center"/>
            </w:pPr>
            <w:r/>
            <w:r>
              <w:rPr>
                <w:rFonts w:ascii="휴먼명조" w:eastAsia="휴먼명조" w:hAnsi="휴먼명조" w:cs="휴먼명조"/>
                <w:b w:val="0"/>
                <w:sz w:val="18"/>
                <w:w w:val="97"/>
              </w:rPr>
              <w:t>4.98</w:t>
            </w:r>
          </w:p>
        </w:tc>
        <w:tc>
          <w:tcPr>
            <w:tcW w:type="dxa" w:w="1859"/>
          </w:tcPr>
          <w:p>
            <w:pPr>
              <w:spacing w:line="240" w:lineRule="auto"/>
              <w:jc w:val="center"/>
            </w:pPr>
            <w:r/>
            <w:r>
              <w:rPr>
                <w:rFonts w:ascii="휴먼명조" w:eastAsia="휴먼명조" w:hAnsi="휴먼명조" w:cs="휴먼명조"/>
                <w:b w:val="0"/>
                <w:sz w:val="18"/>
                <w:w w:val="97"/>
              </w:rPr>
              <w:t>9/18</w:t>
            </w:r>
          </w:p>
        </w:tc>
      </w:tr>
      <w:tr>
        <w:tc>
          <w:tcPr>
            <w:tcW w:type="dxa" w:w="1859"/>
          </w:tcPr>
          <w:p>
            <w:pPr>
              <w:spacing w:line="240" w:lineRule="auto"/>
              <w:jc w:val="center"/>
            </w:pPr>
            <w:r/>
            <w:r>
              <w:rPr>
                <w:rFonts w:ascii="휴먼명조" w:eastAsia="휴먼명조" w:hAnsi="휴먼명조" w:cs="휴먼명조"/>
                <w:b w:val="0"/>
                <w:sz w:val="18"/>
                <w:w w:val="97"/>
              </w:rPr>
              <w:t>Qwen3-VL-2B</w:t>
            </w:r>
          </w:p>
        </w:tc>
        <w:tc>
          <w:tcPr>
            <w:tcW w:type="dxa" w:w="1859"/>
          </w:tcPr>
          <w:p>
            <w:pPr>
              <w:spacing w:line="240" w:lineRule="auto"/>
              <w:jc w:val="center"/>
            </w:pPr>
            <w:r/>
            <w:r>
              <w:rPr>
                <w:rFonts w:ascii="휴먼명조" w:eastAsia="휴먼명조" w:hAnsi="휴먼명조" w:cs="휴먼명조"/>
                <w:b w:val="0"/>
                <w:sz w:val="18"/>
                <w:w w:val="97"/>
              </w:rPr>
              <w:t>-9.46</w:t>
            </w:r>
          </w:p>
        </w:tc>
        <w:tc>
          <w:tcPr>
            <w:tcW w:type="dxa" w:w="1859"/>
          </w:tcPr>
          <w:p>
            <w:pPr>
              <w:spacing w:line="240" w:lineRule="auto"/>
              <w:jc w:val="center"/>
            </w:pPr>
            <w:r/>
            <w:r>
              <w:rPr>
                <w:rFonts w:ascii="휴먼명조" w:eastAsia="휴먼명조" w:hAnsi="휴먼명조" w:cs="휴먼명조"/>
                <w:b w:val="0"/>
                <w:sz w:val="18"/>
                <w:w w:val="97"/>
              </w:rPr>
              <w:t>9.23</w:t>
            </w:r>
          </w:p>
        </w:tc>
        <w:tc>
          <w:tcPr>
            <w:tcW w:type="dxa" w:w="1859"/>
          </w:tcPr>
          <w:p>
            <w:pPr>
              <w:spacing w:line="240" w:lineRule="auto"/>
              <w:jc w:val="center"/>
            </w:pPr>
            <w:r/>
            <w:r>
              <w:rPr>
                <w:rFonts w:ascii="휴먼명조" w:eastAsia="휴먼명조" w:hAnsi="휴먼명조" w:cs="휴먼명조"/>
                <w:b w:val="0"/>
                <w:sz w:val="18"/>
                <w:w w:val="97"/>
              </w:rPr>
              <w:t>3/18</w:t>
            </w:r>
          </w:p>
        </w:tc>
      </w:tr>
      <w:tr>
        <w:tc>
          <w:tcPr>
            <w:tcW w:type="dxa" w:w="1859"/>
          </w:tcPr>
          <w:p>
            <w:pPr>
              <w:spacing w:line="240" w:lineRule="auto"/>
              <w:jc w:val="center"/>
            </w:pPr>
            <w:r/>
            <w:r>
              <w:rPr>
                <w:rFonts w:ascii="휴먼명조" w:eastAsia="휴먼명조" w:hAnsi="휴먼명조" w:cs="휴먼명조"/>
                <w:b w:val="0"/>
                <w:sz w:val="18"/>
                <w:w w:val="97"/>
              </w:rPr>
              <w:t>SmolVLM2-2.2B</w:t>
            </w:r>
          </w:p>
        </w:tc>
        <w:tc>
          <w:tcPr>
            <w:tcW w:type="dxa" w:w="1859"/>
          </w:tcPr>
          <w:p>
            <w:pPr>
              <w:spacing w:line="240" w:lineRule="auto"/>
              <w:jc w:val="center"/>
            </w:pPr>
            <w:r/>
            <w:r>
              <w:rPr>
                <w:rFonts w:ascii="휴먼명조" w:eastAsia="휴먼명조" w:hAnsi="휴먼명조" w:cs="휴먼명조"/>
                <w:b/>
                <w:sz w:val="18"/>
                <w:w w:val="97"/>
              </w:rPr>
              <w:t>-31.53</w:t>
            </w:r>
          </w:p>
        </w:tc>
        <w:tc>
          <w:tcPr>
            <w:tcW w:type="dxa" w:w="1859"/>
          </w:tcPr>
          <w:p>
            <w:pPr>
              <w:spacing w:line="240" w:lineRule="auto"/>
              <w:jc w:val="center"/>
            </w:pPr>
            <w:r/>
            <w:r>
              <w:rPr>
                <w:rFonts w:ascii="휴먼명조" w:eastAsia="휴먼명조" w:hAnsi="휴먼명조" w:cs="휴먼명조"/>
                <w:b w:val="0"/>
                <w:sz w:val="18"/>
                <w:w w:val="97"/>
              </w:rPr>
              <w:t>17.49</w:t>
            </w:r>
          </w:p>
        </w:tc>
        <w:tc>
          <w:tcPr>
            <w:tcW w:type="dxa" w:w="1859"/>
          </w:tcPr>
          <w:p>
            <w:pPr>
              <w:spacing w:line="240" w:lineRule="auto"/>
              <w:jc w:val="center"/>
            </w:pPr>
            <w:r/>
            <w:r>
              <w:rPr>
                <w:rFonts w:ascii="휴먼명조" w:eastAsia="휴먼명조" w:hAnsi="휴먼명조" w:cs="휴먼명조"/>
                <w:b w:val="0"/>
                <w:sz w:val="18"/>
                <w:w w:val="97"/>
              </w:rPr>
              <w:t>0/18</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As already defined in the research design, PathVQA (pathology tissue) and SLAKE/VQA-RAD (radiological images) differ in image domain itself, so (B) is interpreted as a </w:t>
      </w:r>
      <w:r>
        <w:rPr>
          <w:rFonts w:ascii="휴먼명조" w:eastAsia="휴먼명조" w:hAnsi="휴먼명조" w:cs="휴먼명조"/>
          <w:b/>
          <w:sz w:val="22"/>
          <w:w w:val="97"/>
        </w:rPr>
        <w:t>domain-generalization gap</w:t>
      </w:r>
      <w:r>
        <w:rPr>
          <w:rFonts w:ascii="휴먼명조" w:eastAsia="휴먼명조" w:hAnsi="휴먼명조" w:cs="휴먼명조"/>
          <w:b w:val="0"/>
          <w:sz w:val="22"/>
          <w:w w:val="97"/>
        </w:rPr>
        <w:t xml:space="preserve"> rather than catastrophic forgetting in the strict sense. SmolVLM2-2.2B shows a clear fall in performance on other datasets the more it specializes on one (mean -31.5%, negative in all 18 conditions), whereas Gemma4-E2B rises substantially on average (+73.9%), albeit with extreme variability (SD 79.97, ranging from -8.06% to +205.56%). This large positive mean for Gemma4-E2B may be a floor effect arising from the low zero-shot baseline identified in Section 4.1 (about 0.10 on PathVQA in particular): when base accuracy is very low, relative change rates are easily exaggerated in either direction. For all 72 conditions in detail, see results/phase2_finetune/cross_dataset_cf_summary.md.</w:t>
      </w:r>
    </w:p>
    <w:p>
      <w:pPr>
        <w:spacing w:line="384" w:lineRule="auto" w:after="0"/>
        <w:jc w:val="left"/>
        <w:outlineLvl w:val="1"/>
      </w:pPr>
      <w:r>
        <w:rPr>
          <w:rFonts w:ascii="휴먼명조" w:eastAsia="휴먼명조" w:hAnsi="휴먼명조" w:cs="휴먼명조"/>
          <w:b/>
          <w:sz w:val="28"/>
          <w:w w:val="97"/>
        </w:rPr>
        <w:t>4.3 Phase 3: Autonomous Hyperparameter Optimization Results</w:t>
      </w:r>
    </w:p>
    <w:p>
      <w:pPr>
        <w:spacing w:line="384" w:lineRule="auto" w:after="0"/>
        <w:ind w:firstLine="220"/>
        <w:jc w:val="both"/>
      </w:pPr>
      <w:r>
        <w:rPr>
          <w:rFonts w:ascii="휴먼명조" w:eastAsia="휴먼명조" w:hAnsi="휴먼명조" w:cs="휴먼명조"/>
          <w:b w:val="0"/>
          <w:sz w:val="22"/>
          <w:w w:val="97"/>
        </w:rPr>
        <w:t>Phase 3 fixed Qwen3-VL-2B — the best performer in Phase 2 — on PathVQA and compared four hyperparameter search strategies (Manual, Random Search, Optuna (TPE), and Autoresearch (LLM agent)) under identical conditions, answering RQ3 ("does an LLM agent's autonomous search reach performance competitive with existing HPO techniques?"). Training volume was controlled at max_steps=200 for all trials, and the final execution scale was Manual 10 + Random 200 + Optuna 200 + Autoresearch 200 = 610 trials in total (20 trials per strategy × 10 independent repeats; Manual has one trial per repeat).</w:t>
      </w:r>
    </w:p>
    <w:p>
      <w:pPr>
        <w:spacing w:line="384" w:lineRule="auto" w:after="0"/>
        <w:ind w:firstLine="220"/>
        <w:jc w:val="both"/>
      </w:pPr>
      <w:r>
        <w:rPr>
          <w:rFonts w:ascii="휴먼명조" w:eastAsia="휴먼명조" w:hAnsi="휴먼명조" w:cs="휴먼명조"/>
          <w:b w:val="0"/>
          <w:sz w:val="22"/>
          <w:w w:val="97"/>
        </w:rPr>
        <w:t xml:space="preserve">As described in Section 3.7, </w:t>
      </w:r>
      <w:r>
        <w:rPr>
          <w:rFonts w:ascii="휴먼명조" w:eastAsia="휴먼명조" w:hAnsi="휴먼명조" w:cs="휴먼명조"/>
          <w:b/>
          <w:sz w:val="22"/>
          <w:w w:val="97"/>
        </w:rPr>
        <w:t>statistical testing is performed only at the run level, not at the trial level</w:t>
      </w:r>
      <w:r>
        <w:rPr>
          <w:rFonts w:ascii="휴먼명조" w:eastAsia="휴먼명조" w:hAnsi="휴먼명조" w:cs="휴먼명조"/>
          <w:b w:val="0"/>
          <w:sz w:val="22"/>
          <w:w w:val="97"/>
        </w:rPr>
        <w:t xml:space="preserve">, because Optuna and Autoresearch are sequential optimizers whose trials within a run are dependent, so individual trials cannot be treated as independent observations. The unit of testing is the </w:t>
      </w:r>
      <w:r>
        <w:rPr>
          <w:rFonts w:ascii="휴먼명조" w:eastAsia="휴먼명조" w:hAnsi="휴먼명조" w:cs="휴먼명조"/>
          <w:b/>
          <w:sz w:val="22"/>
          <w:w w:val="97"/>
        </w:rPr>
        <w:t>10 per-repeat best val_accuracy values</w:t>
      </w:r>
      <w:r>
        <w:rPr>
          <w:rFonts w:ascii="휴먼명조" w:eastAsia="휴먼명조" w:hAnsi="휴먼명조" w:cs="휴먼명조"/>
          <w:b w:val="0"/>
          <w:sz w:val="22"/>
          <w:w w:val="97"/>
        </w:rPr>
        <w:t xml:space="preserve"> obtained from the 10 independent repeats of each strategy (for Manual, which has one trial per repeat, that value is itself the run-level value); trial-level data are used only for describing the search process in Sections 4.3.3-4.3.4.</w:t>
      </w:r>
    </w:p>
    <w:p>
      <w:pPr>
        <w:spacing w:line="384" w:lineRule="auto" w:after="0"/>
        <w:jc w:val="left"/>
        <w:outlineLvl w:val="2"/>
      </w:pPr>
      <w:r>
        <w:rPr>
          <w:rFonts w:ascii="휴먼명조" w:eastAsia="휴먼명조" w:hAnsi="휴먼명조" w:cs="휴먼명조"/>
          <w:b/>
          <w:sz w:val="22"/>
          <w:w w:val="97"/>
        </w:rPr>
        <w:t>4.3.1 Final Performance Comparison by Strategy (run level)</w:t>
      </w:r>
    </w:p>
    <w:p>
      <w:pPr>
        <w:pStyle w:val="표캡션"/>
        <w:spacing w:line="384" w:lineRule="auto" w:after="0"/>
        <w:jc w:val="center"/>
      </w:pPr>
      <w:r>
        <w:rPr>
          <w:rFonts w:ascii="휴먼명조" w:eastAsia="휴먼명조" w:hAnsi="휴먼명조" w:cs="휴먼명조"/>
          <w:b/>
          <w:sz w:val="22"/>
          <w:w w:val="97"/>
        </w:rPr>
        <w:t>Table 4.3. Run-level performance by HPO strategy (n = 10 = per-repeat best val_accuracy over 10 independent repeats)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Strategy</w:t>
            </w:r>
          </w:p>
        </w:tc>
        <w:tc>
          <w:tcPr>
            <w:tcW w:type="dxa" w:w="1859"/>
          </w:tcPr>
          <w:p>
            <w:pPr>
              <w:spacing w:line="240" w:lineRule="auto"/>
              <w:jc w:val="center"/>
            </w:pPr>
            <w:r/>
            <w:r>
              <w:rPr>
                <w:rFonts w:ascii="휴먼명조" w:eastAsia="휴먼명조" w:hAnsi="휴먼명조" w:cs="휴먼명조"/>
                <w:b/>
                <w:sz w:val="18"/>
                <w:w w:val="97"/>
              </w:rPr>
              <w:t>n</w:t>
            </w:r>
          </w:p>
        </w:tc>
        <w:tc>
          <w:tcPr>
            <w:tcW w:type="dxa" w:w="1859"/>
          </w:tcPr>
          <w:p>
            <w:pPr>
              <w:spacing w:line="240" w:lineRule="auto"/>
              <w:jc w:val="center"/>
            </w:pPr>
            <w:r/>
            <w:r>
              <w:rPr>
                <w:rFonts w:ascii="휴먼명조" w:eastAsia="휴먼명조" w:hAnsi="휴먼명조" w:cs="휴먼명조"/>
                <w:b/>
                <w:sz w:val="18"/>
                <w:w w:val="97"/>
              </w:rPr>
              <w:t>Mean val_accuracy</w:t>
            </w:r>
          </w:p>
        </w:tc>
        <w:tc>
          <w:tcPr>
            <w:tcW w:type="dxa" w:w="1859"/>
          </w:tcPr>
          <w:p>
            <w:pPr>
              <w:spacing w:line="240" w:lineRule="auto"/>
              <w:jc w:val="center"/>
            </w:pPr>
            <w:r/>
            <w:r>
              <w:rPr>
                <w:rFonts w:ascii="휴먼명조" w:eastAsia="휴먼명조" w:hAnsi="휴먼명조" w:cs="휴먼명조"/>
                <w:b/>
                <w:sz w:val="18"/>
                <w:w w:val="97"/>
              </w:rPr>
              <w:t>95% CI (bootstrap)</w:t>
            </w:r>
          </w:p>
        </w:tc>
      </w:tr>
      <w:tr>
        <w:tc>
          <w:tcPr>
            <w:tcW w:type="dxa" w:w="1859"/>
          </w:tcPr>
          <w:p>
            <w:pPr>
              <w:spacing w:line="240" w:lineRule="auto"/>
              <w:jc w:val="center"/>
            </w:pPr>
            <w:r/>
            <w:r>
              <w:rPr>
                <w:rFonts w:ascii="휴먼명조" w:eastAsia="휴먼명조" w:hAnsi="휴먼명조" w:cs="휴먼명조"/>
                <w:b/>
                <w:sz w:val="18"/>
                <w:w w:val="97"/>
              </w:rPr>
              <w:t>Optuna (TPE)</w:t>
            </w:r>
          </w:p>
        </w:tc>
        <w:tc>
          <w:tcPr>
            <w:tcW w:type="dxa" w:w="1859"/>
          </w:tcPr>
          <w:p>
            <w:pPr>
              <w:spacing w:line="240" w:lineRule="auto"/>
              <w:jc w:val="center"/>
            </w:pPr>
            <w:r/>
            <w:r>
              <w:rPr>
                <w:rFonts w:ascii="휴먼명조" w:eastAsia="휴먼명조" w:hAnsi="휴먼명조" w:cs="휴먼명조"/>
                <w:b w:val="0"/>
                <w:sz w:val="18"/>
                <w:w w:val="97"/>
              </w:rPr>
              <w:t>10</w:t>
            </w:r>
          </w:p>
        </w:tc>
        <w:tc>
          <w:tcPr>
            <w:tcW w:type="dxa" w:w="1859"/>
          </w:tcPr>
          <w:p>
            <w:pPr>
              <w:spacing w:line="240" w:lineRule="auto"/>
              <w:jc w:val="center"/>
            </w:pPr>
            <w:r/>
            <w:r>
              <w:rPr>
                <w:rFonts w:ascii="휴먼명조" w:eastAsia="휴먼명조" w:hAnsi="휴먼명조" w:cs="휴먼명조"/>
                <w:b/>
                <w:sz w:val="18"/>
                <w:w w:val="97"/>
              </w:rPr>
              <w:t>0.4490</w:t>
            </w:r>
          </w:p>
        </w:tc>
        <w:tc>
          <w:tcPr>
            <w:tcW w:type="dxa" w:w="1859"/>
          </w:tcPr>
          <w:p>
            <w:pPr>
              <w:spacing w:line="240" w:lineRule="auto"/>
              <w:jc w:val="center"/>
            </w:pPr>
            <w:r/>
            <w:r>
              <w:rPr>
                <w:rFonts w:ascii="휴먼명조" w:eastAsia="휴먼명조" w:hAnsi="휴먼명조" w:cs="휴먼명조"/>
                <w:b w:val="0"/>
                <w:sz w:val="18"/>
                <w:w w:val="97"/>
              </w:rPr>
              <w:t>[0.4368, 0.4594]</w:t>
            </w:r>
          </w:p>
        </w:tc>
      </w:tr>
      <w:tr>
        <w:tc>
          <w:tcPr>
            <w:tcW w:type="dxa" w:w="1859"/>
          </w:tcPr>
          <w:p>
            <w:pPr>
              <w:spacing w:line="240" w:lineRule="auto"/>
              <w:jc w:val="center"/>
            </w:pPr>
            <w:r/>
            <w:r>
              <w:rPr>
                <w:rFonts w:ascii="휴먼명조" w:eastAsia="휴먼명조" w:hAnsi="휴먼명조" w:cs="휴먼명조"/>
                <w:b w:val="0"/>
                <w:sz w:val="18"/>
                <w:w w:val="97"/>
              </w:rPr>
              <w:t>Random Search</w:t>
            </w:r>
          </w:p>
        </w:tc>
        <w:tc>
          <w:tcPr>
            <w:tcW w:type="dxa" w:w="1859"/>
          </w:tcPr>
          <w:p>
            <w:pPr>
              <w:spacing w:line="240" w:lineRule="auto"/>
              <w:jc w:val="center"/>
            </w:pPr>
            <w:r/>
            <w:r>
              <w:rPr>
                <w:rFonts w:ascii="휴먼명조" w:eastAsia="휴먼명조" w:hAnsi="휴먼명조" w:cs="휴먼명조"/>
                <w:b w:val="0"/>
                <w:sz w:val="18"/>
                <w:w w:val="97"/>
              </w:rPr>
              <w:t>10</w:t>
            </w:r>
          </w:p>
        </w:tc>
        <w:tc>
          <w:tcPr>
            <w:tcW w:type="dxa" w:w="1859"/>
          </w:tcPr>
          <w:p>
            <w:pPr>
              <w:spacing w:line="240" w:lineRule="auto"/>
              <w:jc w:val="center"/>
            </w:pPr>
            <w:r/>
            <w:r>
              <w:rPr>
                <w:rFonts w:ascii="휴먼명조" w:eastAsia="휴먼명조" w:hAnsi="휴먼명조" w:cs="휴먼명조"/>
                <w:b w:val="0"/>
                <w:sz w:val="18"/>
                <w:w w:val="97"/>
              </w:rPr>
              <w:t>0.4186</w:t>
            </w:r>
          </w:p>
        </w:tc>
        <w:tc>
          <w:tcPr>
            <w:tcW w:type="dxa" w:w="1859"/>
          </w:tcPr>
          <w:p>
            <w:pPr>
              <w:spacing w:line="240" w:lineRule="auto"/>
              <w:jc w:val="center"/>
            </w:pPr>
            <w:r/>
            <w:r>
              <w:rPr>
                <w:rFonts w:ascii="휴먼명조" w:eastAsia="휴먼명조" w:hAnsi="휴먼명조" w:cs="휴먼명조"/>
                <w:b w:val="0"/>
                <w:sz w:val="18"/>
                <w:w w:val="97"/>
              </w:rPr>
              <w:t>[0.4106, 0.4274]</w:t>
            </w:r>
          </w:p>
        </w:tc>
      </w:tr>
      <w:tr>
        <w:tc>
          <w:tcPr>
            <w:tcW w:type="dxa" w:w="1859"/>
          </w:tcPr>
          <w:p>
            <w:pPr>
              <w:spacing w:line="240" w:lineRule="auto"/>
              <w:jc w:val="center"/>
            </w:pPr>
            <w:r/>
            <w:r>
              <w:rPr>
                <w:rFonts w:ascii="휴먼명조" w:eastAsia="휴먼명조" w:hAnsi="휴먼명조" w:cs="휴먼명조"/>
                <w:b w:val="0"/>
                <w:sz w:val="18"/>
                <w:w w:val="97"/>
              </w:rPr>
              <w:t>Autoresearch (LLM)</w:t>
            </w:r>
          </w:p>
        </w:tc>
        <w:tc>
          <w:tcPr>
            <w:tcW w:type="dxa" w:w="1859"/>
          </w:tcPr>
          <w:p>
            <w:pPr>
              <w:spacing w:line="240" w:lineRule="auto"/>
              <w:jc w:val="center"/>
            </w:pPr>
            <w:r/>
            <w:r>
              <w:rPr>
                <w:rFonts w:ascii="휴먼명조" w:eastAsia="휴먼명조" w:hAnsi="휴먼명조" w:cs="휴먼명조"/>
                <w:b w:val="0"/>
                <w:sz w:val="18"/>
                <w:w w:val="97"/>
              </w:rPr>
              <w:t>10</w:t>
            </w:r>
          </w:p>
        </w:tc>
        <w:tc>
          <w:tcPr>
            <w:tcW w:type="dxa" w:w="1859"/>
          </w:tcPr>
          <w:p>
            <w:pPr>
              <w:spacing w:line="240" w:lineRule="auto"/>
              <w:jc w:val="center"/>
            </w:pPr>
            <w:r/>
            <w:r>
              <w:rPr>
                <w:rFonts w:ascii="휴먼명조" w:eastAsia="휴먼명조" w:hAnsi="휴먼명조" w:cs="휴먼명조"/>
                <w:b w:val="0"/>
                <w:sz w:val="18"/>
                <w:w w:val="97"/>
              </w:rPr>
              <w:t>0.4184</w:t>
            </w:r>
          </w:p>
        </w:tc>
        <w:tc>
          <w:tcPr>
            <w:tcW w:type="dxa" w:w="1859"/>
          </w:tcPr>
          <w:p>
            <w:pPr>
              <w:spacing w:line="240" w:lineRule="auto"/>
              <w:jc w:val="center"/>
            </w:pPr>
            <w:r/>
            <w:r>
              <w:rPr>
                <w:rFonts w:ascii="휴먼명조" w:eastAsia="휴먼명조" w:hAnsi="휴먼명조" w:cs="휴먼명조"/>
                <w:b w:val="0"/>
                <w:sz w:val="18"/>
                <w:w w:val="97"/>
              </w:rPr>
              <w:t>[0.4064, 0.4328]</w:t>
            </w:r>
          </w:p>
        </w:tc>
      </w:tr>
      <w:tr>
        <w:tc>
          <w:tcPr>
            <w:tcW w:type="dxa" w:w="1859"/>
          </w:tcPr>
          <w:p>
            <w:pPr>
              <w:spacing w:line="240" w:lineRule="auto"/>
              <w:jc w:val="center"/>
            </w:pPr>
            <w:r/>
            <w:r>
              <w:rPr>
                <w:rFonts w:ascii="휴먼명조" w:eastAsia="휴먼명조" w:hAnsi="휴먼명조" w:cs="휴먼명조"/>
                <w:b w:val="0"/>
                <w:sz w:val="18"/>
                <w:w w:val="97"/>
              </w:rPr>
              <w:t>Manual</w:t>
            </w:r>
          </w:p>
        </w:tc>
        <w:tc>
          <w:tcPr>
            <w:tcW w:type="dxa" w:w="1859"/>
          </w:tcPr>
          <w:p>
            <w:pPr>
              <w:spacing w:line="240" w:lineRule="auto"/>
              <w:jc w:val="center"/>
            </w:pPr>
            <w:r/>
            <w:r>
              <w:rPr>
                <w:rFonts w:ascii="휴먼명조" w:eastAsia="휴먼명조" w:hAnsi="휴먼명조" w:cs="휴먼명조"/>
                <w:b w:val="0"/>
                <w:sz w:val="18"/>
                <w:w w:val="97"/>
              </w:rPr>
              <w:t>10</w:t>
            </w:r>
          </w:p>
        </w:tc>
        <w:tc>
          <w:tcPr>
            <w:tcW w:type="dxa" w:w="1859"/>
          </w:tcPr>
          <w:p>
            <w:pPr>
              <w:spacing w:line="240" w:lineRule="auto"/>
              <w:jc w:val="center"/>
            </w:pPr>
            <w:r/>
            <w:r>
              <w:rPr>
                <w:rFonts w:ascii="휴먼명조" w:eastAsia="휴먼명조" w:hAnsi="휴먼명조" w:cs="휴먼명조"/>
                <w:b w:val="0"/>
                <w:sz w:val="18"/>
                <w:w w:val="97"/>
              </w:rPr>
              <w:t>0.3776</w:t>
            </w:r>
          </w:p>
        </w:tc>
        <w:tc>
          <w:tcPr>
            <w:tcW w:type="dxa" w:w="1859"/>
          </w:tcPr>
          <w:p>
            <w:pPr>
              <w:spacing w:line="240" w:lineRule="auto"/>
              <w:jc w:val="center"/>
            </w:pPr>
            <w:r/>
            <w:r>
              <w:rPr>
                <w:rFonts w:ascii="휴먼명조" w:eastAsia="휴먼명조" w:hAnsi="휴먼명조" w:cs="휴먼명조"/>
                <w:b w:val="0"/>
                <w:sz w:val="18"/>
                <w:w w:val="97"/>
              </w:rPr>
              <w:t>[0.3760, 0.3794]</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A run-level value is the highest val_accuracy among the completed trials of each independent repeat. Failed trials (status ≠ completed) are excluded from aggregation. Under the Manual strategy there are records of 10 failures followed by retries in repeats 6-9, but every repeat ultimately completed one trial successfully, so the run-level sample size of 10 is preserved.</w:t>
      </w:r>
    </w:p>
    <w:p>
      <w:pPr>
        <w:spacing w:line="384" w:lineRule="auto" w:after="0"/>
        <w:ind w:firstLine="220"/>
        <w:jc w:val="both"/>
      </w:pPr>
      <w:r>
        <w:rPr>
          <w:rFonts w:ascii="휴먼명조" w:eastAsia="휴먼명조" w:hAnsi="휴먼명조" w:cs="휴먼명조"/>
          <w:b w:val="0"/>
          <w:sz w:val="22"/>
          <w:w w:val="97"/>
        </w:rPr>
        <w:t xml:space="preserve">The difference in run-level performance among the four strategies was </w:t>
      </w:r>
      <w:r>
        <w:rPr>
          <w:rFonts w:ascii="휴먼명조" w:eastAsia="휴먼명조" w:hAnsi="휴먼명조" w:cs="휴먼명조"/>
          <w:b/>
          <w:sz w:val="22"/>
          <w:w w:val="97"/>
        </w:rPr>
        <w:t>statistically significant under the Kruskal-Wallis test</w:t>
      </w:r>
      <w:r>
        <w:rPr>
          <w:rFonts w:ascii="휴먼명조" w:eastAsia="휴먼명조" w:hAnsi="휴먼명조" w:cs="휴먼명조"/>
          <w:b w:val="0"/>
          <w:sz w:val="22"/>
          <w:w w:val="97"/>
        </w:rPr>
        <w:t xml:space="preserve"> (H = 27.92, df = 3, p &lt; .001).</w:t>
      </w:r>
    </w:p>
    <w:p>
      <w:pPr>
        <w:spacing w:line="384" w:lineRule="auto" w:after="0"/>
        <w:ind w:firstLine="220"/>
        <w:jc w:val="both"/>
      </w:pPr>
      <w:r>
        <w:rPr>
          <w:rFonts w:ascii="휴먼명조" w:eastAsia="휴먼명조" w:hAnsi="휴먼명조" w:cs="휴먼명조"/>
          <w:b w:val="0"/>
          <w:sz w:val="22"/>
          <w:w w:val="97"/>
        </w:rPr>
        <w:t xml:space="preserve">The Mann-Whitney U test for the pairwise comparison central to RQ3, </w:t>
      </w:r>
      <w:r>
        <w:rPr>
          <w:rFonts w:ascii="휴먼명조" w:eastAsia="휴먼명조" w:hAnsi="휴먼명조" w:cs="휴먼명조"/>
          <w:b/>
          <w:sz w:val="22"/>
          <w:w w:val="97"/>
        </w:rPr>
        <w:t>Autoresearch vs Optuna</w:t>
      </w:r>
      <w:r>
        <w:rPr>
          <w:rFonts w:ascii="휴먼명조" w:eastAsia="휴먼명조" w:hAnsi="휴먼명조" w:cs="휴먼명조"/>
          <w:b w:val="0"/>
          <w:sz w:val="22"/>
          <w:w w:val="97"/>
        </w:rPr>
        <w:t xml:space="preserve">, was significant at U = 16.00, p = .0112, rank-biserial r = </w:t>
      </w:r>
      <w:r>
        <w:rPr>
          <w:rFonts w:ascii="휴먼명조" w:eastAsia="휴먼명조" w:hAnsi="휴먼명조" w:cs="휴먼명조"/>
          <w:b/>
          <w:sz w:val="22"/>
          <w:w w:val="97"/>
        </w:rPr>
        <w:t>-0.68</w:t>
      </w:r>
      <w:r>
        <w:rPr>
          <w:rFonts w:ascii="휴먼명조" w:eastAsia="휴먼명조" w:hAnsi="휴먼명조" w:cs="휴먼명조"/>
          <w:b w:val="0"/>
          <w:sz w:val="22"/>
          <w:w w:val="97"/>
        </w:rPr>
        <w:t xml:space="preserve">. Under the sign convention of this study (run_mann_whitney in src/evaluate/statistics.py), r &gt; 0 means the first sample (Autoresearch) is stochastically superior to the second (Optuna); </w:t>
      </w:r>
      <w:r>
        <w:rPr>
          <w:rFonts w:ascii="휴먼명조" w:eastAsia="휴먼명조" w:hAnsi="휴먼명조" w:cs="휴먼명조"/>
          <w:b/>
          <w:sz w:val="22"/>
          <w:w w:val="97"/>
        </w:rPr>
        <w:t>a negative r therefore means Optuna is significantly superior to Autoresearch</w:t>
      </w:r>
      <w:r>
        <w:rPr>
          <w:rFonts w:ascii="휴먼명조" w:eastAsia="휴먼명조" w:hAnsi="휴먼명조" w:cs="휴먼명조"/>
          <w:b w:val="0"/>
          <w:sz w:val="22"/>
          <w:w w:val="97"/>
        </w:rPr>
        <w:t>.</w:t>
      </w:r>
    </w:p>
    <w:p>
      <w:pPr>
        <w:spacing w:line="384" w:lineRule="auto" w:after="0"/>
        <w:ind w:firstLine="220"/>
        <w:jc w:val="both"/>
      </w:pPr>
      <w:r>
        <w:rPr>
          <w:rFonts w:ascii="휴먼명조" w:eastAsia="휴먼명조" w:hAnsi="휴먼명조" w:cs="휴먼명조"/>
          <w:b w:val="0"/>
          <w:sz w:val="22"/>
          <w:w w:val="97"/>
        </w:rPr>
        <w:t xml:space="preserve">This direction is confirmed independently of the test by the confidence intervals: the lower bound of Optuna's 95% CI (0.4368) exceeds the upper bound of Autoresearch's (0.4328), so </w:t>
      </w:r>
      <w:r>
        <w:rPr>
          <w:rFonts w:ascii="휴먼명조" w:eastAsia="휴먼명조" w:hAnsi="휴먼명조" w:cs="휴먼명조"/>
          <w:b/>
          <w:sz w:val="22"/>
          <w:w w:val="97"/>
        </w:rPr>
        <w:t>the two intervals do not overlap</w:t>
      </w:r>
      <w:r>
        <w:rPr>
          <w:rFonts w:ascii="휴먼명조" w:eastAsia="휴먼명조" w:hAnsi="휴먼명조" w:cs="휴먼명조"/>
          <w:b w:val="0"/>
          <w:sz w:val="22"/>
          <w:w w:val="97"/>
        </w:rPr>
        <w:t>. By contrast, Autoresearch (0.4184) and Random Search (0.4186) have practically identical means with largely overlapping intervals, so the two strategies are not statistically distinguishable.</w:t>
      </w:r>
    </w:p>
    <w:p>
      <w:pPr>
        <w:spacing w:line="384" w:lineRule="auto" w:after="0"/>
        <w:ind w:firstLine="220"/>
        <w:jc w:val="both"/>
      </w:pPr>
      <w:r>
        <w:rPr>
          <w:rFonts w:ascii="휴먼명조" w:eastAsia="휴먼명조" w:hAnsi="휴먼명조" w:cs="휴먼명조"/>
          <w:b w:val="0"/>
          <w:sz w:val="22"/>
          <w:w w:val="97"/>
        </w:rPr>
        <w:t xml:space="preserve">In sum, the ordering among strategies under these experimental conditions is </w:t>
      </w:r>
      <w:r>
        <w:rPr>
          <w:rFonts w:ascii="휴먼명조" w:eastAsia="휴먼명조" w:hAnsi="휴먼명조" w:cs="휴먼명조"/>
          <w:b/>
          <w:sz w:val="22"/>
          <w:w w:val="97"/>
        </w:rPr>
        <w:t>Optuna &gt; (Random ≈ Autoresearch) &gt; Manual</w:t>
      </w:r>
      <w:r>
        <w:rPr>
          <w:rFonts w:ascii="휴먼명조" w:eastAsia="휴먼명조" w:hAnsi="휴먼명조" w:cs="휴먼명조"/>
          <w:b w:val="0"/>
          <w:sz w:val="22"/>
          <w:w w:val="97"/>
        </w:rPr>
        <w:t xml:space="preserve">. That is, </w:t>
      </w:r>
      <w:r>
        <w:rPr>
          <w:rFonts w:ascii="휴먼명조" w:eastAsia="휴먼명조" w:hAnsi="휴먼명조" w:cs="휴먼명조"/>
          <w:b/>
          <w:sz w:val="22"/>
          <w:w w:val="97"/>
        </w:rPr>
        <w:t>the LLM agent's autonomous search fell significantly short of established Bayesian optimization (TPE) and showed no advantage even over random search.</w:t>
      </w:r>
      <w:r>
        <w:rPr>
          <w:rFonts w:ascii="휴먼명조" w:eastAsia="휴먼명조" w:hAnsi="휴먼명조" w:cs="휴먼명조"/>
          <w:b w:val="0"/>
          <w:sz w:val="22"/>
          <w:w w:val="97"/>
        </w:rPr>
        <w:t xml:space="preserve"> All three automated strategies including Autoresearch nevertheless exceeded the researcher's manual configuration (Manual, 0.3776), confirming the validity of automated hyperparameter search as such.</w:t>
      </w:r>
    </w:p>
    <w:p>
      <w:pPr>
        <w:spacing w:line="384" w:lineRule="auto" w:after="0"/>
        <w:jc w:val="left"/>
        <w:outlineLvl w:val="2"/>
      </w:pPr>
      <w:r>
        <w:rPr>
          <w:rFonts w:ascii="휴먼명조" w:eastAsia="휴먼명조" w:hAnsi="휴먼명조" w:cs="휴먼명조"/>
          <w:b/>
          <w:sz w:val="22"/>
          <w:w w:val="97"/>
        </w:rPr>
        <w:t>4.3.2 Hyperparameters Found by Each Strategy</w:t>
      </w:r>
    </w:p>
    <w:p>
      <w:pPr>
        <w:pStyle w:val="표캡션"/>
        <w:spacing w:line="384" w:lineRule="auto" w:after="0"/>
        <w:jc w:val="center"/>
      </w:pPr>
      <w:r>
        <w:rPr>
          <w:rFonts w:ascii="휴먼명조" w:eastAsia="휴먼명조" w:hAnsi="휴먼명조" w:cs="휴먼명조"/>
          <w:b/>
          <w:sz w:val="22"/>
          <w:w w:val="97"/>
        </w:rPr>
        <w:t>Table 4.3a. Hyperparameter configuration of the best-performing trial per strategy</w:t>
      </w:r>
    </w:p>
    <w:tbl>
      <w:tblPr>
        <w:tblW w:type="auto" w:w="0"/>
        <w:tblLook w:firstColumn="1" w:firstRow="1" w:lastColumn="0" w:lastRow="0" w:noHBand="0" w:noVBand="1" w:val="04A0"/>
      </w:tblPr>
      <w:tblGrid>
        <w:gridCol w:w="620"/>
        <w:gridCol w:w="620"/>
        <w:gridCol w:w="620"/>
        <w:gridCol w:w="620"/>
        <w:gridCol w:w="620"/>
        <w:gridCol w:w="620"/>
        <w:gridCol w:w="620"/>
        <w:gridCol w:w="620"/>
        <w:gridCol w:w="620"/>
        <w:gridCol w:w="620"/>
        <w:gridCol w:w="620"/>
        <w:gridCol w:w="620"/>
      </w:tblGrid>
      <w:tr>
        <w:tc>
          <w:tcPr>
            <w:tcW w:type="dxa" w:w="620"/>
          </w:tcPr>
          <w:p>
            <w:pPr>
              <w:spacing w:line="240" w:lineRule="auto"/>
              <w:jc w:val="center"/>
            </w:pPr>
            <w:r/>
            <w:r>
              <w:rPr>
                <w:rFonts w:ascii="휴먼명조" w:eastAsia="휴먼명조" w:hAnsi="휴먼명조" w:cs="휴먼명조"/>
                <w:b/>
                <w:sz w:val="18"/>
                <w:w w:val="97"/>
              </w:rPr>
              <w:t>Strategy</w:t>
            </w:r>
          </w:p>
        </w:tc>
        <w:tc>
          <w:tcPr>
            <w:tcW w:type="dxa" w:w="620"/>
          </w:tcPr>
          <w:p>
            <w:pPr>
              <w:spacing w:line="240" w:lineRule="auto"/>
              <w:jc w:val="center"/>
            </w:pPr>
            <w:r/>
            <w:r>
              <w:rPr>
                <w:rFonts w:ascii="휴먼명조" w:eastAsia="휴먼명조" w:hAnsi="휴먼명조" w:cs="휴먼명조"/>
                <w:b/>
                <w:sz w:val="18"/>
                <w:w w:val="97"/>
              </w:rPr>
              <w:t>rank</w:t>
            </w:r>
          </w:p>
        </w:tc>
        <w:tc>
          <w:tcPr>
            <w:tcW w:type="dxa" w:w="620"/>
          </w:tcPr>
          <w:p>
            <w:pPr>
              <w:spacing w:line="240" w:lineRule="auto"/>
              <w:jc w:val="center"/>
            </w:pPr>
            <w:r/>
            <w:r>
              <w:rPr>
                <w:rFonts w:ascii="휴먼명조" w:eastAsia="휴먼명조" w:hAnsi="휴먼명조" w:cs="휴먼명조"/>
                <w:b/>
                <w:sz w:val="18"/>
                <w:w w:val="97"/>
              </w:rPr>
              <w:t>alpha</w:t>
            </w:r>
          </w:p>
        </w:tc>
        <w:tc>
          <w:tcPr>
            <w:tcW w:type="dxa" w:w="620"/>
          </w:tcPr>
          <w:p>
            <w:pPr>
              <w:spacing w:line="240" w:lineRule="auto"/>
              <w:jc w:val="center"/>
            </w:pPr>
            <w:r/>
            <w:r>
              <w:rPr>
                <w:rFonts w:ascii="휴먼명조" w:eastAsia="휴먼명조" w:hAnsi="휴먼명조" w:cs="휴먼명조"/>
                <w:b/>
                <w:sz w:val="18"/>
                <w:w w:val="97"/>
              </w:rPr>
              <w:t>learning_rate</w:t>
            </w:r>
          </w:p>
        </w:tc>
        <w:tc>
          <w:tcPr>
            <w:tcW w:type="dxa" w:w="620"/>
          </w:tcPr>
          <w:p>
            <w:pPr>
              <w:spacing w:line="240" w:lineRule="auto"/>
              <w:jc w:val="center"/>
            </w:pPr>
            <w:r/>
            <w:r>
              <w:rPr>
                <w:rFonts w:ascii="휴먼명조" w:eastAsia="휴먼명조" w:hAnsi="휴먼명조" w:cs="휴먼명조"/>
                <w:b/>
                <w:sz w:val="18"/>
                <w:w w:val="97"/>
              </w:rPr>
              <w:t>batch</w:t>
            </w:r>
          </w:p>
        </w:tc>
        <w:tc>
          <w:tcPr>
            <w:tcW w:type="dxa" w:w="620"/>
          </w:tcPr>
          <w:p>
            <w:pPr>
              <w:spacing w:line="240" w:lineRule="auto"/>
              <w:jc w:val="center"/>
            </w:pPr>
            <w:r/>
            <w:r>
              <w:rPr>
                <w:rFonts w:ascii="휴먼명조" w:eastAsia="휴먼명조" w:hAnsi="휴먼명조" w:cs="휴먼명조"/>
                <w:b/>
                <w:sz w:val="18"/>
                <w:w w:val="97"/>
              </w:rPr>
              <w:t>grad_accum</w:t>
            </w:r>
          </w:p>
        </w:tc>
        <w:tc>
          <w:tcPr>
            <w:tcW w:type="dxa" w:w="620"/>
          </w:tcPr>
          <w:p>
            <w:pPr>
              <w:spacing w:line="240" w:lineRule="auto"/>
              <w:jc w:val="center"/>
            </w:pPr>
            <w:r/>
            <w:r>
              <w:rPr>
                <w:rFonts w:ascii="휴먼명조" w:eastAsia="휴먼명조" w:hAnsi="휴먼명조" w:cs="휴먼명조"/>
                <w:b/>
                <w:sz w:val="18"/>
                <w:w w:val="97"/>
              </w:rPr>
              <w:t>warmup</w:t>
            </w:r>
          </w:p>
        </w:tc>
        <w:tc>
          <w:tcPr>
            <w:tcW w:type="dxa" w:w="620"/>
          </w:tcPr>
          <w:p>
            <w:pPr>
              <w:spacing w:line="240" w:lineRule="auto"/>
              <w:jc w:val="center"/>
            </w:pPr>
            <w:r/>
            <w:r>
              <w:rPr>
                <w:rFonts w:ascii="휴먼명조" w:eastAsia="휴먼명조" w:hAnsi="휴먼명조" w:cs="휴먼명조"/>
                <w:b/>
                <w:sz w:val="18"/>
                <w:w w:val="97"/>
              </w:rPr>
              <w:t>weight_decay</w:t>
            </w:r>
          </w:p>
        </w:tc>
        <w:tc>
          <w:tcPr>
            <w:tcW w:type="dxa" w:w="620"/>
          </w:tcPr>
          <w:p>
            <w:pPr>
              <w:spacing w:line="240" w:lineRule="auto"/>
              <w:jc w:val="center"/>
            </w:pPr>
            <w:r/>
            <w:r>
              <w:rPr>
                <w:rFonts w:ascii="휴먼명조" w:eastAsia="휴먼명조" w:hAnsi="휴먼명조" w:cs="휴먼명조"/>
                <w:b/>
                <w:sz w:val="18"/>
                <w:w w:val="97"/>
              </w:rPr>
              <w:t>targets</w:t>
            </w:r>
          </w:p>
        </w:tc>
        <w:tc>
          <w:tcPr>
            <w:tcW w:type="dxa" w:w="620"/>
          </w:tcPr>
          <w:p>
            <w:pPr>
              <w:spacing w:line="240" w:lineRule="auto"/>
              <w:jc w:val="center"/>
            </w:pPr>
            <w:r/>
            <w:r>
              <w:rPr>
                <w:rFonts w:ascii="휴먼명조" w:eastAsia="휴먼명조" w:hAnsi="휴먼명조" w:cs="휴먼명조"/>
                <w:b/>
                <w:sz w:val="18"/>
                <w:w w:val="97"/>
              </w:rPr>
              <w:t>val_acc</w:t>
            </w:r>
          </w:p>
        </w:tc>
        <w:tc>
          <w:tcPr>
            <w:tcW w:type="dxa" w:w="620"/>
          </w:tcPr>
          <w:p>
            <w:pPr>
              <w:spacing w:line="240" w:lineRule="auto"/>
              <w:jc w:val="center"/>
            </w:pPr>
            <w:r/>
            <w:r>
              <w:rPr>
                <w:rFonts w:ascii="휴먼명조" w:eastAsia="휴먼명조" w:hAnsi="휴먼명조" w:cs="휴먼명조"/>
                <w:b/>
                <w:sz w:val="18"/>
                <w:w w:val="97"/>
              </w:rPr>
              <w:t>closed</w:t>
            </w:r>
          </w:p>
        </w:tc>
        <w:tc>
          <w:tcPr>
            <w:tcW w:type="dxa" w:w="620"/>
          </w:tcPr>
          <w:p>
            <w:pPr>
              <w:spacing w:line="240" w:lineRule="auto"/>
              <w:jc w:val="center"/>
            </w:pPr>
            <w:r/>
            <w:r>
              <w:rPr>
                <w:rFonts w:ascii="휴먼명조" w:eastAsia="휴먼명조" w:hAnsi="휴먼명조" w:cs="휴먼명조"/>
                <w:b/>
                <w:sz w:val="18"/>
                <w:w w:val="97"/>
              </w:rPr>
              <w:t>open</w:t>
            </w:r>
          </w:p>
        </w:tc>
      </w:tr>
      <w:tr>
        <w:tc>
          <w:tcPr>
            <w:tcW w:type="dxa" w:w="620"/>
          </w:tcPr>
          <w:p>
            <w:pPr>
              <w:spacing w:line="240" w:lineRule="auto"/>
              <w:jc w:val="center"/>
            </w:pPr>
            <w:r/>
            <w:r>
              <w:rPr>
                <w:rFonts w:ascii="휴먼명조" w:eastAsia="휴먼명조" w:hAnsi="휴먼명조" w:cs="휴먼명조"/>
                <w:b w:val="0"/>
                <w:sz w:val="18"/>
                <w:w w:val="97"/>
              </w:rPr>
              <w:t>Manual</w:t>
            </w:r>
          </w:p>
        </w:tc>
        <w:tc>
          <w:tcPr>
            <w:tcW w:type="dxa" w:w="620"/>
          </w:tcPr>
          <w:p>
            <w:pPr>
              <w:spacing w:line="240" w:lineRule="auto"/>
              <w:jc w:val="center"/>
            </w:pPr>
            <w:r/>
            <w:r>
              <w:rPr>
                <w:rFonts w:ascii="휴먼명조" w:eastAsia="휴먼명조" w:hAnsi="휴먼명조" w:cs="휴먼명조"/>
                <w:b w:val="0"/>
                <w:sz w:val="18"/>
                <w:w w:val="97"/>
              </w:rPr>
              <w:t>16</w:t>
            </w:r>
          </w:p>
        </w:tc>
        <w:tc>
          <w:tcPr>
            <w:tcW w:type="dxa" w:w="620"/>
          </w:tcPr>
          <w:p>
            <w:pPr>
              <w:spacing w:line="240" w:lineRule="auto"/>
              <w:jc w:val="center"/>
            </w:pPr>
            <w:r/>
            <w:r>
              <w:rPr>
                <w:rFonts w:ascii="휴먼명조" w:eastAsia="휴먼명조" w:hAnsi="휴먼명조" w:cs="휴먼명조"/>
                <w:b w:val="0"/>
                <w:sz w:val="18"/>
                <w:w w:val="97"/>
              </w:rPr>
              <w:t>32</w:t>
            </w:r>
          </w:p>
        </w:tc>
        <w:tc>
          <w:tcPr>
            <w:tcW w:type="dxa" w:w="620"/>
          </w:tcPr>
          <w:p>
            <w:pPr>
              <w:spacing w:line="240" w:lineRule="auto"/>
              <w:jc w:val="center"/>
            </w:pPr>
            <w:r/>
            <w:r>
              <w:rPr>
                <w:rFonts w:ascii="휴먼명조" w:eastAsia="휴먼명조" w:hAnsi="휴먼명조" w:cs="휴먼명조"/>
                <w:b w:val="0"/>
                <w:sz w:val="18"/>
                <w:w w:val="97"/>
              </w:rPr>
              <w:t>2.00e-4</w:t>
            </w:r>
          </w:p>
        </w:tc>
        <w:tc>
          <w:tcPr>
            <w:tcW w:type="dxa" w:w="620"/>
          </w:tcPr>
          <w:p>
            <w:pPr>
              <w:spacing w:line="240" w:lineRule="auto"/>
              <w:jc w:val="center"/>
            </w:pPr>
            <w:r/>
            <w:r>
              <w:rPr>
                <w:rFonts w:ascii="휴먼명조" w:eastAsia="휴먼명조" w:hAnsi="휴먼명조" w:cs="휴먼명조"/>
                <w:b w:val="0"/>
                <w:sz w:val="18"/>
                <w:w w:val="97"/>
              </w:rPr>
              <w:t>1</w:t>
            </w:r>
          </w:p>
        </w:tc>
        <w:tc>
          <w:tcPr>
            <w:tcW w:type="dxa" w:w="620"/>
          </w:tcPr>
          <w:p>
            <w:pPr>
              <w:spacing w:line="240" w:lineRule="auto"/>
              <w:jc w:val="center"/>
            </w:pPr>
            <w:r/>
            <w:r>
              <w:rPr>
                <w:rFonts w:ascii="휴먼명조" w:eastAsia="휴먼명조" w:hAnsi="휴먼명조" w:cs="휴먼명조"/>
                <w:b w:val="0"/>
                <w:sz w:val="18"/>
                <w:w w:val="97"/>
              </w:rPr>
              <w:t>8</w:t>
            </w:r>
          </w:p>
        </w:tc>
        <w:tc>
          <w:tcPr>
            <w:tcW w:type="dxa" w:w="620"/>
          </w:tcPr>
          <w:p>
            <w:pPr>
              <w:spacing w:line="240" w:lineRule="auto"/>
              <w:jc w:val="center"/>
            </w:pPr>
            <w:r/>
            <w:r>
              <w:rPr>
                <w:rFonts w:ascii="휴먼명조" w:eastAsia="휴먼명조" w:hAnsi="휴먼명조" w:cs="휴먼명조"/>
                <w:b w:val="0"/>
                <w:sz w:val="18"/>
                <w:w w:val="97"/>
              </w:rPr>
              <w:t>0.030</w:t>
            </w:r>
          </w:p>
        </w:tc>
        <w:tc>
          <w:tcPr>
            <w:tcW w:type="dxa" w:w="620"/>
          </w:tcPr>
          <w:p>
            <w:pPr>
              <w:spacing w:line="240" w:lineRule="auto"/>
              <w:jc w:val="center"/>
            </w:pPr>
            <w:r/>
            <w:r>
              <w:rPr>
                <w:rFonts w:ascii="휴먼명조" w:eastAsia="휴먼명조" w:hAnsi="휴먼명조" w:cs="휴먼명조"/>
                <w:b w:val="0"/>
                <w:sz w:val="18"/>
                <w:w w:val="97"/>
              </w:rPr>
              <w:t>0.010</w:t>
            </w:r>
          </w:p>
        </w:tc>
        <w:tc>
          <w:tcPr>
            <w:tcW w:type="dxa" w:w="620"/>
          </w:tcPr>
          <w:p>
            <w:pPr>
              <w:spacing w:line="240" w:lineRule="auto"/>
              <w:jc w:val="center"/>
            </w:pPr>
            <w:r/>
            <w:r>
              <w:rPr>
                <w:rFonts w:ascii="휴먼명조" w:eastAsia="휴먼명조" w:hAnsi="휴먼명조" w:cs="휴먼명조"/>
                <w:b w:val="0"/>
                <w:sz w:val="18"/>
                <w:w w:val="97"/>
              </w:rPr>
              <w:t>minimal</w:t>
            </w:r>
          </w:p>
        </w:tc>
        <w:tc>
          <w:tcPr>
            <w:tcW w:type="dxa" w:w="620"/>
          </w:tcPr>
          <w:p>
            <w:pPr>
              <w:spacing w:line="240" w:lineRule="auto"/>
              <w:jc w:val="center"/>
            </w:pPr>
            <w:r/>
            <w:r>
              <w:rPr>
                <w:rFonts w:ascii="휴먼명조" w:eastAsia="휴먼명조" w:hAnsi="휴먼명조" w:cs="휴먼명조"/>
                <w:b w:val="0"/>
                <w:sz w:val="18"/>
                <w:w w:val="97"/>
              </w:rPr>
              <w:t>0.3840</w:t>
            </w:r>
          </w:p>
        </w:tc>
        <w:tc>
          <w:tcPr>
            <w:tcW w:type="dxa" w:w="620"/>
          </w:tcPr>
          <w:p>
            <w:pPr>
              <w:spacing w:line="240" w:lineRule="auto"/>
              <w:jc w:val="center"/>
            </w:pPr>
            <w:r/>
            <w:r>
              <w:rPr>
                <w:rFonts w:ascii="휴먼명조" w:eastAsia="휴먼명조" w:hAnsi="휴먼명조" w:cs="휴먼명조"/>
                <w:b w:val="0"/>
                <w:sz w:val="18"/>
                <w:w w:val="97"/>
              </w:rPr>
              <w:t>0.7213</w:t>
            </w:r>
          </w:p>
        </w:tc>
        <w:tc>
          <w:tcPr>
            <w:tcW w:type="dxa" w:w="620"/>
          </w:tcPr>
          <w:p>
            <w:pPr>
              <w:spacing w:line="240" w:lineRule="auto"/>
              <w:jc w:val="center"/>
            </w:pPr>
            <w:r/>
            <w:r>
              <w:rPr>
                <w:rFonts w:ascii="휴먼명조" w:eastAsia="휴먼명조" w:hAnsi="휴먼명조" w:cs="휴먼명조"/>
                <w:b w:val="0"/>
                <w:sz w:val="18"/>
                <w:w w:val="97"/>
              </w:rPr>
              <w:t>0.0625</w:t>
            </w:r>
          </w:p>
        </w:tc>
      </w:tr>
      <w:tr>
        <w:tc>
          <w:tcPr>
            <w:tcW w:type="dxa" w:w="620"/>
          </w:tcPr>
          <w:p>
            <w:pPr>
              <w:spacing w:line="240" w:lineRule="auto"/>
              <w:jc w:val="center"/>
            </w:pPr>
            <w:r/>
            <w:r>
              <w:rPr>
                <w:rFonts w:ascii="휴먼명조" w:eastAsia="휴먼명조" w:hAnsi="휴먼명조" w:cs="휴먼명조"/>
                <w:b w:val="0"/>
                <w:sz w:val="18"/>
                <w:w w:val="97"/>
              </w:rPr>
              <w:t>Random</w:t>
            </w:r>
          </w:p>
        </w:tc>
        <w:tc>
          <w:tcPr>
            <w:tcW w:type="dxa" w:w="620"/>
          </w:tcPr>
          <w:p>
            <w:pPr>
              <w:spacing w:line="240" w:lineRule="auto"/>
              <w:jc w:val="center"/>
            </w:pPr>
            <w:r/>
            <w:r>
              <w:rPr>
                <w:rFonts w:ascii="휴먼명조" w:eastAsia="휴먼명조" w:hAnsi="휴먼명조" w:cs="휴먼명조"/>
                <w:b w:val="0"/>
                <w:sz w:val="18"/>
                <w:w w:val="97"/>
              </w:rPr>
              <w:t>64</w:t>
            </w:r>
          </w:p>
        </w:tc>
        <w:tc>
          <w:tcPr>
            <w:tcW w:type="dxa" w:w="620"/>
          </w:tcPr>
          <w:p>
            <w:pPr>
              <w:spacing w:line="240" w:lineRule="auto"/>
              <w:jc w:val="center"/>
            </w:pPr>
            <w:r/>
            <w:r>
              <w:rPr>
                <w:rFonts w:ascii="휴먼명조" w:eastAsia="휴먼명조" w:hAnsi="휴먼명조" w:cs="휴먼명조"/>
                <w:b w:val="0"/>
                <w:sz w:val="18"/>
                <w:w w:val="97"/>
              </w:rPr>
              <w:t>256</w:t>
            </w:r>
          </w:p>
        </w:tc>
        <w:tc>
          <w:tcPr>
            <w:tcW w:type="dxa" w:w="620"/>
          </w:tcPr>
          <w:p>
            <w:pPr>
              <w:spacing w:line="240" w:lineRule="auto"/>
              <w:jc w:val="center"/>
            </w:pPr>
            <w:r/>
            <w:r>
              <w:rPr>
                <w:rFonts w:ascii="휴먼명조" w:eastAsia="휴먼명조" w:hAnsi="휴먼명조" w:cs="휴먼명조"/>
                <w:b w:val="0"/>
                <w:sz w:val="18"/>
                <w:w w:val="97"/>
              </w:rPr>
              <w:t>2.08e-4</w:t>
            </w:r>
          </w:p>
        </w:tc>
        <w:tc>
          <w:tcPr>
            <w:tcW w:type="dxa" w:w="620"/>
          </w:tcPr>
          <w:p>
            <w:pPr>
              <w:spacing w:line="240" w:lineRule="auto"/>
              <w:jc w:val="center"/>
            </w:pPr>
            <w:r/>
            <w:r>
              <w:rPr>
                <w:rFonts w:ascii="휴먼명조" w:eastAsia="휴먼명조" w:hAnsi="휴먼명조" w:cs="휴먼명조"/>
                <w:b w:val="0"/>
                <w:sz w:val="18"/>
                <w:w w:val="97"/>
              </w:rPr>
              <w:t>2</w:t>
            </w:r>
          </w:p>
        </w:tc>
        <w:tc>
          <w:tcPr>
            <w:tcW w:type="dxa" w:w="620"/>
          </w:tcPr>
          <w:p>
            <w:pPr>
              <w:spacing w:line="240" w:lineRule="auto"/>
              <w:jc w:val="center"/>
            </w:pPr>
            <w:r/>
            <w:r>
              <w:rPr>
                <w:rFonts w:ascii="휴먼명조" w:eastAsia="휴먼명조" w:hAnsi="휴먼명조" w:cs="휴먼명조"/>
                <w:b w:val="0"/>
                <w:sz w:val="18"/>
                <w:w w:val="97"/>
              </w:rPr>
              <w:t>16</w:t>
            </w:r>
          </w:p>
        </w:tc>
        <w:tc>
          <w:tcPr>
            <w:tcW w:type="dxa" w:w="620"/>
          </w:tcPr>
          <w:p>
            <w:pPr>
              <w:spacing w:line="240" w:lineRule="auto"/>
              <w:jc w:val="center"/>
            </w:pPr>
            <w:r/>
            <w:r>
              <w:rPr>
                <w:rFonts w:ascii="휴먼명조" w:eastAsia="휴먼명조" w:hAnsi="휴먼명조" w:cs="휴먼명조"/>
                <w:b w:val="0"/>
                <w:sz w:val="18"/>
                <w:w w:val="97"/>
              </w:rPr>
              <w:t>0.072</w:t>
            </w:r>
          </w:p>
        </w:tc>
        <w:tc>
          <w:tcPr>
            <w:tcW w:type="dxa" w:w="620"/>
          </w:tcPr>
          <w:p>
            <w:pPr>
              <w:spacing w:line="240" w:lineRule="auto"/>
              <w:jc w:val="center"/>
            </w:pPr>
            <w:r/>
            <w:r>
              <w:rPr>
                <w:rFonts w:ascii="휴먼명조" w:eastAsia="휴먼명조" w:hAnsi="휴먼명조" w:cs="휴먼명조"/>
                <w:b w:val="0"/>
                <w:sz w:val="18"/>
                <w:w w:val="97"/>
              </w:rPr>
              <w:t>0.013</w:t>
            </w:r>
          </w:p>
        </w:tc>
        <w:tc>
          <w:tcPr>
            <w:tcW w:type="dxa" w:w="620"/>
          </w:tcPr>
          <w:p>
            <w:pPr>
              <w:spacing w:line="240" w:lineRule="auto"/>
              <w:jc w:val="center"/>
            </w:pPr>
            <w:r/>
            <w:r>
              <w:rPr>
                <w:rFonts w:ascii="휴먼명조" w:eastAsia="휴먼명조" w:hAnsi="휴먼명조" w:cs="휴먼명조"/>
                <w:b w:val="0"/>
                <w:sz w:val="18"/>
                <w:w w:val="97"/>
              </w:rPr>
              <w:t>full</w:t>
            </w:r>
          </w:p>
        </w:tc>
        <w:tc>
          <w:tcPr>
            <w:tcW w:type="dxa" w:w="620"/>
          </w:tcPr>
          <w:p>
            <w:pPr>
              <w:spacing w:line="240" w:lineRule="auto"/>
              <w:jc w:val="center"/>
            </w:pPr>
            <w:r/>
            <w:r>
              <w:rPr>
                <w:rFonts w:ascii="휴먼명조" w:eastAsia="휴먼명조" w:hAnsi="휴먼명조" w:cs="휴먼명조"/>
                <w:b w:val="0"/>
                <w:sz w:val="18"/>
                <w:w w:val="97"/>
              </w:rPr>
              <w:t>0.4440</w:t>
            </w:r>
          </w:p>
        </w:tc>
        <w:tc>
          <w:tcPr>
            <w:tcW w:type="dxa" w:w="620"/>
          </w:tcPr>
          <w:p>
            <w:pPr>
              <w:spacing w:line="240" w:lineRule="auto"/>
              <w:jc w:val="center"/>
            </w:pPr>
            <w:r/>
            <w:r>
              <w:rPr>
                <w:rFonts w:ascii="휴먼명조" w:eastAsia="휴먼명조" w:hAnsi="휴먼명조" w:cs="휴먼명조"/>
                <w:b w:val="0"/>
                <w:sz w:val="18"/>
                <w:w w:val="97"/>
              </w:rPr>
              <w:t>0.7951</w:t>
            </w:r>
          </w:p>
        </w:tc>
        <w:tc>
          <w:tcPr>
            <w:tcW w:type="dxa" w:w="620"/>
          </w:tcPr>
          <w:p>
            <w:pPr>
              <w:spacing w:line="240" w:lineRule="auto"/>
              <w:jc w:val="center"/>
            </w:pPr>
            <w:r/>
            <w:r>
              <w:rPr>
                <w:rFonts w:ascii="휴먼명조" w:eastAsia="휴먼명조" w:hAnsi="휴먼명조" w:cs="휴먼명조"/>
                <w:b w:val="0"/>
                <w:sz w:val="18"/>
                <w:w w:val="97"/>
              </w:rPr>
              <w:t>0.1094</w:t>
            </w:r>
          </w:p>
        </w:tc>
      </w:tr>
      <w:tr>
        <w:tc>
          <w:tcPr>
            <w:tcW w:type="dxa" w:w="620"/>
          </w:tcPr>
          <w:p>
            <w:pPr>
              <w:spacing w:line="240" w:lineRule="auto"/>
              <w:jc w:val="center"/>
            </w:pPr>
            <w:r/>
            <w:r>
              <w:rPr>
                <w:rFonts w:ascii="휴먼명조" w:eastAsia="휴먼명조" w:hAnsi="휴먼명조" w:cs="휴먼명조"/>
                <w:b/>
                <w:sz w:val="18"/>
                <w:w w:val="97"/>
              </w:rPr>
              <w:t>Optuna</w:t>
            </w:r>
          </w:p>
        </w:tc>
        <w:tc>
          <w:tcPr>
            <w:tcW w:type="dxa" w:w="620"/>
          </w:tcPr>
          <w:p>
            <w:pPr>
              <w:spacing w:line="240" w:lineRule="auto"/>
              <w:jc w:val="center"/>
            </w:pPr>
            <w:r/>
            <w:r>
              <w:rPr>
                <w:rFonts w:ascii="휴먼명조" w:eastAsia="휴먼명조" w:hAnsi="휴먼명조" w:cs="휴먼명조"/>
                <w:b w:val="0"/>
                <w:sz w:val="18"/>
                <w:w w:val="97"/>
              </w:rPr>
              <w:t>32</w:t>
            </w:r>
          </w:p>
        </w:tc>
        <w:tc>
          <w:tcPr>
            <w:tcW w:type="dxa" w:w="620"/>
          </w:tcPr>
          <w:p>
            <w:pPr>
              <w:spacing w:line="240" w:lineRule="auto"/>
              <w:jc w:val="center"/>
            </w:pPr>
            <w:r/>
            <w:r>
              <w:rPr>
                <w:rFonts w:ascii="휴먼명조" w:eastAsia="휴먼명조" w:hAnsi="휴먼명조" w:cs="휴먼명조"/>
                <w:b w:val="0"/>
                <w:sz w:val="18"/>
                <w:w w:val="97"/>
              </w:rPr>
              <w:t>128</w:t>
            </w:r>
          </w:p>
        </w:tc>
        <w:tc>
          <w:tcPr>
            <w:tcW w:type="dxa" w:w="620"/>
          </w:tcPr>
          <w:p>
            <w:pPr>
              <w:spacing w:line="240" w:lineRule="auto"/>
              <w:jc w:val="center"/>
            </w:pPr>
            <w:r/>
            <w:r>
              <w:rPr>
                <w:rFonts w:ascii="휴먼명조" w:eastAsia="휴먼명조" w:hAnsi="휴먼명조" w:cs="휴먼명조"/>
                <w:b w:val="0"/>
                <w:sz w:val="18"/>
                <w:w w:val="97"/>
              </w:rPr>
              <w:t>4.91e-4</w:t>
            </w:r>
          </w:p>
        </w:tc>
        <w:tc>
          <w:tcPr>
            <w:tcW w:type="dxa" w:w="620"/>
          </w:tcPr>
          <w:p>
            <w:pPr>
              <w:spacing w:line="240" w:lineRule="auto"/>
              <w:jc w:val="center"/>
            </w:pPr>
            <w:r/>
            <w:r>
              <w:rPr>
                <w:rFonts w:ascii="휴먼명조" w:eastAsia="휴먼명조" w:hAnsi="휴먼명조" w:cs="휴먼명조"/>
                <w:b w:val="0"/>
                <w:sz w:val="18"/>
                <w:w w:val="97"/>
              </w:rPr>
              <w:t>4</w:t>
            </w:r>
          </w:p>
        </w:tc>
        <w:tc>
          <w:tcPr>
            <w:tcW w:type="dxa" w:w="620"/>
          </w:tcPr>
          <w:p>
            <w:pPr>
              <w:spacing w:line="240" w:lineRule="auto"/>
              <w:jc w:val="center"/>
            </w:pPr>
            <w:r/>
            <w:r>
              <w:rPr>
                <w:rFonts w:ascii="휴먼명조" w:eastAsia="휴먼명조" w:hAnsi="휴먼명조" w:cs="휴먼명조"/>
                <w:b w:val="0"/>
                <w:sz w:val="18"/>
                <w:w w:val="97"/>
              </w:rPr>
              <w:t>16</w:t>
            </w:r>
          </w:p>
        </w:tc>
        <w:tc>
          <w:tcPr>
            <w:tcW w:type="dxa" w:w="620"/>
          </w:tcPr>
          <w:p>
            <w:pPr>
              <w:spacing w:line="240" w:lineRule="auto"/>
              <w:jc w:val="center"/>
            </w:pPr>
            <w:r/>
            <w:r>
              <w:rPr>
                <w:rFonts w:ascii="휴먼명조" w:eastAsia="휴먼명조" w:hAnsi="휴먼명조" w:cs="휴먼명조"/>
                <w:b w:val="0"/>
                <w:sz w:val="18"/>
                <w:w w:val="97"/>
              </w:rPr>
              <w:t>0.089</w:t>
            </w:r>
          </w:p>
        </w:tc>
        <w:tc>
          <w:tcPr>
            <w:tcW w:type="dxa" w:w="620"/>
          </w:tcPr>
          <w:p>
            <w:pPr>
              <w:spacing w:line="240" w:lineRule="auto"/>
              <w:jc w:val="center"/>
            </w:pPr>
            <w:r/>
            <w:r>
              <w:rPr>
                <w:rFonts w:ascii="휴먼명조" w:eastAsia="휴먼명조" w:hAnsi="휴먼명조" w:cs="휴먼명조"/>
                <w:b w:val="0"/>
                <w:sz w:val="18"/>
                <w:w w:val="97"/>
              </w:rPr>
              <w:t>0.054</w:t>
            </w:r>
          </w:p>
        </w:tc>
        <w:tc>
          <w:tcPr>
            <w:tcW w:type="dxa" w:w="620"/>
          </w:tcPr>
          <w:p>
            <w:pPr>
              <w:spacing w:line="240" w:lineRule="auto"/>
              <w:jc w:val="center"/>
            </w:pPr>
            <w:r/>
            <w:r>
              <w:rPr>
                <w:rFonts w:ascii="휴먼명조" w:eastAsia="휴먼명조" w:hAnsi="휴먼명조" w:cs="휴먼명조"/>
                <w:b w:val="0"/>
                <w:sz w:val="18"/>
                <w:w w:val="97"/>
              </w:rPr>
              <w:t>full</w:t>
            </w:r>
          </w:p>
        </w:tc>
        <w:tc>
          <w:tcPr>
            <w:tcW w:type="dxa" w:w="620"/>
          </w:tcPr>
          <w:p>
            <w:pPr>
              <w:spacing w:line="240" w:lineRule="auto"/>
              <w:jc w:val="center"/>
            </w:pPr>
            <w:r/>
            <w:r>
              <w:rPr>
                <w:rFonts w:ascii="휴먼명조" w:eastAsia="휴먼명조" w:hAnsi="휴먼명조" w:cs="휴먼명조"/>
                <w:b/>
                <w:sz w:val="18"/>
                <w:w w:val="97"/>
              </w:rPr>
              <w:t>0.4700</w:t>
            </w:r>
          </w:p>
        </w:tc>
        <w:tc>
          <w:tcPr>
            <w:tcW w:type="dxa" w:w="620"/>
          </w:tcPr>
          <w:p>
            <w:pPr>
              <w:spacing w:line="240" w:lineRule="auto"/>
              <w:jc w:val="center"/>
            </w:pPr>
            <w:r/>
            <w:r>
              <w:rPr>
                <w:rFonts w:ascii="휴먼명조" w:eastAsia="휴먼명조" w:hAnsi="휴먼명조" w:cs="휴먼명조"/>
                <w:b w:val="0"/>
                <w:sz w:val="18"/>
                <w:w w:val="97"/>
              </w:rPr>
              <w:t>0.8115</w:t>
            </w:r>
          </w:p>
        </w:tc>
        <w:tc>
          <w:tcPr>
            <w:tcW w:type="dxa" w:w="620"/>
          </w:tcPr>
          <w:p>
            <w:pPr>
              <w:spacing w:line="240" w:lineRule="auto"/>
              <w:jc w:val="center"/>
            </w:pPr>
            <w:r/>
            <w:r>
              <w:rPr>
                <w:rFonts w:ascii="휴먼명조" w:eastAsia="휴먼명조" w:hAnsi="휴먼명조" w:cs="휴먼명조"/>
                <w:b w:val="0"/>
                <w:sz w:val="18"/>
                <w:w w:val="97"/>
              </w:rPr>
              <w:t>0.1445</w:t>
            </w:r>
          </w:p>
        </w:tc>
      </w:tr>
      <w:tr>
        <w:tc>
          <w:tcPr>
            <w:tcW w:type="dxa" w:w="620"/>
          </w:tcPr>
          <w:p>
            <w:pPr>
              <w:spacing w:line="240" w:lineRule="auto"/>
              <w:jc w:val="center"/>
            </w:pPr>
            <w:r/>
            <w:r>
              <w:rPr>
                <w:rFonts w:ascii="휴먼명조" w:eastAsia="휴먼명조" w:hAnsi="휴먼명조" w:cs="휴먼명조"/>
                <w:b w:val="0"/>
                <w:sz w:val="18"/>
                <w:w w:val="97"/>
              </w:rPr>
              <w:t>Autoresearch</w:t>
            </w:r>
          </w:p>
        </w:tc>
        <w:tc>
          <w:tcPr>
            <w:tcW w:type="dxa" w:w="620"/>
          </w:tcPr>
          <w:p>
            <w:pPr>
              <w:spacing w:line="240" w:lineRule="auto"/>
              <w:jc w:val="center"/>
            </w:pPr>
            <w:r/>
            <w:r>
              <w:rPr>
                <w:rFonts w:ascii="휴먼명조" w:eastAsia="휴먼명조" w:hAnsi="휴먼명조" w:cs="휴먼명조"/>
                <w:b w:val="0"/>
                <w:sz w:val="18"/>
                <w:w w:val="97"/>
              </w:rPr>
              <w:t>64</w:t>
            </w:r>
          </w:p>
        </w:tc>
        <w:tc>
          <w:tcPr>
            <w:tcW w:type="dxa" w:w="620"/>
          </w:tcPr>
          <w:p>
            <w:pPr>
              <w:spacing w:line="240" w:lineRule="auto"/>
              <w:jc w:val="center"/>
            </w:pPr>
            <w:r/>
            <w:r>
              <w:rPr>
                <w:rFonts w:ascii="휴먼명조" w:eastAsia="휴먼명조" w:hAnsi="휴먼명조" w:cs="휴먼명조"/>
                <w:b w:val="0"/>
                <w:sz w:val="18"/>
                <w:w w:val="97"/>
              </w:rPr>
              <w:t>256</w:t>
            </w:r>
          </w:p>
        </w:tc>
        <w:tc>
          <w:tcPr>
            <w:tcW w:type="dxa" w:w="620"/>
          </w:tcPr>
          <w:p>
            <w:pPr>
              <w:spacing w:line="240" w:lineRule="auto"/>
              <w:jc w:val="center"/>
            </w:pPr>
            <w:r/>
            <w:r>
              <w:rPr>
                <w:rFonts w:ascii="휴먼명조" w:eastAsia="휴먼명조" w:hAnsi="휴먼명조" w:cs="휴먼명조"/>
                <w:b w:val="0"/>
                <w:sz w:val="18"/>
                <w:w w:val="97"/>
              </w:rPr>
              <w:t>2.00e-4</w:t>
            </w:r>
          </w:p>
        </w:tc>
        <w:tc>
          <w:tcPr>
            <w:tcW w:type="dxa" w:w="620"/>
          </w:tcPr>
          <w:p>
            <w:pPr>
              <w:spacing w:line="240" w:lineRule="auto"/>
              <w:jc w:val="center"/>
            </w:pPr>
            <w:r/>
            <w:r>
              <w:rPr>
                <w:rFonts w:ascii="휴먼명조" w:eastAsia="휴먼명조" w:hAnsi="휴먼명조" w:cs="휴먼명조"/>
                <w:b w:val="0"/>
                <w:sz w:val="18"/>
                <w:w w:val="97"/>
              </w:rPr>
              <w:t>4</w:t>
            </w:r>
          </w:p>
        </w:tc>
        <w:tc>
          <w:tcPr>
            <w:tcW w:type="dxa" w:w="620"/>
          </w:tcPr>
          <w:p>
            <w:pPr>
              <w:spacing w:line="240" w:lineRule="auto"/>
              <w:jc w:val="center"/>
            </w:pPr>
            <w:r/>
            <w:r>
              <w:rPr>
                <w:rFonts w:ascii="휴먼명조" w:eastAsia="휴먼명조" w:hAnsi="휴먼명조" w:cs="휴먼명조"/>
                <w:b w:val="0"/>
                <w:sz w:val="18"/>
                <w:w w:val="97"/>
              </w:rPr>
              <w:t>16</w:t>
            </w:r>
          </w:p>
        </w:tc>
        <w:tc>
          <w:tcPr>
            <w:tcW w:type="dxa" w:w="620"/>
          </w:tcPr>
          <w:p>
            <w:pPr>
              <w:spacing w:line="240" w:lineRule="auto"/>
              <w:jc w:val="center"/>
            </w:pPr>
            <w:r/>
            <w:r>
              <w:rPr>
                <w:rFonts w:ascii="휴먼명조" w:eastAsia="휴먼명조" w:hAnsi="휴먼명조" w:cs="휴먼명조"/>
                <w:b w:val="0"/>
                <w:sz w:val="18"/>
                <w:w w:val="97"/>
              </w:rPr>
              <w:t>0.050</w:t>
            </w:r>
          </w:p>
        </w:tc>
        <w:tc>
          <w:tcPr>
            <w:tcW w:type="dxa" w:w="620"/>
          </w:tcPr>
          <w:p>
            <w:pPr>
              <w:spacing w:line="240" w:lineRule="auto"/>
              <w:jc w:val="center"/>
            </w:pPr>
            <w:r/>
            <w:r>
              <w:rPr>
                <w:rFonts w:ascii="휴먼명조" w:eastAsia="휴먼명조" w:hAnsi="휴먼명조" w:cs="휴먼명조"/>
                <w:b w:val="0"/>
                <w:sz w:val="18"/>
                <w:w w:val="97"/>
              </w:rPr>
              <w:t>0.010</w:t>
            </w:r>
          </w:p>
        </w:tc>
        <w:tc>
          <w:tcPr>
            <w:tcW w:type="dxa" w:w="620"/>
          </w:tcPr>
          <w:p>
            <w:pPr>
              <w:spacing w:line="240" w:lineRule="auto"/>
              <w:jc w:val="center"/>
            </w:pPr>
            <w:r/>
            <w:r>
              <w:rPr>
                <w:rFonts w:ascii="휴먼명조" w:eastAsia="휴먼명조" w:hAnsi="휴먼명조" w:cs="휴먼명조"/>
                <w:b w:val="0"/>
                <w:sz w:val="18"/>
                <w:w w:val="97"/>
              </w:rPr>
              <w:t>full</w:t>
            </w:r>
          </w:p>
        </w:tc>
        <w:tc>
          <w:tcPr>
            <w:tcW w:type="dxa" w:w="620"/>
          </w:tcPr>
          <w:p>
            <w:pPr>
              <w:spacing w:line="240" w:lineRule="auto"/>
              <w:jc w:val="center"/>
            </w:pPr>
            <w:r/>
            <w:r>
              <w:rPr>
                <w:rFonts w:ascii="휴먼명조" w:eastAsia="휴먼명조" w:hAnsi="휴먼명조" w:cs="휴먼명조"/>
                <w:b w:val="0"/>
                <w:sz w:val="18"/>
                <w:w w:val="97"/>
              </w:rPr>
              <w:t>0.4640</w:t>
            </w:r>
          </w:p>
        </w:tc>
        <w:tc>
          <w:tcPr>
            <w:tcW w:type="dxa" w:w="620"/>
          </w:tcPr>
          <w:p>
            <w:pPr>
              <w:spacing w:line="240" w:lineRule="auto"/>
              <w:jc w:val="center"/>
            </w:pPr>
            <w:r/>
            <w:r>
              <w:rPr>
                <w:rFonts w:ascii="휴먼명조" w:eastAsia="휴먼명조" w:hAnsi="휴먼명조" w:cs="휴먼명조"/>
                <w:b w:val="0"/>
                <w:sz w:val="18"/>
                <w:w w:val="97"/>
              </w:rPr>
              <w:t>0.7992</w:t>
            </w:r>
          </w:p>
        </w:tc>
        <w:tc>
          <w:tcPr>
            <w:tcW w:type="dxa" w:w="620"/>
          </w:tcPr>
          <w:p>
            <w:pPr>
              <w:spacing w:line="240" w:lineRule="auto"/>
              <w:jc w:val="center"/>
            </w:pPr>
            <w:r/>
            <w:r>
              <w:rPr>
                <w:rFonts w:ascii="휴먼명조" w:eastAsia="휴먼명조" w:hAnsi="휴먼명조" w:cs="휴먼명조"/>
                <w:b w:val="0"/>
                <w:sz w:val="18"/>
                <w:w w:val="97"/>
              </w:rPr>
              <w:t>0.1445</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This table describes the single best configuration reached by each strategy; the sample size is one, and it is not used as evidence for the relative merit of the strategies (which is judged by the run-level tests in Section 4.3.1). The closed and open columns are the val_closed_acc and val_open_acc of that trial.</w:t>
      </w:r>
    </w:p>
    <w:p>
      <w:pPr>
        <w:spacing w:line="384" w:lineRule="auto" w:after="0"/>
        <w:ind w:firstLine="220"/>
        <w:jc w:val="both"/>
      </w:pPr>
      <w:r>
        <w:rPr>
          <w:rFonts w:ascii="휴먼명조" w:eastAsia="휴먼명조" w:hAnsi="휴먼명조" w:cs="휴먼명조"/>
          <w:b w:val="0"/>
          <w:sz w:val="22"/>
          <w:w w:val="97"/>
        </w:rPr>
        <w:t xml:space="preserve">In all four strategies, </w:t>
      </w:r>
      <w:r>
        <w:rPr>
          <w:rFonts w:ascii="휴먼명조" w:eastAsia="휴먼명조" w:hAnsi="휴먼명조" w:cs="휴먼명조"/>
          <w:b/>
          <w:sz w:val="22"/>
          <w:w w:val="97"/>
        </w:rPr>
        <w:t>the gap between closed accuracy (0.72-0.81) and open accuracy (0.06-0.14) persists</w:t>
      </w:r>
      <w:r>
        <w:rPr>
          <w:rFonts w:ascii="휴먼명조" w:eastAsia="휴먼명조" w:hAnsi="휴먼명조" w:cs="휴먼명조"/>
          <w:b w:val="0"/>
          <w:sz w:val="22"/>
          <w:w w:val="97"/>
        </w:rPr>
        <w:t>. The overall accuracy gain achieved by search (Manual 0.3840 → Optuna 0.4700) arose mainly on closed items, while open accuracy remains at 0.1445 even under the best configuration. This gap shows that the weakness in open-ended responses observed in Phase 1 (Sections 4.1.2, 4.1.3) was not resolved by hyperparameter optimization; the three phases are consolidated on this point in Section 4.4.4.</w:t>
      </w:r>
    </w:p>
    <w:p>
      <w:pPr>
        <w:spacing w:line="384" w:lineRule="auto" w:after="0"/>
        <w:ind w:firstLine="220"/>
        <w:jc w:val="both"/>
      </w:pPr>
      <w:r>
        <w:rPr>
          <w:rFonts w:ascii="휴먼명조" w:eastAsia="휴먼명조" w:hAnsi="휴먼명조" w:cs="휴먼명조"/>
          <w:b w:val="0"/>
          <w:sz w:val="22"/>
          <w:w w:val="97"/>
        </w:rPr>
        <w:t xml:space="preserve">The three strategies that explored the search space freely (Random, Optuna, Autoresearch) all </w:t>
      </w:r>
      <w:r>
        <w:rPr>
          <w:rFonts w:ascii="휴먼명조" w:eastAsia="휴먼명조" w:hAnsi="휴먼명조" w:cs="휴먼명조"/>
          <w:b/>
          <w:sz w:val="22"/>
          <w:w w:val="97"/>
        </w:rPr>
        <w:t>converged on lora_targets=full (all-linear) with rank in the 32-64 region</w:t>
      </w:r>
      <w:r>
        <w:rPr>
          <w:rFonts w:ascii="휴먼명조" w:eastAsia="휴먼명조" w:hAnsi="휴먼명조" w:cs="휴먼명조"/>
          <w:b w:val="0"/>
          <w:sz w:val="22"/>
          <w:w w:val="97"/>
        </w:rPr>
        <w:t>. This coincides independently with the finding of Ablations B and C in Phase 2 that rank = 64 and target = all-linear are optimal (Sections 4.2.3, 4.2.4); the fact that two different experimental designs — fixed-axis ablation and free search — point to the same region reinforces the Phase 2 conclusion. The best-performing Optuna configuration, meanwhile, combined rank = 32 with a relatively high learning rate (4.91e-4) and weight decay (0.054), a region the other strategies did not reach.</w:t>
      </w:r>
    </w:p>
    <w:p>
      <w:pPr>
        <w:spacing w:line="384" w:lineRule="auto" w:after="0"/>
        <w:jc w:val="left"/>
        <w:outlineLvl w:val="2"/>
      </w:pPr>
      <w:r>
        <w:rPr>
          <w:rFonts w:ascii="휴먼명조" w:eastAsia="휴먼명조" w:hAnsi="휴먼명조" w:cs="휴먼명조"/>
          <w:b/>
          <w:sz w:val="22"/>
          <w:w w:val="97"/>
        </w:rPr>
        <w:t>4.3.3 Search Trajectory Analysis (trial level, descriptive only)</w:t>
      </w:r>
    </w:p>
    <w:p>
      <w:pPr>
        <w:pStyle w:val="표캡션"/>
        <w:spacing w:line="384" w:lineRule="auto" w:after="0"/>
        <w:jc w:val="center"/>
      </w:pPr>
      <w:r>
        <w:rPr>
          <w:rFonts w:ascii="휴먼명조" w:eastAsia="휴먼명조" w:hAnsi="휴먼명조" w:cs="휴먼명조"/>
          <w:b/>
          <w:sz w:val="22"/>
          <w:w w:val="97"/>
        </w:rPr>
        <w:t>Table 4.3b. Trial at which the best performance was reached, by strategy (over 10 repeats)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Strategy</w:t>
            </w:r>
          </w:p>
        </w:tc>
        <w:tc>
          <w:tcPr>
            <w:tcW w:type="dxa" w:w="1859"/>
          </w:tcPr>
          <w:p>
            <w:pPr>
              <w:spacing w:line="240" w:lineRule="auto"/>
              <w:jc w:val="center"/>
            </w:pPr>
            <w:r/>
            <w:r>
              <w:rPr>
                <w:rFonts w:ascii="휴먼명조" w:eastAsia="휴먼명조" w:hAnsi="휴먼명조" w:cs="휴먼명조"/>
                <w:b/>
                <w:sz w:val="18"/>
                <w:w w:val="97"/>
              </w:rPr>
              <w:t>Final best (median)</w:t>
            </w:r>
          </w:p>
        </w:tc>
        <w:tc>
          <w:tcPr>
            <w:tcW w:type="dxa" w:w="1859"/>
          </w:tcPr>
          <w:p>
            <w:pPr>
              <w:spacing w:line="240" w:lineRule="auto"/>
              <w:jc w:val="center"/>
            </w:pPr>
            <w:r/>
            <w:r>
              <w:rPr>
                <w:rFonts w:ascii="휴먼명조" w:eastAsia="휴먼명조" w:hAnsi="휴먼명조" w:cs="휴먼명조"/>
                <w:b/>
                <w:sz w:val="18"/>
                <w:w w:val="97"/>
              </w:rPr>
              <w:t>Trial of best (median)</w:t>
            </w:r>
          </w:p>
        </w:tc>
        <w:tc>
          <w:tcPr>
            <w:tcW w:type="dxa" w:w="1859"/>
          </w:tcPr>
          <w:p>
            <w:pPr>
              <w:spacing w:line="240" w:lineRule="auto"/>
              <w:jc w:val="center"/>
            </w:pPr>
            <w:r/>
            <w:r>
              <w:rPr>
                <w:rFonts w:ascii="휴먼명조" w:eastAsia="휴먼명조" w:hAnsi="휴먼명조" w:cs="휴먼명조"/>
                <w:b/>
                <w:sz w:val="18"/>
                <w:w w:val="97"/>
              </w:rPr>
              <w:t>IQR of that trial</w:t>
            </w:r>
          </w:p>
        </w:tc>
      </w:tr>
      <w:tr>
        <w:tc>
          <w:tcPr>
            <w:tcW w:type="dxa" w:w="1859"/>
          </w:tcPr>
          <w:p>
            <w:pPr>
              <w:spacing w:line="240" w:lineRule="auto"/>
              <w:jc w:val="center"/>
            </w:pPr>
            <w:r/>
            <w:r>
              <w:rPr>
                <w:rFonts w:ascii="휴먼명조" w:eastAsia="휴먼명조" w:hAnsi="휴먼명조" w:cs="휴먼명조"/>
                <w:b w:val="0"/>
                <w:sz w:val="18"/>
                <w:w w:val="97"/>
              </w:rPr>
              <w:t>Manual</w:t>
            </w:r>
          </w:p>
        </w:tc>
        <w:tc>
          <w:tcPr>
            <w:tcW w:type="dxa" w:w="1859"/>
          </w:tcPr>
          <w:p>
            <w:pPr>
              <w:spacing w:line="240" w:lineRule="auto"/>
              <w:jc w:val="center"/>
            </w:pPr>
            <w:r/>
            <w:r>
              <w:rPr>
                <w:rFonts w:ascii="휴먼명조" w:eastAsia="휴먼명조" w:hAnsi="휴먼명조" w:cs="휴먼명조"/>
                <w:b w:val="0"/>
                <w:sz w:val="18"/>
                <w:w w:val="97"/>
              </w:rPr>
              <w:t>0.3770</w:t>
            </w:r>
          </w:p>
        </w:tc>
        <w:tc>
          <w:tcPr>
            <w:tcW w:type="dxa" w:w="1859"/>
          </w:tcPr>
          <w:p>
            <w:pPr>
              <w:spacing w:line="240" w:lineRule="auto"/>
              <w:jc w:val="center"/>
            </w:pPr>
            <w:r/>
            <w:r>
              <w:rPr>
                <w:rFonts w:ascii="휴먼명조" w:eastAsia="휴먼명조" w:hAnsi="휴먼명조" w:cs="휴먼명조"/>
                <w:b w:val="0"/>
                <w:sz w:val="18"/>
                <w:w w:val="97"/>
              </w:rPr>
              <w:t>1.0</w:t>
            </w:r>
          </w:p>
        </w:tc>
        <w:tc>
          <w:tcPr>
            <w:tcW w:type="dxa" w:w="1859"/>
          </w:tcPr>
          <w:p>
            <w:pPr>
              <w:spacing w:line="240" w:lineRule="auto"/>
              <w:jc w:val="center"/>
            </w:pPr>
            <w:r/>
            <w:r>
              <w:rPr>
                <w:rFonts w:ascii="휴먼명조" w:eastAsia="휴먼명조" w:hAnsi="휴먼명조" w:cs="휴먼명조"/>
                <w:b w:val="0"/>
                <w:sz w:val="18"/>
                <w:w w:val="97"/>
              </w:rPr>
              <w:t>—</w:t>
            </w:r>
          </w:p>
        </w:tc>
      </w:tr>
      <w:tr>
        <w:tc>
          <w:tcPr>
            <w:tcW w:type="dxa" w:w="1859"/>
          </w:tcPr>
          <w:p>
            <w:pPr>
              <w:spacing w:line="240" w:lineRule="auto"/>
              <w:jc w:val="center"/>
            </w:pPr>
            <w:r/>
            <w:r>
              <w:rPr>
                <w:rFonts w:ascii="휴먼명조" w:eastAsia="휴먼명조" w:hAnsi="휴먼명조" w:cs="휴먼명조"/>
                <w:b w:val="0"/>
                <w:sz w:val="18"/>
                <w:w w:val="97"/>
              </w:rPr>
              <w:t>Random Search</w:t>
            </w:r>
          </w:p>
        </w:tc>
        <w:tc>
          <w:tcPr>
            <w:tcW w:type="dxa" w:w="1859"/>
          </w:tcPr>
          <w:p>
            <w:pPr>
              <w:spacing w:line="240" w:lineRule="auto"/>
              <w:jc w:val="center"/>
            </w:pPr>
            <w:r/>
            <w:r>
              <w:rPr>
                <w:rFonts w:ascii="휴먼명조" w:eastAsia="휴먼명조" w:hAnsi="휴먼명조" w:cs="휴먼명조"/>
                <w:b w:val="0"/>
                <w:sz w:val="18"/>
                <w:w w:val="97"/>
              </w:rPr>
              <w:t>0.4150</w:t>
            </w:r>
          </w:p>
        </w:tc>
        <w:tc>
          <w:tcPr>
            <w:tcW w:type="dxa" w:w="1859"/>
          </w:tcPr>
          <w:p>
            <w:pPr>
              <w:spacing w:line="240" w:lineRule="auto"/>
              <w:jc w:val="center"/>
            </w:pPr>
            <w:r/>
            <w:r>
              <w:rPr>
                <w:rFonts w:ascii="휴먼명조" w:eastAsia="휴먼명조" w:hAnsi="휴먼명조" w:cs="휴먼명조"/>
                <w:b w:val="0"/>
                <w:sz w:val="18"/>
                <w:w w:val="97"/>
              </w:rPr>
              <w:t>15.0</w:t>
            </w:r>
          </w:p>
        </w:tc>
        <w:tc>
          <w:tcPr>
            <w:tcW w:type="dxa" w:w="1859"/>
          </w:tcPr>
          <w:p>
            <w:pPr>
              <w:spacing w:line="240" w:lineRule="auto"/>
              <w:jc w:val="center"/>
            </w:pPr>
            <w:r/>
            <w:r>
              <w:rPr>
                <w:rFonts w:ascii="휴먼명조" w:eastAsia="휴먼명조" w:hAnsi="휴먼명조" w:cs="휴먼명조"/>
                <w:b w:val="0"/>
                <w:sz w:val="18"/>
                <w:w w:val="97"/>
              </w:rPr>
              <w:t>[12.2, 17.0]</w:t>
            </w:r>
          </w:p>
        </w:tc>
      </w:tr>
      <w:tr>
        <w:tc>
          <w:tcPr>
            <w:tcW w:type="dxa" w:w="1859"/>
          </w:tcPr>
          <w:p>
            <w:pPr>
              <w:spacing w:line="240" w:lineRule="auto"/>
              <w:jc w:val="center"/>
            </w:pPr>
            <w:r/>
            <w:r>
              <w:rPr>
                <w:rFonts w:ascii="휴먼명조" w:eastAsia="휴먼명조" w:hAnsi="휴먼명조" w:cs="휴먼명조"/>
                <w:b w:val="0"/>
                <w:sz w:val="18"/>
                <w:w w:val="97"/>
              </w:rPr>
              <w:t>Optuna (TPE)</w:t>
            </w:r>
          </w:p>
        </w:tc>
        <w:tc>
          <w:tcPr>
            <w:tcW w:type="dxa" w:w="1859"/>
          </w:tcPr>
          <w:p>
            <w:pPr>
              <w:spacing w:line="240" w:lineRule="auto"/>
              <w:jc w:val="center"/>
            </w:pPr>
            <w:r/>
            <w:r>
              <w:rPr>
                <w:rFonts w:ascii="휴먼명조" w:eastAsia="휴먼명조" w:hAnsi="휴먼명조" w:cs="휴먼명조"/>
                <w:b w:val="0"/>
                <w:sz w:val="18"/>
                <w:w w:val="97"/>
              </w:rPr>
              <w:t>0.4550</w:t>
            </w:r>
          </w:p>
        </w:tc>
        <w:tc>
          <w:tcPr>
            <w:tcW w:type="dxa" w:w="1859"/>
          </w:tcPr>
          <w:p>
            <w:pPr>
              <w:spacing w:line="240" w:lineRule="auto"/>
              <w:jc w:val="center"/>
            </w:pPr>
            <w:r/>
            <w:r>
              <w:rPr>
                <w:rFonts w:ascii="휴먼명조" w:eastAsia="휴먼명조" w:hAnsi="휴먼명조" w:cs="휴먼명조"/>
                <w:b w:val="0"/>
                <w:sz w:val="18"/>
                <w:w w:val="97"/>
              </w:rPr>
              <w:t>15.0</w:t>
            </w:r>
          </w:p>
        </w:tc>
        <w:tc>
          <w:tcPr>
            <w:tcW w:type="dxa" w:w="1859"/>
          </w:tcPr>
          <w:p>
            <w:pPr>
              <w:spacing w:line="240" w:lineRule="auto"/>
              <w:jc w:val="center"/>
            </w:pPr>
            <w:r/>
            <w:r>
              <w:rPr>
                <w:rFonts w:ascii="휴먼명조" w:eastAsia="휴먼명조" w:hAnsi="휴먼명조" w:cs="휴먼명조"/>
                <w:b w:val="0"/>
                <w:sz w:val="18"/>
                <w:w w:val="97"/>
              </w:rPr>
              <w:t>[13.5, 18.0]</w:t>
            </w:r>
          </w:p>
        </w:tc>
      </w:tr>
      <w:tr>
        <w:tc>
          <w:tcPr>
            <w:tcW w:type="dxa" w:w="1859"/>
          </w:tcPr>
          <w:p>
            <w:pPr>
              <w:spacing w:line="240" w:lineRule="auto"/>
              <w:jc w:val="center"/>
            </w:pPr>
            <w:r/>
            <w:r>
              <w:rPr>
                <w:rFonts w:ascii="휴먼명조" w:eastAsia="휴먼명조" w:hAnsi="휴먼명조" w:cs="휴먼명조"/>
                <w:b w:val="0"/>
                <w:sz w:val="18"/>
                <w:w w:val="97"/>
              </w:rPr>
              <w:t>Autoresearch</w:t>
            </w:r>
          </w:p>
        </w:tc>
        <w:tc>
          <w:tcPr>
            <w:tcW w:type="dxa" w:w="1859"/>
          </w:tcPr>
          <w:p>
            <w:pPr>
              <w:spacing w:line="240" w:lineRule="auto"/>
              <w:jc w:val="center"/>
            </w:pPr>
            <w:r/>
            <w:r>
              <w:rPr>
                <w:rFonts w:ascii="휴먼명조" w:eastAsia="휴먼명조" w:hAnsi="휴먼명조" w:cs="휴먼명조"/>
                <w:b w:val="0"/>
                <w:sz w:val="18"/>
                <w:w w:val="97"/>
              </w:rPr>
              <w:t>0.4060</w:t>
            </w:r>
          </w:p>
        </w:tc>
        <w:tc>
          <w:tcPr>
            <w:tcW w:type="dxa" w:w="1859"/>
          </w:tcPr>
          <w:p>
            <w:pPr>
              <w:spacing w:line="240" w:lineRule="auto"/>
              <w:jc w:val="center"/>
            </w:pPr>
            <w:r/>
            <w:r>
              <w:rPr>
                <w:rFonts w:ascii="휴먼명조" w:eastAsia="휴먼명조" w:hAnsi="휴먼명조" w:cs="휴먼명조"/>
                <w:b w:val="0"/>
                <w:sz w:val="18"/>
                <w:w w:val="97"/>
              </w:rPr>
              <w:t>17.5</w:t>
            </w:r>
          </w:p>
        </w:tc>
        <w:tc>
          <w:tcPr>
            <w:tcW w:type="dxa" w:w="1859"/>
          </w:tcPr>
          <w:p>
            <w:pPr>
              <w:spacing w:line="240" w:lineRule="auto"/>
              <w:jc w:val="center"/>
            </w:pPr>
            <w:r/>
            <w:r>
              <w:rPr>
                <w:rFonts w:ascii="휴먼명조" w:eastAsia="휴먼명조" w:hAnsi="휴먼명조" w:cs="휴먼명조"/>
                <w:b w:val="0"/>
                <w:sz w:val="18"/>
                <w:w w:val="97"/>
              </w:rPr>
              <w:t>[11.5, 20.0]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Autoresearch reaches its best performance latest, with a median trial of 17.5, and </w:t>
      </w:r>
      <w:r>
        <w:rPr>
          <w:rFonts w:ascii="휴먼명조" w:eastAsia="휴먼명조" w:hAnsi="휴먼명조" w:cs="휴먼명조"/>
          <w:b/>
          <w:sz w:val="22"/>
          <w:w w:val="97"/>
        </w:rPr>
        <w:t>the upper bound of its IQR touches 20.0, the ceiling of the search budget</w:t>
      </w:r>
      <w:r>
        <w:rPr>
          <w:rFonts w:ascii="휴먼명조" w:eastAsia="휴먼명조" w:hAnsi="휴먼명조" w:cs="휴먼명조"/>
          <w:b w:val="0"/>
          <w:sz w:val="22"/>
          <w:w w:val="97"/>
        </w:rPr>
        <w:t>. This means that nearly half of the runs were still improving at the point the budget was exhausted, suggesting that a budget of 20 trials may have been insufficient for this strategy — a point directly connected to the reduction from 40 to 20 described in Section 3.7 and discussed as a limitation in Section 5.3. This is, however, observed circumstantial evidence; whether the strategy would actually catch up with Optuna under a larger budget was not verified in this study.</w:t>
      </w:r>
    </w:p>
    <w:p>
      <w:pPr>
        <w:pStyle w:val="표캡션"/>
        <w:spacing w:line="384" w:lineRule="auto" w:after="0"/>
        <w:jc w:val="center"/>
      </w:pPr>
      <w:r>
        <w:rPr>
          <w:rFonts w:ascii="휴먼명조" w:eastAsia="휴먼명조" w:hAnsi="휴먼명조" w:cs="휴먼명조"/>
          <w:b/>
          <w:sz w:val="22"/>
          <w:w w:val="97"/>
        </w:rPr>
        <w:t>Table 4.3c. Trial-level performance distribution by strategy (all 200 trials, descriptive statistics)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Strategy</w:t>
            </w:r>
          </w:p>
        </w:tc>
        <w:tc>
          <w:tcPr>
            <w:tcW w:type="dxa" w:w="1859"/>
          </w:tcPr>
          <w:p>
            <w:pPr>
              <w:spacing w:line="240" w:lineRule="auto"/>
              <w:jc w:val="center"/>
            </w:pPr>
            <w:r/>
            <w:r>
              <w:rPr>
                <w:rFonts w:ascii="휴먼명조" w:eastAsia="휴먼명조" w:hAnsi="휴먼명조" w:cs="휴먼명조"/>
                <w:b/>
                <w:sz w:val="18"/>
                <w:w w:val="97"/>
              </w:rPr>
              <w:t>Trial-level mean</w:t>
            </w:r>
          </w:p>
        </w:tc>
        <w:tc>
          <w:tcPr>
            <w:tcW w:type="dxa" w:w="1859"/>
          </w:tcPr>
          <w:p>
            <w:pPr>
              <w:spacing w:line="240" w:lineRule="auto"/>
              <w:jc w:val="center"/>
            </w:pPr>
            <w:r/>
            <w:r>
              <w:rPr>
                <w:rFonts w:ascii="휴먼명조" w:eastAsia="휴먼명조" w:hAnsi="휴먼명조" w:cs="휴먼명조"/>
                <w:b/>
                <w:sz w:val="18"/>
                <w:w w:val="97"/>
              </w:rPr>
              <w:t>SD</w:t>
            </w:r>
          </w:p>
        </w:tc>
        <w:tc>
          <w:tcPr>
            <w:tcW w:type="dxa" w:w="1859"/>
          </w:tcPr>
          <w:p>
            <w:pPr>
              <w:spacing w:line="240" w:lineRule="auto"/>
              <w:jc w:val="center"/>
            </w:pPr>
            <w:r/>
            <w:r>
              <w:rPr>
                <w:rFonts w:ascii="휴먼명조" w:eastAsia="휴먼명조" w:hAnsi="휴먼명조" w:cs="휴먼명조"/>
                <w:b/>
                <w:sz w:val="18"/>
                <w:w w:val="97"/>
              </w:rPr>
              <w:t>Total training time (min)</w:t>
            </w:r>
          </w:p>
        </w:tc>
      </w:tr>
      <w:tr>
        <w:tc>
          <w:tcPr>
            <w:tcW w:type="dxa" w:w="1859"/>
          </w:tcPr>
          <w:p>
            <w:pPr>
              <w:spacing w:line="240" w:lineRule="auto"/>
              <w:jc w:val="center"/>
            </w:pPr>
            <w:r/>
            <w:r>
              <w:rPr>
                <w:rFonts w:ascii="휴먼명조" w:eastAsia="휴먼명조" w:hAnsi="휴먼명조" w:cs="휴먼명조"/>
                <w:b w:val="0"/>
                <w:sz w:val="18"/>
                <w:w w:val="97"/>
              </w:rPr>
              <w:t>Manual</w:t>
            </w:r>
          </w:p>
        </w:tc>
        <w:tc>
          <w:tcPr>
            <w:tcW w:type="dxa" w:w="1859"/>
          </w:tcPr>
          <w:p>
            <w:pPr>
              <w:spacing w:line="240" w:lineRule="auto"/>
              <w:jc w:val="center"/>
            </w:pPr>
            <w:r/>
            <w:r>
              <w:rPr>
                <w:rFonts w:ascii="휴먼명조" w:eastAsia="휴먼명조" w:hAnsi="휴먼명조" w:cs="휴먼명조"/>
                <w:b w:val="0"/>
                <w:sz w:val="18"/>
                <w:w w:val="97"/>
              </w:rPr>
              <w:t>0.3776</w:t>
            </w:r>
          </w:p>
        </w:tc>
        <w:tc>
          <w:tcPr>
            <w:tcW w:type="dxa" w:w="1859"/>
          </w:tcPr>
          <w:p>
            <w:pPr>
              <w:spacing w:line="240" w:lineRule="auto"/>
              <w:jc w:val="center"/>
            </w:pPr>
            <w:r/>
            <w:r>
              <w:rPr>
                <w:rFonts w:ascii="휴먼명조" w:eastAsia="휴먼명조" w:hAnsi="휴먼명조" w:cs="휴먼명조"/>
                <w:b w:val="0"/>
                <w:sz w:val="18"/>
                <w:w w:val="97"/>
              </w:rPr>
              <w:t>0.0031</w:t>
            </w:r>
          </w:p>
        </w:tc>
        <w:tc>
          <w:tcPr>
            <w:tcW w:type="dxa" w:w="1859"/>
          </w:tcPr>
          <w:p>
            <w:pPr>
              <w:spacing w:line="240" w:lineRule="auto"/>
              <w:jc w:val="center"/>
            </w:pPr>
            <w:r/>
            <w:r>
              <w:rPr>
                <w:rFonts w:ascii="휴먼명조" w:eastAsia="휴먼명조" w:hAnsi="휴먼명조" w:cs="휴먼명조"/>
                <w:b w:val="0"/>
                <w:sz w:val="18"/>
                <w:w w:val="97"/>
              </w:rPr>
              <w:t>228.3</w:t>
            </w:r>
          </w:p>
        </w:tc>
      </w:tr>
      <w:tr>
        <w:tc>
          <w:tcPr>
            <w:tcW w:type="dxa" w:w="1859"/>
          </w:tcPr>
          <w:p>
            <w:pPr>
              <w:spacing w:line="240" w:lineRule="auto"/>
              <w:jc w:val="center"/>
            </w:pPr>
            <w:r/>
            <w:r>
              <w:rPr>
                <w:rFonts w:ascii="휴먼명조" w:eastAsia="휴먼명조" w:hAnsi="휴먼명조" w:cs="휴먼명조"/>
                <w:b w:val="0"/>
                <w:sz w:val="18"/>
                <w:w w:val="97"/>
              </w:rPr>
              <w:t>Random Search</w:t>
            </w:r>
          </w:p>
        </w:tc>
        <w:tc>
          <w:tcPr>
            <w:tcW w:type="dxa" w:w="1859"/>
          </w:tcPr>
          <w:p>
            <w:pPr>
              <w:spacing w:line="240" w:lineRule="auto"/>
              <w:jc w:val="center"/>
            </w:pPr>
            <w:r/>
            <w:r>
              <w:rPr>
                <w:rFonts w:ascii="휴먼명조" w:eastAsia="휴먼명조" w:hAnsi="휴먼명조" w:cs="휴먼명조"/>
                <w:b w:val="0"/>
                <w:sz w:val="18"/>
                <w:w w:val="97"/>
              </w:rPr>
              <w:t>0.3672</w:t>
            </w:r>
          </w:p>
        </w:tc>
        <w:tc>
          <w:tcPr>
            <w:tcW w:type="dxa" w:w="1859"/>
          </w:tcPr>
          <w:p>
            <w:pPr>
              <w:spacing w:line="240" w:lineRule="auto"/>
              <w:jc w:val="center"/>
            </w:pPr>
            <w:r/>
            <w:r>
              <w:rPr>
                <w:rFonts w:ascii="휴먼명조" w:eastAsia="휴먼명조" w:hAnsi="휴먼명조" w:cs="휴먼명조"/>
                <w:b w:val="0"/>
                <w:sz w:val="18"/>
                <w:w w:val="97"/>
              </w:rPr>
              <w:t>0.0321</w:t>
            </w:r>
          </w:p>
        </w:tc>
        <w:tc>
          <w:tcPr>
            <w:tcW w:type="dxa" w:w="1859"/>
          </w:tcPr>
          <w:p>
            <w:pPr>
              <w:spacing w:line="240" w:lineRule="auto"/>
              <w:jc w:val="center"/>
            </w:pPr>
            <w:r/>
            <w:r>
              <w:rPr>
                <w:rFonts w:ascii="휴먼명조" w:eastAsia="휴먼명조" w:hAnsi="휴먼명조" w:cs="휴먼명조"/>
                <w:b w:val="0"/>
                <w:sz w:val="18"/>
                <w:w w:val="97"/>
              </w:rPr>
              <w:t>5,078.6</w:t>
            </w:r>
          </w:p>
        </w:tc>
      </w:tr>
      <w:tr>
        <w:tc>
          <w:tcPr>
            <w:tcW w:type="dxa" w:w="1859"/>
          </w:tcPr>
          <w:p>
            <w:pPr>
              <w:spacing w:line="240" w:lineRule="auto"/>
              <w:jc w:val="center"/>
            </w:pPr>
            <w:r/>
            <w:r>
              <w:rPr>
                <w:rFonts w:ascii="휴먼명조" w:eastAsia="휴먼명조" w:hAnsi="휴먼명조" w:cs="휴먼명조"/>
                <w:b w:val="0"/>
                <w:sz w:val="18"/>
                <w:w w:val="97"/>
              </w:rPr>
              <w:t>Optuna (TPE)</w:t>
            </w:r>
          </w:p>
        </w:tc>
        <w:tc>
          <w:tcPr>
            <w:tcW w:type="dxa" w:w="1859"/>
          </w:tcPr>
          <w:p>
            <w:pPr>
              <w:spacing w:line="240" w:lineRule="auto"/>
              <w:jc w:val="center"/>
            </w:pPr>
            <w:r/>
            <w:r>
              <w:rPr>
                <w:rFonts w:ascii="휴먼명조" w:eastAsia="휴먼명조" w:hAnsi="휴먼명조" w:cs="휴먼명조"/>
                <w:b w:val="0"/>
                <w:sz w:val="18"/>
                <w:w w:val="97"/>
              </w:rPr>
              <w:t>0.3905</w:t>
            </w:r>
          </w:p>
        </w:tc>
        <w:tc>
          <w:tcPr>
            <w:tcW w:type="dxa" w:w="1859"/>
          </w:tcPr>
          <w:p>
            <w:pPr>
              <w:spacing w:line="240" w:lineRule="auto"/>
              <w:jc w:val="center"/>
            </w:pPr>
            <w:r/>
            <w:r>
              <w:rPr>
                <w:rFonts w:ascii="휴먼명조" w:eastAsia="휴먼명조" w:hAnsi="휴먼명조" w:cs="휴먼명조"/>
                <w:b w:val="0"/>
                <w:sz w:val="18"/>
                <w:w w:val="97"/>
              </w:rPr>
              <w:t>0.0374</w:t>
            </w:r>
          </w:p>
        </w:tc>
        <w:tc>
          <w:tcPr>
            <w:tcW w:type="dxa" w:w="1859"/>
          </w:tcPr>
          <w:p>
            <w:pPr>
              <w:spacing w:line="240" w:lineRule="auto"/>
              <w:jc w:val="center"/>
            </w:pPr>
            <w:r/>
            <w:r>
              <w:rPr>
                <w:rFonts w:ascii="휴먼명조" w:eastAsia="휴먼명조" w:hAnsi="휴먼명조" w:cs="휴먼명조"/>
                <w:b w:val="0"/>
                <w:sz w:val="18"/>
                <w:w w:val="97"/>
              </w:rPr>
              <w:t>5,967.3</w:t>
            </w:r>
          </w:p>
        </w:tc>
      </w:tr>
      <w:tr>
        <w:tc>
          <w:tcPr>
            <w:tcW w:type="dxa" w:w="1859"/>
          </w:tcPr>
          <w:p>
            <w:pPr>
              <w:spacing w:line="240" w:lineRule="auto"/>
              <w:jc w:val="center"/>
            </w:pPr>
            <w:r/>
            <w:r>
              <w:rPr>
                <w:rFonts w:ascii="휴먼명조" w:eastAsia="휴먼명조" w:hAnsi="휴먼명조" w:cs="휴먼명조"/>
                <w:b w:val="0"/>
                <w:sz w:val="18"/>
                <w:w w:val="97"/>
              </w:rPr>
              <w:t>Autoresearch</w:t>
            </w:r>
          </w:p>
        </w:tc>
        <w:tc>
          <w:tcPr>
            <w:tcW w:type="dxa" w:w="1859"/>
          </w:tcPr>
          <w:p>
            <w:pPr>
              <w:spacing w:line="240" w:lineRule="auto"/>
              <w:jc w:val="center"/>
            </w:pPr>
            <w:r/>
            <w:r>
              <w:rPr>
                <w:rFonts w:ascii="휴먼명조" w:eastAsia="휴먼명조" w:hAnsi="휴먼명조" w:cs="휴먼명조"/>
                <w:b w:val="0"/>
                <w:sz w:val="18"/>
                <w:w w:val="97"/>
              </w:rPr>
              <w:t>0.3980</w:t>
            </w:r>
          </w:p>
        </w:tc>
        <w:tc>
          <w:tcPr>
            <w:tcW w:type="dxa" w:w="1859"/>
          </w:tcPr>
          <w:p>
            <w:pPr>
              <w:spacing w:line="240" w:lineRule="auto"/>
              <w:jc w:val="center"/>
            </w:pPr>
            <w:r/>
            <w:r>
              <w:rPr>
                <w:rFonts w:ascii="휴먼명조" w:eastAsia="휴먼명조" w:hAnsi="휴먼명조" w:cs="휴먼명조"/>
                <w:b/>
                <w:sz w:val="18"/>
                <w:w w:val="97"/>
              </w:rPr>
              <w:t>0.0145</w:t>
            </w:r>
          </w:p>
        </w:tc>
        <w:tc>
          <w:tcPr>
            <w:tcW w:type="dxa" w:w="1859"/>
          </w:tcPr>
          <w:p>
            <w:pPr>
              <w:spacing w:line="240" w:lineRule="auto"/>
              <w:jc w:val="center"/>
            </w:pPr>
            <w:r/>
            <w:r>
              <w:rPr>
                <w:rFonts w:ascii="휴먼명조" w:eastAsia="휴먼명조" w:hAnsi="휴먼명조" w:cs="휴먼명조"/>
                <w:b w:val="0"/>
                <w:sz w:val="18"/>
                <w:w w:val="97"/>
              </w:rPr>
              <w:t>5,450.0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Notably, </w:t>
      </w:r>
      <w:r>
        <w:rPr>
          <w:rFonts w:ascii="휴먼명조" w:eastAsia="휴먼명조" w:hAnsi="휴먼명조" w:cs="휴먼명조"/>
          <w:b/>
          <w:sz w:val="22"/>
          <w:w w:val="97"/>
        </w:rPr>
        <w:t>Autoresearch has the highest trial-level mean (0.3980) while also having the lowest standard deviation (0.0145)</w:t>
      </w:r>
      <w:r>
        <w:rPr>
          <w:rFonts w:ascii="휴먼명조" w:eastAsia="휴먼명조" w:hAnsi="휴먼명조" w:cs="휴먼명조"/>
          <w:b w:val="0"/>
          <w:sz w:val="22"/>
          <w:w w:val="97"/>
        </w:rPr>
        <w:t>. That is, the average quality of its individual proposals is superior, but its low variance meant it reached exceptionally good configurations less often. Optuna, conversely, has the largest standard deviation (0.0374). As long as the run-level metric is defined as "the best of 20 trials," a high-variance search is structurally advantaged; the reversal observed in Section 4.3.1 — Autoresearch higher on trial mean but Optuna higher on run-level best — is explained by this difference in variance.</w:t>
      </w:r>
    </w:p>
    <w:p>
      <w:pPr>
        <w:spacing w:line="384" w:lineRule="auto" w:after="0"/>
        <w:ind w:firstLine="220"/>
        <w:jc w:val="both"/>
      </w:pPr>
      <w:r>
        <w:rPr>
          <w:rFonts w:ascii="휴먼명조" w:eastAsia="휴먼명조" w:hAnsi="휴먼명조" w:cs="휴먼명조"/>
          <w:b w:val="0"/>
          <w:sz w:val="22"/>
          <w:w w:val="97"/>
        </w:rPr>
        <w:t>The anytime performance curve (median and IQR of cumulative best performance as trials progress) is in results/phase3_autoresearch/phase3_anytime.png, with the underlying figures in phase3_anytime_curve.csv.</w:t>
      </w:r>
    </w:p>
    <w:p>
      <w:pPr>
        <w:spacing w:line="384" w:lineRule="auto" w:after="0"/>
        <w:jc w:val="left"/>
        <w:outlineLvl w:val="2"/>
      </w:pPr>
      <w:r>
        <w:rPr>
          <w:rFonts w:ascii="휴먼명조" w:eastAsia="휴먼명조" w:hAnsi="휴먼명조" w:cs="휴먼명조"/>
          <w:b/>
          <w:sz w:val="22"/>
          <w:w w:val="97"/>
        </w:rPr>
        <w:t>4.3.4 Search Behaviour of the Autoresearch Agent</w:t>
      </w:r>
    </w:p>
    <w:p>
      <w:pPr>
        <w:spacing w:line="384" w:lineRule="auto" w:after="0"/>
        <w:ind w:firstLine="220"/>
        <w:jc w:val="both"/>
      </w:pPr>
      <w:r>
        <w:rPr>
          <w:rFonts w:ascii="휴먼명조" w:eastAsia="휴먼명조" w:hAnsi="휴먼명조" w:cs="휴먼명조"/>
          <w:b w:val="0"/>
          <w:sz w:val="22"/>
          <w:w w:val="97"/>
        </w:rPr>
        <w:t xml:space="preserve">To identify the cause of the low variance observed in Section 4.3.3, the number of </w:t>
      </w:r>
      <w:r>
        <w:rPr>
          <w:rFonts w:ascii="휴먼명조" w:eastAsia="휴먼명조" w:hAnsi="휴먼명조" w:cs="휴먼명조"/>
          <w:b/>
          <w:sz w:val="22"/>
          <w:w w:val="97"/>
        </w:rPr>
        <w:t>unique hyperparameter combinations</w:t>
      </w:r>
      <w:r>
        <w:rPr>
          <w:rFonts w:ascii="휴먼명조" w:eastAsia="휴먼명조" w:hAnsi="휴먼명조" w:cs="휴먼명조"/>
          <w:b w:val="0"/>
          <w:sz w:val="22"/>
          <w:w w:val="97"/>
        </w:rPr>
        <w:t xml:space="preserve"> proposed by the agent in each repeat was counted.</w:t>
      </w:r>
    </w:p>
    <w:p>
      <w:pPr>
        <w:pStyle w:val="표캡션"/>
        <w:spacing w:line="384" w:lineRule="auto" w:after="0"/>
        <w:jc w:val="center"/>
      </w:pPr>
      <w:r>
        <w:rPr>
          <w:rFonts w:ascii="휴먼명조" w:eastAsia="휴먼명조" w:hAnsi="휴먼명조" w:cs="휴먼명조"/>
          <w:b/>
          <w:sz w:val="22"/>
          <w:w w:val="97"/>
        </w:rPr>
        <w:t>Table 4.3d. Unique hyperparameter combinations per repeat (out of 20 trials)</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Strategy</w:t>
            </w:r>
          </w:p>
        </w:tc>
        <w:tc>
          <w:tcPr>
            <w:tcW w:type="dxa" w:w="2479"/>
          </w:tcPr>
          <w:p>
            <w:pPr>
              <w:spacing w:line="240" w:lineRule="auto"/>
              <w:jc w:val="center"/>
            </w:pPr>
            <w:r/>
            <w:r>
              <w:rPr>
                <w:rFonts w:ascii="휴먼명조" w:eastAsia="휴먼명조" w:hAnsi="휴먼명조" w:cs="휴먼명조"/>
                <w:b/>
                <w:sz w:val="18"/>
                <w:w w:val="97"/>
              </w:rPr>
              <w:t>Unique combinations per repeat (mean)</w:t>
            </w:r>
          </w:p>
        </w:tc>
        <w:tc>
          <w:tcPr>
            <w:tcW w:type="dxa" w:w="2479"/>
          </w:tcPr>
          <w:p>
            <w:pPr>
              <w:spacing w:line="240" w:lineRule="auto"/>
              <w:jc w:val="center"/>
            </w:pPr>
            <w:r/>
            <w:r>
              <w:rPr>
                <w:rFonts w:ascii="휴먼명조" w:eastAsia="휴먼명조" w:hAnsi="휴먼명조" w:cs="휴먼명조"/>
                <w:b/>
                <w:sz w:val="18"/>
                <w:w w:val="97"/>
              </w:rPr>
              <w:t>Range</w:t>
            </w:r>
          </w:p>
        </w:tc>
      </w:tr>
      <w:tr>
        <w:tc>
          <w:tcPr>
            <w:tcW w:type="dxa" w:w="2479"/>
          </w:tcPr>
          <w:p>
            <w:pPr>
              <w:spacing w:line="240" w:lineRule="auto"/>
              <w:jc w:val="center"/>
            </w:pPr>
            <w:r/>
            <w:r>
              <w:rPr>
                <w:rFonts w:ascii="휴먼명조" w:eastAsia="휴먼명조" w:hAnsi="휴먼명조" w:cs="휴먼명조"/>
                <w:b w:val="0"/>
                <w:sz w:val="18"/>
                <w:w w:val="97"/>
              </w:rPr>
              <w:t>Random Search</w:t>
            </w:r>
          </w:p>
        </w:tc>
        <w:tc>
          <w:tcPr>
            <w:tcW w:type="dxa" w:w="2479"/>
          </w:tcPr>
          <w:p>
            <w:pPr>
              <w:spacing w:line="240" w:lineRule="auto"/>
              <w:jc w:val="center"/>
            </w:pPr>
            <w:r/>
            <w:r>
              <w:rPr>
                <w:rFonts w:ascii="휴먼명조" w:eastAsia="휴먼명조" w:hAnsi="휴먼명조" w:cs="휴먼명조"/>
                <w:b w:val="0"/>
                <w:sz w:val="18"/>
                <w:w w:val="97"/>
              </w:rPr>
              <w:t>20.0 / 20</w:t>
            </w:r>
          </w:p>
        </w:tc>
        <w:tc>
          <w:tcPr>
            <w:tcW w:type="dxa" w:w="2479"/>
          </w:tcPr>
          <w:p>
            <w:pPr>
              <w:spacing w:line="240" w:lineRule="auto"/>
              <w:jc w:val="center"/>
            </w:pPr>
            <w:r/>
            <w:r>
              <w:rPr>
                <w:rFonts w:ascii="휴먼명조" w:eastAsia="휴먼명조" w:hAnsi="휴먼명조" w:cs="휴먼명조"/>
                <w:b w:val="0"/>
                <w:sz w:val="18"/>
                <w:w w:val="97"/>
              </w:rPr>
              <w:t>20 - 20</w:t>
            </w:r>
          </w:p>
        </w:tc>
      </w:tr>
      <w:tr>
        <w:tc>
          <w:tcPr>
            <w:tcW w:type="dxa" w:w="2479"/>
          </w:tcPr>
          <w:p>
            <w:pPr>
              <w:spacing w:line="240" w:lineRule="auto"/>
              <w:jc w:val="center"/>
            </w:pPr>
            <w:r/>
            <w:r>
              <w:rPr>
                <w:rFonts w:ascii="휴먼명조" w:eastAsia="휴먼명조" w:hAnsi="휴먼명조" w:cs="휴먼명조"/>
                <w:b w:val="0"/>
                <w:sz w:val="18"/>
                <w:w w:val="97"/>
              </w:rPr>
              <w:t>Optuna (TPE)</w:t>
            </w:r>
          </w:p>
        </w:tc>
        <w:tc>
          <w:tcPr>
            <w:tcW w:type="dxa" w:w="2479"/>
          </w:tcPr>
          <w:p>
            <w:pPr>
              <w:spacing w:line="240" w:lineRule="auto"/>
              <w:jc w:val="center"/>
            </w:pPr>
            <w:r/>
            <w:r>
              <w:rPr>
                <w:rFonts w:ascii="휴먼명조" w:eastAsia="휴먼명조" w:hAnsi="휴먼명조" w:cs="휴먼명조"/>
                <w:b w:val="0"/>
                <w:sz w:val="18"/>
                <w:w w:val="97"/>
              </w:rPr>
              <w:t>20.0 / 20</w:t>
            </w:r>
          </w:p>
        </w:tc>
        <w:tc>
          <w:tcPr>
            <w:tcW w:type="dxa" w:w="2479"/>
          </w:tcPr>
          <w:p>
            <w:pPr>
              <w:spacing w:line="240" w:lineRule="auto"/>
              <w:jc w:val="center"/>
            </w:pPr>
            <w:r/>
            <w:r>
              <w:rPr>
                <w:rFonts w:ascii="휴먼명조" w:eastAsia="휴먼명조" w:hAnsi="휴먼명조" w:cs="휴먼명조"/>
                <w:b w:val="0"/>
                <w:sz w:val="18"/>
                <w:w w:val="97"/>
              </w:rPr>
              <w:t>20 - 20</w:t>
            </w:r>
          </w:p>
        </w:tc>
      </w:tr>
      <w:tr>
        <w:tc>
          <w:tcPr>
            <w:tcW w:type="dxa" w:w="2479"/>
          </w:tcPr>
          <w:p>
            <w:pPr>
              <w:spacing w:line="240" w:lineRule="auto"/>
              <w:jc w:val="center"/>
            </w:pPr>
            <w:r/>
            <w:r>
              <w:rPr>
                <w:rFonts w:ascii="휴먼명조" w:eastAsia="휴먼명조" w:hAnsi="휴먼명조" w:cs="휴먼명조"/>
                <w:b/>
                <w:sz w:val="18"/>
                <w:w w:val="97"/>
              </w:rPr>
              <w:t>Autoresearch</w:t>
            </w:r>
          </w:p>
        </w:tc>
        <w:tc>
          <w:tcPr>
            <w:tcW w:type="dxa" w:w="2479"/>
          </w:tcPr>
          <w:p>
            <w:pPr>
              <w:spacing w:line="240" w:lineRule="auto"/>
              <w:jc w:val="center"/>
            </w:pPr>
            <w:r/>
            <w:r>
              <w:rPr>
                <w:rFonts w:ascii="휴먼명조" w:eastAsia="휴먼명조" w:hAnsi="휴먼명조" w:cs="휴먼명조"/>
                <w:b/>
                <w:sz w:val="18"/>
                <w:w w:val="97"/>
              </w:rPr>
              <w:t>12.5 / 20</w:t>
            </w:r>
          </w:p>
        </w:tc>
        <w:tc>
          <w:tcPr>
            <w:tcW w:type="dxa" w:w="2479"/>
          </w:tcPr>
          <w:p>
            <w:pPr>
              <w:spacing w:line="240" w:lineRule="auto"/>
              <w:jc w:val="center"/>
            </w:pPr>
            <w:r/>
            <w:r>
              <w:rPr>
                <w:rFonts w:ascii="휴먼명조" w:eastAsia="휴먼명조" w:hAnsi="휴먼명조" w:cs="휴먼명조"/>
                <w:b w:val="0"/>
                <w:sz w:val="18"/>
                <w:w w:val="97"/>
              </w:rPr>
              <w:t>10 - 17</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Random and Optuna produced 20 mutually distinct configurations in all 10 repeats, whereas </w:t>
      </w:r>
      <w:r>
        <w:rPr>
          <w:rFonts w:ascii="휴먼명조" w:eastAsia="휴먼명조" w:hAnsi="휴먼명조" w:cs="휴먼명조"/>
          <w:b/>
          <w:sz w:val="22"/>
          <w:w w:val="97"/>
        </w:rPr>
        <w:t>Autoresearch attempted only 12.5 unique configurations on average.</w:t>
      </w:r>
      <w:r>
        <w:rPr>
          <w:rFonts w:ascii="휴먼명조" w:eastAsia="휴먼명조" w:hAnsi="휴먼명조" w:cs="휴먼명조"/>
          <w:b w:val="0"/>
          <w:sz w:val="22"/>
          <w:w w:val="97"/>
        </w:rPr>
        <w:t xml:space="preserve"> Roughly 37% of the search budget was thus consumed re-running configurations already tried, and this phenomenon was not confined to particular repeats but was observed consistently across all 10 (minimum 10, maximum 17).</w:t>
      </w:r>
    </w:p>
    <w:p>
      <w:pPr>
        <w:spacing w:line="384" w:lineRule="auto" w:after="0"/>
        <w:ind w:firstLine="220"/>
        <w:jc w:val="both"/>
      </w:pPr>
      <w:r>
        <w:rPr>
          <w:rFonts w:ascii="휴먼명조" w:eastAsia="휴먼명조" w:hAnsi="휴먼명조" w:cs="휴먼명조"/>
          <w:b w:val="0"/>
          <w:sz w:val="22"/>
          <w:w w:val="97"/>
        </w:rPr>
        <w:t xml:space="preserve">The pattern emerges more clearly in the proposal trajectory of individual repeats. In repeat 8, for example, the agent explored by varying rank 16 → 64 → 32 → 8 → 32 → 64 over the first six trials, then became fixed after the seventh trial on the combination rank=64, alpha=256, lr=2.0e-4, batch=2, targets=full, proposing it 11 times consecutively. Notably, </w:t>
      </w:r>
      <w:r>
        <w:rPr>
          <w:rFonts w:ascii="휴먼명조" w:eastAsia="휴먼명조" w:hAnsi="휴먼명조" w:cs="휴먼명조"/>
          <w:b/>
          <w:sz w:val="22"/>
          <w:w w:val="97"/>
        </w:rPr>
        <w:t>val_accuracy fluctuated between 0.388 and 0.444 while the identical configuration was being re-run</w:t>
      </w:r>
      <w:r>
        <w:rPr>
          <w:rFonts w:ascii="휴먼명조" w:eastAsia="휴먼명조" w:hAnsi="휴먼명조" w:cs="휴먼명조"/>
          <w:b w:val="0"/>
          <w:sz w:val="22"/>
          <w:w w:val="97"/>
        </w:rPr>
        <w:t xml:space="preserve"> — this variation reflects the stochastic behaviour of training and evaluation rather than any difference in configuration, suggesting that the agent may have interpreted this noise as a performance signal. In that repeat, the agent broke out of the fixation by changing batch_size to 4 only on the final trial, and that configuration recorded the repeat's best performance (0.4640).</w:t>
      </w:r>
    </w:p>
    <w:p>
      <w:pPr>
        <w:spacing w:line="384" w:lineRule="auto" w:after="0"/>
        <w:ind w:firstLine="220"/>
        <w:jc w:val="both"/>
      </w:pPr>
      <w:r>
        <w:rPr>
          <w:rFonts w:ascii="휴먼명조" w:eastAsia="휴먼명조" w:hAnsi="휴먼명조" w:cs="휴먼명조"/>
          <w:b w:val="0"/>
          <w:sz w:val="22"/>
          <w:w w:val="97"/>
        </w:rPr>
        <w:t xml:space="preserve">In summary, the low performance of Autoresearch appears to stem not from poor quality of the configurations it proposes — its trial-level mean is in fact the highest — but from </w:t>
      </w:r>
      <w:r>
        <w:rPr>
          <w:rFonts w:ascii="휴먼명조" w:eastAsia="휴먼명조" w:hAnsi="휴먼명조" w:cs="휴먼명조"/>
          <w:b/>
          <w:sz w:val="22"/>
          <w:w w:val="97"/>
        </w:rPr>
        <w:t>a reduced effective search budget caused by repeatedly proposing identical configurations</w:t>
      </w:r>
      <w:r>
        <w:rPr>
          <w:rFonts w:ascii="휴먼명조" w:eastAsia="휴먼명조" w:hAnsi="휴먼명조" w:cs="휴먼명조"/>
          <w:b w:val="0"/>
          <w:sz w:val="22"/>
          <w:w w:val="97"/>
        </w:rPr>
        <w:t>. This section is, however, a post-hoc observation of result logs and does not directly verify the agent's internal reasoning. The original rationale texts are reproduced in Appendix B.</w:t>
      </w:r>
    </w:p>
    <w:p>
      <w:pPr>
        <w:spacing w:line="384" w:lineRule="auto" w:after="0"/>
        <w:jc w:val="left"/>
        <w:outlineLvl w:val="2"/>
      </w:pPr>
      <w:r>
        <w:rPr>
          <w:rFonts w:ascii="휴먼명조" w:eastAsia="휴먼명조" w:hAnsi="휴먼명조" w:cs="휴먼명조"/>
          <w:b/>
          <w:sz w:val="22"/>
          <w:w w:val="97"/>
        </w:rPr>
        <w:t>4.3.5 Summary</w:t>
      </w:r>
    </w:p>
    <w:p>
      <w:pPr>
        <w:spacing w:line="384" w:lineRule="auto" w:after="0"/>
        <w:ind w:firstLine="220"/>
        <w:jc w:val="both"/>
      </w:pPr>
      <w:r>
        <w:rPr>
          <w:rFonts w:ascii="휴먼명조" w:eastAsia="휴먼명조" w:hAnsi="휴먼명조" w:cs="휴먼명조"/>
          <w:b w:val="0"/>
          <w:sz w:val="22"/>
          <w:w w:val="97"/>
        </w:rPr>
        <w:t xml:space="preserve">This study's answer to RQ3 is </w:t>
      </w:r>
      <w:r>
        <w:rPr>
          <w:rFonts w:ascii="휴먼명조" w:eastAsia="휴먼명조" w:hAnsi="휴먼명조" w:cs="휴먼명조"/>
          <w:b/>
          <w:sz w:val="22"/>
          <w:w w:val="97"/>
        </w:rPr>
        <w:t>negative</w:t>
      </w:r>
      <w:r>
        <w:rPr>
          <w:rFonts w:ascii="휴먼명조" w:eastAsia="휴먼명조" w:hAnsi="휴먼명조" w:cs="휴먼명조"/>
          <w:b w:val="0"/>
          <w:sz w:val="22"/>
          <w:w w:val="97"/>
        </w:rPr>
        <w:t xml:space="preserve">. Under an identical search space and an identical budget of 20 trials, the LLM agent's autonomous search (Autoresearch) </w:t>
      </w:r>
      <w:r>
        <w:rPr>
          <w:rFonts w:ascii="휴먼명조" w:eastAsia="휴먼명조" w:hAnsi="휴먼명조" w:cs="휴먼명조"/>
          <w:b/>
          <w:sz w:val="22"/>
          <w:w w:val="97"/>
        </w:rPr>
        <w:t>fell significantly short of Optuna (TPE)</w:t>
      </w:r>
      <w:r>
        <w:rPr>
          <w:rFonts w:ascii="휴먼명조" w:eastAsia="휴먼명조" w:hAnsi="휴먼명조" w:cs="휴먼명조"/>
          <w:b w:val="0"/>
          <w:sz w:val="22"/>
          <w:w w:val="97"/>
        </w:rPr>
        <w:t xml:space="preserve"> (p = .0112, r = -0.68) and was </w:t>
      </w:r>
      <w:r>
        <w:rPr>
          <w:rFonts w:ascii="휴먼명조" w:eastAsia="휴먼명조" w:hAnsi="휴먼명조" w:cs="휴먼명조"/>
          <w:b/>
          <w:sz w:val="22"/>
          <w:w w:val="97"/>
        </w:rPr>
        <w:t>statistically indistinguishable from random search</w:t>
      </w:r>
      <w:r>
        <w:rPr>
          <w:rFonts w:ascii="휴먼명조" w:eastAsia="휴먼명조" w:hAnsi="휴먼명조" w:cs="휴먼명조"/>
          <w:b w:val="0"/>
          <w:sz w:val="22"/>
          <w:w w:val="97"/>
        </w:rPr>
        <w:t xml:space="preserve"> (0.4184 vs 0.4186). That all three automated strategies exceeded the manual configuration nevertheless confirms both the validity of automated search itself and the superiority of the established technique (TPE) within it.</w:t>
      </w:r>
    </w:p>
    <w:p>
      <w:pPr>
        <w:spacing w:line="384" w:lineRule="auto" w:after="0"/>
        <w:ind w:firstLine="220"/>
        <w:jc w:val="both"/>
      </w:pPr>
      <w:r>
        <w:rPr>
          <w:rFonts w:ascii="휴먼명조" w:eastAsia="휴먼명조" w:hAnsi="휴먼명조" w:cs="휴먼명조"/>
          <w:b w:val="0"/>
          <w:sz w:val="22"/>
          <w:w w:val="97"/>
        </w:rPr>
        <w:t xml:space="preserve">As the underlying cause, Section 4.3.4 points to </w:t>
      </w:r>
      <w:r>
        <w:rPr>
          <w:rFonts w:ascii="휴먼명조" w:eastAsia="휴먼명조" w:hAnsi="휴먼명조" w:cs="휴먼명조"/>
          <w:b/>
          <w:sz w:val="22"/>
          <w:w w:val="97"/>
        </w:rPr>
        <w:t>a reduced effective search budget caused by duplicate proposals</w:t>
      </w:r>
      <w:r>
        <w:rPr>
          <w:rFonts w:ascii="휴먼명조" w:eastAsia="휴먼명조" w:hAnsi="휴먼명조" w:cs="휴먼명조"/>
          <w:b w:val="0"/>
          <w:sz w:val="22"/>
          <w:w w:val="97"/>
        </w:rPr>
        <w:t xml:space="preserve"> (12.5 of 20 unique configurations). An agent designed on the premise of sequential self-improvement instead fell into early fixation, and evidence was observed that it failed to distinguish the stochastic variation appearing across re-runs of an identical configuration from a genuine improvement signal.</w:t>
      </w:r>
    </w:p>
    <w:p>
      <w:pPr>
        <w:spacing w:line="384" w:lineRule="auto" w:after="0"/>
        <w:ind w:firstLine="220"/>
        <w:jc w:val="both"/>
      </w:pPr>
      <w:r>
        <w:rPr>
          <w:rFonts w:ascii="휴먼명조" w:eastAsia="휴먼명조" w:hAnsi="휴먼명조" w:cs="휴먼명조"/>
          <w:b w:val="0"/>
          <w:sz w:val="22"/>
          <w:w w:val="97"/>
        </w:rPr>
        <w:t>This conclusion is limited to the following conditions: a single model (Qwen3-VL-2B), a single dataset (PathVQA), a budget of 20 trials per strategy, and the control condition max_steps=200. In particular, as confirmed in Section 4.3.3, a substantial number of Autoresearch runs were still improving when the budget was exhausted, so results under a larger search budget could differ (Section 5.3).</w:t>
      </w:r>
    </w:p>
    <w:p>
      <w:pPr>
        <w:spacing w:line="384" w:lineRule="auto" w:after="0"/>
        <w:ind w:firstLine="220"/>
        <w:jc w:val="both"/>
      </w:pPr>
      <w:r>
        <w:rPr>
          <w:rFonts w:ascii="휴먼명조" w:eastAsia="휴먼명조" w:hAnsi="휴먼명조" w:cs="휴먼명조"/>
          <w:b w:val="0"/>
          <w:sz w:val="22"/>
          <w:w w:val="97"/>
        </w:rPr>
        <w:t>From a practical standpoint, cost must also be considered. Total training time for Autoresearch was 5,450 minutes, somewhat less than Optuna's 5,967 minutes, but Autoresearch incurs an additional LLM API cost on every trial. Since it is a configuration that performs worse while costing more, no grounds were found under these experimental conditions for choosing Autoresearch over Optuna.</w:t>
      </w:r>
    </w:p>
    <w:p>
      <w:pPr>
        <w:spacing w:line="384" w:lineRule="auto" w:after="0"/>
        <w:jc w:val="left"/>
        <w:outlineLvl w:val="1"/>
      </w:pPr>
      <w:r>
        <w:rPr>
          <w:rFonts w:ascii="휴먼명조" w:eastAsia="휴먼명조" w:hAnsi="휴먼명조" w:cs="휴먼명조"/>
          <w:b/>
          <w:sz w:val="28"/>
          <w:w w:val="97"/>
        </w:rPr>
        <w:t>4.4 Overall Analysis and Discussion</w:t>
      </w:r>
    </w:p>
    <w:p>
      <w:pPr>
        <w:spacing w:line="384" w:lineRule="auto" w:after="0"/>
        <w:ind w:firstLine="220"/>
        <w:jc w:val="both"/>
      </w:pPr>
      <w:r>
        <w:rPr>
          <w:rFonts w:ascii="휴먼명조" w:eastAsia="휴먼명조" w:hAnsi="휴먼명조" w:cs="휴먼명조"/>
          <w:b w:val="0"/>
          <w:sz w:val="22"/>
          <w:w w:val="97"/>
        </w:rPr>
        <w:t>Sections 4.1 to 4.3 reported the results of each experimental phase separately. This section consolidates the issues that cut across all three.</w:t>
      </w:r>
    </w:p>
    <w:p>
      <w:pPr>
        <w:spacing w:line="384" w:lineRule="auto" w:after="0"/>
        <w:jc w:val="left"/>
        <w:outlineLvl w:val="2"/>
      </w:pPr>
      <w:r>
        <w:rPr>
          <w:rFonts w:ascii="휴먼명조" w:eastAsia="휴먼명조" w:hAnsi="휴먼명조" w:cs="휴먼명조"/>
          <w:b/>
          <w:sz w:val="22"/>
          <w:w w:val="97"/>
        </w:rPr>
        <w:t>4.4.1 Constraints on Cross-Phase Comparison</w:t>
      </w:r>
    </w:p>
    <w:p>
      <w:pPr>
        <w:spacing w:line="384" w:lineRule="auto" w:after="0"/>
        <w:ind w:firstLine="220"/>
        <w:jc w:val="both"/>
      </w:pPr>
      <w:r>
        <w:rPr>
          <w:rFonts w:ascii="휴먼명조" w:eastAsia="휴먼명조" w:hAnsi="휴먼명조" w:cs="휴먼명조"/>
          <w:b w:val="0"/>
          <w:sz w:val="22"/>
          <w:w w:val="97"/>
        </w:rPr>
        <w:t>Before the substantive discussion, the scope of comparability must be made explicit. The three phases differ in their evaluation conditions.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Phase</w:t>
            </w:r>
          </w:p>
        </w:tc>
        <w:tc>
          <w:tcPr>
            <w:tcW w:type="dxa" w:w="1859"/>
          </w:tcPr>
          <w:p>
            <w:pPr>
              <w:spacing w:line="240" w:lineRule="auto"/>
              <w:jc w:val="center"/>
            </w:pPr>
            <w:r/>
            <w:r>
              <w:rPr>
                <w:rFonts w:ascii="휴먼명조" w:eastAsia="휴먼명조" w:hAnsi="휴먼명조" w:cs="휴먼명조"/>
                <w:b/>
                <w:sz w:val="18"/>
                <w:w w:val="97"/>
              </w:rPr>
              <w:t>Training volume</w:t>
            </w:r>
          </w:p>
        </w:tc>
        <w:tc>
          <w:tcPr>
            <w:tcW w:type="dxa" w:w="1859"/>
          </w:tcPr>
          <w:p>
            <w:pPr>
              <w:spacing w:line="240" w:lineRule="auto"/>
              <w:jc w:val="center"/>
            </w:pPr>
            <w:r/>
            <w:r>
              <w:rPr>
                <w:rFonts w:ascii="휴먼명조" w:eastAsia="휴먼명조" w:hAnsi="휴먼명조" w:cs="휴먼명조"/>
                <w:b/>
                <w:sz w:val="18"/>
                <w:w w:val="97"/>
              </w:rPr>
              <w:t>Evaluation target</w:t>
            </w:r>
          </w:p>
        </w:tc>
        <w:tc>
          <w:tcPr>
            <w:tcW w:type="dxa" w:w="1859"/>
          </w:tcPr>
          <w:p>
            <w:pPr>
              <w:spacing w:line="240" w:lineRule="auto"/>
              <w:jc w:val="center"/>
            </w:pPr>
            <w:r/>
            <w:r>
              <w:rPr>
                <w:rFonts w:ascii="휴먼명조" w:eastAsia="휴먼명조" w:hAnsi="휴먼명조" w:cs="휴먼명조"/>
                <w:b/>
                <w:sz w:val="18"/>
                <w:w w:val="97"/>
              </w:rPr>
              <w:t>Evaluation sample</w:t>
            </w:r>
          </w:p>
        </w:tc>
      </w:tr>
      <w:tr>
        <w:tc>
          <w:tcPr>
            <w:tcW w:type="dxa" w:w="1859"/>
          </w:tcPr>
          <w:p>
            <w:pPr>
              <w:spacing w:line="240" w:lineRule="auto"/>
              <w:jc w:val="center"/>
            </w:pPr>
            <w:r/>
            <w:r>
              <w:rPr>
                <w:rFonts w:ascii="휴먼명조" w:eastAsia="휴먼명조" w:hAnsi="휴먼명조" w:cs="휴먼명조"/>
                <w:b w:val="0"/>
                <w:sz w:val="18"/>
                <w:w w:val="97"/>
              </w:rPr>
              <w:t>Phase 1</w:t>
            </w:r>
          </w:p>
        </w:tc>
        <w:tc>
          <w:tcPr>
            <w:tcW w:type="dxa" w:w="1859"/>
          </w:tcPr>
          <w:p>
            <w:pPr>
              <w:spacing w:line="240" w:lineRule="auto"/>
              <w:jc w:val="center"/>
            </w:pPr>
            <w:r/>
            <w:r>
              <w:rPr>
                <w:rFonts w:ascii="휴먼명조" w:eastAsia="휴먼명조" w:hAnsi="휴먼명조" w:cs="휴먼명조"/>
                <w:b w:val="0"/>
                <w:sz w:val="18"/>
                <w:w w:val="97"/>
              </w:rPr>
              <w:t>None (zero-shot)</w:t>
            </w:r>
          </w:p>
        </w:tc>
        <w:tc>
          <w:tcPr>
            <w:tcW w:type="dxa" w:w="1859"/>
          </w:tcPr>
          <w:p>
            <w:pPr>
              <w:spacing w:line="240" w:lineRule="auto"/>
              <w:jc w:val="center"/>
            </w:pPr>
            <w:r/>
            <w:r>
              <w:rPr>
                <w:rFonts w:ascii="휴먼명조" w:eastAsia="휴먼명조" w:hAnsi="휴먼명조" w:cs="휴먼명조"/>
                <w:b w:val="0"/>
                <w:sz w:val="18"/>
                <w:w w:val="97"/>
              </w:rPr>
              <w:t>3 datasets</w:t>
            </w:r>
          </w:p>
        </w:tc>
        <w:tc>
          <w:tcPr>
            <w:tcW w:type="dxa" w:w="1859"/>
          </w:tcPr>
          <w:p>
            <w:pPr>
              <w:spacing w:line="240" w:lineRule="auto"/>
              <w:jc w:val="center"/>
            </w:pPr>
            <w:r/>
            <w:r>
              <w:rPr>
                <w:rFonts w:ascii="휴먼명조" w:eastAsia="휴먼명조" w:hAnsi="휴먼명조" w:cs="휴먼명조"/>
                <w:b w:val="0"/>
                <w:sz w:val="18"/>
                <w:w w:val="97"/>
              </w:rPr>
              <w:t>Full test split (8,231 items)</w:t>
            </w:r>
          </w:p>
        </w:tc>
      </w:tr>
      <w:tr>
        <w:tc>
          <w:tcPr>
            <w:tcW w:type="dxa" w:w="1859"/>
          </w:tcPr>
          <w:p>
            <w:pPr>
              <w:spacing w:line="240" w:lineRule="auto"/>
              <w:jc w:val="center"/>
            </w:pPr>
            <w:r/>
            <w:r>
              <w:rPr>
                <w:rFonts w:ascii="휴먼명조" w:eastAsia="휴먼명조" w:hAnsi="휴먼명조" w:cs="휴먼명조"/>
                <w:b w:val="0"/>
                <w:sz w:val="18"/>
                <w:w w:val="97"/>
              </w:rPr>
              <w:t>Phase 2</w:t>
            </w:r>
          </w:p>
        </w:tc>
        <w:tc>
          <w:tcPr>
            <w:tcW w:type="dxa" w:w="1859"/>
          </w:tcPr>
          <w:p>
            <w:pPr>
              <w:spacing w:line="240" w:lineRule="auto"/>
              <w:jc w:val="center"/>
            </w:pPr>
            <w:r/>
            <w:r>
              <w:rPr>
                <w:rFonts w:ascii="휴먼명조" w:eastAsia="휴먼명조" w:hAnsi="휴먼명조" w:cs="휴먼명조"/>
                <w:b w:val="0"/>
                <w:sz w:val="18"/>
                <w:w w:val="97"/>
              </w:rPr>
              <w:t>max_steps=500</w:t>
            </w:r>
          </w:p>
        </w:tc>
        <w:tc>
          <w:tcPr>
            <w:tcW w:type="dxa" w:w="1859"/>
          </w:tcPr>
          <w:p>
            <w:pPr>
              <w:spacing w:line="240" w:lineRule="auto"/>
              <w:jc w:val="center"/>
            </w:pPr>
            <w:r/>
            <w:r>
              <w:rPr>
                <w:rFonts w:ascii="휴먼명조" w:eastAsia="휴먼명조" w:hAnsi="휴먼명조" w:cs="휴먼명조"/>
                <w:b w:val="0"/>
                <w:sz w:val="18"/>
                <w:w w:val="97"/>
              </w:rPr>
              <w:t>3 datasets × 3 seeds</w:t>
            </w:r>
          </w:p>
        </w:tc>
        <w:tc>
          <w:tcPr>
            <w:tcW w:type="dxa" w:w="1859"/>
          </w:tcPr>
          <w:p>
            <w:pPr>
              <w:spacing w:line="240" w:lineRule="auto"/>
              <w:jc w:val="center"/>
            </w:pPr>
            <w:r/>
            <w:r>
              <w:rPr>
                <w:rFonts w:ascii="휴먼명조" w:eastAsia="휴먼명조" w:hAnsi="휴먼명조" w:cs="휴먼명조"/>
                <w:b w:val="0"/>
                <w:sz w:val="18"/>
                <w:w w:val="97"/>
              </w:rPr>
              <w:t>Full test split</w:t>
            </w:r>
          </w:p>
        </w:tc>
      </w:tr>
      <w:tr>
        <w:tc>
          <w:tcPr>
            <w:tcW w:type="dxa" w:w="1859"/>
          </w:tcPr>
          <w:p>
            <w:pPr>
              <w:spacing w:line="240" w:lineRule="auto"/>
              <w:jc w:val="center"/>
            </w:pPr>
            <w:r/>
            <w:r>
              <w:rPr>
                <w:rFonts w:ascii="휴먼명조" w:eastAsia="휴먼명조" w:hAnsi="휴먼명조" w:cs="휴먼명조"/>
                <w:b w:val="0"/>
                <w:sz w:val="18"/>
                <w:w w:val="97"/>
              </w:rPr>
              <w:t>Phase 3</w:t>
            </w:r>
          </w:p>
        </w:tc>
        <w:tc>
          <w:tcPr>
            <w:tcW w:type="dxa" w:w="1859"/>
          </w:tcPr>
          <w:p>
            <w:pPr>
              <w:spacing w:line="240" w:lineRule="auto"/>
              <w:jc w:val="center"/>
            </w:pPr>
            <w:r/>
            <w:r>
              <w:rPr>
                <w:rFonts w:ascii="휴먼명조" w:eastAsia="휴먼명조" w:hAnsi="휴먼명조" w:cs="휴먼명조"/>
                <w:b w:val="0"/>
                <w:sz w:val="18"/>
                <w:w w:val="97"/>
              </w:rPr>
              <w:t>max_steps=200</w:t>
            </w:r>
          </w:p>
        </w:tc>
        <w:tc>
          <w:tcPr>
            <w:tcW w:type="dxa" w:w="1859"/>
          </w:tcPr>
          <w:p>
            <w:pPr>
              <w:spacing w:line="240" w:lineRule="auto"/>
              <w:jc w:val="center"/>
            </w:pPr>
            <w:r/>
            <w:r>
              <w:rPr>
                <w:rFonts w:ascii="휴먼명조" w:eastAsia="휴먼명조" w:hAnsi="휴먼명조" w:cs="휴먼명조"/>
                <w:b w:val="0"/>
                <w:sz w:val="18"/>
                <w:w w:val="97"/>
              </w:rPr>
              <w:t>PathVQA only</w:t>
            </w:r>
          </w:p>
        </w:tc>
        <w:tc>
          <w:tcPr>
            <w:tcW w:type="dxa" w:w="1859"/>
          </w:tcPr>
          <w:p>
            <w:pPr>
              <w:spacing w:line="240" w:lineRule="auto"/>
              <w:jc w:val="center"/>
            </w:pPr>
            <w:r/>
            <w:r>
              <w:rPr>
                <w:rFonts w:ascii="휴먼명조" w:eastAsia="휴먼명조" w:hAnsi="휴먼명조" w:cs="휴먼명조"/>
                <w:b w:val="0"/>
                <w:sz w:val="18"/>
                <w:w w:val="97"/>
              </w:rPr>
              <w:t>Validation, up to 500 samples</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Direct comparison of absolute accuracy across phases is therefore invalid.</w:t>
      </w:r>
      <w:r>
        <w:rPr>
          <w:rFonts w:ascii="휴먼명조" w:eastAsia="휴먼명조" w:hAnsi="휴먼명조" w:cs="휴먼명조"/>
          <w:b w:val="0"/>
          <w:sz w:val="22"/>
          <w:w w:val="97"/>
        </w:rPr>
        <w:t xml:space="preserve"> The difference between the fine-tuned accuracy in Phase 2 (Qwen3-VL-2B, 0.5845) and the best val_accuracy in Phase 3 (0.4700), for example, does not represent a performance drop but arises from differences in training volume (500 vs 200 steps), evaluation dataset (mean of three vs PathVQA alone), and evaluation split. The discussion below cross-references only </w:t>
      </w:r>
      <w:r>
        <w:rPr>
          <w:rFonts w:ascii="휴먼명조" w:eastAsia="휴먼명조" w:hAnsi="휴먼명조" w:cs="휴먼명조"/>
          <w:b/>
          <w:sz w:val="22"/>
          <w:w w:val="97"/>
        </w:rPr>
        <w:t>the rankings, patterns, and directions of gaps observed within each phase</w:t>
      </w:r>
      <w:r>
        <w:rPr>
          <w:rFonts w:ascii="휴먼명조" w:eastAsia="휴먼명조" w:hAnsi="휴먼명조" w:cs="휴먼명조"/>
          <w:b w:val="0"/>
          <w:sz w:val="22"/>
          <w:w w:val="97"/>
        </w:rPr>
        <w:t>, not absolute figures.</w:t>
      </w:r>
    </w:p>
    <w:p>
      <w:pPr>
        <w:spacing w:line="384" w:lineRule="auto" w:after="0"/>
        <w:jc w:val="left"/>
        <w:outlineLvl w:val="2"/>
      </w:pPr>
      <w:r>
        <w:rPr>
          <w:rFonts w:ascii="휴먼명조" w:eastAsia="휴먼명조" w:hAnsi="휴먼명조" w:cs="휴먼명조"/>
          <w:b/>
          <w:sz w:val="22"/>
          <w:w w:val="97"/>
        </w:rPr>
        <w:t>4.4.2 The Non-Monotonic Relationship between Inference Resource Consumption and Performance</w:t>
      </w:r>
    </w:p>
    <w:p>
      <w:pPr>
        <w:spacing w:line="384" w:lineRule="auto" w:after="0"/>
        <w:ind w:firstLine="220"/>
        <w:jc w:val="both"/>
      </w:pPr>
      <w:r>
        <w:rPr>
          <w:rFonts w:ascii="휴먼명조" w:eastAsia="휴먼명조" w:hAnsi="휴먼명조" w:cs="휴먼명조"/>
          <w:b w:val="0"/>
          <w:sz w:val="22"/>
          <w:w w:val="97"/>
        </w:rPr>
        <w:t xml:space="preserve">The most practical implication of Phase 1 is that </w:t>
      </w:r>
      <w:r>
        <w:rPr>
          <w:rFonts w:ascii="휴먼명조" w:eastAsia="휴먼명조" w:hAnsi="휴먼명조" w:cs="휴먼명조"/>
          <w:b/>
          <w:sz w:val="22"/>
          <w:w w:val="97"/>
        </w:rPr>
        <w:t>resource consumption at inference and performance are not monotonically related</w:t>
      </w:r>
      <w:r>
        <w:rPr>
          <w:rFonts w:ascii="휴먼명조" w:eastAsia="휴먼명조" w:hAnsi="휴먼명조" w:cs="휴먼명조"/>
          <w:b w:val="0"/>
          <w:sz w:val="22"/>
          <w:w w:val="97"/>
        </w:rPr>
        <w:t>.</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Model</w:t>
            </w:r>
          </w:p>
        </w:tc>
        <w:tc>
          <w:tcPr>
            <w:tcW w:type="dxa" w:w="1859"/>
          </w:tcPr>
          <w:p>
            <w:pPr>
              <w:spacing w:line="240" w:lineRule="auto"/>
              <w:jc w:val="center"/>
            </w:pPr>
            <w:r/>
            <w:r>
              <w:rPr>
                <w:rFonts w:ascii="휴먼명조" w:eastAsia="휴먼명조" w:hAnsi="휴먼명조" w:cs="휴먼명조"/>
                <w:b/>
                <w:sz w:val="18"/>
                <w:w w:val="97"/>
              </w:rPr>
              <w:t>Pooled Acc (rank)</w:t>
            </w:r>
          </w:p>
        </w:tc>
        <w:tc>
          <w:tcPr>
            <w:tcW w:type="dxa" w:w="1859"/>
          </w:tcPr>
          <w:p>
            <w:pPr>
              <w:spacing w:line="240" w:lineRule="auto"/>
              <w:jc w:val="center"/>
            </w:pPr>
            <w:r/>
            <w:r>
              <w:rPr>
                <w:rFonts w:ascii="휴먼명조" w:eastAsia="휴먼명조" w:hAnsi="휴먼명조" w:cs="휴먼명조"/>
                <w:b/>
                <w:sz w:val="18"/>
                <w:w w:val="97"/>
              </w:rPr>
              <w:t>Active / total parameters</w:t>
            </w:r>
          </w:p>
        </w:tc>
        <w:tc>
          <w:tcPr>
            <w:tcW w:type="dxa" w:w="1859"/>
          </w:tcPr>
          <w:p>
            <w:pPr>
              <w:spacing w:line="240" w:lineRule="auto"/>
              <w:jc w:val="center"/>
            </w:pPr>
            <w:r/>
            <w:r>
              <w:rPr>
                <w:rFonts w:ascii="휴먼명조" w:eastAsia="휴먼명조" w:hAnsi="휴먼명조" w:cs="휴먼명조"/>
                <w:b/>
                <w:sz w:val="18"/>
                <w:w w:val="97"/>
              </w:rPr>
              <w:t>Peak VRAM</w:t>
            </w:r>
          </w:p>
        </w:tc>
      </w:tr>
      <w:tr>
        <w:tc>
          <w:tcPr>
            <w:tcW w:type="dxa" w:w="1859"/>
          </w:tcPr>
          <w:p>
            <w:pPr>
              <w:spacing w:line="240" w:lineRule="auto"/>
              <w:jc w:val="center"/>
            </w:pPr>
            <w:r/>
            <w:r>
              <w:rPr>
                <w:rFonts w:ascii="휴먼명조" w:eastAsia="휴먼명조" w:hAnsi="휴먼명조" w:cs="휴먼명조"/>
                <w:b w:val="0"/>
                <w:sz w:val="18"/>
                <w:w w:val="97"/>
              </w:rPr>
              <w:t>Qwen3-VL-2B</w:t>
            </w:r>
          </w:p>
        </w:tc>
        <w:tc>
          <w:tcPr>
            <w:tcW w:type="dxa" w:w="1859"/>
          </w:tcPr>
          <w:p>
            <w:pPr>
              <w:spacing w:line="240" w:lineRule="auto"/>
              <w:jc w:val="center"/>
            </w:pPr>
            <w:r/>
            <w:r>
              <w:rPr>
                <w:rFonts w:ascii="휴먼명조" w:eastAsia="휴먼명조" w:hAnsi="휴먼명조" w:cs="휴먼명조"/>
                <w:b w:val="0"/>
                <w:sz w:val="18"/>
                <w:w w:val="97"/>
              </w:rPr>
              <w:t>0.3843 (1st)</w:t>
            </w:r>
          </w:p>
        </w:tc>
        <w:tc>
          <w:tcPr>
            <w:tcW w:type="dxa" w:w="1859"/>
          </w:tcPr>
          <w:p>
            <w:pPr>
              <w:spacing w:line="240" w:lineRule="auto"/>
              <w:jc w:val="center"/>
            </w:pPr>
            <w:r/>
            <w:r>
              <w:rPr>
                <w:rFonts w:ascii="휴먼명조" w:eastAsia="휴먼명조" w:hAnsi="휴먼명조" w:cs="휴먼명조"/>
                <w:b w:val="0"/>
                <w:sz w:val="18"/>
                <w:w w:val="97"/>
              </w:rPr>
              <w:t>2B / 2B</w:t>
            </w:r>
          </w:p>
        </w:tc>
        <w:tc>
          <w:tcPr>
            <w:tcW w:type="dxa" w:w="1859"/>
          </w:tcPr>
          <w:p>
            <w:pPr>
              <w:spacing w:line="240" w:lineRule="auto"/>
              <w:jc w:val="center"/>
            </w:pPr>
            <w:r/>
            <w:r>
              <w:rPr>
                <w:rFonts w:ascii="휴먼명조" w:eastAsia="휴먼명조" w:hAnsi="휴먼명조" w:cs="휴먼명조"/>
                <w:b w:val="0"/>
                <w:sz w:val="18"/>
                <w:w w:val="97"/>
              </w:rPr>
              <w:t>~4,500 MB (lowest)</w:t>
            </w:r>
          </w:p>
        </w:tc>
      </w:tr>
      <w:tr>
        <w:tc>
          <w:tcPr>
            <w:tcW w:type="dxa" w:w="1859"/>
          </w:tcPr>
          <w:p>
            <w:pPr>
              <w:spacing w:line="240" w:lineRule="auto"/>
              <w:jc w:val="center"/>
            </w:pPr>
            <w:r/>
            <w:r>
              <w:rPr>
                <w:rFonts w:ascii="휴먼명조" w:eastAsia="휴먼명조" w:hAnsi="휴먼명조" w:cs="휴먼명조"/>
                <w:b w:val="0"/>
                <w:sz w:val="18"/>
                <w:w w:val="97"/>
              </w:rPr>
              <w:t>Qwen2.5-VL-3B</w:t>
            </w:r>
          </w:p>
        </w:tc>
        <w:tc>
          <w:tcPr>
            <w:tcW w:type="dxa" w:w="1859"/>
          </w:tcPr>
          <w:p>
            <w:pPr>
              <w:spacing w:line="240" w:lineRule="auto"/>
              <w:jc w:val="center"/>
            </w:pPr>
            <w:r/>
            <w:r>
              <w:rPr>
                <w:rFonts w:ascii="휴먼명조" w:eastAsia="휴먼명조" w:hAnsi="휴먼명조" w:cs="휴먼명조"/>
                <w:b w:val="0"/>
                <w:sz w:val="18"/>
                <w:w w:val="97"/>
              </w:rPr>
              <w:t>0.3637 (2nd)</w:t>
            </w:r>
          </w:p>
        </w:tc>
        <w:tc>
          <w:tcPr>
            <w:tcW w:type="dxa" w:w="1859"/>
          </w:tcPr>
          <w:p>
            <w:pPr>
              <w:spacing w:line="240" w:lineRule="auto"/>
              <w:jc w:val="center"/>
            </w:pPr>
            <w:r/>
            <w:r>
              <w:rPr>
                <w:rFonts w:ascii="휴먼명조" w:eastAsia="휴먼명조" w:hAnsi="휴먼명조" w:cs="휴먼명조"/>
                <w:b w:val="0"/>
                <w:sz w:val="18"/>
                <w:w w:val="97"/>
              </w:rPr>
              <w:t>3B / 3B</w:t>
            </w:r>
          </w:p>
        </w:tc>
        <w:tc>
          <w:tcPr>
            <w:tcW w:type="dxa" w:w="1859"/>
          </w:tcPr>
          <w:p>
            <w:pPr>
              <w:spacing w:line="240" w:lineRule="auto"/>
              <w:jc w:val="center"/>
            </w:pPr>
            <w:r/>
            <w:r>
              <w:rPr>
                <w:rFonts w:ascii="휴먼명조" w:eastAsia="휴먼명조" w:hAnsi="휴먼명조" w:cs="휴먼명조"/>
                <w:b w:val="0"/>
                <w:sz w:val="18"/>
                <w:w w:val="97"/>
              </w:rPr>
              <w:t>~7,580 MB</w:t>
            </w:r>
          </w:p>
        </w:tc>
      </w:tr>
      <w:tr>
        <w:tc>
          <w:tcPr>
            <w:tcW w:type="dxa" w:w="1859"/>
          </w:tcPr>
          <w:p>
            <w:pPr>
              <w:spacing w:line="240" w:lineRule="auto"/>
              <w:jc w:val="center"/>
            </w:pPr>
            <w:r/>
            <w:r>
              <w:rPr>
                <w:rFonts w:ascii="휴먼명조" w:eastAsia="휴먼명조" w:hAnsi="휴먼명조" w:cs="휴먼명조"/>
                <w:b w:val="0"/>
                <w:sz w:val="18"/>
                <w:w w:val="97"/>
              </w:rPr>
              <w:t>SmolVLM2-2.2B</w:t>
            </w:r>
          </w:p>
        </w:tc>
        <w:tc>
          <w:tcPr>
            <w:tcW w:type="dxa" w:w="1859"/>
          </w:tcPr>
          <w:p>
            <w:pPr>
              <w:spacing w:line="240" w:lineRule="auto"/>
              <w:jc w:val="center"/>
            </w:pPr>
            <w:r/>
            <w:r>
              <w:rPr>
                <w:rFonts w:ascii="휴먼명조" w:eastAsia="휴먼명조" w:hAnsi="휴먼명조" w:cs="휴먼명조"/>
                <w:b w:val="0"/>
                <w:sz w:val="18"/>
                <w:w w:val="97"/>
              </w:rPr>
              <w:t>0.3391 (3rd)</w:t>
            </w:r>
          </w:p>
        </w:tc>
        <w:tc>
          <w:tcPr>
            <w:tcW w:type="dxa" w:w="1859"/>
          </w:tcPr>
          <w:p>
            <w:pPr>
              <w:spacing w:line="240" w:lineRule="auto"/>
              <w:jc w:val="center"/>
            </w:pPr>
            <w:r/>
            <w:r>
              <w:rPr>
                <w:rFonts w:ascii="휴먼명조" w:eastAsia="휴먼명조" w:hAnsi="휴먼명조" w:cs="휴먼명조"/>
                <w:b w:val="0"/>
                <w:sz w:val="18"/>
                <w:w w:val="97"/>
              </w:rPr>
              <w:t>2.2B / 2.2B</w:t>
            </w:r>
          </w:p>
        </w:tc>
        <w:tc>
          <w:tcPr>
            <w:tcW w:type="dxa" w:w="1859"/>
          </w:tcPr>
          <w:p>
            <w:pPr>
              <w:spacing w:line="240" w:lineRule="auto"/>
              <w:jc w:val="center"/>
            </w:pPr>
            <w:r/>
            <w:r>
              <w:rPr>
                <w:rFonts w:ascii="휴먼명조" w:eastAsia="휴먼명조" w:hAnsi="휴먼명조" w:cs="휴먼명조"/>
                <w:b w:val="0"/>
                <w:sz w:val="18"/>
                <w:w w:val="97"/>
              </w:rPr>
              <w:t>~6,000 MB</w:t>
            </w:r>
          </w:p>
        </w:tc>
      </w:tr>
      <w:tr>
        <w:tc>
          <w:tcPr>
            <w:tcW w:type="dxa" w:w="1859"/>
          </w:tcPr>
          <w:p>
            <w:pPr>
              <w:spacing w:line="240" w:lineRule="auto"/>
              <w:jc w:val="center"/>
            </w:pPr>
            <w:r/>
            <w:r>
              <w:rPr>
                <w:rFonts w:ascii="휴먼명조" w:eastAsia="휴먼명조" w:hAnsi="휴먼명조" w:cs="휴먼명조"/>
                <w:b w:val="0"/>
                <w:sz w:val="18"/>
                <w:w w:val="97"/>
              </w:rPr>
              <w:t>Gemma4-E2B</w:t>
            </w:r>
          </w:p>
        </w:tc>
        <w:tc>
          <w:tcPr>
            <w:tcW w:type="dxa" w:w="1859"/>
          </w:tcPr>
          <w:p>
            <w:pPr>
              <w:spacing w:line="240" w:lineRule="auto"/>
              <w:jc w:val="center"/>
            </w:pPr>
            <w:r/>
            <w:r>
              <w:rPr>
                <w:rFonts w:ascii="휴먼명조" w:eastAsia="휴먼명조" w:hAnsi="휴먼명조" w:cs="휴먼명조"/>
                <w:b w:val="0"/>
                <w:sz w:val="18"/>
                <w:w w:val="97"/>
              </w:rPr>
              <w:t>0.1708 (4th)</w:t>
            </w:r>
          </w:p>
        </w:tc>
        <w:tc>
          <w:tcPr>
            <w:tcW w:type="dxa" w:w="1859"/>
          </w:tcPr>
          <w:p>
            <w:pPr>
              <w:spacing w:line="240" w:lineRule="auto"/>
              <w:jc w:val="center"/>
            </w:pPr>
            <w:r/>
            <w:r>
              <w:rPr>
                <w:rFonts w:ascii="휴먼명조" w:eastAsia="휴먼명조" w:hAnsi="휴먼명조" w:cs="휴먼명조"/>
                <w:b w:val="0"/>
                <w:sz w:val="18"/>
                <w:w w:val="97"/>
              </w:rPr>
              <w:t xml:space="preserve">2.3B / </w:t>
            </w:r>
            <w:r>
              <w:rPr>
                <w:rFonts w:ascii="휴먼명조" w:eastAsia="휴먼명조" w:hAnsi="휴먼명조" w:cs="휴먼명조"/>
                <w:b/>
                <w:sz w:val="18"/>
                <w:w w:val="97"/>
              </w:rPr>
              <w:t>5.1B (MoE)</w:t>
            </w:r>
          </w:p>
        </w:tc>
        <w:tc>
          <w:tcPr>
            <w:tcW w:type="dxa" w:w="1859"/>
          </w:tcPr>
          <w:p>
            <w:pPr>
              <w:spacing w:line="240" w:lineRule="auto"/>
              <w:jc w:val="center"/>
            </w:pPr>
            <w:r/>
            <w:r>
              <w:rPr>
                <w:rFonts w:ascii="휴먼명조" w:eastAsia="휴먼명조" w:hAnsi="휴먼명조" w:cs="휴먼명조"/>
                <w:b w:val="0"/>
                <w:sz w:val="18"/>
                <w:w w:val="97"/>
              </w:rPr>
              <w:t>~13,930 MB (highest)</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The best-performing model (Qwen3-VL-2B) simultaneously uses the least memory and responds fastest</w:t>
      </w:r>
      <w:r>
        <w:rPr>
          <w:rFonts w:ascii="휴먼명조" w:eastAsia="휴먼명조" w:hAnsi="휴먼명조" w:cs="휴먼명조"/>
          <w:b w:val="0"/>
          <w:sz w:val="22"/>
          <w:w w:val="97"/>
        </w:rPr>
        <w:t xml:space="preserve"> (Sections 4.1.1, 4.1.2). Conversely, Gemma4-E2B, which uses the most memory, ranks last, and its gap from the other three models is statistically pronounced (McNemar post-hoc tests in Section 4.1.1). At this scale, therefore, architecture and pretraining configuration dominate medical VQA performance more than active parameter count or memory consumption, and a choice that satisfies both performance and efficiency exists for resource-constrained environments.</w:t>
      </w:r>
    </w:p>
    <w:p>
      <w:pPr>
        <w:spacing w:line="384" w:lineRule="auto" w:after="0"/>
        <w:ind w:firstLine="220"/>
        <w:jc w:val="both"/>
      </w:pPr>
      <w:r>
        <w:rPr>
          <w:rFonts w:ascii="휴먼명조" w:eastAsia="휴먼명조" w:hAnsi="휴먼명조" w:cs="휴먼명조"/>
          <w:b/>
          <w:sz w:val="22"/>
          <w:w w:val="97"/>
        </w:rPr>
        <w:t>The axis of interpretation must, however, be made explicit.</w:t>
      </w:r>
      <w:r>
        <w:rPr>
          <w:rFonts w:ascii="휴먼명조" w:eastAsia="휴먼명조" w:hAnsi="휴먼명조" w:cs="휴먼명조"/>
          <w:b w:val="0"/>
          <w:sz w:val="22"/>
          <w:w w:val="97"/>
        </w:rPr>
        <w:t xml:space="preserve"> Of the four models, only Gemma4-E2B has a Mixture-of-Experts (MoE) structure in which active parameters (2.3B) differ from stored parameters (5.1B) (Section 3.3). This study's selection of "lightweight VLMs" used </w:t>
      </w:r>
      <w:r>
        <w:rPr>
          <w:rFonts w:ascii="휴먼명조" w:eastAsia="휴먼명조" w:hAnsi="휴먼명조" w:cs="휴먼명조"/>
          <w:b/>
          <w:sz w:val="22"/>
          <w:w w:val="97"/>
        </w:rPr>
        <w:t>active parameters</w:t>
      </w:r>
      <w:r>
        <w:rPr>
          <w:rFonts w:ascii="휴먼명조" w:eastAsia="휴먼명조" w:hAnsi="휴먼명조" w:cs="휴먼명조"/>
          <w:b w:val="0"/>
          <w:sz w:val="22"/>
          <w:w w:val="97"/>
        </w:rPr>
        <w:t xml:space="preserve"> as its criterion, in line with the objective of feasibility on consumer GPUs, and the discussion above holds on that criterion. </w:t>
      </w:r>
      <w:r>
        <w:rPr>
          <w:rFonts w:ascii="휴먼명조" w:eastAsia="휴먼명조" w:hAnsi="휴먼명조" w:cs="휴먼명조"/>
          <w:b/>
          <w:sz w:val="22"/>
          <w:w w:val="97"/>
        </w:rPr>
        <w:t>Measured by stored parameters, however, Gemma4-E2B is the largest model</w:t>
      </w:r>
      <w:r>
        <w:rPr>
          <w:rFonts w:ascii="휴먼명조" w:eastAsia="휴먼명조" w:hAnsi="휴먼명조" w:cs="휴먼명조"/>
          <w:b w:val="0"/>
          <w:sz w:val="22"/>
          <w:w w:val="97"/>
        </w:rPr>
        <w:t>, so its last-place performance may equally be read as "the model with the largest stored scale ranked last" rather than "a small model beat a large one." The conclusion of this section therefore concerns *performance relative to inference-time resource consumption* and must not be extended to a general relationship between parameter scale as such and performance (Section 5.3(11)).</w:t>
      </w:r>
    </w:p>
    <w:p>
      <w:pPr>
        <w:spacing w:line="384" w:lineRule="auto" w:after="0"/>
        <w:ind w:firstLine="220"/>
        <w:jc w:val="both"/>
      </w:pPr>
      <w:r>
        <w:rPr>
          <w:rFonts w:ascii="휴먼명조" w:eastAsia="휴먼명조" w:hAnsi="휴먼명조" w:cs="휴먼명조"/>
          <w:b w:val="0"/>
          <w:sz w:val="22"/>
          <w:w w:val="97"/>
        </w:rPr>
        <w:t>Because the ranking was preserved after removing samples suspected of pretraining exposure in the Phase 1.5 contamination-robustness verification (Section 4.1.1), this conclusion is not explained by data contamination.</w:t>
      </w:r>
    </w:p>
    <w:p>
      <w:pPr>
        <w:spacing w:line="384" w:lineRule="auto" w:after="0"/>
        <w:jc w:val="left"/>
        <w:outlineLvl w:val="2"/>
      </w:pPr>
      <w:r>
        <w:rPr>
          <w:rFonts w:ascii="휴먼명조" w:eastAsia="휴먼명조" w:hAnsi="휴먼명조" w:cs="휴먼명조"/>
          <w:b/>
          <w:sz w:val="22"/>
          <w:w w:val="97"/>
        </w:rPr>
        <w:t>4.4.3 Heterogeneity of Fine-Tuning Effects and the Primacy of Model Selection</w:t>
      </w:r>
    </w:p>
    <w:p>
      <w:pPr>
        <w:spacing w:line="384" w:lineRule="auto" w:after="0"/>
        <w:ind w:firstLine="220"/>
        <w:jc w:val="both"/>
      </w:pPr>
      <w:r>
        <w:rPr>
          <w:rFonts w:ascii="휴먼명조" w:eastAsia="휴먼명조" w:hAnsi="휴먼명조" w:cs="휴먼명조"/>
          <w:b w:val="0"/>
          <w:sz w:val="22"/>
          <w:w w:val="97"/>
        </w:rPr>
        <w:t xml:space="preserve">The most important finding of Phase 2 is that </w:t>
      </w:r>
      <w:r>
        <w:rPr>
          <w:rFonts w:ascii="휴먼명조" w:eastAsia="휴먼명조" w:hAnsi="휴먼명조" w:cs="휴먼명조"/>
          <w:b/>
          <w:sz w:val="22"/>
          <w:w w:val="97"/>
        </w:rPr>
        <w:t>the proposition "fine-tuning improves performance" does not hold independently of the model</w:t>
      </w:r>
      <w:r>
        <w:rPr>
          <w:rFonts w:ascii="휴먼명조" w:eastAsia="휴먼명조" w:hAnsi="휴먼명조" w:cs="휴먼명조"/>
          <w:b w:val="0"/>
          <w:sz w:val="22"/>
          <w:w w:val="97"/>
        </w:rPr>
        <w:t xml:space="preserve"> (Section 4.2.1). Notably, its direction coincides with the zero-shot ranking of Phase 1.</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Model</w:t>
            </w:r>
          </w:p>
        </w:tc>
        <w:tc>
          <w:tcPr>
            <w:tcW w:type="dxa" w:w="2479"/>
          </w:tcPr>
          <w:p>
            <w:pPr>
              <w:spacing w:line="240" w:lineRule="auto"/>
              <w:jc w:val="center"/>
            </w:pPr>
            <w:r/>
            <w:r>
              <w:rPr>
                <w:rFonts w:ascii="휴먼명조" w:eastAsia="휴먼명조" w:hAnsi="휴먼명조" w:cs="휴먼명조"/>
                <w:b/>
                <w:sz w:val="18"/>
                <w:w w:val="97"/>
              </w:rPr>
              <w:t>Phase 1 rank</w:t>
            </w:r>
          </w:p>
        </w:tc>
        <w:tc>
          <w:tcPr>
            <w:tcW w:type="dxa" w:w="2479"/>
          </w:tcPr>
          <w:p>
            <w:pPr>
              <w:spacing w:line="240" w:lineRule="auto"/>
              <w:jc w:val="center"/>
            </w:pPr>
            <w:r/>
            <w:r>
              <w:rPr>
                <w:rFonts w:ascii="휴먼명조" w:eastAsia="휴먼명조" w:hAnsi="휴먼명조" w:cs="휴먼명조"/>
                <w:b/>
                <w:sz w:val="18"/>
                <w:w w:val="97"/>
              </w:rPr>
              <w:t>Phase 2 fine-tuning effect (Cohen's d)</w:t>
            </w:r>
          </w:p>
        </w:tc>
      </w:tr>
      <w:tr>
        <w:tc>
          <w:tcPr>
            <w:tcW w:type="dxa" w:w="2479"/>
          </w:tcPr>
          <w:p>
            <w:pPr>
              <w:spacing w:line="240" w:lineRule="auto"/>
              <w:jc w:val="center"/>
            </w:pPr>
            <w:r/>
            <w:r>
              <w:rPr>
                <w:rFonts w:ascii="휴먼명조" w:eastAsia="휴먼명조" w:hAnsi="휴먼명조" w:cs="휴먼명조"/>
                <w:b w:val="0"/>
                <w:sz w:val="18"/>
                <w:w w:val="97"/>
              </w:rPr>
              <w:t>Qwen3-VL-2B</w:t>
            </w:r>
          </w:p>
        </w:tc>
        <w:tc>
          <w:tcPr>
            <w:tcW w:type="dxa" w:w="2479"/>
          </w:tcPr>
          <w:p>
            <w:pPr>
              <w:spacing w:line="240" w:lineRule="auto"/>
              <w:jc w:val="center"/>
            </w:pPr>
            <w:r/>
            <w:r>
              <w:rPr>
                <w:rFonts w:ascii="휴먼명조" w:eastAsia="휴먼명조" w:hAnsi="휴먼명조" w:cs="휴먼명조"/>
                <w:b w:val="0"/>
                <w:sz w:val="18"/>
                <w:w w:val="97"/>
              </w:rPr>
              <w:t>1st</w:t>
            </w:r>
          </w:p>
        </w:tc>
        <w:tc>
          <w:tcPr>
            <w:tcW w:type="dxa" w:w="2479"/>
          </w:tcPr>
          <w:p>
            <w:pPr>
              <w:spacing w:line="240" w:lineRule="auto"/>
              <w:jc w:val="center"/>
            </w:pPr>
            <w:r/>
            <w:r>
              <w:rPr>
                <w:rFonts w:ascii="휴먼명조" w:eastAsia="휴먼명조" w:hAnsi="휴먼명조" w:cs="휴먼명조"/>
                <w:b w:val="0"/>
                <w:sz w:val="18"/>
                <w:w w:val="97"/>
              </w:rPr>
              <w:t>+1.620 (significant)</w:t>
            </w:r>
          </w:p>
        </w:tc>
      </w:tr>
      <w:tr>
        <w:tc>
          <w:tcPr>
            <w:tcW w:type="dxa" w:w="2479"/>
          </w:tcPr>
          <w:p>
            <w:pPr>
              <w:spacing w:line="240" w:lineRule="auto"/>
              <w:jc w:val="center"/>
            </w:pPr>
            <w:r/>
            <w:r>
              <w:rPr>
                <w:rFonts w:ascii="휴먼명조" w:eastAsia="휴먼명조" w:hAnsi="휴먼명조" w:cs="휴먼명조"/>
                <w:b w:val="0"/>
                <w:sz w:val="18"/>
                <w:w w:val="97"/>
              </w:rPr>
              <w:t>Qwen2.5-VL-3B</w:t>
            </w:r>
          </w:p>
        </w:tc>
        <w:tc>
          <w:tcPr>
            <w:tcW w:type="dxa" w:w="2479"/>
          </w:tcPr>
          <w:p>
            <w:pPr>
              <w:spacing w:line="240" w:lineRule="auto"/>
              <w:jc w:val="center"/>
            </w:pPr>
            <w:r/>
            <w:r>
              <w:rPr>
                <w:rFonts w:ascii="휴먼명조" w:eastAsia="휴먼명조" w:hAnsi="휴먼명조" w:cs="휴먼명조"/>
                <w:b w:val="0"/>
                <w:sz w:val="18"/>
                <w:w w:val="97"/>
              </w:rPr>
              <w:t>2nd</w:t>
            </w:r>
          </w:p>
        </w:tc>
        <w:tc>
          <w:tcPr>
            <w:tcW w:type="dxa" w:w="2479"/>
          </w:tcPr>
          <w:p>
            <w:pPr>
              <w:spacing w:line="240" w:lineRule="auto"/>
              <w:jc w:val="center"/>
            </w:pPr>
            <w:r/>
            <w:r>
              <w:rPr>
                <w:rFonts w:ascii="휴먼명조" w:eastAsia="휴먼명조" w:hAnsi="휴먼명조" w:cs="휴먼명조"/>
                <w:b w:val="0"/>
                <w:sz w:val="18"/>
                <w:w w:val="97"/>
              </w:rPr>
              <w:t>+2.646 (significant)</w:t>
            </w:r>
          </w:p>
        </w:tc>
      </w:tr>
      <w:tr>
        <w:tc>
          <w:tcPr>
            <w:tcW w:type="dxa" w:w="2479"/>
          </w:tcPr>
          <w:p>
            <w:pPr>
              <w:spacing w:line="240" w:lineRule="auto"/>
              <w:jc w:val="center"/>
            </w:pPr>
            <w:r/>
            <w:r>
              <w:rPr>
                <w:rFonts w:ascii="휴먼명조" w:eastAsia="휴먼명조" w:hAnsi="휴먼명조" w:cs="휴먼명조"/>
                <w:b w:val="0"/>
                <w:sz w:val="18"/>
                <w:w w:val="97"/>
              </w:rPr>
              <w:t>SmolVLM2-2.2B</w:t>
            </w:r>
          </w:p>
        </w:tc>
        <w:tc>
          <w:tcPr>
            <w:tcW w:type="dxa" w:w="2479"/>
          </w:tcPr>
          <w:p>
            <w:pPr>
              <w:spacing w:line="240" w:lineRule="auto"/>
              <w:jc w:val="center"/>
            </w:pPr>
            <w:r/>
            <w:r>
              <w:rPr>
                <w:rFonts w:ascii="휴먼명조" w:eastAsia="휴먼명조" w:hAnsi="휴먼명조" w:cs="휴먼명조"/>
                <w:b w:val="0"/>
                <w:sz w:val="18"/>
                <w:w w:val="97"/>
              </w:rPr>
              <w:t>3rd</w:t>
            </w:r>
          </w:p>
        </w:tc>
        <w:tc>
          <w:tcPr>
            <w:tcW w:type="dxa" w:w="2479"/>
          </w:tcPr>
          <w:p>
            <w:pPr>
              <w:spacing w:line="240" w:lineRule="auto"/>
              <w:jc w:val="center"/>
            </w:pPr>
            <w:r/>
            <w:r>
              <w:rPr>
                <w:rFonts w:ascii="휴먼명조" w:eastAsia="휴먼명조" w:hAnsi="휴먼명조" w:cs="휴먼명조"/>
                <w:b w:val="0"/>
                <w:sz w:val="18"/>
                <w:w w:val="97"/>
              </w:rPr>
              <w:t>-2.284 (significant, deterioration)</w:t>
            </w:r>
          </w:p>
        </w:tc>
      </w:tr>
      <w:tr>
        <w:tc>
          <w:tcPr>
            <w:tcW w:type="dxa" w:w="2479"/>
          </w:tcPr>
          <w:p>
            <w:pPr>
              <w:spacing w:line="240" w:lineRule="auto"/>
              <w:jc w:val="center"/>
            </w:pPr>
            <w:r/>
            <w:r>
              <w:rPr>
                <w:rFonts w:ascii="휴먼명조" w:eastAsia="휴먼명조" w:hAnsi="휴먼명조" w:cs="휴먼명조"/>
                <w:b w:val="0"/>
                <w:sz w:val="18"/>
                <w:w w:val="97"/>
              </w:rPr>
              <w:t>Gemma4-E2B</w:t>
            </w:r>
          </w:p>
        </w:tc>
        <w:tc>
          <w:tcPr>
            <w:tcW w:type="dxa" w:w="2479"/>
          </w:tcPr>
          <w:p>
            <w:pPr>
              <w:spacing w:line="240" w:lineRule="auto"/>
              <w:jc w:val="center"/>
            </w:pPr>
            <w:r/>
            <w:r>
              <w:rPr>
                <w:rFonts w:ascii="휴먼명조" w:eastAsia="휴먼명조" w:hAnsi="휴먼명조" w:cs="휴먼명조"/>
                <w:b w:val="0"/>
                <w:sz w:val="18"/>
                <w:w w:val="97"/>
              </w:rPr>
              <w:t>4th</w:t>
            </w:r>
          </w:p>
        </w:tc>
        <w:tc>
          <w:tcPr>
            <w:tcW w:type="dxa" w:w="2479"/>
          </w:tcPr>
          <w:p>
            <w:pPr>
              <w:spacing w:line="240" w:lineRule="auto"/>
              <w:jc w:val="center"/>
            </w:pPr>
            <w:r/>
            <w:r>
              <w:rPr>
                <w:rFonts w:ascii="휴먼명조" w:eastAsia="휴먼명조" w:hAnsi="휴먼명조" w:cs="휴먼명조"/>
                <w:b w:val="0"/>
                <w:sz w:val="18"/>
                <w:w w:val="97"/>
              </w:rPr>
              <w:t>-0.652 (not significant)</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The top two models in zero-shot terms improved significantly under fine-tuning, whereas </w:t>
      </w:r>
      <w:r>
        <w:rPr>
          <w:rFonts w:ascii="휴먼명조" w:eastAsia="휴먼명조" w:hAnsi="휴먼명조" w:cs="휴먼명조"/>
          <w:b/>
          <w:sz w:val="22"/>
          <w:w w:val="97"/>
        </w:rPr>
        <w:t>the bottom two either failed to improve or deteriorated</w:t>
      </w:r>
      <w:r>
        <w:rPr>
          <w:rFonts w:ascii="휴먼명조" w:eastAsia="휴먼명조" w:hAnsi="휴먼명조" w:cs="휴먼명조"/>
          <w:b w:val="0"/>
          <w:sz w:val="22"/>
          <w:w w:val="97"/>
        </w:rPr>
        <w:t xml:space="preserve">. This means fine-tuning did not function as a means of lifting a weak base model, and in practical terms suggests that </w:t>
      </w:r>
      <w:r>
        <w:rPr>
          <w:rFonts w:ascii="휴먼명조" w:eastAsia="휴먼명조" w:hAnsi="휴먼명조" w:cs="휴먼명조"/>
          <w:b/>
          <w:sz w:val="22"/>
          <w:w w:val="97"/>
        </w:rPr>
        <w:t>base-model selection is a decision that precedes fine-tuning design</w:t>
      </w:r>
      <w:r>
        <w:rPr>
          <w:rFonts w:ascii="휴먼명조" w:eastAsia="휴먼명조" w:hAnsi="휴먼명조" w:cs="휴먼명조"/>
          <w:b w:val="0"/>
          <w:sz w:val="22"/>
          <w:w w:val="97"/>
        </w:rPr>
        <w:t>. Since this study covered only four models, however, whether this correspondence is a general law remains unconfirmed.</w:t>
      </w:r>
    </w:p>
    <w:p>
      <w:pPr>
        <w:spacing w:line="384" w:lineRule="auto" w:after="0"/>
        <w:ind w:firstLine="220"/>
        <w:jc w:val="both"/>
      </w:pPr>
      <w:r>
        <w:rPr>
          <w:rFonts w:ascii="휴먼명조" w:eastAsia="휴먼명조" w:hAnsi="휴먼명조" w:cs="휴먼명조"/>
          <w:b w:val="0"/>
          <w:sz w:val="22"/>
          <w:w w:val="97"/>
        </w:rPr>
        <w:t xml:space="preserve">Overlaying the catastrophic forgetting analysis (Section 4.2.5) reveals a trade-off. The Qwen family, which gained substantially in domain performance, gave up 4-7% of general capability on VQAv2; SmolVLM2-2.2B, which almost entirely preserved general capability, deteriorated significantly in the domain; and Gemma4-E2B suffered a double loss, losing 51.5% of general capability without any domain gain. </w:t>
      </w:r>
      <w:r>
        <w:rPr>
          <w:rFonts w:ascii="휴먼명조" w:eastAsia="휴먼명조" w:hAnsi="휴먼명조" w:cs="휴먼명조"/>
          <w:b/>
          <w:sz w:val="22"/>
          <w:w w:val="97"/>
        </w:rPr>
        <w:t>Domain specialization and preservation of general capability were not achieved simultaneously within the scope of this experiment.</w:t>
      </w:r>
      <w:r>
        <w:rPr>
          <w:rFonts w:ascii="휴먼명조" w:eastAsia="휴먼명조" w:hAnsi="휴먼명조" w:cs="휴먼명조"/>
          <w:b w:val="0"/>
          <w:sz w:val="22"/>
          <w:w w:val="97"/>
        </w:rPr>
        <w:t xml:space="preserve"> As already stated in Section 4.2.5, this is an observed correlation and no causal relationship was verified.</w:t>
      </w:r>
    </w:p>
    <w:p>
      <w:pPr>
        <w:spacing w:line="384" w:lineRule="auto" w:after="0"/>
        <w:jc w:val="left"/>
        <w:outlineLvl w:val="2"/>
      </w:pPr>
      <w:r>
        <w:rPr>
          <w:rFonts w:ascii="휴먼명조" w:eastAsia="휴먼명조" w:hAnsi="휴먼명조" w:cs="휴먼명조"/>
          <w:b/>
          <w:sz w:val="22"/>
          <w:w w:val="97"/>
        </w:rPr>
        <w:t>4.4.4 The Closed-Open Gap: A Constraint Unresolved across All Three Phases</w:t>
      </w:r>
    </w:p>
    <w:p>
      <w:pPr>
        <w:spacing w:line="384" w:lineRule="auto" w:after="0"/>
        <w:ind w:firstLine="220"/>
        <w:jc w:val="both"/>
      </w:pPr>
      <w:r>
        <w:rPr>
          <w:rFonts w:ascii="휴먼명조" w:eastAsia="휴먼명조" w:hAnsi="휴먼명조" w:cs="휴먼명조"/>
          <w:b w:val="0"/>
          <w:sz w:val="22"/>
          <w:w w:val="97"/>
        </w:rPr>
        <w:t xml:space="preserve">The most substantive limitation identified by this study concerns </w:t>
      </w:r>
      <w:r>
        <w:rPr>
          <w:rFonts w:ascii="휴먼명조" w:eastAsia="휴먼명조" w:hAnsi="휴먼명조" w:cs="휴먼명조"/>
          <w:b/>
          <w:sz w:val="22"/>
          <w:w w:val="97"/>
        </w:rPr>
        <w:t>open-ended response performance</w:t>
      </w:r>
      <w:r>
        <w:rPr>
          <w:rFonts w:ascii="휴먼명조" w:eastAsia="휴먼명조" w:hAnsi="휴먼명조" w:cs="휴먼명조"/>
          <w:b w:val="0"/>
          <w:sz w:val="22"/>
          <w:w w:val="97"/>
        </w:rPr>
        <w:t>. The gap is observed consistently in all three phases.</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1 (zero-shot)</w:t>
      </w:r>
      <w:r>
        <w:rPr>
          <w:rFonts w:ascii="휴먼명조" w:eastAsia="휴먼명조" w:hAnsi="휴먼명조" w:cs="휴먼명조"/>
          <w:b w:val="0"/>
          <w:sz w:val="22"/>
          <w:w w:val="97"/>
        </w:rPr>
        <w:t xml:space="preserve">: PathVQA open accuracy was 0.027-0.061 across all models, more than an order of magnitude below closed accuracy (0.45-0.79). By question type, </w:t>
      </w:r>
      <w:r>
        <w:rPr>
          <w:rFonts w:ascii="휴먼명조" w:eastAsia="휴먼명조" w:hAnsi="휴먼명조" w:cs="휴먼명조"/>
          <w:b/>
          <w:sz w:val="22"/>
          <w:w w:val="97"/>
        </w:rPr>
        <w:t>all four models scored 0.0000 on the diagnosis and temporal types</w:t>
      </w:r>
      <w:r>
        <w:rPr>
          <w:rFonts w:ascii="휴먼명조" w:eastAsia="휴먼명조" w:hAnsi="휴먼명조" w:cs="휴먼명조"/>
          <w:b w:val="0"/>
          <w:sz w:val="22"/>
          <w:w w:val="97"/>
        </w:rPr>
        <w:t xml:space="preserve"> (Section 4.1.3).</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3 (fine-tuning + optimal HPO configuration)</w:t>
      </w:r>
      <w:r>
        <w:rPr>
          <w:rFonts w:ascii="휴먼명조" w:eastAsia="휴먼명조" w:hAnsi="휴먼명조" w:cs="휴먼명조"/>
          <w:b w:val="0"/>
          <w:sz w:val="22"/>
          <w:w w:val="97"/>
        </w:rPr>
        <w:t xml:space="preserve">: even the best configuration among 610 trials reached only </w:t>
      </w:r>
      <w:r>
        <w:rPr>
          <w:rFonts w:ascii="휴먼명조" w:eastAsia="휴먼명조" w:hAnsi="휴먼명조" w:cs="휴먼명조"/>
          <w:b/>
          <w:sz w:val="22"/>
          <w:w w:val="97"/>
        </w:rPr>
        <w:t>val_open_acc 0.1445</w:t>
      </w:r>
      <w:r>
        <w:rPr>
          <w:rFonts w:ascii="휴먼명조" w:eastAsia="휴먼명조" w:hAnsi="휴먼명조" w:cs="휴먼명조"/>
          <w:b w:val="0"/>
          <w:sz w:val="22"/>
          <w:w w:val="97"/>
        </w:rPr>
        <w:t xml:space="preserve"> against val_closed_acc 0.8115.</w:t>
      </w:r>
    </w:p>
    <w:p>
      <w:pPr>
        <w:spacing w:line="384" w:lineRule="auto" w:after="0"/>
        <w:ind w:firstLine="220"/>
        <w:jc w:val="both"/>
      </w:pPr>
      <w:r>
        <w:rPr>
          <w:rFonts w:ascii="휴먼명조" w:eastAsia="휴먼명조" w:hAnsi="휴먼명조" w:cs="휴먼명조"/>
          <w:b w:val="0"/>
          <w:sz w:val="22"/>
          <w:w w:val="97"/>
        </w:rPr>
        <w:t xml:space="preserve">As stated in Section 4.4.1, the absolute values of the two phases cannot be compared directly. Yet </w:t>
      </w:r>
      <w:r>
        <w:rPr>
          <w:rFonts w:ascii="휴먼명조" w:eastAsia="휴먼명조" w:hAnsi="휴먼명조" w:cs="휴먼명조"/>
          <w:b/>
          <w:sz w:val="22"/>
          <w:w w:val="97"/>
        </w:rPr>
        <w:t>the ratio relationship — open below 20% of closed — holds in every phase</w:t>
      </w:r>
      <w:r>
        <w:rPr>
          <w:rFonts w:ascii="휴먼명조" w:eastAsia="휴먼명조" w:hAnsi="휴먼명조" w:cs="휴먼명조"/>
          <w:b w:val="0"/>
          <w:sz w:val="22"/>
          <w:w w:val="97"/>
        </w:rPr>
        <w:t xml:space="preserve"> (about 9.5% for Qwen3-VL-2B on PathVQA in Phase 1, about 17.8% for the best configuration in Phase 3). When both fine-tuning and hyperparameter optimization were brought to bear, closed accuracy rose from 0.63 to around 0.81, while open accuracy still did not exceed 0.15.</w:t>
      </w:r>
    </w:p>
    <w:p>
      <w:pPr>
        <w:spacing w:line="384" w:lineRule="auto" w:after="0"/>
        <w:ind w:firstLine="220"/>
        <w:jc w:val="both"/>
      </w:pPr>
      <w:r>
        <w:rPr>
          <w:rFonts w:ascii="휴먼명조" w:eastAsia="휴먼명조" w:hAnsi="휴먼명조" w:cs="휴먼명조"/>
          <w:b w:val="0"/>
          <w:sz w:val="22"/>
          <w:w w:val="97"/>
        </w:rPr>
        <w:t xml:space="preserve">This matters because </w:t>
      </w:r>
      <w:r>
        <w:rPr>
          <w:rFonts w:ascii="휴먼명조" w:eastAsia="휴먼명조" w:hAnsi="휴먼명조" w:cs="휴먼명조"/>
          <w:b/>
          <w:sz w:val="22"/>
          <w:w w:val="97"/>
        </w:rPr>
        <w:t>the clinically important question types are concentrated in the open-ended category</w:t>
      </w:r>
      <w:r>
        <w:rPr>
          <w:rFonts w:ascii="휴먼명조" w:eastAsia="휴먼명조" w:hAnsi="휴먼명조" w:cs="휴먼명조"/>
          <w:b w:val="0"/>
          <w:sz w:val="22"/>
          <w:w w:val="97"/>
        </w:rPr>
        <w:t xml:space="preserve">. As confirmed in Section 4.1.3, the diagnosis type carrying the highest WCA weight and the description type with the largest sample count (41% of the total) are both free-form, and in the zero-shot state they scored 0.0000 and 0.02-0.04 respectively. The yes_no type, which showed relatively high accuracy, is by contrast a binary judgement with limited information content. In other words, </w:t>
      </w:r>
      <w:r>
        <w:rPr>
          <w:rFonts w:ascii="휴먼명조" w:eastAsia="휴먼명조" w:hAnsi="휴먼명조" w:cs="휴먼명조"/>
          <w:b/>
          <w:sz w:val="22"/>
          <w:w w:val="97"/>
        </w:rPr>
        <w:t>a substantial part of the accuracy improvement achieved in this study may have occurred on types of relatively low clinical value</w:t>
      </w:r>
      <w:r>
        <w:rPr>
          <w:rFonts w:ascii="휴먼명조" w:eastAsia="휴먼명조" w:hAnsi="휴먼명조" w:cs="휴먼명조"/>
          <w:b w:val="0"/>
          <w:sz w:val="22"/>
          <w:w w:val="97"/>
        </w:rPr>
        <w:t>. Since Phase 3 used a single PathVQA validation condition and did not perform a type-level decomposition, however, precise verification of this interpretation remains future work (Sections 5.3, 5.4).</w:t>
      </w:r>
    </w:p>
    <w:p>
      <w:pPr>
        <w:spacing w:line="384" w:lineRule="auto" w:after="0"/>
        <w:jc w:val="left"/>
        <w:outlineLvl w:val="2"/>
      </w:pPr>
      <w:r>
        <w:rPr>
          <w:rFonts w:ascii="휴먼명조" w:eastAsia="휴먼명조" w:hAnsi="휴먼명조" w:cs="휴먼명조"/>
          <w:b/>
          <w:sz w:val="22"/>
          <w:w w:val="97"/>
        </w:rPr>
        <w:t>4.4.5 What Automated Search Reached, and the Limits of Autonomous Agents</w:t>
      </w:r>
    </w:p>
    <w:p>
      <w:pPr>
        <w:spacing w:line="384" w:lineRule="auto" w:after="0"/>
        <w:ind w:firstLine="220"/>
        <w:jc w:val="both"/>
      </w:pPr>
      <w:r>
        <w:rPr>
          <w:rFonts w:ascii="휴먼명조" w:eastAsia="휴먼명조" w:hAnsi="휴먼명조" w:cs="휴먼명조"/>
          <w:b w:val="0"/>
          <w:sz w:val="22"/>
          <w:w w:val="97"/>
        </w:rPr>
        <w:t xml:space="preserve">Phases 2 and 3 conducted hyperparameter search in entirely different ways and </w:t>
      </w:r>
      <w:r>
        <w:rPr>
          <w:rFonts w:ascii="휴먼명조" w:eastAsia="휴먼명조" w:hAnsi="휴먼명조" w:cs="휴먼명조"/>
          <w:b/>
          <w:sz w:val="22"/>
          <w:w w:val="97"/>
        </w:rPr>
        <w:t>arrived independently at the same region</w:t>
      </w:r>
      <w:r>
        <w:rPr>
          <w:rFonts w:ascii="휴먼명조" w:eastAsia="휴먼명조" w:hAnsi="휴먼명조" w:cs="휴먼명조"/>
          <w:b w:val="0"/>
          <w:sz w:val="22"/>
          <w:w w:val="97"/>
        </w:rPr>
        <w:t>.</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2 (manual ablation)</w:t>
      </w:r>
      <w:r>
        <w:rPr>
          <w:rFonts w:ascii="휴먼명조" w:eastAsia="휴먼명조" w:hAnsi="휴먼명조" w:cs="휴먼명조"/>
          <w:b w:val="0"/>
          <w:sz w:val="22"/>
          <w:w w:val="97"/>
        </w:rPr>
        <w:t>: one axis verified at a time with the others fixed → rank = 64, target = all-linear, ratio = 1.0 (Sections 4.2.2-4.2.4)</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3 (free search)</w:t>
      </w:r>
      <w:r>
        <w:rPr>
          <w:rFonts w:ascii="휴먼명조" w:eastAsia="휴먼명조" w:hAnsi="휴먼명조" w:cs="휴먼명조"/>
          <w:b w:val="0"/>
          <w:sz w:val="22"/>
          <w:w w:val="97"/>
        </w:rPr>
        <w:t xml:space="preserve">: the best configurations of all three strategies (Random, Optuna, Autoresearch) converged on </w:t>
      </w:r>
      <w:r>
        <w:rPr>
          <w:rFonts w:ascii="휴먼명조" w:eastAsia="휴먼명조" w:hAnsi="휴먼명조" w:cs="휴먼명조"/>
          <w:b/>
          <w:sz w:val="22"/>
          <w:w w:val="97"/>
        </w:rPr>
        <w:t>lora_targets=full with rank in the 32-64 region</w:t>
      </w:r>
      <w:r>
        <w:rPr>
          <w:rFonts w:ascii="휴먼명조" w:eastAsia="휴먼명조" w:hAnsi="휴먼명조" w:cs="휴먼명조"/>
          <w:b w:val="0"/>
          <w:sz w:val="22"/>
          <w:w w:val="97"/>
        </w:rPr>
        <w:t xml:space="preserve"> (Section 4.3.2)</w:t>
      </w:r>
    </w:p>
    <w:p>
      <w:pPr>
        <w:spacing w:line="384" w:lineRule="auto" w:after="0"/>
        <w:ind w:firstLine="220"/>
        <w:jc w:val="both"/>
      </w:pPr>
      <w:r>
        <w:rPr>
          <w:rFonts w:ascii="휴먼명조" w:eastAsia="휴먼명조" w:hAnsi="휴먼명조" w:cs="휴먼명조"/>
          <w:b w:val="0"/>
          <w:sz w:val="22"/>
          <w:w w:val="97"/>
        </w:rPr>
        <w:t>That two approaches with entirely different designs identified the same region raises confidence in the Phase 2 conclusion. In particular, the Phase 2 ablation had the limitation of verifying the three axes only independently, without validating the simultaneous combination of the three optima (Section 4.2.4); Phase 3's free search partially compensates for this limitation by actually exploring that combined region and reaching the same conclusion.</w:t>
      </w:r>
    </w:p>
    <w:p>
      <w:pPr>
        <w:spacing w:line="384" w:lineRule="auto" w:after="0"/>
        <w:ind w:firstLine="220"/>
        <w:jc w:val="both"/>
      </w:pPr>
      <w:r>
        <w:rPr>
          <w:rFonts w:ascii="휴먼명조" w:eastAsia="휴먼명조" w:hAnsi="휴먼명조" w:cs="휴먼명조"/>
          <w:b w:val="0"/>
          <w:sz w:val="22"/>
          <w:w w:val="97"/>
        </w:rPr>
        <w:t xml:space="preserve">There was, however, a clear boundary to the level of automation. </w:t>
      </w:r>
      <w:r>
        <w:rPr>
          <w:rFonts w:ascii="휴먼명조" w:eastAsia="휴먼명조" w:hAnsi="휴먼명조" w:cs="휴먼명조"/>
          <w:b/>
          <w:sz w:val="22"/>
          <w:w w:val="97"/>
        </w:rPr>
        <w:t>Automation of the search algorithm (TPE) surpassed manual configuration by a wide margin</w:t>
      </w:r>
      <w:r>
        <w:rPr>
          <w:rFonts w:ascii="휴먼명조" w:eastAsia="휴먼명조" w:hAnsi="휴먼명조" w:cs="휴먼명조"/>
          <w:b w:val="0"/>
          <w:sz w:val="22"/>
          <w:w w:val="97"/>
        </w:rPr>
        <w:t xml:space="preserve"> (0.4490 vs 0.3776), yet </w:t>
      </w:r>
      <w:r>
        <w:rPr>
          <w:rFonts w:ascii="휴먼명조" w:eastAsia="휴먼명조" w:hAnsi="휴먼명조" w:cs="휴먼명조"/>
          <w:b/>
          <w:sz w:val="22"/>
          <w:w w:val="97"/>
        </w:rPr>
        <w:t>the LLM agent's autonomous judgement fell significantly short of that algorithm</w:t>
      </w:r>
      <w:r>
        <w:rPr>
          <w:rFonts w:ascii="휴먼명조" w:eastAsia="휴먼명조" w:hAnsi="휴먼명조" w:cs="휴먼명조"/>
          <w:b w:val="0"/>
          <w:sz w:val="22"/>
          <w:w w:val="97"/>
        </w:rPr>
        <w:t xml:space="preserve"> (Section 4.3.1). The cause identified in Section 4.3.4 is not an absence of predictive ability but </w:t>
      </w:r>
      <w:r>
        <w:rPr>
          <w:rFonts w:ascii="휴먼명조" w:eastAsia="휴먼명조" w:hAnsi="휴먼명조" w:cs="휴먼명조"/>
          <w:b/>
          <w:sz w:val="22"/>
          <w:w w:val="97"/>
        </w:rPr>
        <w:t>a problem of search behaviour</w:t>
      </w:r>
      <w:r>
        <w:rPr>
          <w:rFonts w:ascii="휴먼명조" w:eastAsia="휴먼명조" w:hAnsi="휴먼명조" w:cs="휴먼명조"/>
          <w:b w:val="0"/>
          <w:sz w:val="22"/>
          <w:w w:val="97"/>
        </w:rPr>
        <w:t xml:space="preserve">: the trial-level mean quality of the agent's proposed configurations was in fact the highest (0.3980), but repeatedly proposing identical configurations meant only 12.5 unique combinations on average out of 20 trials, shrinking the effective budget. In short, within the scope of this study, </w:t>
      </w:r>
      <w:r>
        <w:rPr>
          <w:rFonts w:ascii="휴먼명조" w:eastAsia="휴먼명조" w:hAnsi="휴먼명조" w:cs="휴먼명조"/>
          <w:b/>
          <w:sz w:val="22"/>
          <w:w w:val="97"/>
        </w:rPr>
        <w:t>"automation of search" is mature whereas "autonomous research judgement" is not yet at a level that can replace existing optimization algorithms.</w:t>
      </w:r>
    </w:p>
    <w:p>
      <w:pPr>
        <w:spacing w:line="384" w:lineRule="auto" w:after="0"/>
        <w:jc w:val="left"/>
        <w:outlineLvl w:val="2"/>
      </w:pPr>
      <w:r>
        <w:rPr>
          <w:rFonts w:ascii="휴먼명조" w:eastAsia="휴먼명조" w:hAnsi="휴먼명조" w:cs="휴먼명조"/>
          <w:b/>
          <w:sz w:val="22"/>
          <w:w w:val="97"/>
        </w:rPr>
        <w:t>4.4.6 Indirect Comparison with Prior Work</w:t>
      </w:r>
    </w:p>
    <w:p>
      <w:pPr>
        <w:spacing w:line="384" w:lineRule="auto" w:after="0"/>
        <w:ind w:firstLine="220"/>
        <w:jc w:val="both"/>
      </w:pPr>
      <w:r>
        <w:rPr>
          <w:rFonts w:ascii="휴먼명조" w:eastAsia="휴먼명조" w:hAnsi="휴먼명조" w:cs="휴먼명조"/>
          <w:b w:val="0"/>
          <w:sz w:val="22"/>
          <w:w w:val="97"/>
        </w:rPr>
        <w:t xml:space="preserve">This study did not conduct direct experimental comparison with medical-specialized VLMs (Section 2.5). LLaVA-Med (Li et al., NeurIPS 2023 D&amp;B), however, reports figures on </w:t>
      </w:r>
      <w:r>
        <w:rPr>
          <w:rFonts w:ascii="휴먼명조" w:eastAsia="휴먼명조" w:hAnsi="휴먼명조" w:cs="휴먼명조"/>
          <w:b/>
          <w:sz w:val="22"/>
          <w:w w:val="97"/>
        </w:rPr>
        <w:t>the standard test splits of the same three datasets</w:t>
      </w:r>
      <w:r>
        <w:rPr>
          <w:rFonts w:ascii="휴먼명조" w:eastAsia="휴먼명조" w:hAnsi="휴먼명조" w:cs="휴먼명조"/>
          <w:b w:val="0"/>
          <w:sz w:val="22"/>
          <w:w w:val="97"/>
        </w:rPr>
        <w:t xml:space="preserve">, so indirect comparison is possible within that scope. Before comparing, it is necessary to define </w:t>
      </w:r>
      <w:r>
        <w:rPr>
          <w:rFonts w:ascii="휴먼명조" w:eastAsia="휴먼명조" w:hAnsi="휴먼명조" w:cs="휴먼명조"/>
          <w:b/>
          <w:sz w:val="22"/>
          <w:w w:val="97"/>
        </w:rPr>
        <w:t>which axes are comparable and which are not</w:t>
      </w:r>
      <w:r>
        <w:rPr>
          <w:rFonts w:ascii="휴먼명조" w:eastAsia="휴먼명조" w:hAnsi="휴먼명조" w:cs="휴먼명조"/>
          <w:b w:val="0"/>
          <w:sz w:val="22"/>
          <w:w w:val="97"/>
        </w:rPr>
        <w:t>.</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Closed-ended is comparable.</w:t>
      </w:r>
      <w:r>
        <w:rPr>
          <w:rFonts w:ascii="휴먼명조" w:eastAsia="휴먼명조" w:hAnsi="휴먼명조" w:cs="휴먼명조"/>
          <w:b w:val="0"/>
          <w:sz w:val="22"/>
          <w:w w:val="97"/>
        </w:rPr>
        <w:t xml:space="preserve"> Both report simple accuracy based on exact string match against the gold answer, and the evaluation samples are identical at 1,061 items for SLAKE and 451 for VQA-RAD (only PathVQA differs, 6,761 vs 6,719, a gap of 42 items).</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Open-ended is not comparable.</w:t>
      </w:r>
      <w:r>
        <w:rPr>
          <w:rFonts w:ascii="휴먼명조" w:eastAsia="휴먼명조" w:hAnsi="휴먼명조" w:cs="휴먼명조"/>
          <w:b w:val="0"/>
          <w:sz w:val="22"/>
          <w:w w:val="97"/>
        </w:rPr>
        <w:t xml:space="preserve"> LLaVA-Med uses as its open metric *the proportion of generated responses containing the gold token (recall)*, whereas this study uses *whether BERTScore F1 ≥ 0.7* (Section 3.8.1). The former is structurally a far more lenient measure, so placing the two figures side by side would itself be misleading. They are noted below for reference with </w:t>
      </w:r>
      <w:r>
        <w:rPr>
          <w:rFonts w:ascii="휴먼명조" w:eastAsia="휴먼명조" w:hAnsi="휴먼명조" w:cs="휴먼명조"/>
          <w:b/>
          <w:sz w:val="22"/>
          <w:w w:val="97"/>
        </w:rPr>
        <w:t>an explicit statement that they are not objects of comparison</w:t>
      </w:r>
      <w:r>
        <w:rPr>
          <w:rFonts w:ascii="휴먼명조" w:eastAsia="휴먼명조" w:hAnsi="휴먼명조" w:cs="휴먼명조"/>
          <w:b w:val="0"/>
          <w:sz w:val="22"/>
          <w:w w:val="97"/>
        </w:rPr>
        <w:t>.</w:t>
      </w:r>
    </w:p>
    <w:p>
      <w:pPr>
        <w:pStyle w:val="표캡션"/>
        <w:spacing w:line="384" w:lineRule="auto" w:after="0"/>
        <w:jc w:val="center"/>
      </w:pPr>
      <w:r>
        <w:rPr>
          <w:rFonts w:ascii="휴먼명조" w:eastAsia="휴먼명조" w:hAnsi="휴먼명조" w:cs="휴먼명조"/>
          <w:b/>
          <w:sz w:val="22"/>
          <w:w w:val="97"/>
        </w:rPr>
        <w:t>Table 4.4. Indirect comparison with figures reported in prior work (closed-ended basis)</w:t>
      </w:r>
    </w:p>
    <w:tbl>
      <w:tblPr>
        <w:tblW w:type="auto" w:w="0"/>
        <w:tblLook w:firstColumn="1" w:firstRow="1" w:lastColumn="0" w:lastRow="0" w:noHBand="0" w:noVBand="1" w:val="04A0"/>
      </w:tblPr>
      <w:tblGrid>
        <w:gridCol w:w="1240"/>
        <w:gridCol w:w="1240"/>
        <w:gridCol w:w="1240"/>
        <w:gridCol w:w="1240"/>
        <w:gridCol w:w="1240"/>
        <w:gridCol w:w="1240"/>
      </w:tblGrid>
      <w:tr>
        <w:tc>
          <w:tcPr>
            <w:tcW w:type="dxa" w:w="1240"/>
          </w:tcPr>
          <w:p>
            <w:pPr>
              <w:spacing w:line="240" w:lineRule="auto"/>
              <w:jc w:val="center"/>
            </w:pPr>
            <w:r/>
            <w:r>
              <w:rPr>
                <w:rFonts w:ascii="휴먼명조" w:eastAsia="휴먼명조" w:hAnsi="휴먼명조" w:cs="휴먼명조"/>
                <w:b/>
                <w:sz w:val="18"/>
                <w:w w:val="97"/>
              </w:rPr>
              <w:t>Model</w:t>
            </w:r>
          </w:p>
        </w:tc>
        <w:tc>
          <w:tcPr>
            <w:tcW w:type="dxa" w:w="1240"/>
          </w:tcPr>
          <w:p>
            <w:pPr>
              <w:spacing w:line="240" w:lineRule="auto"/>
              <w:jc w:val="center"/>
            </w:pPr>
            <w:r/>
            <w:r>
              <w:rPr>
                <w:rFonts w:ascii="휴먼명조" w:eastAsia="휴먼명조" w:hAnsi="휴먼명조" w:cs="휴먼명조"/>
                <w:b/>
                <w:sz w:val="18"/>
                <w:w w:val="97"/>
              </w:rPr>
              <w:t>Scale</w:t>
            </w:r>
          </w:p>
        </w:tc>
        <w:tc>
          <w:tcPr>
            <w:tcW w:type="dxa" w:w="1240"/>
          </w:tcPr>
          <w:p>
            <w:pPr>
              <w:spacing w:line="240" w:lineRule="auto"/>
              <w:jc w:val="center"/>
            </w:pPr>
            <w:r/>
            <w:r>
              <w:rPr>
                <w:rFonts w:ascii="휴먼명조" w:eastAsia="휴먼명조" w:hAnsi="휴먼명조" w:cs="휴먼명조"/>
                <w:b/>
                <w:sz w:val="18"/>
                <w:w w:val="97"/>
              </w:rPr>
              <w:t>Training approach</w:t>
            </w:r>
          </w:p>
        </w:tc>
        <w:tc>
          <w:tcPr>
            <w:tcW w:type="dxa" w:w="1240"/>
          </w:tcPr>
          <w:p>
            <w:pPr>
              <w:spacing w:line="240" w:lineRule="auto"/>
              <w:jc w:val="center"/>
            </w:pPr>
            <w:r/>
            <w:r>
              <w:rPr>
                <w:rFonts w:ascii="휴먼명조" w:eastAsia="휴먼명조" w:hAnsi="휴먼명조" w:cs="휴먼명조"/>
                <w:b/>
                <w:sz w:val="18"/>
                <w:w w:val="97"/>
              </w:rPr>
              <w:t>PathVQA</w:t>
            </w:r>
          </w:p>
        </w:tc>
        <w:tc>
          <w:tcPr>
            <w:tcW w:type="dxa" w:w="1240"/>
          </w:tcPr>
          <w:p>
            <w:pPr>
              <w:spacing w:line="240" w:lineRule="auto"/>
              <w:jc w:val="center"/>
            </w:pPr>
            <w:r/>
            <w:r>
              <w:rPr>
                <w:rFonts w:ascii="휴먼명조" w:eastAsia="휴먼명조" w:hAnsi="휴먼명조" w:cs="휴먼명조"/>
                <w:b/>
                <w:sz w:val="18"/>
                <w:w w:val="97"/>
              </w:rPr>
              <w:t>SLAKE</w:t>
            </w:r>
          </w:p>
        </w:tc>
        <w:tc>
          <w:tcPr>
            <w:tcW w:type="dxa" w:w="1240"/>
          </w:tcPr>
          <w:p>
            <w:pPr>
              <w:spacing w:line="240" w:lineRule="auto"/>
              <w:jc w:val="center"/>
            </w:pPr>
            <w:r/>
            <w:r>
              <w:rPr>
                <w:rFonts w:ascii="휴먼명조" w:eastAsia="휴먼명조" w:hAnsi="휴먼명조" w:cs="휴먼명조"/>
                <w:b/>
                <w:sz w:val="18"/>
                <w:w w:val="97"/>
              </w:rPr>
              <w:t>VQA-RAD</w:t>
            </w:r>
          </w:p>
        </w:tc>
      </w:tr>
      <w:tr>
        <w:tc>
          <w:tcPr>
            <w:tcW w:type="dxa" w:w="1240"/>
          </w:tcPr>
          <w:p>
            <w:pPr>
              <w:spacing w:line="240" w:lineRule="auto"/>
              <w:jc w:val="center"/>
            </w:pPr>
            <w:r/>
            <w:r>
              <w:rPr>
                <w:rFonts w:ascii="휴먼명조" w:eastAsia="휴먼명조" w:hAnsi="휴먼명조" w:cs="휴먼명조"/>
                <w:b w:val="0"/>
                <w:sz w:val="18"/>
                <w:w w:val="97"/>
              </w:rPr>
              <w:t>LLaVA (general)</w:t>
            </w:r>
          </w:p>
        </w:tc>
        <w:tc>
          <w:tcPr>
            <w:tcW w:type="dxa" w:w="1240"/>
          </w:tcPr>
          <w:p>
            <w:pPr>
              <w:spacing w:line="240" w:lineRule="auto"/>
              <w:jc w:val="center"/>
            </w:pPr>
            <w:r/>
            <w:r>
              <w:rPr>
                <w:rFonts w:ascii="휴먼명조" w:eastAsia="휴먼명조" w:hAnsi="휴먼명조" w:cs="휴먼명조"/>
                <w:b w:val="0"/>
                <w:sz w:val="18"/>
                <w:w w:val="97"/>
              </w:rPr>
              <w:t>7B</w:t>
            </w:r>
          </w:p>
        </w:tc>
        <w:tc>
          <w:tcPr>
            <w:tcW w:type="dxa" w:w="1240"/>
          </w:tcPr>
          <w:p>
            <w:pPr>
              <w:spacing w:line="240" w:lineRule="auto"/>
              <w:jc w:val="center"/>
            </w:pPr>
            <w:r/>
            <w:r>
              <w:rPr>
                <w:rFonts w:ascii="휴먼명조" w:eastAsia="휴먼명조" w:hAnsi="휴먼명조" w:cs="휴먼명조"/>
                <w:b w:val="0"/>
                <w:sz w:val="18"/>
                <w:w w:val="97"/>
              </w:rPr>
              <w:t>No domain training</w:t>
            </w:r>
          </w:p>
        </w:tc>
        <w:tc>
          <w:tcPr>
            <w:tcW w:type="dxa" w:w="1240"/>
          </w:tcPr>
          <w:p>
            <w:pPr>
              <w:spacing w:line="240" w:lineRule="auto"/>
              <w:jc w:val="center"/>
            </w:pPr>
            <w:r/>
            <w:r>
              <w:rPr>
                <w:rFonts w:ascii="휴먼명조" w:eastAsia="휴먼명조" w:hAnsi="휴먼명조" w:cs="휴먼명조"/>
                <w:b w:val="0"/>
                <w:sz w:val="18"/>
                <w:w w:val="97"/>
              </w:rPr>
              <w:t>63.20</w:t>
            </w:r>
          </w:p>
        </w:tc>
        <w:tc>
          <w:tcPr>
            <w:tcW w:type="dxa" w:w="1240"/>
          </w:tcPr>
          <w:p>
            <w:pPr>
              <w:spacing w:line="240" w:lineRule="auto"/>
              <w:jc w:val="center"/>
            </w:pPr>
            <w:r/>
            <w:r>
              <w:rPr>
                <w:rFonts w:ascii="휴먼명조" w:eastAsia="휴먼명조" w:hAnsi="휴먼명조" w:cs="휴먼명조"/>
                <w:b w:val="0"/>
                <w:sz w:val="18"/>
                <w:w w:val="97"/>
              </w:rPr>
              <w:t>63.22</w:t>
            </w:r>
          </w:p>
        </w:tc>
        <w:tc>
          <w:tcPr>
            <w:tcW w:type="dxa" w:w="1240"/>
          </w:tcPr>
          <w:p>
            <w:pPr>
              <w:spacing w:line="240" w:lineRule="auto"/>
              <w:jc w:val="center"/>
            </w:pPr>
            <w:r/>
            <w:r>
              <w:rPr>
                <w:rFonts w:ascii="휴먼명조" w:eastAsia="휴먼명조" w:hAnsi="휴먼명조" w:cs="휴먼명조"/>
                <w:b w:val="0"/>
                <w:sz w:val="18"/>
                <w:w w:val="97"/>
              </w:rPr>
              <w:t>65.07</w:t>
            </w:r>
          </w:p>
        </w:tc>
      </w:tr>
      <w:tr>
        <w:tc>
          <w:tcPr>
            <w:tcW w:type="dxa" w:w="1240"/>
          </w:tcPr>
          <w:p>
            <w:pPr>
              <w:spacing w:line="240" w:lineRule="auto"/>
              <w:jc w:val="center"/>
            </w:pPr>
            <w:r/>
            <w:r>
              <w:rPr>
                <w:rFonts w:ascii="휴먼명조" w:eastAsia="휴먼명조" w:hAnsi="휴먼명조" w:cs="휴먼명조"/>
                <w:b w:val="0"/>
                <w:sz w:val="18"/>
                <w:w w:val="97"/>
              </w:rPr>
              <w:t>LLaVA-Med</w:t>
            </w:r>
          </w:p>
        </w:tc>
        <w:tc>
          <w:tcPr>
            <w:tcW w:type="dxa" w:w="1240"/>
          </w:tcPr>
          <w:p>
            <w:pPr>
              <w:spacing w:line="240" w:lineRule="auto"/>
              <w:jc w:val="center"/>
            </w:pPr>
            <w:r/>
            <w:r>
              <w:rPr>
                <w:rFonts w:ascii="휴먼명조" w:eastAsia="휴먼명조" w:hAnsi="휴먼명조" w:cs="휴먼명조"/>
                <w:b w:val="0"/>
                <w:sz w:val="18"/>
                <w:w w:val="97"/>
              </w:rPr>
              <w:t>7B</w:t>
            </w:r>
          </w:p>
        </w:tc>
        <w:tc>
          <w:tcPr>
            <w:tcW w:type="dxa" w:w="1240"/>
          </w:tcPr>
          <w:p>
            <w:pPr>
              <w:spacing w:line="240" w:lineRule="auto"/>
              <w:jc w:val="center"/>
            </w:pPr>
            <w:r/>
            <w:r>
              <w:rPr>
                <w:rFonts w:ascii="휴먼명조" w:eastAsia="휴먼명조" w:hAnsi="휴먼명조" w:cs="휴먼명조"/>
                <w:b w:val="0"/>
                <w:sz w:val="18"/>
                <w:w w:val="97"/>
              </w:rPr>
              <w:t>Biomedical corpus pretraining + per-dataset fine-tuning</w:t>
            </w:r>
          </w:p>
        </w:tc>
        <w:tc>
          <w:tcPr>
            <w:tcW w:type="dxa" w:w="1240"/>
          </w:tcPr>
          <w:p>
            <w:pPr>
              <w:spacing w:line="240" w:lineRule="auto"/>
              <w:jc w:val="center"/>
            </w:pPr>
            <w:r/>
            <w:r>
              <w:rPr>
                <w:rFonts w:ascii="휴먼명조" w:eastAsia="휴먼명조" w:hAnsi="휴먼명조" w:cs="휴먼명조"/>
                <w:b/>
                <w:sz w:val="18"/>
                <w:w w:val="97"/>
              </w:rPr>
              <w:t>91.21</w:t>
            </w:r>
          </w:p>
        </w:tc>
        <w:tc>
          <w:tcPr>
            <w:tcW w:type="dxa" w:w="1240"/>
          </w:tcPr>
          <w:p>
            <w:pPr>
              <w:spacing w:line="240" w:lineRule="auto"/>
              <w:jc w:val="center"/>
            </w:pPr>
            <w:r/>
            <w:r>
              <w:rPr>
                <w:rFonts w:ascii="휴먼명조" w:eastAsia="휴먼명조" w:hAnsi="휴먼명조" w:cs="휴먼명조"/>
                <w:b w:val="0"/>
                <w:sz w:val="18"/>
                <w:w w:val="97"/>
              </w:rPr>
              <w:t>85.34</w:t>
            </w:r>
          </w:p>
        </w:tc>
        <w:tc>
          <w:tcPr>
            <w:tcW w:type="dxa" w:w="1240"/>
          </w:tcPr>
          <w:p>
            <w:pPr>
              <w:spacing w:line="240" w:lineRule="auto"/>
              <w:jc w:val="center"/>
            </w:pPr>
            <w:r/>
            <w:r>
              <w:rPr>
                <w:rFonts w:ascii="휴먼명조" w:eastAsia="휴먼명조" w:hAnsi="휴먼명조" w:cs="휴먼명조"/>
                <w:b/>
                <w:sz w:val="18"/>
                <w:w w:val="97"/>
              </w:rPr>
              <w:t>84.19</w:t>
            </w:r>
          </w:p>
        </w:tc>
      </w:tr>
      <w:tr>
        <w:tc>
          <w:tcPr>
            <w:tcW w:type="dxa" w:w="1240"/>
          </w:tcPr>
          <w:p>
            <w:pPr>
              <w:spacing w:line="240" w:lineRule="auto"/>
              <w:jc w:val="center"/>
            </w:pPr>
            <w:r/>
            <w:r>
              <w:rPr>
                <w:rFonts w:ascii="휴먼명조" w:eastAsia="휴먼명조" w:hAnsi="휴먼명조" w:cs="휴먼명조"/>
                <w:b/>
                <w:sz w:val="18"/>
                <w:w w:val="97"/>
              </w:rPr>
              <w:t>This study (Qwen3-VL-2B)</w:t>
            </w:r>
          </w:p>
        </w:tc>
        <w:tc>
          <w:tcPr>
            <w:tcW w:type="dxa" w:w="1240"/>
          </w:tcPr>
          <w:p>
            <w:pPr>
              <w:spacing w:line="240" w:lineRule="auto"/>
              <w:jc w:val="center"/>
            </w:pPr>
            <w:r/>
            <w:r>
              <w:rPr>
                <w:rFonts w:ascii="휴먼명조" w:eastAsia="휴먼명조" w:hAnsi="휴먼명조" w:cs="휴먼명조"/>
                <w:b/>
                <w:sz w:val="18"/>
                <w:w w:val="97"/>
              </w:rPr>
              <w:t>2B</w:t>
            </w:r>
          </w:p>
        </w:tc>
        <w:tc>
          <w:tcPr>
            <w:tcW w:type="dxa" w:w="1240"/>
          </w:tcPr>
          <w:p>
            <w:pPr>
              <w:spacing w:line="240" w:lineRule="auto"/>
              <w:jc w:val="center"/>
            </w:pPr>
            <w:r/>
            <w:r>
              <w:rPr>
                <w:rFonts w:ascii="휴먼명조" w:eastAsia="휴먼명조" w:hAnsi="휴먼명조" w:cs="휴먼명조"/>
                <w:b/>
                <w:sz w:val="18"/>
                <w:w w:val="97"/>
              </w:rPr>
              <w:t>QLoRA fine-tuning only</w:t>
            </w:r>
          </w:p>
        </w:tc>
        <w:tc>
          <w:tcPr>
            <w:tcW w:type="dxa" w:w="1240"/>
          </w:tcPr>
          <w:p>
            <w:pPr>
              <w:spacing w:line="240" w:lineRule="auto"/>
              <w:jc w:val="center"/>
            </w:pPr>
            <w:r/>
            <w:r>
              <w:rPr>
                <w:rFonts w:ascii="휴먼명조" w:eastAsia="휴먼명조" w:hAnsi="휴먼명조" w:cs="휴먼명조"/>
                <w:b w:val="0"/>
                <w:sz w:val="18"/>
                <w:w w:val="97"/>
              </w:rPr>
              <w:t>83.12</w:t>
            </w:r>
          </w:p>
        </w:tc>
        <w:tc>
          <w:tcPr>
            <w:tcW w:type="dxa" w:w="1240"/>
          </w:tcPr>
          <w:p>
            <w:pPr>
              <w:spacing w:line="240" w:lineRule="auto"/>
              <w:jc w:val="center"/>
            </w:pPr>
            <w:r/>
            <w:r>
              <w:rPr>
                <w:rFonts w:ascii="휴먼명조" w:eastAsia="휴먼명조" w:hAnsi="휴먼명조" w:cs="휴먼명조"/>
                <w:b/>
                <w:sz w:val="18"/>
                <w:w w:val="97"/>
              </w:rPr>
              <w:t>85.26</w:t>
            </w:r>
          </w:p>
        </w:tc>
        <w:tc>
          <w:tcPr>
            <w:tcW w:type="dxa" w:w="1240"/>
          </w:tcPr>
          <w:p>
            <w:pPr>
              <w:spacing w:line="240" w:lineRule="auto"/>
              <w:jc w:val="center"/>
            </w:pPr>
            <w:r/>
            <w:r>
              <w:rPr>
                <w:rFonts w:ascii="휴먼명조" w:eastAsia="휴먼명조" w:hAnsi="휴먼명조" w:cs="휴먼명조"/>
                <w:b w:val="0"/>
                <w:sz w:val="18"/>
                <w:w w:val="97"/>
              </w:rPr>
              <w:t>72.91</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 xml:space="preserve">The LLaVA and LLaVA-Med figures are quoted from Table 4(a) of the original paper. The figures for this study are closed_acc for the Phase 2 main conditions (mean of 3 seeds). </w:t>
      </w:r>
      <w:r>
        <w:rPr>
          <w:rFonts w:ascii="휴먼명조" w:eastAsia="휴먼명조" w:hAnsi="휴먼명조" w:cs="휴먼명조"/>
          <w:b/>
          <w:sz w:val="20"/>
          <w:w w:val="97"/>
        </w:rPr>
        <w:t>Open-ended figures are excluded from the table because the measures differ</w:t>
      </w:r>
      <w:r>
        <w:rPr>
          <w:rFonts w:ascii="휴먼명조" w:eastAsia="휴먼명조" w:hAnsi="휴먼명조" w:cs="휴먼명조"/>
          <w:b w:val="0"/>
          <w:sz w:val="20"/>
          <w:w w:val="97"/>
        </w:rPr>
        <w:t xml:space="preserve"> (for reference, LLaVA-Med's open figures are PathVQA 37.95 / SLAKE 83.08 / VQA-RAD 61.52 on a token-recall basis, while this study's are 17.15 / 66.95 / 26.00 on a BERTScore-threshold basis).</w:t>
      </w:r>
    </w:p>
    <w:p>
      <w:pPr>
        <w:spacing w:line="384" w:lineRule="auto" w:after="0"/>
        <w:ind w:firstLine="220"/>
        <w:jc w:val="both"/>
      </w:pPr>
      <w:r>
        <w:rPr>
          <w:rFonts w:ascii="휴먼명조" w:eastAsia="휴먼명조" w:hAnsi="휴먼명조" w:cs="휴먼명조"/>
          <w:b w:val="0"/>
          <w:sz w:val="22"/>
          <w:w w:val="97"/>
        </w:rPr>
        <w:t xml:space="preserve">The most noteworthy result is that </w:t>
      </w:r>
      <w:r>
        <w:rPr>
          <w:rFonts w:ascii="휴먼명조" w:eastAsia="휴먼명조" w:hAnsi="휴먼명조" w:cs="휴먼명조"/>
          <w:b/>
          <w:sz w:val="22"/>
          <w:w w:val="97"/>
        </w:rPr>
        <w:t>on SLAKE a 2B model reached practically the same closed accuracy as a 7B medical-specialized model</w:t>
      </w:r>
      <w:r>
        <w:rPr>
          <w:rFonts w:ascii="휴먼명조" w:eastAsia="휴먼명조" w:hAnsi="휴먼명조" w:cs="휴먼명조"/>
          <w:b w:val="0"/>
          <w:sz w:val="22"/>
          <w:w w:val="97"/>
        </w:rPr>
        <w:t xml:space="preserve"> (85.26 vs 85.34). LLaVA-Med was pretrained on a biomedical corpus of PubMed Central scale and then fine-tuned per dataset, whereas this study performed only QLoRA fine-tuning on a consumer-grade GPU without large-scale domain pretraining. Since all three models greatly exceed general-purpose LLaVA without domain training (63.22), this suggests that </w:t>
      </w:r>
      <w:r>
        <w:rPr>
          <w:rFonts w:ascii="휴먼명조" w:eastAsia="휴먼명조" w:hAnsi="휴먼명조" w:cs="휴먼명조"/>
          <w:b/>
          <w:sz w:val="22"/>
          <w:w w:val="97"/>
        </w:rPr>
        <w:t>for tasks at the level of SLAKE, the advantage of large-scale domain pretraining can be substantially offset by QLoRA adaptation alone</w:t>
      </w:r>
      <w:r>
        <w:rPr>
          <w:rFonts w:ascii="휴먼명조" w:eastAsia="휴먼명조" w:hAnsi="휴먼명조" w:cs="휴먼명조"/>
          <w:b w:val="0"/>
          <w:sz w:val="22"/>
          <w:w w:val="97"/>
        </w:rPr>
        <w:t>.</w:t>
      </w:r>
    </w:p>
    <w:p>
      <w:pPr>
        <w:spacing w:line="384" w:lineRule="auto" w:after="0"/>
        <w:ind w:firstLine="220"/>
        <w:jc w:val="both"/>
      </w:pPr>
      <w:r>
        <w:rPr>
          <w:rFonts w:ascii="휴먼명조" w:eastAsia="휴먼명조" w:hAnsi="휴먼명조" w:cs="휴먼명조"/>
          <w:b w:val="0"/>
          <w:sz w:val="22"/>
          <w:w w:val="97"/>
        </w:rPr>
        <w:t xml:space="preserve">On PathVQA (83.12 vs 91.21) and VQA-RAD (72.91 vs 84.19), by contrast, a gap of 8-11%p remains. Given the character of the two datasets this gap is unsurprising: PathVQA is a highly specialized imaging domain of pathology tissue, and VQA-RAD has only 451 items, which disadvantages small-scale fine-tuning. In other words, </w:t>
      </w:r>
      <w:r>
        <w:rPr>
          <w:rFonts w:ascii="휴먼명조" w:eastAsia="휴먼명조" w:hAnsi="휴먼명조" w:cs="휴먼명조"/>
          <w:b/>
          <w:sz w:val="22"/>
          <w:w w:val="97"/>
        </w:rPr>
        <w:t>the advantage of large-scale domain pretraining remains clearly visible in proportion to the specialization of the task.</w:t>
      </w:r>
    </w:p>
    <w:p>
      <w:pPr>
        <w:spacing w:line="384" w:lineRule="auto" w:after="0"/>
        <w:ind w:firstLine="220"/>
        <w:jc w:val="both"/>
      </w:pPr>
      <w:r>
        <w:rPr>
          <w:rFonts w:ascii="휴먼명조" w:eastAsia="휴먼명조" w:hAnsi="휴먼명조" w:cs="휴먼명조"/>
          <w:b w:val="0"/>
          <w:sz w:val="22"/>
          <w:w w:val="97"/>
        </w:rPr>
        <w:t>This comparison carries the following constraints, so its conclusions must not be over-extended. (1) The figures for this study are means over three seeds, whereas LLaVA-Med reports a single run. (2) The training budgets differ greatly (this study applies a max_steps=500 ceiling). (3) The figures are quoted from a published paper rather than reproduced with identical code in an identical environment, so unreported differences in preprocessing, prompting, and so on may exist. Direct reproduction under an identical protocol remains future work (Section 5.3(2)).</w:t>
      </w:r>
    </w:p>
    <w:p>
      <w:pPr>
        <w:spacing w:line="384" w:lineRule="auto" w:after="0"/>
        <w:jc w:val="left"/>
        <w:outlineLvl w:val="2"/>
      </w:pPr>
      <w:r>
        <w:rPr>
          <w:rFonts w:ascii="휴먼명조" w:eastAsia="휴먼명조" w:hAnsi="휴먼명조" w:cs="휴먼명조"/>
          <w:b/>
          <w:sz w:val="22"/>
          <w:w w:val="97"/>
        </w:rPr>
        <w:t>4.4.7 Methodological Discussion: The Unit of Aggregation Changes the Conclusion</w:t>
      </w:r>
    </w:p>
    <w:p>
      <w:pPr>
        <w:spacing w:line="384" w:lineRule="auto" w:after="0"/>
        <w:ind w:firstLine="220"/>
        <w:jc w:val="both"/>
      </w:pPr>
      <w:r>
        <w:rPr>
          <w:rFonts w:ascii="휴먼명조" w:eastAsia="휴먼명조" w:hAnsi="휴먼명조" w:cs="휴먼명조"/>
          <w:b w:val="0"/>
          <w:sz w:val="22"/>
          <w:w w:val="97"/>
        </w:rPr>
        <w:t xml:space="preserve">On two separate occasions in this study, at different junctures, </w:t>
      </w:r>
      <w:r>
        <w:rPr>
          <w:rFonts w:ascii="휴먼명조" w:eastAsia="휴먼명조" w:hAnsi="휴먼명조" w:cs="휴먼명조"/>
          <w:b/>
          <w:sz w:val="22"/>
          <w:w w:val="97"/>
        </w:rPr>
        <w:t>the choice of aggregation unit reversed the conclusion itself</w:t>
      </w:r>
      <w:r>
        <w:rPr>
          <w:rFonts w:ascii="휴먼명조" w:eastAsia="휴먼명조" w:hAnsi="휴먼명조" w:cs="휴먼명조"/>
          <w:b w:val="0"/>
          <w:sz w:val="22"/>
          <w:w w:val="97"/>
        </w:rPr>
        <w:t>. This is not incidental to the interpretation of results but an observation worth recording independently.</w:t>
      </w:r>
    </w:p>
    <w:p>
      <w:pPr>
        <w:spacing w:line="384" w:lineRule="auto" w:after="0"/>
        <w:ind w:firstLine="220"/>
        <w:jc w:val="both"/>
      </w:pPr>
      <w:r>
        <w:rPr>
          <w:rFonts w:ascii="휴먼명조" w:eastAsia="휴먼명조" w:hAnsi="휴먼명조" w:cs="휴먼명조"/>
          <w:b/>
          <w:sz w:val="22"/>
          <w:w w:val="97"/>
        </w:rPr>
        <w:t>(1) Whether to pool models — Phase 2.</w:t>
      </w:r>
      <w:r>
        <w:rPr>
          <w:rFonts w:ascii="휴먼명조" w:eastAsia="휴먼명조" w:hAnsi="휴먼명조" w:cs="휴먼명조"/>
          <w:b w:val="0"/>
          <w:sz w:val="22"/>
          <w:w w:val="97"/>
        </w:rPr>
        <w:t xml:space="preserve"> A Mixed-Effects Model pooling the four models reported that the fine-tuning effect was not significant (p = .3629). This was not because there was no effect but because </w:t>
      </w:r>
      <w:r>
        <w:rPr>
          <w:rFonts w:ascii="휴먼명조" w:eastAsia="휴먼명조" w:hAnsi="휴먼명조" w:cs="휴먼명조"/>
          <w:b/>
          <w:sz w:val="22"/>
          <w:w w:val="97"/>
        </w:rPr>
        <w:t>effects in opposite directions across models cancelled in the pooled mean</w:t>
      </w:r>
      <w:r>
        <w:rPr>
          <w:rFonts w:ascii="휴먼명조" w:eastAsia="휴먼명조" w:hAnsi="휴먼명조" w:cs="휴먼명조"/>
          <w:b w:val="0"/>
          <w:sz w:val="22"/>
          <w:w w:val="97"/>
        </w:rPr>
        <w:t xml:space="preserve"> (Section 4.2.1). Decomposed by model, three of the four show significant effects, two of them negative. Where heterogeneous effects are expected, reporting only the pooled estimate leads to the erroneous conclusion of "no effect."</w:t>
      </w:r>
    </w:p>
    <w:p>
      <w:pPr>
        <w:spacing w:line="384" w:lineRule="auto" w:after="0"/>
        <w:ind w:firstLine="220"/>
        <w:jc w:val="both"/>
      </w:pPr>
      <w:r>
        <w:rPr>
          <w:rFonts w:ascii="휴먼명조" w:eastAsia="휴먼명조" w:hAnsi="휴먼명조" w:cs="휴먼명조"/>
          <w:b/>
          <w:sz w:val="22"/>
          <w:w w:val="97"/>
        </w:rPr>
        <w:t>(2) Whether to treat trials as independent observations — Phase 3.</w:t>
      </w:r>
      <w:r>
        <w:rPr>
          <w:rFonts w:ascii="휴먼명조" w:eastAsia="휴먼명조" w:hAnsi="휴먼명조" w:cs="휴먼명조"/>
          <w:b w:val="0"/>
          <w:sz w:val="22"/>
          <w:w w:val="97"/>
        </w:rPr>
        <w:t xml:space="preserve"> Sequential optimization strategies induce dependence among trials within a run, so trial-level testing is invalid (Section 3.7). The two units in fact present opposite pictures: the trial-level mean is higher for Autoresearch (0.3980) than for Optuna (0.3905), yet the run-level best is significantly higher for Optuna (0.4490) than for Autoresearch (0.4184) (Section 4.3.3). Had the test been conducted at the trial level, the opposite conclusion would have been reached.</w:t>
      </w:r>
    </w:p>
    <w:p>
      <w:pPr>
        <w:spacing w:line="384" w:lineRule="auto" w:after="0"/>
        <w:ind w:firstLine="220"/>
        <w:jc w:val="both"/>
      </w:pPr>
      <w:r>
        <w:rPr>
          <w:rFonts w:ascii="휴먼명조" w:eastAsia="휴먼명조" w:hAnsi="휴먼명조" w:cs="휴먼명조"/>
          <w:b w:val="0"/>
          <w:sz w:val="22"/>
          <w:w w:val="97"/>
        </w:rPr>
        <w:t xml:space="preserve">The observation in Section 4.3.4 further supports </w:t>
      </w:r>
      <w:r>
        <w:rPr>
          <w:rFonts w:ascii="휴먼명조" w:eastAsia="휴먼명조" w:hAnsi="휴먼명조" w:cs="휴먼명조"/>
          <w:b/>
          <w:sz w:val="22"/>
          <w:w w:val="97"/>
        </w:rPr>
        <w:t>the necessity of a repeated design</w:t>
      </w:r>
      <w:r>
        <w:rPr>
          <w:rFonts w:ascii="휴먼명조" w:eastAsia="휴먼명조" w:hAnsi="휴먼명조" w:cs="휴먼명조"/>
          <w:b w:val="0"/>
          <w:sz w:val="22"/>
          <w:w w:val="97"/>
        </w:rPr>
        <w:t xml:space="preserve"> directly. When an identical hyperparameter configuration was re-run, val_accuracy varied between 0.388 and 0.444, and this range (about 0.056) is </w:t>
      </w:r>
      <w:r>
        <w:rPr>
          <w:rFonts w:ascii="휴먼명조" w:eastAsia="휴먼명조" w:hAnsi="휴먼명조" w:cs="휴먼명조"/>
          <w:b/>
          <w:sz w:val="22"/>
          <w:w w:val="97"/>
        </w:rPr>
        <w:t>larger than the mean difference between strategies detected by this study</w:t>
      </w:r>
      <w:r>
        <w:rPr>
          <w:rFonts w:ascii="휴먼명조" w:eastAsia="휴먼명조" w:hAnsi="휴먼명조" w:cs="휴먼명조"/>
          <w:b w:val="0"/>
          <w:sz w:val="22"/>
          <w:w w:val="97"/>
        </w:rPr>
        <w:t xml:space="preserve"> (Optuna 0.4490 - Autoresearch 0.4184 = 0.031). Judging the relative merit of strategies from a single trial result is therefore impossible in principle, and this study's design of using 10 independent repeats as the unit of testing (Section 3.7) can be regarded as the minimum requirement given the scale of this noise.</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Chapter V. Conclusion</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5.1 Summary of Findings</w:t>
      </w:r>
    </w:p>
    <w:p>
      <w:pPr>
        <w:spacing w:line="384" w:lineRule="auto" w:after="0"/>
        <w:ind w:firstLine="220"/>
        <w:jc w:val="both"/>
      </w:pPr>
      <w:r>
        <w:rPr>
          <w:rFonts w:ascii="휴먼명조" w:eastAsia="휴먼명조" w:hAnsi="휴먼명조" w:cs="휴먼명조"/>
          <w:b w:val="0"/>
          <w:sz w:val="22"/>
          <w:w w:val="97"/>
        </w:rPr>
        <w:t>This study verified, through a three-stage experiment, the full process of adapting lightweight Vision-Language Models (2-3B) to the medical imaging VQA domain on consumer-grade GPUs. Zero-shot baselines (Phase 1), 75 QLoRA fine-tuning conditions (Phase 2), and a 610-trial comparison of hyperparameter search strategies (Phase 3) were conducted on four models (Qwen3-VL-2B, Qwen2.5-VL-3B, SmolVLM2-2.2B, Gemma4-E2B) and three public datasets (PathVQA, SLAKE, VQA-RAD). The results by research question are as follows.</w:t>
      </w:r>
    </w:p>
    <w:p>
      <w:pPr>
        <w:spacing w:line="384" w:lineRule="auto" w:after="0"/>
        <w:ind w:firstLine="220"/>
        <w:jc w:val="both"/>
      </w:pPr>
      <w:r>
        <w:rPr>
          <w:rFonts w:ascii="휴먼명조" w:eastAsia="휴먼명조" w:hAnsi="휴먼명조" w:cs="휴먼명조"/>
          <w:b/>
          <w:sz w:val="22"/>
          <w:w w:val="97"/>
        </w:rPr>
        <w:t>RQ1 — Do lightweight VLMs differ significantly across models in zero-shot performance?</w:t>
      </w:r>
    </w:p>
    <w:p>
      <w:pPr>
        <w:spacing w:line="384" w:lineRule="auto" w:after="0"/>
        <w:ind w:firstLine="220"/>
        <w:jc w:val="both"/>
      </w:pPr>
      <w:r>
        <w:rPr>
          <w:rFonts w:ascii="휴먼명조" w:eastAsia="휴먼명조" w:hAnsi="휴먼명조" w:cs="휴먼명조"/>
          <w:b w:val="0"/>
          <w:sz w:val="22"/>
          <w:w w:val="97"/>
        </w:rPr>
        <w:t>The null hypothesis was rejected. The correctness patterns of the four models differed significantly both on a pooled basis (n = 8,231) and in individual tests on all three datasets (Cochran's Q = 1904.28, df = 3, p &lt; .001). Qwen3-VL-2B achieved the highest pooled accuracy at 0.3843, though it was close enough to Qwen2.5-VL-3B to be statistically indistinguishable on some datasets, while Gemma4-E2B was significantly below all three other models. This ranking was preserved after removing samples suspected of pretraining exposure by Min-K% Probability, making it robust to data contamination (Section 4.1.1).</w:t>
      </w:r>
    </w:p>
    <w:p>
      <w:pPr>
        <w:spacing w:line="384" w:lineRule="auto" w:after="0"/>
        <w:ind w:firstLine="220"/>
        <w:jc w:val="both"/>
      </w:pPr>
      <w:r>
        <w:rPr>
          <w:rFonts w:ascii="휴먼명조" w:eastAsia="휴먼명조" w:hAnsi="휴먼명조" w:cs="휴먼명조"/>
          <w:b/>
          <w:sz w:val="22"/>
          <w:w w:val="97"/>
        </w:rPr>
        <w:t>RQ2 — Does QLoRA fine-tuning significantly improve performance?</w:t>
      </w:r>
    </w:p>
    <w:p>
      <w:pPr>
        <w:spacing w:line="384" w:lineRule="auto" w:after="0"/>
        <w:ind w:firstLine="220"/>
        <w:jc w:val="both"/>
      </w:pPr>
      <w:r>
        <w:rPr>
          <w:rFonts w:ascii="휴먼명조" w:eastAsia="휴먼명조" w:hAnsi="휴먼명조" w:cs="휴먼명조"/>
          <w:b w:val="0"/>
          <w:sz w:val="22"/>
          <w:w w:val="97"/>
        </w:rPr>
        <w:t xml:space="preserve">Whether the null hypothesis was rejected </w:t>
      </w:r>
      <w:r>
        <w:rPr>
          <w:rFonts w:ascii="휴먼명조" w:eastAsia="휴먼명조" w:hAnsi="휴먼명조" w:cs="휴먼명조"/>
          <w:b/>
          <w:sz w:val="22"/>
          <w:w w:val="97"/>
        </w:rPr>
        <w:t>depended on the model.</w:t>
      </w:r>
      <w:r>
        <w:rPr>
          <w:rFonts w:ascii="휴먼명조" w:eastAsia="휴먼명조" w:hAnsi="휴먼명조" w:cs="휴먼명조"/>
          <w:b w:val="0"/>
          <w:sz w:val="22"/>
          <w:w w:val="97"/>
        </w:rPr>
        <w:t xml:space="preserve"> Performance improved significantly for Qwen2.5-VL-3B (d = +2.646) and Qwen3-VL-2B (d = +1.620), whereas SmolVLM2-2.2B significantly deteriorated (d = -2.284) and Gemma4-E2B was not significant (d = -0.652). A Mixed-Effects Model pooling all four models reported no significant effect (p = .3629), but this reflects not the absence of an effect but </w:t>
      </w:r>
      <w:r>
        <w:rPr>
          <w:rFonts w:ascii="휴먼명조" w:eastAsia="휴먼명조" w:hAnsi="휴먼명조" w:cs="휴먼명조"/>
          <w:b/>
          <w:sz w:val="22"/>
          <w:w w:val="97"/>
        </w:rPr>
        <w:t>the cancellation of opposing model-level effects in the pooled mean</w:t>
      </w:r>
      <w:r>
        <w:rPr>
          <w:rFonts w:ascii="휴먼명조" w:eastAsia="휴먼명조" w:hAnsi="휴먼명조" w:cs="휴먼명조"/>
          <w:b w:val="0"/>
          <w:sz w:val="22"/>
          <w:w w:val="97"/>
        </w:rPr>
        <w:t xml:space="preserve"> (Section 4.2.1). The proposition "QLoRA fine-tuning improves medical VQA performance" therefore does not hold independently of the model.</w:t>
      </w:r>
    </w:p>
    <w:p>
      <w:pPr>
        <w:spacing w:line="384" w:lineRule="auto" w:after="0"/>
        <w:ind w:firstLine="220"/>
        <w:jc w:val="both"/>
      </w:pPr>
      <w:r>
        <w:rPr>
          <w:rFonts w:ascii="휴먼명조" w:eastAsia="휴먼명조" w:hAnsi="휴먼명조" w:cs="휴먼명조"/>
          <w:b/>
          <w:sz w:val="22"/>
          <w:w w:val="97"/>
        </w:rPr>
        <w:t>RQ3 — Does an LLM agent's autonomous search achieve performance competitive with Bayesian optimization while providing interpretable search rationales?</w:t>
      </w:r>
    </w:p>
    <w:p>
      <w:pPr>
        <w:spacing w:line="384" w:lineRule="auto" w:after="0"/>
        <w:ind w:firstLine="220"/>
        <w:jc w:val="both"/>
      </w:pPr>
      <w:r>
        <w:rPr>
          <w:rFonts w:ascii="휴먼명조" w:eastAsia="휴먼명조" w:hAnsi="휴먼명조" w:cs="휴먼명조"/>
          <w:b w:val="0"/>
          <w:sz w:val="22"/>
          <w:w w:val="97"/>
        </w:rPr>
        <w:t xml:space="preserve">The null hypothesis (Autoresearch = Optuna) was rejected, but </w:t>
      </w:r>
      <w:r>
        <w:rPr>
          <w:rFonts w:ascii="휴먼명조" w:eastAsia="휴먼명조" w:hAnsi="휴먼명조" w:cs="휴먼명조"/>
          <w:b/>
          <w:sz w:val="22"/>
          <w:w w:val="97"/>
        </w:rPr>
        <w:t>in the direction opposite to the one the hypothesis anticipated.</w:t>
      </w:r>
      <w:r>
        <w:rPr>
          <w:rFonts w:ascii="휴먼명조" w:eastAsia="휴먼명조" w:hAnsi="휴먼명조" w:cs="휴먼명조"/>
          <w:b w:val="0"/>
          <w:sz w:val="22"/>
          <w:w w:val="97"/>
        </w:rPr>
        <w:t xml:space="preserve"> In the run-level comparison, Optuna (0.4490) was significantly superior to Autoresearch (0.4184) (Mann-Whitney U = 16.00, p = .0112, r = -0.68), and Autoresearch was statistically indistinguishable even from Random Search (0.4186), its lower-bound reference. All three automated search strategies did, however, exceed the manual configuration (0.3776), confirming the validity of automated search itself.</w:t>
      </w:r>
    </w:p>
    <w:p>
      <w:pPr>
        <w:spacing w:line="384" w:lineRule="auto" w:after="0"/>
        <w:ind w:firstLine="220"/>
        <w:jc w:val="both"/>
      </w:pPr>
      <w:r>
        <w:rPr>
          <w:rFonts w:ascii="휴먼명조" w:eastAsia="휴먼명조" w:hAnsi="휴먼명조" w:cs="휴먼명조"/>
          <w:b w:val="0"/>
          <w:sz w:val="22"/>
          <w:w w:val="97"/>
        </w:rPr>
        <w:t xml:space="preserve">The second requirement of RQ3, </w:t>
      </w:r>
      <w:r>
        <w:rPr>
          <w:rFonts w:ascii="휴먼명조" w:eastAsia="휴먼명조" w:hAnsi="휴먼명조" w:cs="휴먼명조"/>
          <w:b/>
          <w:sz w:val="22"/>
          <w:w w:val="97"/>
        </w:rPr>
        <w:t>interpretable search rationales</w:t>
      </w:r>
      <w:r>
        <w:rPr>
          <w:rFonts w:ascii="휴먼명조" w:eastAsia="휴먼명조" w:hAnsi="휴먼명조" w:cs="휴먼명조"/>
          <w:b w:val="0"/>
          <w:sz w:val="22"/>
          <w:w w:val="97"/>
        </w:rPr>
        <w:t xml:space="preserve">, </w:t>
      </w:r>
      <w:r>
        <w:rPr>
          <w:rFonts w:ascii="휴먼명조" w:eastAsia="휴먼명조" w:hAnsi="휴먼명조" w:cs="휴먼명조"/>
          <w:b/>
          <w:sz w:val="22"/>
          <w:w w:val="97"/>
        </w:rPr>
        <w:t>was not adequately tested by this experimental design.</w:t>
      </w:r>
      <w:r>
        <w:rPr>
          <w:rFonts w:ascii="휴먼명조" w:eastAsia="휴먼명조" w:hAnsi="휴먼명조" w:cs="휴먼명조"/>
          <w:b w:val="0"/>
          <w:sz w:val="22"/>
          <w:w w:val="97"/>
        </w:rPr>
        <w:t xml:space="preserve"> Because the system prompt given to the agent (Appendix A) explicitly instructed it to "respond with only a JSON object, without explanation or other text," the production of natural-language rationales was never required in the first place. In practice, </w:t>
      </w:r>
      <w:r>
        <w:rPr>
          <w:rFonts w:ascii="휴먼명조" w:eastAsia="휴먼명조" w:hAnsi="휴먼명조" w:cs="휴먼명조"/>
          <w:b/>
          <w:sz w:val="22"/>
          <w:w w:val="97"/>
        </w:rPr>
        <w:t>147 of 200 trials (73.5%) returned only the hyperparameter JSON, and only 53 (26.5%) included any natural-language narrative.</w:t>
      </w:r>
      <w:r>
        <w:rPr>
          <w:rFonts w:ascii="휴먼명조" w:eastAsia="휴먼명조" w:hAnsi="휴먼명조" w:cs="휴먼명조"/>
          <w:b w:val="0"/>
          <w:sz w:val="22"/>
          <w:w w:val="97"/>
        </w:rPr>
        <w:t xml:space="preserve"> This study can therefore neither affirm nor deny the question of whether an LLM agent provides interpretable search rationales; this is </w:t>
      </w:r>
      <w:r>
        <w:rPr>
          <w:rFonts w:ascii="휴먼명조" w:eastAsia="휴먼명조" w:hAnsi="휴먼명조" w:cs="휴먼명조"/>
          <w:b/>
          <w:sz w:val="22"/>
          <w:w w:val="97"/>
        </w:rPr>
        <w:t>a design flaw rather than a result</w:t>
      </w:r>
      <w:r>
        <w:rPr>
          <w:rFonts w:ascii="휴먼명조" w:eastAsia="휴먼명조" w:hAnsi="휴먼명조" w:cs="휴먼명조"/>
          <w:b w:val="0"/>
          <w:sz w:val="22"/>
          <w:w w:val="97"/>
        </w:rPr>
        <w:t xml:space="preserve"> (Section 5.3(8)).</w:t>
      </w:r>
    </w:p>
    <w:p>
      <w:pPr>
        <w:spacing w:line="384" w:lineRule="auto" w:after="0"/>
        <w:ind w:firstLine="220"/>
        <w:jc w:val="both"/>
      </w:pPr>
      <w:r>
        <w:rPr>
          <w:rFonts w:ascii="휴먼명조" w:eastAsia="휴먼명조" w:hAnsi="휴먼명조" w:cs="휴먼명조"/>
          <w:b w:val="0"/>
          <w:sz w:val="22"/>
          <w:w w:val="97"/>
        </w:rPr>
        <w:t>Search quality itself was meanwhile poor. The agent attempted on average only 12.5 unique configurations out of 20 trials (Random and Optuna both achieved 20/20), and a pattern of early fixation with repeated proposal of identical configurations was observed across all 10 repeats (Section 4.3.4).</w:t>
      </w:r>
    </w:p>
    <w:p>
      <w:pPr>
        <w:spacing w:line="384" w:lineRule="auto" w:after="0"/>
        <w:jc w:val="left"/>
        <w:outlineLvl w:val="1"/>
      </w:pPr>
      <w:r>
        <w:rPr>
          <w:rFonts w:ascii="휴먼명조" w:eastAsia="휴먼명조" w:hAnsi="휴먼명조" w:cs="휴먼명조"/>
          <w:b/>
          <w:sz w:val="28"/>
          <w:w w:val="97"/>
        </w:rPr>
        <w:t>5.2 Contributions</w:t>
      </w:r>
    </w:p>
    <w:p>
      <w:pPr>
        <w:spacing w:line="384" w:lineRule="auto" w:after="0"/>
        <w:ind w:firstLine="220"/>
        <w:jc w:val="both"/>
      </w:pPr>
      <w:r>
        <w:rPr>
          <w:rFonts w:ascii="휴먼명조" w:eastAsia="휴먼명조" w:hAnsi="휴먼명조" w:cs="휴먼명조"/>
          <w:b w:val="0"/>
          <w:sz w:val="22"/>
          <w:w w:val="97"/>
        </w:rPr>
        <w:t>The contributions of this study are fourfold.</w:t>
      </w:r>
    </w:p>
    <w:p>
      <w:pPr>
        <w:spacing w:line="384" w:lineRule="auto" w:after="0"/>
        <w:ind w:firstLine="220"/>
        <w:jc w:val="both"/>
      </w:pPr>
      <w:r>
        <w:rPr>
          <w:rFonts w:ascii="휴먼명조" w:eastAsia="휴먼명조" w:hAnsi="휴먼명조" w:cs="휴먼명조"/>
          <w:b/>
          <w:sz w:val="22"/>
          <w:w w:val="97"/>
        </w:rPr>
        <w:t>First, it provides three-stage empirical data on medical-domain adaptation of lightweight VLMs.</w:t>
      </w:r>
      <w:r>
        <w:rPr>
          <w:rFonts w:ascii="휴먼명조" w:eastAsia="휴먼명조" w:hAnsi="휴먼명조" w:cs="휴먼명조"/>
          <w:b w:val="0"/>
          <w:sz w:val="22"/>
          <w:w w:val="97"/>
        </w:rPr>
        <w:t xml:space="preserve"> The full results of 12 zero-shot conditions, 75 fine-tuning conditions, and 610 hyperparameter search trials were measured and released under a single evaluation protocol. In particular, the finding that performance and resource consumption are not monotonically related — the best-performing model simultaneously has the lowest VRAM and fastest response (Section 4.4.2) — provides direct practical grounds for model selection in resource-constrained environments. The indirect comparison in Section 4.4.6 further shows that </w:t>
      </w:r>
      <w:r>
        <w:rPr>
          <w:rFonts w:ascii="휴먼명조" w:eastAsia="휴먼명조" w:hAnsi="휴먼명조" w:cs="휴먼명조"/>
          <w:b/>
          <w:sz w:val="22"/>
          <w:w w:val="97"/>
        </w:rPr>
        <w:t>on SLAKE closed-ended accuracy, QLoRA adaptation of a 2B model can reach parity with a 7B medical-specialized model (85.26 vs 85.34)</w:t>
      </w:r>
      <w:r>
        <w:rPr>
          <w:rFonts w:ascii="휴먼명조" w:eastAsia="휴먼명조" w:hAnsi="휴먼명조" w:cs="휴먼명조"/>
          <w:b w:val="0"/>
          <w:sz w:val="22"/>
          <w:w w:val="97"/>
        </w:rPr>
        <w:t>, while a gap of 8-11%p remains on PathVQA and VQA-RAD, confirming that the advantage of large-scale domain pretraining varies with the specialization of the task.</w:t>
      </w:r>
    </w:p>
    <w:p>
      <w:pPr>
        <w:spacing w:line="384" w:lineRule="auto" w:after="0"/>
        <w:ind w:firstLine="220"/>
        <w:jc w:val="both"/>
      </w:pPr>
      <w:r>
        <w:rPr>
          <w:rFonts w:ascii="휴먼명조" w:eastAsia="휴먼명조" w:hAnsi="휴먼명조" w:cs="휴먼명조"/>
          <w:b/>
          <w:sz w:val="22"/>
          <w:w w:val="97"/>
        </w:rPr>
        <w:t>Second, it quantifies the model-level heterogeneity of fine-tuning effects and demonstrates the pitfall of pooled analysis.</w:t>
      </w:r>
      <w:r>
        <w:rPr>
          <w:rFonts w:ascii="휴먼명조" w:eastAsia="휴먼명조" w:hAnsi="휴먼명조" w:cs="휴먼명조"/>
          <w:b w:val="0"/>
          <w:sz w:val="22"/>
          <w:w w:val="97"/>
        </w:rPr>
        <w:t xml:space="preserve"> Through triple verification per model, it shows both that an identical fine-tuning procedure can simultaneously produce large improvement and significant deterioration depending on the model, and that estimating these together leads to the misreading of "no effect" (Sections 4.2.1, 4.4.7).</w:t>
      </w:r>
    </w:p>
    <w:p>
      <w:pPr>
        <w:spacing w:line="384" w:lineRule="auto" w:after="0"/>
        <w:ind w:firstLine="220"/>
        <w:jc w:val="both"/>
      </w:pPr>
      <w:r>
        <w:rPr>
          <w:rFonts w:ascii="휴먼명조" w:eastAsia="휴먼명조" w:hAnsi="휴먼명조" w:cs="휴먼명조"/>
          <w:b/>
          <w:sz w:val="22"/>
          <w:w w:val="97"/>
        </w:rPr>
        <w:t>Third, it reports a negative result for LLM-based autonomous HPO together with its failure mechanism.</w:t>
      </w:r>
      <w:r>
        <w:rPr>
          <w:rFonts w:ascii="휴먼명조" w:eastAsia="휴먼명조" w:hAnsi="휴먼명조" w:cs="휴먼명조"/>
          <w:b w:val="0"/>
          <w:sz w:val="22"/>
          <w:w w:val="97"/>
        </w:rPr>
        <w:t xml:space="preserve"> More useful for subsequent design than the result that the autonomous agent fell short of existing techniques is the diagnosis that the cause was not inferior proposal quality but </w:t>
      </w:r>
      <w:r>
        <w:rPr>
          <w:rFonts w:ascii="휴먼명조" w:eastAsia="휴먼명조" w:hAnsi="휴먼명조" w:cs="휴먼명조"/>
          <w:b/>
          <w:sz w:val="22"/>
          <w:w w:val="97"/>
        </w:rPr>
        <w:t>a reduced effective search budget caused by duplicate proposals</w:t>
      </w:r>
      <w:r>
        <w:rPr>
          <w:rFonts w:ascii="휴먼명조" w:eastAsia="휴먼명조" w:hAnsi="휴먼명조" w:cs="휴먼명조"/>
          <w:b w:val="0"/>
          <w:sz w:val="22"/>
          <w:w w:val="97"/>
        </w:rPr>
        <w:t xml:space="preserve"> (12.5 of 20 unique configurations). The agent's trial-level mean performance was in fact the highest of the four strategies (Sections 4.3.3, 4.3.4).</w:t>
      </w:r>
    </w:p>
    <w:p>
      <w:pPr>
        <w:spacing w:line="384" w:lineRule="auto" w:after="0"/>
        <w:ind w:firstLine="220"/>
        <w:jc w:val="both"/>
      </w:pPr>
      <w:r>
        <w:rPr>
          <w:rFonts w:ascii="휴먼명조" w:eastAsia="휴먼명조" w:hAnsi="휴먼명조" w:cs="휴먼명조"/>
          <w:b/>
          <w:sz w:val="22"/>
          <w:w w:val="97"/>
        </w:rPr>
        <w:t>Fourth, it records two cases in which the choice of aggregation unit reversed the conclusion, together with the grounds for the judgement.</w:t>
      </w:r>
      <w:r>
        <w:rPr>
          <w:rFonts w:ascii="휴먼명조" w:eastAsia="휴먼명조" w:hAnsi="휴먼명조" w:cs="휴먼명조"/>
          <w:b w:val="0"/>
          <w:sz w:val="22"/>
          <w:w w:val="97"/>
        </w:rPr>
        <w:t xml:space="preserve"> At two junctures — whether to pool models (Phase 2) and whether to treat trials as independent observations (Phase 3) — opposite conclusions followed from the aggregation unit. In particular, the fact that the variation observed when repeating an identical configuration (about 0.056) exceeds the mean difference between strategies detected here (0.031) constitutes a quantitative counterexample to the practice of comparing techniques from single-run results (Section 4.4.7).</w:t>
      </w:r>
    </w:p>
    <w:p>
      <w:pPr>
        <w:spacing w:line="384" w:lineRule="auto" w:after="0"/>
        <w:jc w:val="left"/>
        <w:outlineLvl w:val="1"/>
      </w:pPr>
      <w:r>
        <w:rPr>
          <w:rFonts w:ascii="휴먼명조" w:eastAsia="휴먼명조" w:hAnsi="휴먼명조" w:cs="휴먼명조"/>
          <w:b/>
          <w:sz w:val="28"/>
          <w:w w:val="97"/>
        </w:rPr>
        <w:t>5.3 Limitations</w:t>
      </w:r>
    </w:p>
    <w:p>
      <w:pPr>
        <w:spacing w:line="384" w:lineRule="auto" w:after="0"/>
        <w:ind w:firstLine="220"/>
        <w:jc w:val="both"/>
      </w:pPr>
      <w:r>
        <w:rPr>
          <w:rFonts w:ascii="휴먼명조" w:eastAsia="휴먼명조" w:hAnsi="휴먼명조" w:cs="휴먼명조"/>
          <w:b/>
          <w:sz w:val="22"/>
          <w:w w:val="97"/>
        </w:rPr>
        <w:t>(1) Limits of contamination control.</w:t>
      </w:r>
      <w:r>
        <w:rPr>
          <w:rFonts w:ascii="휴먼명조" w:eastAsia="휴먼명조" w:hAnsi="휴먼명조" w:cs="휴먼명조"/>
          <w:b w:val="0"/>
          <w:sz w:val="22"/>
          <w:w w:val="97"/>
        </w:rPr>
        <w:t xml:space="preserve"> Because the target datasets were released before the pretraining cut-off of the models, pretraining data contamination is possible. This study identified samples suspected of exposure using Min-K% Probability (Shi et al., ICLR 2024) and confirmed the robustness of its conclusions on a reduced set with those samples removed (Section 4.1.1); Min-K% is, however, only an indirect indicator, and complete control or precise quantification of contamination is not possible.</w:t>
      </w:r>
    </w:p>
    <w:p>
      <w:pPr>
        <w:spacing w:line="384" w:lineRule="auto" w:after="0"/>
        <w:ind w:firstLine="220"/>
        <w:jc w:val="both"/>
      </w:pPr>
      <w:r>
        <w:rPr>
          <w:rFonts w:ascii="휴먼명조" w:eastAsia="휴먼명조" w:hAnsi="휴먼명조" w:cs="휴먼명조"/>
          <w:b/>
          <w:sz w:val="22"/>
          <w:w w:val="97"/>
        </w:rPr>
        <w:t>(2) Absence of direct comparison with medical-specialized VLMs.</w:t>
      </w:r>
      <w:r>
        <w:rPr>
          <w:rFonts w:ascii="휴먼명조" w:eastAsia="휴먼명조" w:hAnsi="휴먼명조" w:cs="휴먼명조"/>
          <w:b w:val="0"/>
          <w:sz w:val="22"/>
          <w:w w:val="97"/>
        </w:rPr>
        <w:t xml:space="preserve"> Medical-specialized VLMs such as LLaVA-Med, Med-Flamingo, and CheXagent were not reproduced and compared directly in this study's environment (Section 2.5). Table 4.4 in Section 4.4.6 is an indirect comparison quoting figures that LLaVA-Med reports on </w:t>
      </w:r>
      <w:r>
        <w:rPr>
          <w:rFonts w:ascii="휴먼명조" w:eastAsia="휴먼명조" w:hAnsi="휴먼명조" w:cs="휴먼명조"/>
          <w:b/>
          <w:sz w:val="22"/>
          <w:w w:val="97"/>
        </w:rPr>
        <w:t>the standard test splits of the same three datasets</w:t>
      </w:r>
      <w:r>
        <w:rPr>
          <w:rFonts w:ascii="휴먼명조" w:eastAsia="휴먼명조" w:hAnsi="휴먼명조" w:cs="휴먼명조"/>
          <w:b w:val="0"/>
          <w:sz w:val="22"/>
          <w:w w:val="97"/>
        </w:rPr>
        <w:t xml:space="preserve">, and it carries three constraints. First, </w:t>
      </w:r>
      <w:r>
        <w:rPr>
          <w:rFonts w:ascii="휴먼명조" w:eastAsia="휴먼명조" w:hAnsi="휴먼명조" w:cs="휴먼명조"/>
          <w:b/>
          <w:sz w:val="22"/>
          <w:w w:val="97"/>
        </w:rPr>
        <w:t>comparison holds only for closed-ended metrics, where the scoring criteria coincide</w:t>
      </w:r>
      <w:r>
        <w:rPr>
          <w:rFonts w:ascii="휴먼명조" w:eastAsia="휴먼명조" w:hAnsi="휴먼명조" w:cs="휴먼명조"/>
          <w:b w:val="0"/>
          <w:sz w:val="22"/>
          <w:w w:val="97"/>
        </w:rPr>
        <w:t xml:space="preserve"> — for open-ended metrics LLaVA-Med uses the proportion of responses containing the gold token (recall) while this study uses a BERTScore F1 threshold, so the measures differ fundamentally. Second, this study's figures are means over three seeds whereas the quoted figures are single-run reports, and the training budgets differ greatly. Third, because the figures were not reproduced with identical code in an identical environment, unreported differences in preprocessing, prompting, and so on remain. Med-Flamingo and CheXagent were excluded from the table because they do not provide figures on these three datasets under the same protocol. Direct reproduction under an identical protocol remains future work.</w:t>
      </w:r>
    </w:p>
    <w:p>
      <w:pPr>
        <w:spacing w:line="384" w:lineRule="auto" w:after="0"/>
        <w:ind w:firstLine="220"/>
        <w:jc w:val="both"/>
      </w:pPr>
      <w:r>
        <w:rPr>
          <w:rFonts w:ascii="휴먼명조" w:eastAsia="휴먼명조" w:hAnsi="휴먼명조" w:cs="휴먼명조"/>
          <w:b/>
          <w:sz w:val="22"/>
          <w:w w:val="97"/>
        </w:rPr>
        <w:t>(3) Confounding of effective training volume in Phase 3.</w:t>
      </w:r>
      <w:r>
        <w:rPr>
          <w:rFonts w:ascii="휴먼명조" w:eastAsia="휴먼명조" w:hAnsi="휴먼명조" w:cs="휴먼명조"/>
          <w:b w:val="0"/>
          <w:sz w:val="22"/>
          <w:w w:val="97"/>
        </w:rPr>
        <w:t xml:space="preserve"> Phase 3 sought to control training volume by fixing max_steps=200 for all trials, but </w:t>
      </w:r>
      <w:r>
        <w:rPr>
          <w:rFonts w:ascii="휴먼명조" w:eastAsia="휴먼명조" w:hAnsi="휴먼명조" w:cs="휴먼명조"/>
          <w:b/>
          <w:sz w:val="22"/>
          <w:w w:val="97"/>
        </w:rPr>
        <w:t>fixing the number of steps did not fix the number of training samples actually seen.</w:t>
      </w:r>
      <w:r>
        <w:rPr>
          <w:rFonts w:ascii="휴먼명조" w:eastAsia="휴먼명조" w:hAnsi="휴먼명조" w:cs="휴먼명조"/>
          <w:b w:val="0"/>
          <w:sz w:val="22"/>
          <w:w w:val="97"/>
        </w:rPr>
        <w:t xml:space="preserve"> Because the search space includes batch_size (1/2/4) and grad_accum_steps (4/8/16), the effective number of training samples (= batch × grad_accum × max_steps) ranged from 800 to 12,800, </w:t>
      </w:r>
      <w:r>
        <w:rPr>
          <w:rFonts w:ascii="휴먼명조" w:eastAsia="휴먼명조" w:hAnsi="휴먼명조" w:cs="휴먼명조"/>
          <w:b/>
          <w:sz w:val="22"/>
          <w:w w:val="97"/>
        </w:rPr>
        <w:t>a factor of about 16</w:t>
      </w:r>
      <w:r>
        <w:rPr>
          <w:rFonts w:ascii="휴먼명조" w:eastAsia="휴먼명조" w:hAnsi="휴먼명조" w:cs="휴먼명조"/>
          <w:b w:val="0"/>
          <w:sz w:val="22"/>
          <w:w w:val="97"/>
        </w:rPr>
        <w:t>. The strategy comparison in Section 4.3 therefore mixes differences in effective training volume with hyperparameter quality. In particular, the inferiority of Manual, which used a fixed configuration (batch 1 × grad_accum 8 → 1,600 samples), may partly reflect a training-volume disadvantage. The best configurations of Optuna and Autoresearch were, however, both batch 4 × grad_accum 16 (12,800 samples), so the difference between these two strategies — the comparison central to RQ3 — is not explained by this confound. Since results.tsv records batch_size, grad_accum_steps, and max_steps for every trial, effective training volume can be computed post hoc, though the value itself was not reported as a column.</w:t>
      </w:r>
    </w:p>
    <w:p>
      <w:pPr>
        <w:spacing w:line="384" w:lineRule="auto" w:after="0"/>
        <w:ind w:firstLine="220"/>
        <w:jc w:val="both"/>
      </w:pPr>
      <w:r>
        <w:rPr>
          <w:rFonts w:ascii="휴먼명조" w:eastAsia="휴먼명조" w:hAnsi="휴먼명조" w:cs="휴먼명조"/>
          <w:b/>
          <w:sz w:val="22"/>
          <w:w w:val="97"/>
        </w:rPr>
        <w:t>(4) Non-determinism of the LLM agent.</w:t>
      </w:r>
      <w:r>
        <w:rPr>
          <w:rFonts w:ascii="휴먼명조" w:eastAsia="휴먼명조" w:hAnsi="휴먼명조" w:cs="휴먼명조"/>
          <w:b w:val="0"/>
          <w:sz w:val="22"/>
          <w:w w:val="97"/>
        </w:rPr>
        <w:t xml:space="preserve"> Because Autoresearch depends on an external LLM API, complete reproducibility is not guaranteed. This study fixed temperature = 0 (verified in the records of all trials) and absorbed variability through 10 independent repeats, but the possibility of results changing due to model updates on the API side lies outside its control.</w:t>
      </w:r>
    </w:p>
    <w:p>
      <w:pPr>
        <w:spacing w:line="384" w:lineRule="auto" w:after="0"/>
        <w:ind w:firstLine="220"/>
        <w:jc w:val="both"/>
      </w:pPr>
      <w:r>
        <w:rPr>
          <w:rFonts w:ascii="휴먼명조" w:eastAsia="휴먼명조" w:hAnsi="휴먼명조" w:cs="휴먼명조"/>
          <w:b/>
          <w:sz w:val="22"/>
          <w:w w:val="97"/>
        </w:rPr>
        <w:t>(5) Limited generalizability of the ablation results.</w:t>
      </w:r>
      <w:r>
        <w:rPr>
          <w:rFonts w:ascii="휴먼명조" w:eastAsia="휴먼명조" w:hAnsi="휴먼명조" w:cs="휴먼명조"/>
          <w:b w:val="0"/>
          <w:sz w:val="22"/>
          <w:w w:val="97"/>
        </w:rPr>
        <w:t xml:space="preserve"> Ablations A, B, and C in Phase 2 were all conducted under the single condition of PathVQA and Qwen3-VL-2B (Sections 4.2.2-4.2.4). The supplementary rank verification on SLAKE planned at the design stage </w:t>
      </w:r>
      <w:r>
        <w:rPr>
          <w:rFonts w:ascii="휴먼명조" w:eastAsia="휴먼명조" w:hAnsi="휴먼명조" w:cs="휴먼명조"/>
          <w:b/>
          <w:sz w:val="22"/>
          <w:w w:val="97"/>
        </w:rPr>
        <w:t>could not be carried out</w:t>
      </w:r>
      <w:r>
        <w:rPr>
          <w:rFonts w:ascii="휴먼명조" w:eastAsia="휴먼명조" w:hAnsi="휴먼명조" w:cs="휴먼명조"/>
          <w:b w:val="0"/>
          <w:sz w:val="22"/>
          <w:w w:val="97"/>
        </w:rPr>
        <w:t xml:space="preserve"> because of GPU time constraints. Whether the conclusion rank = 64, target = all-linear, ratio = 1.0 extends to other datasets and models is therefore unverified. In addition, the three axes were each verified independently with the others fixed, and the simultaneous combination of the three optima was not separately verified (Section 4.2.4). That Phase 3's free search converged independently on the same region partially compensates for this limitation (Section 4.4.5).</w:t>
      </w:r>
    </w:p>
    <w:p>
      <w:pPr>
        <w:spacing w:line="384" w:lineRule="auto" w:after="0"/>
        <w:ind w:firstLine="220"/>
        <w:jc w:val="both"/>
      </w:pPr>
      <w:r>
        <w:rPr>
          <w:rFonts w:ascii="휴먼명조" w:eastAsia="휴먼명조" w:hAnsi="휴먼명조" w:cs="휴먼명조"/>
          <w:b/>
          <w:sz w:val="22"/>
          <w:w w:val="97"/>
        </w:rPr>
        <w:t>(6) Limits of statistical power.</w:t>
      </w:r>
      <w:r>
        <w:rPr>
          <w:rFonts w:ascii="휴먼명조" w:eastAsia="휴먼명조" w:hAnsi="휴먼명조" w:cs="휴먼명조"/>
          <w:b w:val="0"/>
          <w:sz w:val="22"/>
          <w:w w:val="97"/>
        </w:rPr>
        <w:t xml:space="preserve"> The test of the fine-tuning effect in Phase 2 has n = 9 (3 datasets × 3 seeds), and the run-level test in Phase 3 has n = 10 per strategy. Robustness was secured through triple verification (BCa bootstrap, mixed-effects, Wilcoxon) and a repeated run-level design, but the sample sizes themselves make the confidence intervals for effect sizes wide (for example, a Cohen's d 95% CI spanning [0.932, 3.153] in Section 4.2.1).</w:t>
      </w:r>
    </w:p>
    <w:p>
      <w:pPr>
        <w:spacing w:line="384" w:lineRule="auto" w:after="0"/>
        <w:ind w:firstLine="220"/>
        <w:jc w:val="both"/>
      </w:pPr>
      <w:r>
        <w:rPr>
          <w:rFonts w:ascii="휴먼명조" w:eastAsia="휴먼명조" w:hAnsi="휴먼명조" w:cs="휴먼명조"/>
          <w:b/>
          <w:sz w:val="22"/>
          <w:w w:val="97"/>
        </w:rPr>
        <w:t>(7) Indirectness of the clinical significance evaluation.</w:t>
      </w:r>
      <w:r>
        <w:rPr>
          <w:rFonts w:ascii="휴먼명조" w:eastAsia="휴먼명조" w:hAnsi="휴먼명조" w:cs="휴먼명조"/>
          <w:b w:val="0"/>
          <w:sz w:val="22"/>
          <w:w w:val="97"/>
        </w:rPr>
        <w:t xml:space="preserve"> The per-question-type weights of Weighted Clinical Accuracy (WCA) are a provisional scale assigned by the researcher without external clinical literature or expert consensus (Section 3.8.3) and cannot be interpreted as an absolute scale of clinical importance. Expected Calibration Error (ECE) could not be computed because the current evaluation pipeline does not store per-sample confidence. Moreover, since Phase 3 did not perform a decomposition by question type, the possibility raised in Section 4.4.4 — that accuracy gains were concentrated in types of low clinical value — remains an unverified interpretation.</w:t>
      </w:r>
    </w:p>
    <w:p>
      <w:pPr>
        <w:spacing w:line="384" w:lineRule="auto" w:after="0"/>
        <w:ind w:firstLine="220"/>
        <w:jc w:val="both"/>
      </w:pPr>
      <w:r>
        <w:rPr>
          <w:rFonts w:ascii="휴먼명조" w:eastAsia="휴먼명조" w:hAnsi="휴먼명조" w:cs="휴먼명조"/>
          <w:b/>
          <w:sz w:val="22"/>
          <w:w w:val="97"/>
        </w:rPr>
        <w:t>(8) Internal inconsistencies in the autonomous agent's configuration.</w:t>
      </w:r>
      <w:r>
        <w:rPr>
          <w:rFonts w:ascii="휴먼명조" w:eastAsia="휴먼명조" w:hAnsi="휴먼명조" w:cs="휴먼명조"/>
          <w:b w:val="0"/>
          <w:sz w:val="22"/>
          <w:w w:val="97"/>
        </w:rPr>
        <w:t xml:space="preserve"> The most serious limitation identified post hoc is that the Autoresearch condition contains the following three configuration inconsistencies. These are stated explicitly because they prevent the negative result of Section 4.3 from being generalized as an "intrinsic limitation of LLM agents."</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The prompt forbade the production of search rationales.</w:t>
      </w:r>
      <w:r>
        <w:rPr>
          <w:rFonts w:ascii="휴먼명조" w:eastAsia="휴먼명조" w:hAnsi="휴먼명조" w:cs="휴먼명조"/>
          <w:b w:val="0"/>
          <w:sz w:val="22"/>
          <w:w w:val="97"/>
        </w:rPr>
        <w:t xml:space="preserve"> The system prompt (Appendix A) instructs the agent to "respond with only a JSON object, without explanation, markdown, or other text." As a result, 73.5% of the 200 trials returned only JSON. The "interpretable search rationale" required by RQ3 was excluded by design before it could become an object of measurement.</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The search schedule conflicts with the actual budget.</w:t>
      </w:r>
      <w:r>
        <w:rPr>
          <w:rFonts w:ascii="휴먼명조" w:eastAsia="휴먼명조" w:hAnsi="휴먼명조" w:cs="휴먼명조"/>
          <w:b w:val="0"/>
          <w:sz w:val="22"/>
          <w:w w:val="97"/>
        </w:rPr>
        <w:t xml:space="preserve"> The prompt defines search stages by absolute trial number — early exploration 0-5, mid exploitation 5-20 ("take the best configuration and change only 1-2 parameters"), late refinement 20+. The actual budget, however, is 20 trials per repeat, so </w:t>
      </w:r>
      <w:r>
        <w:rPr>
          <w:rFonts w:ascii="휴먼명조" w:eastAsia="휴먼명조" w:hAnsi="휴먼명조" w:cs="휴먼명조"/>
          <w:b/>
          <w:sz w:val="22"/>
          <w:w w:val="97"/>
        </w:rPr>
        <w:t>the late refinement stage never triggered and roughly 75% of the budget was spent in the interval instructed to "vary only around the best configuration."</w:t>
      </w:r>
      <w:r>
        <w:rPr>
          <w:rFonts w:ascii="휴먼명조" w:eastAsia="휴먼명조" w:hAnsi="휴먼명조" w:cs="휴먼명조"/>
          <w:b w:val="0"/>
          <w:sz w:val="22"/>
          <w:w w:val="97"/>
        </w:rPr>
        <w:t xml:space="preserve"> The duplicate proposals observed in Section 4.3.4 (12.5 of 20 unique configurations) may therefore be the result of faithfully following this instruction rather than a failure of the agent's judgement. The stage-transition logic on the code side (src/autoresearch/agent.py) is based on progress ratios (0.25/0.75) and so adapts to the budget, but the prompt text does not, and the two diverge.</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Ineffective parameters were presented as search targets.</w:t>
      </w:r>
      <w:r>
        <w:rPr>
          <w:rFonts w:ascii="휴먼명조" w:eastAsia="휴먼명조" w:hAnsi="휴먼명조" w:cs="휴먼명조"/>
          <w:b w:val="0"/>
          <w:sz w:val="22"/>
          <w:w w:val="97"/>
        </w:rPr>
        <w:t xml:space="preserve"> The prompt includes epochs in the search space and even offers the guidance that "more epochs (3-5) help when data are limited," yet the implementation (src/autoresearch/agent.py) discards the proposed epochs and fixes max_steps=200. Cases appear in the actual logs where the agent diagnoses that "all trials have only 200 steps, so this looks like undertraining" or that "epochs were not changed" (Appendix B); these were accurate diagnoses, but the corresponding adjustment lever never worked in the first place.</w:t>
      </w:r>
    </w:p>
    <w:p>
      <w:pPr>
        <w:spacing w:line="384" w:lineRule="auto" w:after="0"/>
        <w:ind w:firstLine="220"/>
        <w:jc w:val="both"/>
      </w:pPr>
      <w:r>
        <w:rPr>
          <w:rFonts w:ascii="휴먼명조" w:eastAsia="휴먼명조" w:hAnsi="휴먼명조" w:cs="휴먼명조"/>
          <w:b w:val="0"/>
          <w:sz w:val="22"/>
          <w:w w:val="97"/>
        </w:rPr>
        <w:t xml:space="preserve">All three items apply only to the Autoresearch condition and not to the Random or Optuna conditions. The comparison in Section 4.3.1 must therefore be interpreted narrowly as </w:t>
      </w:r>
      <w:r>
        <w:rPr>
          <w:rFonts w:ascii="휴먼명조" w:eastAsia="휴먼명조" w:hAnsi="휴먼명조" w:cs="휴먼명조"/>
          <w:b/>
          <w:sz w:val="22"/>
          <w:w w:val="97"/>
        </w:rPr>
        <w:t>"a comparison between an agent operated with this prompt configuration and existing algorithms"</w:t>
      </w:r>
      <w:r>
        <w:rPr>
          <w:rFonts w:ascii="휴먼명조" w:eastAsia="휴먼명조" w:hAnsi="휴먼명조" w:cs="휴먼명조"/>
          <w:b w:val="0"/>
          <w:sz w:val="22"/>
          <w:w w:val="97"/>
        </w:rPr>
        <w:t xml:space="preserve"> rather than as "an algorithm comparison over an identical search space."</w:t>
      </w:r>
    </w:p>
    <w:p>
      <w:pPr>
        <w:spacing w:line="384" w:lineRule="auto" w:after="0"/>
        <w:ind w:firstLine="220"/>
        <w:jc w:val="both"/>
      </w:pPr>
      <w:r>
        <w:rPr>
          <w:rFonts w:ascii="휴먼명조" w:eastAsia="휴먼명조" w:hAnsi="휴먼명조" w:cs="휴먼명조"/>
          <w:b/>
          <w:sz w:val="22"/>
          <w:w w:val="97"/>
        </w:rPr>
        <w:t>(9) Absence of multiple-comparison correction.</w:t>
      </w:r>
      <w:r>
        <w:rPr>
          <w:rFonts w:ascii="휴먼명조" w:eastAsia="휴먼명조" w:hAnsi="휴먼명조" w:cs="휴먼명조"/>
          <w:b w:val="0"/>
          <w:sz w:val="22"/>
          <w:w w:val="97"/>
        </w:rPr>
        <w:t xml:space="preserve"> This study performed more than 20 statistical tests across Phase 1 (Cochran's Q + McNemar), Phase 2 (paired t-test, Wilcoxon, bootstrap, and mixed-effects in parallel), and Phase 3 (Kruskal-Wallis + Mann-Whitney). </w:t>
      </w:r>
      <w:r>
        <w:rPr>
          <w:rFonts w:ascii="휴먼명조" w:eastAsia="휴먼명조" w:hAnsi="휴먼명조" w:cs="휴먼명조"/>
          <w:b/>
          <w:sz w:val="22"/>
          <w:w w:val="97"/>
        </w:rPr>
        <w:t>Bonferroni correction was applied only to the McNemar post-hoc tests in Phase 1; no integrated multiple-comparison correction spanning the whole pipeline was applied.</w:t>
      </w:r>
      <w:r>
        <w:rPr>
          <w:rFonts w:ascii="휴먼명조" w:eastAsia="휴먼명조" w:hAnsi="휴먼명조" w:cs="휴먼명조"/>
          <w:b w:val="0"/>
          <w:sz w:val="22"/>
          <w:w w:val="97"/>
        </w:rPr>
        <w:t xml:space="preserve"> Applying a significance level of 0.05 independently to each test accumulates family-wise error rate and increases the risk of chance significance (Type I error), so individual p-values must be interpreted with this in mind. The principal conclusions of this study are, however, supported not by single p-values but by triple verification (Phase 2) or non-overlapping confidence intervals (Phase 3, Section 4.3.1), so the possibility that the absence of correction reverses a conclusion is limited. Pipeline-level FDR correction is left as future analytical work.</w:t>
      </w:r>
    </w:p>
    <w:p>
      <w:pPr>
        <w:spacing w:line="384" w:lineRule="auto" w:after="0"/>
        <w:ind w:firstLine="220"/>
        <w:jc w:val="both"/>
      </w:pPr>
      <w:r>
        <w:rPr>
          <w:rFonts w:ascii="휴먼명조" w:eastAsia="휴먼명조" w:hAnsi="휴먼명조" w:cs="휴먼명조"/>
          <w:b/>
          <w:sz w:val="22"/>
          <w:w w:val="97"/>
        </w:rPr>
        <w:t>(10) The nature of the cross-dataset results.</w:t>
      </w:r>
      <w:r>
        <w:rPr>
          <w:rFonts w:ascii="휴먼명조" w:eastAsia="휴먼명조" w:hAnsi="휴먼명조" w:cs="휴먼명조"/>
          <w:b w:val="0"/>
          <w:sz w:val="22"/>
          <w:w w:val="97"/>
        </w:rPr>
        <w:t xml:space="preserve"> The cross-dataset performance change in Section 4.2.5(B) is not catastrophic forgetting in the strict sense (the phenomenon of losing an ability possessed before fine-tuning). Because PathVQA (pathology tissue) and SLAKE/VQA-RAD (radiology) differ in image domain itself, this metric is closer to </w:t>
      </w:r>
      <w:r>
        <w:rPr>
          <w:rFonts w:ascii="휴먼명조" w:eastAsia="휴먼명조" w:hAnsi="휴먼명조" w:cs="휴먼명조"/>
          <w:b/>
          <w:sz w:val="22"/>
          <w:w w:val="97"/>
        </w:rPr>
        <w:t>a domain generalization gap predictable from domain specialization</w:t>
      </w:r>
      <w:r>
        <w:rPr>
          <w:rFonts w:ascii="휴먼명조" w:eastAsia="휴먼명조" w:hAnsi="휴먼명조" w:cs="휴먼명조"/>
          <w:b w:val="0"/>
          <w:sz w:val="22"/>
          <w:w w:val="97"/>
        </w:rPr>
        <w:t>. The thesis states this explicitly in Section 4.2.5, and strict determination of catastrophic forgetting is confined to interpretation of the (A) VQAv2 metric.</w:t>
      </w:r>
    </w:p>
    <w:p>
      <w:pPr>
        <w:spacing w:line="384" w:lineRule="auto" w:after="0"/>
        <w:ind w:firstLine="220"/>
        <w:jc w:val="both"/>
      </w:pPr>
      <w:r>
        <w:rPr>
          <w:rFonts w:ascii="휴먼명조" w:eastAsia="휴먼명조" w:hAnsi="휴먼명조" w:cs="휴먼명조"/>
          <w:b/>
          <w:sz w:val="22"/>
          <w:w w:val="97"/>
        </w:rPr>
        <w:t>(11) Architectural heterogeneity of Gemma4-E2B.</w:t>
      </w:r>
      <w:r>
        <w:rPr>
          <w:rFonts w:ascii="휴먼명조" w:eastAsia="휴먼명조" w:hAnsi="휴먼명조" w:cs="휴먼명조"/>
          <w:b w:val="0"/>
          <w:sz w:val="22"/>
          <w:w w:val="97"/>
        </w:rPr>
        <w:t xml:space="preserve"> Of the four models evaluated, </w:t>
      </w:r>
      <w:r>
        <w:rPr>
          <w:rFonts w:ascii="휴먼명조" w:eastAsia="휴먼명조" w:hAnsi="휴먼명조" w:cs="휴먼명조"/>
          <w:b/>
          <w:sz w:val="22"/>
          <w:w w:val="97"/>
        </w:rPr>
        <w:t>only Gemma4-E2B has a Mixture-of-Experts (MoE) structure</w:t>
      </w:r>
      <w:r>
        <w:rPr>
          <w:rFonts w:ascii="휴먼명조" w:eastAsia="휴먼명조" w:hAnsi="휴먼명조" w:cs="휴먼명조"/>
          <w:b w:val="0"/>
          <w:sz w:val="22"/>
          <w:w w:val="97"/>
        </w:rPr>
        <w:t xml:space="preserve">, activating 2.3B at inference while its stored parameters reach 5.1B (Section 3.3). The other three are dense structures whose active and total parameters coincide. Since this study's "lightweight VLM" selection criterion took </w:t>
      </w:r>
      <w:r>
        <w:rPr>
          <w:rFonts w:ascii="휴먼명조" w:eastAsia="휴먼명조" w:hAnsi="휴먼명조" w:cs="휴먼명조"/>
          <w:b/>
          <w:sz w:val="22"/>
          <w:w w:val="97"/>
        </w:rPr>
        <w:t>active parameters</w:t>
      </w:r>
      <w:r>
        <w:rPr>
          <w:rFonts w:ascii="휴먼명조" w:eastAsia="휴먼명조" w:hAnsi="휴먼명조" w:cs="휴먼명조"/>
          <w:b w:val="0"/>
          <w:sz w:val="22"/>
          <w:w w:val="97"/>
        </w:rPr>
        <w:t xml:space="preserve"> as its basis, in line with the research aim of consumer-GPU feasibility, the selection itself is consistent; but the discussion of the "non-monotonic relationship between scale and performance" in Section 4.4.2 </w:t>
      </w:r>
      <w:r>
        <w:rPr>
          <w:rFonts w:ascii="휴먼명조" w:eastAsia="휴먼명조" w:hAnsi="휴먼명조" w:cs="휴먼명조"/>
          <w:b/>
          <w:sz w:val="22"/>
          <w:w w:val="97"/>
        </w:rPr>
        <w:t>must not be extended into a scale comparison on a stored-parameter basis</w:t>
      </w:r>
      <w:r>
        <w:rPr>
          <w:rFonts w:ascii="휴먼명조" w:eastAsia="휴먼명조" w:hAnsi="휴먼명조" w:cs="휴먼명조"/>
          <w:b w:val="0"/>
          <w:sz w:val="22"/>
          <w:w w:val="97"/>
        </w:rPr>
        <w:t xml:space="preserve"> — by stored parameters Gemma4-E2B is the largest model, so its last-place performance may equally be read as "the largest stored scale ranked last." The conclusion of Section 4.4.2 (non-monotonicity with respect to active parameters and VRAM) holds, but the axis of interpretation must be stated.</w:t>
      </w:r>
    </w:p>
    <w:p>
      <w:pPr>
        <w:spacing w:line="384" w:lineRule="auto" w:after="0"/>
        <w:ind w:firstLine="220"/>
        <w:jc w:val="both"/>
      </w:pPr>
      <w:r>
        <w:rPr>
          <w:rFonts w:ascii="휴먼명조" w:eastAsia="휴먼명조" w:hAnsi="휴먼명조" w:cs="휴먼명조"/>
          <w:b/>
          <w:sz w:val="22"/>
          <w:w w:val="97"/>
        </w:rPr>
        <w:t>(12) Structural constraint of the training-budget ceiling (max_steps cap).</w:t>
      </w:r>
      <w:r>
        <w:rPr>
          <w:rFonts w:ascii="휴먼명조" w:eastAsia="휴먼명조" w:hAnsi="휴먼명조" w:cs="휴먼명조"/>
          <w:b w:val="0"/>
          <w:sz w:val="22"/>
          <w:w w:val="97"/>
        </w:rPr>
        <w:t xml:space="preserve"> Phase 2 applied a ceiling of max_steps=500 because of GPU time constraints (Section 3.6), which </w:t>
      </w:r>
      <w:r>
        <w:rPr>
          <w:rFonts w:ascii="휴먼명조" w:eastAsia="휴먼명조" w:hAnsi="휴먼명조" w:cs="휴먼명조"/>
          <w:b/>
          <w:sz w:val="22"/>
          <w:w w:val="97"/>
        </w:rPr>
        <w:t>fixes training volume regardless of dataset size</w:t>
      </w:r>
      <w:r>
        <w:rPr>
          <w:rFonts w:ascii="휴먼명조" w:eastAsia="휴먼명조" w:hAnsi="휴먼명조" w:cs="휴먼명조"/>
          <w:b w:val="0"/>
          <w:sz w:val="22"/>
          <w:w w:val="97"/>
        </w:rPr>
        <w:t>. Consequently the small VQA-RAD is trained for roughly 2 epochs or more while the large PathVQA does not reach 1 epoch. The dataset-level performance gaps observed in Sections 4.2 and 4.4.6 may therefore partly reflect this difference in effective training volume; in particular, the interpretation in Section 4.4.6 of the PathVQA and VQA-RAD gap in terms of "task specialization" cannot exclude the alternative explanation of differing training budgets. Full-epoch retraining per dataset is left as follow-up work.</w:t>
      </w:r>
    </w:p>
    <w:p>
      <w:pPr>
        <w:spacing w:line="384" w:lineRule="auto" w:after="0"/>
        <w:ind w:firstLine="220"/>
        <w:jc w:val="both"/>
      </w:pPr>
      <w:r>
        <w:rPr>
          <w:rFonts w:ascii="휴먼명조" w:eastAsia="휴먼명조" w:hAnsi="휴먼명조" w:cs="휴먼명조"/>
          <w:b/>
          <w:sz w:val="22"/>
          <w:w w:val="97"/>
        </w:rPr>
        <w:t>(13) Impact of the reduced Phase 3 search budget.</w:t>
      </w:r>
      <w:r>
        <w:rPr>
          <w:rFonts w:ascii="휴먼명조" w:eastAsia="휴먼명조" w:hAnsi="휴먼명조" w:cs="휴먼명조"/>
          <w:b w:val="0"/>
          <w:sz w:val="22"/>
          <w:w w:val="97"/>
        </w:rPr>
        <w:t xml:space="preserve"> As described in Section 3.7, the number of search trials per strategy was reduced from the original 40 to 20. Since the number of repeats (10), the unit of run-level testing, was preserved, the validity of the statistical tests is unaffected; however, </w:t>
      </w:r>
      <w:r>
        <w:rPr>
          <w:rFonts w:ascii="휴먼명조" w:eastAsia="휴먼명조" w:hAnsi="휴먼명조" w:cs="휴먼명조"/>
          <w:b/>
          <w:sz w:val="22"/>
          <w:w w:val="97"/>
        </w:rPr>
        <w:t>halving the number of hyperparameter combinations each strategy could explore may have led to an underestimate of attainable performance relative to the original design</w:t>
      </w:r>
      <w:r>
        <w:rPr>
          <w:rFonts w:ascii="휴먼명조" w:eastAsia="휴먼명조" w:hAnsi="휴먼명조" w:cs="휴먼명조"/>
          <w:b w:val="0"/>
          <w:sz w:val="22"/>
          <w:w w:val="97"/>
        </w:rPr>
        <w:t>. This impact is expected to be larger for sequential optimization strategies (Optuna, Autoresearch), and indeed a substantial number of Autoresearch runs were still improving when the budget was exhausted (Section 4.3.3).</w:t>
      </w:r>
    </w:p>
    <w:p>
      <w:pPr>
        <w:spacing w:line="384" w:lineRule="auto" w:after="0"/>
        <w:ind w:firstLine="220"/>
        <w:jc w:val="both"/>
      </w:pPr>
      <w:r>
        <w:rPr>
          <w:rFonts w:ascii="휴먼명조" w:eastAsia="휴먼명조" w:hAnsi="휴먼명조" w:cs="휴먼명조"/>
          <w:b/>
          <w:sz w:val="22"/>
          <w:w w:val="97"/>
        </w:rPr>
        <w:t>(14) Absence of verification on actual 16GB hardware.</w:t>
      </w:r>
      <w:r>
        <w:rPr>
          <w:rFonts w:ascii="휴먼명조" w:eastAsia="휴먼명조" w:hAnsi="휴먼명조" w:cs="휴먼명조"/>
          <w:b w:val="0"/>
          <w:sz w:val="22"/>
          <w:w w:val="97"/>
        </w:rPr>
        <w:t xml:space="preserve"> This study set out to demonstrate "domain adaptation on consumer-grade GPUs," yet all execution took place on 24GB cards (RTX 4090 for Phases 1-2, RTX 3090 for Phase 3; Section 3.2.1). Feasibility in the 16GB class was </w:t>
      </w:r>
      <w:r>
        <w:rPr>
          <w:rFonts w:ascii="휴먼명조" w:eastAsia="휴먼명조" w:hAnsi="휴먼명조" w:cs="휴먼명조"/>
          <w:b/>
          <w:sz w:val="22"/>
          <w:w w:val="97"/>
        </w:rPr>
        <w:t>inferred</w:t>
      </w:r>
      <w:r>
        <w:rPr>
          <w:rFonts w:ascii="휴먼명조" w:eastAsia="휴먼명조" w:hAnsi="휴먼명조" w:cs="휴먼명조"/>
          <w:b w:val="0"/>
          <w:sz w:val="22"/>
          <w:w w:val="97"/>
        </w:rPr>
        <w:t xml:space="preserve"> from the fact that measured peak VRAM (at most 14,373MB during Phase 2 training) falls within the 16GB limit; it was not verified by running directly on a 16GB card. In a real 16GB environment, usable VRAM is smaller than the nominal capacity because of the OS and display output, and fragmentation behaves differently, so an out-of-memory risk cannot be excluded for Gemma4-E2B in particular, whose headroom is under 2GB. The other three models (4,015-7,943MB) have ample margin. Reproduction on actual 16GB hardware is left as follow-up work.</w:t>
      </w:r>
    </w:p>
    <w:p>
      <w:pPr>
        <w:spacing w:line="384" w:lineRule="auto" w:after="0"/>
        <w:jc w:val="left"/>
        <w:outlineLvl w:val="1"/>
      </w:pPr>
      <w:r>
        <w:rPr>
          <w:rFonts w:ascii="휴먼명조" w:eastAsia="휴먼명조" w:hAnsi="휴먼명조" w:cs="휴먼명조"/>
          <w:b/>
          <w:sz w:val="28"/>
          <w:w w:val="97"/>
        </w:rPr>
        <w:t>5.4 Directions for Future Research</w:t>
      </w:r>
    </w:p>
    <w:p>
      <w:pPr>
        <w:spacing w:line="384" w:lineRule="auto" w:after="0"/>
        <w:ind w:firstLine="220"/>
        <w:jc w:val="both"/>
      </w:pPr>
      <w:r>
        <w:rPr>
          <w:rFonts w:ascii="휴먼명조" w:eastAsia="휴먼명조" w:hAnsi="휴먼명조" w:cs="휴먼명조"/>
          <w:b/>
          <w:sz w:val="22"/>
          <w:w w:val="97"/>
        </w:rPr>
        <w:t>First, autonomous HPO should be re-verified with an expanded search budget.</w:t>
      </w:r>
      <w:r>
        <w:rPr>
          <w:rFonts w:ascii="휴먼명조" w:eastAsia="휴먼명조" w:hAnsi="휴먼명조" w:cs="휴먼명조"/>
          <w:b w:val="0"/>
          <w:sz w:val="22"/>
          <w:w w:val="97"/>
        </w:rPr>
        <w:t xml:space="preserve"> For Autoresearch, the upper bound of the IQR for the trial at which the best performance was reached touches the budget ceiling (20), meaning that nearly half of the runs were still improving when the budget ran out (Section 4.3.3). Whether the gap against Optuna persists or reverses at a scale of 40-100 trials is a question this study cannot answer.</w:t>
      </w:r>
    </w:p>
    <w:p>
      <w:pPr>
        <w:spacing w:line="384" w:lineRule="auto" w:after="0"/>
        <w:ind w:firstLine="220"/>
        <w:jc w:val="both"/>
      </w:pPr>
      <w:r>
        <w:rPr>
          <w:rFonts w:ascii="휴먼명조" w:eastAsia="휴먼명조" w:hAnsi="휴먼명조" w:cs="휴먼명조"/>
          <w:b/>
          <w:sz w:val="22"/>
          <w:w w:val="97"/>
        </w:rPr>
        <w:t>Second, autonomous HPO should be re-evaluated with the configuration inconsistencies removed.</w:t>
      </w:r>
      <w:r>
        <w:rPr>
          <w:rFonts w:ascii="휴먼명조" w:eastAsia="휴먼명조" w:hAnsi="휴먼명조" w:cs="휴먼명조"/>
          <w:b w:val="0"/>
          <w:sz w:val="22"/>
          <w:w w:val="97"/>
        </w:rPr>
        <w:t xml:space="preserve"> The three inconsistencies identified in Section 5.3(8) — prohibition of rationale production, a search schedule keyed to absolute trial numbers, and exposure of an ineffective parameter (epochs) — are all matters of consistency between prompt and implementation and are therefore correctable. Only after they are corrected can a fair answer be obtained to the question of whether an LLM agent can compete with Bayesian optimization. It is also worth examining the introduction of an explicit constraint that avoids configurations already tried, together with a decision criterion that distinguishes stochastic variation across re-runs from genuine improvement (see the noise scale in Section 4.4.7). This study proposes such improvements without verifying them.</w:t>
      </w:r>
    </w:p>
    <w:p>
      <w:pPr>
        <w:spacing w:line="384" w:lineRule="auto" w:after="0"/>
        <w:ind w:firstLine="220"/>
        <w:jc w:val="both"/>
      </w:pPr>
      <w:r>
        <w:rPr>
          <w:rFonts w:ascii="휴먼명조" w:eastAsia="휴먼명조" w:hAnsi="휴먼명조" w:cs="휴먼명조"/>
          <w:b/>
          <w:sz w:val="22"/>
          <w:w w:val="97"/>
        </w:rPr>
        <w:t>Third, improving open-ended response performance is the most urgent task.</w:t>
      </w:r>
      <w:r>
        <w:rPr>
          <w:rFonts w:ascii="휴먼명조" w:eastAsia="휴먼명조" w:hAnsi="휴먼명조" w:cs="휴먼명조"/>
          <w:b w:val="0"/>
          <w:sz w:val="22"/>
          <w:w w:val="97"/>
        </w:rPr>
        <w:t xml:space="preserve"> Even with both fine-tuning and hyperparameter optimization applied, open accuracy did not exceed 20% of closed accuracy (Section 4.4.4), and the clinically important diagnosis and description types are concentrated there. Redesign of the training objective or evaluation metric to target generative responses themselves is required.</w:t>
      </w:r>
    </w:p>
    <w:p>
      <w:pPr>
        <w:spacing w:line="384" w:lineRule="auto" w:after="0"/>
        <w:ind w:firstLine="220"/>
        <w:jc w:val="both"/>
      </w:pPr>
      <w:r>
        <w:rPr>
          <w:rFonts w:ascii="휴먼명조" w:eastAsia="휴먼명조" w:hAnsi="휴먼명조" w:cs="휴먼명조"/>
          <w:b/>
          <w:sz w:val="22"/>
          <w:w w:val="97"/>
        </w:rPr>
        <w:t>Fourth, a re-experiment controlling effective training volume is needed.</w:t>
      </w:r>
      <w:r>
        <w:rPr>
          <w:rFonts w:ascii="휴먼명조" w:eastAsia="휴먼명조" w:hAnsi="휴먼명조" w:cs="휴먼명조"/>
          <w:b w:val="0"/>
          <w:sz w:val="22"/>
          <w:w w:val="97"/>
        </w:rPr>
        <w:t xml:space="preserve"> Eliminating the 16-fold difference identified in Section 5.3(3) requires fixing the total number of training samples instead of max_steps, or including effective training volume as a covariate in the analysis.</w:t>
      </w:r>
    </w:p>
    <w:p>
      <w:pPr>
        <w:spacing w:line="384" w:lineRule="auto" w:after="0"/>
        <w:ind w:firstLine="220"/>
        <w:jc w:val="both"/>
      </w:pPr>
      <w:r>
        <w:rPr>
          <w:rFonts w:ascii="휴먼명조" w:eastAsia="휴먼명조" w:hAnsi="휴먼명조" w:cs="휴먼명조"/>
          <w:b/>
          <w:sz w:val="22"/>
          <w:w w:val="97"/>
        </w:rPr>
        <w:t>Fifth, comparison with medical-specialized VLMs under an identical protocol and the establishment of a clinically validated evaluation scheme are needed.</w:t>
      </w:r>
      <w:r>
        <w:rPr>
          <w:rFonts w:ascii="휴먼명조" w:eastAsia="휴먼명조" w:hAnsi="휴먼명조" w:cs="휴먼명조"/>
          <w:b w:val="0"/>
          <w:sz w:val="22"/>
          <w:w w:val="97"/>
        </w:rPr>
        <w:t xml:space="preserve"> The absent comparison in Section 5.3(2) and the provisional WCA weights and uncomputed ECE in Section 5.3(7) are all items to be resolved in follow-up research.</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References</w:t>
      </w:r>
    </w:p>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This list contains only works actually cited in the text. The authors, venue, volume, pages, and DOI of each entry were verified in August 2026 against the original sources (arXiv abstract pages, official publisher pages, and PubMed bibliographic records).</w:t>
      </w:r>
    </w:p>
    <w:p>
      <w:pPr>
        <w:spacing w:line="384" w:lineRule="auto" w:after="0"/>
        <w:ind w:firstLine="220"/>
        <w:jc w:val="both"/>
      </w:pPr>
      <w:r>
        <w:rPr>
          <w:rFonts w:ascii="휴먼명조" w:eastAsia="휴먼명조" w:hAnsi="휴먼명조" w:cs="휴먼명조"/>
          <w:b/>
          <w:sz w:val="22"/>
          <w:w w:val="97"/>
        </w:rPr>
        <w:t>Parameter-Efficient Fine-Tuning</w:t>
      </w:r>
    </w:p>
    <w:p>
      <w:pPr>
        <w:spacing w:line="384" w:lineRule="auto" w:after="0"/>
        <w:ind w:firstLine="220"/>
        <w:jc w:val="both"/>
      </w:pPr>
      <w:r>
        <w:rPr>
          <w:rFonts w:ascii="휴먼명조" w:eastAsia="휴먼명조" w:hAnsi="휴먼명조" w:cs="휴먼명조"/>
          <w:b w:val="0"/>
          <w:sz w:val="22"/>
          <w:w w:val="97"/>
        </w:rPr>
        <w:t>1. Hu, E. J., Shen, Y., Wallis, P., Allen-Zhu, Z., Li, Y., Wang, S., Wang, L., &amp; Chen, W. "LoRA: Low-Rank Adaptation of Large Language Models." *International Conference on Learning Representations (ICLR)*, 2022. arXiv:2106.09685. (OpenReview: nZeVKeeFYf9)</w:t>
      </w:r>
    </w:p>
    <w:p>
      <w:pPr>
        <w:spacing w:line="384" w:lineRule="auto" w:after="0"/>
        <w:ind w:firstLine="220"/>
        <w:jc w:val="both"/>
      </w:pPr>
      <w:r>
        <w:rPr>
          <w:rFonts w:ascii="휴먼명조" w:eastAsia="휴먼명조" w:hAnsi="휴먼명조" w:cs="휴먼명조"/>
          <w:b w:val="0"/>
          <w:sz w:val="22"/>
          <w:w w:val="97"/>
        </w:rPr>
        <w:t>2. Dettmers, T., Pagnoni, A., Holtzman, A., &amp; Zettlemoyer, L. "QLoRA: Efficient Finetuning of Quantized LLMs." *Advances in Neural Information Processing Systems (NeurIPS)*, 2023 (Oral). arXiv:2305.14314.</w:t>
      </w:r>
    </w:p>
    <w:p>
      <w:pPr>
        <w:spacing w:line="384" w:lineRule="auto" w:after="0"/>
        <w:ind w:firstLine="220"/>
        <w:jc w:val="both"/>
      </w:pPr>
      <w:r>
        <w:rPr>
          <w:rFonts w:ascii="휴먼명조" w:eastAsia="휴먼명조" w:hAnsi="휴먼명조" w:cs="휴먼명조"/>
          <w:b/>
          <w:sz w:val="22"/>
          <w:w w:val="97"/>
        </w:rPr>
        <w:t>Vision-Language Models</w:t>
      </w:r>
    </w:p>
    <w:p>
      <w:pPr>
        <w:spacing w:line="384" w:lineRule="auto" w:after="0"/>
        <w:ind w:firstLine="220"/>
        <w:jc w:val="both"/>
      </w:pPr>
      <w:r>
        <w:rPr>
          <w:rFonts w:ascii="휴먼명조" w:eastAsia="휴먼명조" w:hAnsi="휴먼명조" w:cs="휴먼명조"/>
          <w:b w:val="0"/>
          <w:sz w:val="22"/>
          <w:w w:val="97"/>
        </w:rPr>
        <w:t>3. Liu, H., Li, C., Wu, Q., &amp; Lee, Y. J. "Visual Instruction Tuning." *Advances in Neural Information Processing Systems (NeurIPS)*, 2023 (Oral). arXiv:2304.08485.</w:t>
      </w:r>
    </w:p>
    <w:p>
      <w:pPr>
        <w:spacing w:line="384" w:lineRule="auto" w:after="0"/>
        <w:ind w:firstLine="220"/>
        <w:jc w:val="both"/>
      </w:pPr>
      <w:r>
        <w:rPr>
          <w:rFonts w:ascii="휴먼명조" w:eastAsia="휴먼명조" w:hAnsi="휴먼명조" w:cs="휴먼명조"/>
          <w:b w:val="0"/>
          <w:sz w:val="22"/>
          <w:w w:val="97"/>
        </w:rPr>
        <w:t>4. Bai, S., Chen, K., et al. (Qwen Team, Alibaba Group). "Qwen2.5-VL Technical Report." arXiv:2502.13923, 2025. (27 co-authors; technical report, no conference version)</w:t>
      </w:r>
    </w:p>
    <w:p>
      <w:pPr>
        <w:spacing w:line="384" w:lineRule="auto" w:after="0"/>
        <w:ind w:firstLine="220"/>
        <w:jc w:val="both"/>
      </w:pPr>
      <w:r>
        <w:rPr>
          <w:rFonts w:ascii="휴먼명조" w:eastAsia="휴먼명조" w:hAnsi="휴먼명조" w:cs="휴먼명조"/>
          <w:b w:val="0"/>
          <w:sz w:val="22"/>
          <w:w w:val="97"/>
        </w:rPr>
        <w:t>5. Marafioti, A., Zohar, O., Farré, M., Noyan, M., Bakouch, E., et al. "SmolVLM: Redefining small and efficient multimodal models." arXiv:2504.05299, 2025. (17 co-authors; preprint)</w:t>
      </w:r>
    </w:p>
    <w:p>
      <w:pPr>
        <w:spacing w:line="384" w:lineRule="auto" w:after="0"/>
        <w:ind w:firstLine="220"/>
        <w:jc w:val="both"/>
      </w:pPr>
      <w:r>
        <w:rPr>
          <w:rFonts w:ascii="휴먼명조" w:eastAsia="휴먼명조" w:hAnsi="휴먼명조" w:cs="휴먼명조"/>
          <w:b/>
          <w:sz w:val="22"/>
          <w:w w:val="97"/>
        </w:rPr>
        <w:t>Medical-Specialized VLMs</w:t>
      </w:r>
    </w:p>
    <w:p>
      <w:pPr>
        <w:spacing w:line="384" w:lineRule="auto" w:after="0"/>
        <w:ind w:firstLine="220"/>
        <w:jc w:val="both"/>
      </w:pPr>
      <w:r>
        <w:rPr>
          <w:rFonts w:ascii="휴먼명조" w:eastAsia="휴먼명조" w:hAnsi="휴먼명조" w:cs="휴먼명조"/>
          <w:b w:val="0"/>
          <w:sz w:val="22"/>
          <w:w w:val="97"/>
        </w:rPr>
        <w:t>6. Li, C., Wong, C., Zhang, S., Usuyama, N., Liu, H., Yang, J., Naumann, T., Poon, H., &amp; Gao, J. "LLaVA-Med: Training a Large Language-and-Vision Assistant for Biomedicine in One Day." *NeurIPS 2023 Datasets and Benchmarks Track*, 2023 (Spotlight). arXiv:2306.00890.</w:t>
      </w:r>
    </w:p>
    <w:p>
      <w:pPr>
        <w:spacing w:line="384" w:lineRule="auto" w:after="0"/>
        <w:ind w:firstLine="220"/>
        <w:jc w:val="both"/>
      </w:pPr>
      <w:r>
        <w:rPr>
          <w:rFonts w:ascii="휴먼명조" w:eastAsia="휴먼명조" w:hAnsi="휴먼명조" w:cs="휴먼명조"/>
          <w:b w:val="0"/>
          <w:sz w:val="22"/>
          <w:w w:val="97"/>
        </w:rPr>
        <w:t>7. Moor, M., Huang, Q., Wu, S., Yasunaga, M., Dalmia, Y., Leskovec, J., Zakka, C., Reis, E. P., &amp; Rajpurkar, P. "Med-Flamingo: a Multimodal Medical Few-shot Learner." *Proceedings of the 3rd Machine Learning for Health Symposium (ML4H)*, PMLR 225:353-367, 2023. arXiv:2307.15189.</w:t>
      </w:r>
    </w:p>
    <w:p>
      <w:pPr>
        <w:spacing w:line="384" w:lineRule="auto" w:after="0"/>
        <w:ind w:firstLine="220"/>
        <w:jc w:val="both"/>
      </w:pPr>
      <w:r>
        <w:rPr>
          <w:rFonts w:ascii="휴먼명조" w:eastAsia="휴먼명조" w:hAnsi="휴먼명조" w:cs="휴먼명조"/>
          <w:b w:val="0"/>
          <w:sz w:val="22"/>
          <w:w w:val="97"/>
        </w:rPr>
        <w:t>8. Chen, Z., Varma, M., Xu, J., Paschali, M., Van Veen, D., et al. "A Vision-Language Foundation Model to Enhance Efficiency of Chest X-ray Interpretation." arXiv:2401.12208, 2024. (23 co-authors. The first version was titled "CheXagent: Towards a Foundation Model for Chest X-Ray Interpretation" and was renamed in the December 2024 revision. CheXagent in Section 2.5 refers to this work.)</w:t>
      </w:r>
    </w:p>
    <w:p>
      <w:pPr>
        <w:spacing w:line="384" w:lineRule="auto" w:after="0"/>
        <w:ind w:firstLine="220"/>
        <w:jc w:val="both"/>
      </w:pPr>
      <w:r>
        <w:rPr>
          <w:rFonts w:ascii="휴먼명조" w:eastAsia="휴먼명조" w:hAnsi="휴먼명조" w:cs="휴먼명조"/>
          <w:b/>
          <w:sz w:val="22"/>
          <w:w w:val="97"/>
        </w:rPr>
        <w:t>Medical VQA Datasets</w:t>
      </w:r>
    </w:p>
    <w:p>
      <w:pPr>
        <w:spacing w:line="384" w:lineRule="auto" w:after="0"/>
        <w:ind w:firstLine="220"/>
        <w:jc w:val="both"/>
      </w:pPr>
      <w:r>
        <w:rPr>
          <w:rFonts w:ascii="휴먼명조" w:eastAsia="휴먼명조" w:hAnsi="휴먼명조" w:cs="휴먼명조"/>
          <w:b w:val="0"/>
          <w:sz w:val="22"/>
          <w:w w:val="97"/>
        </w:rPr>
        <w:t>9. He, X., Zhang, Y., Mou, L., Xing, E., &amp; Xie, P. "PathVQA: 30000+ Questions for Medical Visual Question Answering." arXiv:2003.10286, 2020. (Preprint; no conference version)</w:t>
      </w:r>
    </w:p>
    <w:p>
      <w:pPr>
        <w:spacing w:line="384" w:lineRule="auto" w:after="0"/>
        <w:ind w:firstLine="220"/>
        <w:jc w:val="both"/>
      </w:pPr>
      <w:r>
        <w:rPr>
          <w:rFonts w:ascii="휴먼명조" w:eastAsia="휴먼명조" w:hAnsi="휴먼명조" w:cs="휴먼명조"/>
          <w:b w:val="0"/>
          <w:sz w:val="22"/>
          <w:w w:val="97"/>
        </w:rPr>
        <w:t>10. Liu, B., Zhan, L.-M., Xu, L., Ma, L., Yang, Y., &amp; Wu, X.-M. "SLAKE: A Semantically-Labeled Knowledge-Enhanced Dataset for Medical Visual Question Answering." *2021 IEEE 18th International Symposium on Biomedical Imaging (ISBI)*, pp. 1650-1654, 2021. DOI: 10.1109/ISBI48211.2021.9434010.</w:t>
      </w:r>
    </w:p>
    <w:p>
      <w:pPr>
        <w:spacing w:line="384" w:lineRule="auto" w:after="0"/>
        <w:ind w:firstLine="220"/>
        <w:jc w:val="both"/>
      </w:pPr>
      <w:r>
        <w:rPr>
          <w:rFonts w:ascii="휴먼명조" w:eastAsia="휴먼명조" w:hAnsi="휴먼명조" w:cs="휴먼명조"/>
          <w:b w:val="0"/>
          <w:sz w:val="22"/>
          <w:w w:val="97"/>
        </w:rPr>
        <w:t>11. Lau, J. J., Gayen, S., Ben Abacha, A., &amp; Demner-Fushman, D. "A dataset of clinically generated visual questions and answers about radiology images." *Scientific Data*, 5, 180251, 2018. DOI: 10.1038/sdata.2018.251.</w:t>
      </w:r>
    </w:p>
    <w:p>
      <w:pPr>
        <w:spacing w:line="384" w:lineRule="auto" w:after="0"/>
        <w:ind w:firstLine="220"/>
        <w:jc w:val="both"/>
      </w:pPr>
      <w:r>
        <w:rPr>
          <w:rFonts w:ascii="휴먼명조" w:eastAsia="휴먼명조" w:hAnsi="휴먼명조" w:cs="휴먼명조"/>
          <w:b/>
          <w:sz w:val="22"/>
          <w:w w:val="97"/>
        </w:rPr>
        <w:t>Hyperparameter Optimization</w:t>
      </w:r>
    </w:p>
    <w:p>
      <w:pPr>
        <w:spacing w:line="384" w:lineRule="auto" w:after="0"/>
        <w:ind w:firstLine="220"/>
        <w:jc w:val="both"/>
      </w:pPr>
      <w:r>
        <w:rPr>
          <w:rFonts w:ascii="휴먼명조" w:eastAsia="휴먼명조" w:hAnsi="휴먼명조" w:cs="휴먼명조"/>
          <w:b w:val="0"/>
          <w:sz w:val="22"/>
          <w:w w:val="97"/>
        </w:rPr>
        <w:t>12. Akiba, T., Sano, S., Yanase, T., Ohta, T., &amp; Koyama, M. "Optuna: A Next-generation Hyperparameter Optimization Framework." *Proceedings of the 25th ACM SIGKDD International Conference on Knowledge Discovery &amp; Data Mining (KDD)*, pp. 2623-2631, 2019. DOI: 10.1145/3292500.3330701.</w:t>
      </w:r>
    </w:p>
    <w:p>
      <w:pPr>
        <w:spacing w:line="384" w:lineRule="auto" w:after="0"/>
        <w:ind w:firstLine="220"/>
        <w:jc w:val="both"/>
      </w:pPr>
      <w:r>
        <w:rPr>
          <w:rFonts w:ascii="휴먼명조" w:eastAsia="휴먼명조" w:hAnsi="휴먼명조" w:cs="휴먼명조"/>
          <w:b w:val="0"/>
          <w:sz w:val="22"/>
          <w:w w:val="97"/>
        </w:rPr>
        <w:t>13. Li, L., Jamieson, K., DeSalvo, G., Rostamizadeh, A., &amp; Talwalkar, A. "Hyperband: A Novel Bandit-Based Approach to Hyperparameter Optimization." *Journal of Machine Learning Research*, 18(185), pp. 1-52, 2018.</w:t>
      </w:r>
    </w:p>
    <w:p>
      <w:pPr>
        <w:spacing w:line="384" w:lineRule="auto" w:after="0"/>
        <w:ind w:firstLine="220"/>
        <w:jc w:val="both"/>
      </w:pPr>
      <w:r>
        <w:rPr>
          <w:rFonts w:ascii="휴먼명조" w:eastAsia="휴먼명조" w:hAnsi="휴먼명조" w:cs="휴먼명조"/>
          <w:b/>
          <w:sz w:val="22"/>
          <w:w w:val="97"/>
        </w:rPr>
        <w:t>Evaluation Methodology</w:t>
      </w:r>
    </w:p>
    <w:p>
      <w:pPr>
        <w:spacing w:line="384" w:lineRule="auto" w:after="0"/>
        <w:ind w:firstLine="220"/>
        <w:jc w:val="both"/>
      </w:pPr>
      <w:r>
        <w:rPr>
          <w:rFonts w:ascii="휴먼명조" w:eastAsia="휴먼명조" w:hAnsi="휴먼명조" w:cs="휴먼명조"/>
          <w:b w:val="0"/>
          <w:sz w:val="22"/>
          <w:w w:val="97"/>
        </w:rPr>
        <w:t>14. Shi, W., Ajith, A., Xia, M., Huang, Y., Liu, D., Blevins, T., Chen, D., &amp; Zettlemoyer, L. "Detecting Pretraining Data from Large Language Models." *The Twelfth International Conference on Learning Representations (ICLR)*, 2024. arXiv:2310.16789. (OpenReview: zWqr3MQuNs. The Min-K% Probability technique used in the text)</w:t>
      </w:r>
    </w:p>
    <w:p>
      <w:pPr>
        <w:spacing w:line="384" w:lineRule="auto" w:after="0"/>
        <w:ind w:firstLine="220"/>
        <w:jc w:val="both"/>
      </w:pPr>
      <w:r>
        <w:rPr>
          <w:rFonts w:ascii="휴먼명조" w:eastAsia="휴먼명조" w:hAnsi="휴먼명조" w:cs="휴먼명조"/>
          <w:b w:val="0"/>
          <w:sz w:val="22"/>
          <w:w w:val="97"/>
        </w:rPr>
        <w:t>15. Guo, C., Pleiss, G., Sun, Y., &amp; Weinberger, K. Q. "On Calibration of Modern Neural Networks." *Proceedings of the 34th International Conference on Machine Learning (ICML)*, PMLR 70, pp. 1321-1330, 2017.</w:t>
      </w:r>
    </w:p>
    <w:p>
      <w:pPr>
        <w:spacing w:line="384" w:lineRule="auto" w:after="0"/>
        <w:jc w:val="left"/>
      </w:pPr>
      <w:r>
        <w:rPr>
          <w:rFonts w:ascii="휴먼명조" w:eastAsia="휴먼명조" w:hAnsi="휴먼명조" w:cs="휴먼명조"/>
          <w:b/>
          <w:sz w:val="20"/>
          <w:w w:val="97"/>
        </w:rPr>
        <w:t>Citation convention</w:t>
      </w:r>
      <w:r>
        <w:rPr>
          <w:rFonts w:ascii="휴먼명조" w:eastAsia="휴먼명조" w:hAnsi="휴먼명조" w:cs="휴먼명조"/>
          <w:b w:val="0"/>
          <w:sz w:val="20"/>
          <w:w w:val="97"/>
        </w:rPr>
        <w:t>: For works with more than 20 authors (entries 4, 5, 8), the first five authors are listed together with the total count. For entries 3, 7, 10, 11, 12, 13, and 15, all co-authors indicated in the original are listed. For entries 1, 2, 6, and 14, the co-author lists verified on arXiv and publisher pages are given.</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Appendix</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Appendix A. System Prompt of the Autoresearch Agent</w:t>
      </w:r>
    </w:p>
    <w:p>
      <w:pPr>
        <w:spacing w:line="384" w:lineRule="auto" w:after="0"/>
        <w:ind w:firstLine="220"/>
        <w:jc w:val="both"/>
      </w:pPr>
      <w:r>
        <w:rPr>
          <w:rFonts w:ascii="휴먼명조" w:eastAsia="휴먼명조" w:hAnsi="휴먼명조" w:cs="휴먼명조"/>
          <w:b w:val="0"/>
          <w:sz w:val="22"/>
          <w:w w:val="97"/>
        </w:rPr>
        <w:t xml:space="preserve">The following is the full text of configs/autoresearch/program.md. It is reproduced verbatim because it is the evidence for the three configuration inconsistencies identified in Section 5.3(8). </w:t>
      </w:r>
      <w:r>
        <w:rPr>
          <w:rFonts w:ascii="휴먼명조" w:eastAsia="휴먼명조" w:hAnsi="휴먼명조" w:cs="휴먼명조"/>
          <w:b/>
          <w:sz w:val="22"/>
          <w:w w:val="97"/>
        </w:rPr>
        <w:t>The annotated points are where the problems arise.</w:t>
      </w:r>
    </w:p>
    <w:p>
      <w:pPr>
        <w:spacing w:line="384" w:lineRule="auto" w:after="0"/>
        <w:jc w:val="left"/>
      </w:pPr>
      <w:r>
        <w:rPr>
          <w:rFonts w:ascii="굴림체" w:eastAsia="굴림체" w:hAnsi="굴림체" w:cs="굴림체"/>
          <w:b w:val="0"/>
          <w:sz w:val="18"/>
          <w:w w:val="97"/>
        </w:rPr>
        <w:t># Autonomous HPO Agent - System Prompt</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You are an autonomous hyperparameter optimization agent for medical VQA</w:t>
      </w:r>
    </w:p>
    <w:p>
      <w:pPr>
        <w:spacing w:line="384" w:lineRule="auto" w:after="0"/>
        <w:jc w:val="left"/>
      </w:pPr>
      <w:r>
        <w:rPr>
          <w:rFonts w:ascii="굴림체" w:eastAsia="굴림체" w:hAnsi="굴림체" w:cs="굴림체"/>
          <w:b w:val="0"/>
          <w:sz w:val="18"/>
          <w:w w:val="97"/>
        </w:rPr>
        <w:t>fine-tuning research.</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Task</w:t>
      </w:r>
    </w:p>
    <w:p>
      <w:pPr>
        <w:spacing w:line="384" w:lineRule="auto" w:after="0"/>
        <w:jc w:val="left"/>
      </w:pPr>
      <w:r>
        <w:rPr>
          <w:rFonts w:ascii="굴림체" w:eastAsia="굴림체" w:hAnsi="굴림체" w:cs="굴림체"/>
          <w:b w:val="0"/>
          <w:sz w:val="18"/>
          <w:w w:val="97"/>
        </w:rPr>
        <w:t>Given the history of previous QLoRA fine-tuning experiments, suggest the NEXT</w:t>
      </w:r>
    </w:p>
    <w:p>
      <w:pPr>
        <w:spacing w:line="384" w:lineRule="auto" w:after="0"/>
        <w:jc w:val="left"/>
      </w:pPr>
      <w:r>
        <w:rPr>
          <w:rFonts w:ascii="굴림체" w:eastAsia="굴림체" w:hAnsi="굴림체" w:cs="굴림체"/>
          <w:b w:val="0"/>
          <w:sz w:val="18"/>
          <w:w w:val="97"/>
        </w:rPr>
        <w:t>hyperparameter configuration that is most likely to improve validation accuracy</w:t>
      </w:r>
    </w:p>
    <w:p>
      <w:pPr>
        <w:spacing w:line="384" w:lineRule="auto" w:after="0"/>
        <w:jc w:val="left"/>
      </w:pPr>
      <w:r>
        <w:rPr>
          <w:rFonts w:ascii="굴림체" w:eastAsia="굴림체" w:hAnsi="굴림체" w:cs="굴림체"/>
          <w:b w:val="0"/>
          <w:sz w:val="18"/>
          <w:w w:val="97"/>
        </w:rPr>
        <w:t>on the PathVQA medical VQA dataset.</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Search Space</w:t>
      </w:r>
    </w:p>
    <w:p>
      <w:pPr>
        <w:spacing w:line="384" w:lineRule="auto" w:after="0"/>
        <w:jc w:val="left"/>
      </w:pPr>
      <w:r>
        <w:rPr>
          <w:rFonts w:ascii="굴림체" w:eastAsia="굴림체" w:hAnsi="굴림체" w:cs="굴림체"/>
          <w:b w:val="0"/>
          <w:sz w:val="18"/>
          <w:w w:val="97"/>
        </w:rPr>
        <w:t>| Parameter        | Range                       | Type                     |</w:t>
      </w:r>
    </w:p>
    <w:p>
      <w:pPr>
        <w:spacing w:line="384" w:lineRule="auto" w:after="0"/>
        <w:jc w:val="left"/>
      </w:pPr>
      <w:r>
        <w:rPr>
          <w:rFonts w:ascii="굴림체" w:eastAsia="굴림체" w:hAnsi="굴림체" w:cs="굴림체"/>
          <w:b w:val="0"/>
          <w:sz w:val="18"/>
          <w:w w:val="97"/>
        </w:rPr>
        <w:t>|------------------|-----------------------------|--------------------------|</w:t>
      </w:r>
    </w:p>
    <w:p>
      <w:pPr>
        <w:spacing w:line="384" w:lineRule="auto" w:after="0"/>
        <w:jc w:val="left"/>
      </w:pPr>
      <w:r>
        <w:rPr>
          <w:rFonts w:ascii="굴림체" w:eastAsia="굴림체" w:hAnsi="굴림체" w:cs="굴림체"/>
          <w:b w:val="0"/>
          <w:sz w:val="18"/>
          <w:w w:val="97"/>
        </w:rPr>
        <w:t>| lora_rank        | {4, 8, 16, 32, 64}          | discrete                 |</w:t>
      </w:r>
    </w:p>
    <w:p>
      <w:pPr>
        <w:spacing w:line="384" w:lineRule="auto" w:after="0"/>
        <w:jc w:val="left"/>
      </w:pPr>
      <w:r>
        <w:rPr>
          <w:rFonts w:ascii="굴림체" w:eastAsia="굴림체" w:hAnsi="굴림체" w:cs="굴림체"/>
          <w:b w:val="0"/>
          <w:sz w:val="18"/>
          <w:w w:val="97"/>
        </w:rPr>
        <w:t>| lora_alpha       | rank x {1, 2, 4}            | discrete                 |</w:t>
      </w:r>
    </w:p>
    <w:p>
      <w:pPr>
        <w:spacing w:line="384" w:lineRule="auto" w:after="0"/>
        <w:jc w:val="left"/>
      </w:pPr>
      <w:r>
        <w:rPr>
          <w:rFonts w:ascii="굴림체" w:eastAsia="굴림체" w:hAnsi="굴림체" w:cs="굴림체"/>
          <w:b w:val="0"/>
          <w:sz w:val="18"/>
          <w:w w:val="97"/>
        </w:rPr>
        <w:t>| learning_rate    | [1e-5, 5e-4]                | continuous (log-scale)   |</w:t>
      </w:r>
    </w:p>
    <w:p>
      <w:pPr>
        <w:spacing w:line="384" w:lineRule="auto" w:after="0"/>
        <w:jc w:val="left"/>
      </w:pPr>
      <w:r>
        <w:rPr>
          <w:rFonts w:ascii="굴림체" w:eastAsia="굴림체" w:hAnsi="굴림체" w:cs="굴림체"/>
          <w:b w:val="0"/>
          <w:sz w:val="18"/>
          <w:w w:val="97"/>
        </w:rPr>
        <w:t>| batch_size       | {1, 2, 4}                   | discrete                 |</w:t>
      </w:r>
    </w:p>
    <w:p>
      <w:pPr>
        <w:spacing w:line="384" w:lineRule="auto" w:after="0"/>
        <w:jc w:val="left"/>
      </w:pPr>
      <w:r>
        <w:rPr>
          <w:rFonts w:ascii="굴림체" w:eastAsia="굴림체" w:hAnsi="굴림체" w:cs="굴림체"/>
          <w:b w:val="0"/>
          <w:sz w:val="18"/>
          <w:w w:val="97"/>
        </w:rPr>
        <w:t>| grad_accum_steps | {4, 8, 16}                  | discrete                 |</w:t>
      </w:r>
    </w:p>
    <w:p>
      <w:pPr>
        <w:spacing w:line="384" w:lineRule="auto" w:after="0"/>
        <w:jc w:val="left"/>
      </w:pPr>
      <w:r>
        <w:rPr>
          <w:rFonts w:ascii="굴림체" w:eastAsia="굴림체" w:hAnsi="굴림체" w:cs="굴림체"/>
          <w:b w:val="0"/>
          <w:sz w:val="18"/>
          <w:w w:val="97"/>
        </w:rPr>
        <w:t>| warmup_ratio     | [0.0, 0.1]                  | continuous               |</w:t>
      </w:r>
    </w:p>
    <w:p>
      <w:pPr>
        <w:spacing w:line="384" w:lineRule="auto" w:after="0"/>
        <w:jc w:val="left"/>
      </w:pPr>
      <w:r>
        <w:rPr>
          <w:rFonts w:ascii="굴림체" w:eastAsia="굴림체" w:hAnsi="굴림체" w:cs="굴림체"/>
          <w:b w:val="0"/>
          <w:sz w:val="18"/>
          <w:w w:val="97"/>
        </w:rPr>
        <w:t>| weight_decay     | [0.0, 0.1]                  | continuous               |</w:t>
      </w:r>
    </w:p>
    <w:p>
      <w:pPr>
        <w:spacing w:line="384" w:lineRule="auto" w:after="0"/>
        <w:jc w:val="left"/>
      </w:pPr>
      <w:r>
        <w:rPr>
          <w:rFonts w:ascii="굴림체" w:eastAsia="굴림체" w:hAnsi="굴림체" w:cs="굴림체"/>
          <w:b w:val="0"/>
          <w:sz w:val="18"/>
          <w:w w:val="97"/>
        </w:rPr>
        <w:t>| lora_targets     | {"minimal","medium","full"} | categorical              |</w:t>
      </w:r>
    </w:p>
    <w:p>
      <w:pPr>
        <w:spacing w:line="384" w:lineRule="auto" w:after="0"/>
        <w:jc w:val="left"/>
      </w:pPr>
      <w:r>
        <w:rPr>
          <w:rFonts w:ascii="굴림체" w:eastAsia="굴림체" w:hAnsi="굴림체" w:cs="굴림체"/>
          <w:b w:val="0"/>
          <w:sz w:val="18"/>
          <w:w w:val="97"/>
        </w:rPr>
        <w:t>| epochs           | {1, 2, 3, 5}                | discrete   &lt;- (i) inert  |</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Where: minimal = [q_proj, v_proj] / medium = [q_proj, k_proj, v_proj, o_proj]</w:t>
      </w:r>
    </w:p>
    <w:p>
      <w:pPr>
        <w:spacing w:line="384" w:lineRule="auto" w:after="0"/>
        <w:jc w:val="left"/>
      </w:pPr>
      <w:r>
        <w:rPr>
          <w:rFonts w:ascii="굴림체" w:eastAsia="굴림체" w:hAnsi="굴림체" w:cs="굴림체"/>
          <w:b w:val="0"/>
          <w:sz w:val="18"/>
          <w:w w:val="97"/>
        </w:rPr>
        <w:t xml:space="preserve">       full = all linear layers</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Strategy Guidelines</w:t>
      </w:r>
    </w:p>
    <w:p>
      <w:pPr>
        <w:spacing w:line="384" w:lineRule="auto" w:after="0"/>
        <w:jc w:val="left"/>
      </w:pPr>
      <w:r>
        <w:rPr>
          <w:rFonts w:ascii="굴림체" w:eastAsia="굴림체" w:hAnsi="굴림체" w:cs="굴림체"/>
          <w:b w:val="0"/>
          <w:sz w:val="18"/>
          <w:w w:val="97"/>
        </w:rPr>
        <w:t>1. Early exploration (trials 0-5): Try diverse configurations to map the</w:t>
      </w:r>
    </w:p>
    <w:p>
      <w:pPr>
        <w:spacing w:line="384" w:lineRule="auto" w:after="0"/>
        <w:jc w:val="left"/>
      </w:pPr>
      <w:r>
        <w:rPr>
          <w:rFonts w:ascii="굴림체" w:eastAsia="굴림체" w:hAnsi="굴림체" w:cs="굴림체"/>
          <w:b w:val="0"/>
          <w:sz w:val="18"/>
          <w:w w:val="97"/>
        </w:rPr>
        <w:t xml:space="preserve">   landscape. Vary multiple parameters at once.</w:t>
      </w:r>
    </w:p>
    <w:p>
      <w:pPr>
        <w:spacing w:line="384" w:lineRule="auto" w:after="0"/>
        <w:jc w:val="left"/>
      </w:pPr>
      <w:r>
        <w:rPr>
          <w:rFonts w:ascii="굴림체" w:eastAsia="굴림체" w:hAnsi="굴림체" w:cs="굴림체"/>
          <w:b w:val="0"/>
          <w:sz w:val="18"/>
          <w:w w:val="97"/>
        </w:rPr>
        <w:t>2. Mid exploitation (trials 5-20): Focus on promising regions. Take the best</w:t>
      </w:r>
    </w:p>
    <w:p>
      <w:pPr>
        <w:spacing w:line="384" w:lineRule="auto" w:after="0"/>
        <w:jc w:val="left"/>
      </w:pPr>
      <w:r>
        <w:rPr>
          <w:rFonts w:ascii="굴림체" w:eastAsia="굴림체" w:hAnsi="굴림체" w:cs="굴림체"/>
          <w:b w:val="0"/>
          <w:sz w:val="18"/>
          <w:w w:val="97"/>
        </w:rPr>
        <w:t xml:space="preserve">   configuration and vary 1-2 parameters at a time.     &lt;- (ii) budget mismatch</w:t>
      </w:r>
    </w:p>
    <w:p>
      <w:pPr>
        <w:spacing w:line="384" w:lineRule="auto" w:after="0"/>
        <w:jc w:val="left"/>
      </w:pPr>
      <w:r>
        <w:rPr>
          <w:rFonts w:ascii="굴림체" w:eastAsia="굴림체" w:hAnsi="굴림체" w:cs="굴림체"/>
          <w:b w:val="0"/>
          <w:sz w:val="18"/>
          <w:w w:val="97"/>
        </w:rPr>
        <w:t>3. Late refinement (trials 20+): Fine-tune around the best configuration with</w:t>
      </w:r>
    </w:p>
    <w:p>
      <w:pPr>
        <w:spacing w:line="384" w:lineRule="auto" w:after="0"/>
        <w:jc w:val="left"/>
      </w:pPr>
      <w:r>
        <w:rPr>
          <w:rFonts w:ascii="굴림체" w:eastAsia="굴림체" w:hAnsi="굴림체" w:cs="굴림체"/>
          <w:b w:val="0"/>
          <w:sz w:val="18"/>
          <w:w w:val="97"/>
        </w:rPr>
        <w:t xml:space="preserve">   small perturbations.                                 &lt;- (ii) never triggered</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Key Insights for Medical VQA</w:t>
      </w:r>
    </w:p>
    <w:p>
      <w:pPr>
        <w:spacing w:line="384" w:lineRule="auto" w:after="0"/>
        <w:jc w:val="left"/>
      </w:pPr>
      <w:r>
        <w:rPr>
          <w:rFonts w:ascii="굴림체" w:eastAsia="굴림체" w:hAnsi="굴림체" w:cs="굴림체"/>
          <w:b w:val="0"/>
          <w:sz w:val="18"/>
          <w:w w:val="97"/>
        </w:rPr>
        <w:t>- Medical images benefit from higher LoRA ranks (16-64).</w:t>
      </w:r>
    </w:p>
    <w:p>
      <w:pPr>
        <w:spacing w:line="384" w:lineRule="auto" w:after="0"/>
        <w:jc w:val="left"/>
      </w:pPr>
      <w:r>
        <w:rPr>
          <w:rFonts w:ascii="굴림체" w:eastAsia="굴림체" w:hAnsi="굴림체" w:cs="굴림체"/>
          <w:b w:val="0"/>
          <w:sz w:val="18"/>
          <w:w w:val="97"/>
        </w:rPr>
        <w:t>- Learning rate is often the most sensitive parameter.</w:t>
      </w:r>
    </w:p>
    <w:p>
      <w:pPr>
        <w:spacing w:line="384" w:lineRule="auto" w:after="0"/>
        <w:jc w:val="left"/>
      </w:pPr>
      <w:r>
        <w:rPr>
          <w:rFonts w:ascii="굴림체" w:eastAsia="굴림체" w:hAnsi="굴림체" w:cs="굴림체"/>
          <w:b w:val="0"/>
          <w:sz w:val="18"/>
          <w:w w:val="97"/>
        </w:rPr>
        <w:t>- medium or full target modules often outperform minimal.</w:t>
      </w:r>
    </w:p>
    <w:p>
      <w:pPr>
        <w:spacing w:line="384" w:lineRule="auto" w:after="0"/>
        <w:jc w:val="left"/>
      </w:pPr>
      <w:r>
        <w:rPr>
          <w:rFonts w:ascii="굴림체" w:eastAsia="굴림체" w:hAnsi="굴림체" w:cs="굴림체"/>
          <w:b w:val="0"/>
          <w:sz w:val="18"/>
          <w:w w:val="97"/>
        </w:rPr>
        <w:t>- Effective batch size = batch_size x grad_accum_steps. Keep in 4-16 range.</w:t>
      </w:r>
    </w:p>
    <w:p>
      <w:pPr>
        <w:spacing w:line="384" w:lineRule="auto" w:after="0"/>
        <w:jc w:val="left"/>
      </w:pPr>
      <w:r>
        <w:rPr>
          <w:rFonts w:ascii="굴림체" w:eastAsia="굴림체" w:hAnsi="굴림체" w:cs="굴림체"/>
          <w:b w:val="0"/>
          <w:sz w:val="18"/>
          <w:w w:val="97"/>
        </w:rPr>
        <w:t>- More epochs (3-5) help when training data is limited.  &lt;- (i) inert parameter</w:t>
      </w:r>
    </w:p>
    <w:p>
      <w:pPr>
        <w:spacing w:line="384" w:lineRule="auto" w:after="0"/>
        <w:jc w:val="left"/>
      </w:pPr>
      <w:r>
        <w:rPr>
          <w:rFonts w:ascii="굴림체" w:eastAsia="굴림체" w:hAnsi="굴림체" w:cs="굴림체"/>
          <w:b w:val="0"/>
          <w:sz w:val="18"/>
          <w:w w:val="97"/>
        </w:rPr>
        <w:t>- Warmup ratio 0.03-0.06 is generally safe.</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Response Format</w:t>
      </w:r>
    </w:p>
    <w:p>
      <w:pPr>
        <w:spacing w:line="384" w:lineRule="auto" w:after="0"/>
        <w:jc w:val="left"/>
      </w:pPr>
      <w:r>
        <w:rPr>
          <w:rFonts w:ascii="굴림체" w:eastAsia="굴림체" w:hAnsi="굴림체" w:cs="굴림체"/>
          <w:b w:val="0"/>
          <w:sz w:val="18"/>
          <w:w w:val="97"/>
        </w:rPr>
        <w:t>Respond with ONLY a valid JSON object. No explanation, no markdown fences,</w:t>
      </w:r>
    </w:p>
    <w:p>
      <w:pPr>
        <w:spacing w:line="384" w:lineRule="auto" w:after="0"/>
        <w:jc w:val="left"/>
      </w:pPr>
      <w:r>
        <w:rPr>
          <w:rFonts w:ascii="굴림체" w:eastAsia="굴림체" w:hAnsi="굴림체" w:cs="굴림체"/>
          <w:b w:val="0"/>
          <w:sz w:val="18"/>
          <w:w w:val="97"/>
        </w:rPr>
        <w:t>no other text.                                    &lt;- (iii) rationale prohibited</w:t>
      </w:r>
    </w:p>
    <w:p>
      <w:pPr>
        <w:spacing w:line="384" w:lineRule="auto" w:after="0"/>
        <w:ind w:firstLine="220"/>
        <w:jc w:val="both"/>
      </w:pPr>
      <w:r>
        <w:rPr>
          <w:rFonts w:ascii="휴먼명조" w:eastAsia="휴먼명조" w:hAnsi="휴먼명조" w:cs="휴먼명조"/>
          <w:b/>
          <w:sz w:val="22"/>
          <w:w w:val="97"/>
        </w:rPr>
        <w:t>(i) Inert parameter</w:t>
      </w:r>
      <w:r>
        <w:rPr>
          <w:rFonts w:ascii="휴먼명조" w:eastAsia="휴먼명조" w:hAnsi="휴먼명조" w:cs="휴먼명조"/>
          <w:b w:val="0"/>
          <w:sz w:val="22"/>
          <w:w w:val="97"/>
        </w:rPr>
        <w:t>: epochs appears in both the search space and the guidance, yet the implementation (src/autoresearch/agent.py) discards the proposed value and fixes max_steps=200.</w:t>
      </w:r>
    </w:p>
    <w:p>
      <w:pPr>
        <w:spacing w:line="384" w:lineRule="auto" w:after="0"/>
        <w:ind w:firstLine="220"/>
        <w:jc w:val="both"/>
      </w:pPr>
      <w:r>
        <w:rPr>
          <w:rFonts w:ascii="휴먼명조" w:eastAsia="휴먼명조" w:hAnsi="휴먼명조" w:cs="휴먼명조"/>
          <w:b/>
          <w:sz w:val="22"/>
          <w:w w:val="97"/>
        </w:rPr>
        <w:t>(ii) Budget mismatch</w:t>
      </w:r>
      <w:r>
        <w:rPr>
          <w:rFonts w:ascii="휴먼명조" w:eastAsia="휴먼명조" w:hAnsi="휴먼명조" w:cs="휴먼명조"/>
          <w:b w:val="0"/>
          <w:sz w:val="22"/>
          <w:w w:val="97"/>
        </w:rPr>
        <w:t>: the actual budget is 20 trials per repeat, so "Late refinement (trials 20+)" never triggers, and about 75% of the budget falls in the interval instructing the agent to "take the best configuration and vary 1-2 parameters."</w:t>
      </w:r>
    </w:p>
    <w:p>
      <w:pPr>
        <w:spacing w:line="384" w:lineRule="auto" w:after="0"/>
        <w:ind w:firstLine="220"/>
        <w:jc w:val="both"/>
      </w:pPr>
      <w:r>
        <w:rPr>
          <w:rFonts w:ascii="휴먼명조" w:eastAsia="휴먼명조" w:hAnsi="휴먼명조" w:cs="휴먼명조"/>
          <w:b/>
          <w:sz w:val="22"/>
          <w:w w:val="97"/>
        </w:rPr>
        <w:t>(iii) Rationale prohibited</w:t>
      </w:r>
      <w:r>
        <w:rPr>
          <w:rFonts w:ascii="휴먼명조" w:eastAsia="휴먼명조" w:hAnsi="휴먼명조" w:cs="휴먼명조"/>
          <w:b w:val="0"/>
          <w:sz w:val="22"/>
          <w:w w:val="97"/>
        </w:rPr>
        <w:t>: the prompt explicitly excludes the "interpretable search rationale" required by RQ3.</w:t>
      </w:r>
    </w:p>
    <w:p>
      <w:pPr>
        <w:spacing w:line="384" w:lineRule="auto" w:after="0"/>
        <w:ind w:firstLine="220"/>
        <w:jc w:val="both"/>
      </w:pPr>
      <w:r>
        <w:rPr>
          <w:rFonts w:ascii="휴먼명조" w:eastAsia="휴먼명조" w:hAnsi="휴먼명조" w:cs="휴먼명조"/>
          <w:b/>
          <w:sz w:val="22"/>
          <w:w w:val="97"/>
        </w:rPr>
        <w:t>Agent execution settings</w:t>
      </w:r>
      <w:r>
        <w:rPr>
          <w:rFonts w:ascii="휴먼명조" w:eastAsia="휴먼명조" w:hAnsi="휴먼명조" w:cs="휴먼명조"/>
          <w:b w:val="0"/>
          <w:sz w:val="22"/>
          <w:w w:val="97"/>
        </w:rPr>
        <w:t>: model claude-sonnet-4-6, max_tokens=512, temperature=0 (verified in the records of all trials). Fixing the temperature and using 10 independent repeats mitigated API non-determinism (Section 5.3(4)).</w:t>
      </w:r>
    </w:p>
    <w:p>
      <w:pPr>
        <w:spacing w:line="384" w:lineRule="auto" w:after="0"/>
        <w:jc w:val="left"/>
        <w:outlineLvl w:val="1"/>
      </w:pPr>
      <w:r>
        <w:rPr>
          <w:rFonts w:ascii="휴먼명조" w:eastAsia="휴먼명조" w:hAnsi="휴먼명조" w:cs="휴먼명조"/>
          <w:b/>
          <w:sz w:val="28"/>
          <w:w w:val="97"/>
        </w:rPr>
        <w:t>Appendix B. Excerpts from the Autoresearch Rationale Logs</w:t>
      </w:r>
    </w:p>
    <w:p>
      <w:pPr>
        <w:spacing w:line="384" w:lineRule="auto" w:after="0"/>
        <w:ind w:firstLine="220"/>
        <w:jc w:val="both"/>
      </w:pPr>
      <w:r>
        <w:rPr>
          <w:rFonts w:ascii="휴먼명조" w:eastAsia="휴먼명조" w:hAnsi="휴먼명조" w:cs="휴먼명조"/>
          <w:b w:val="0"/>
          <w:sz w:val="22"/>
          <w:w w:val="97"/>
        </w:rPr>
        <w:t xml:space="preserve">Excerpted from the original text of the agent_reasoning column of results.tsv. Of the 200 completed trials, </w:t>
      </w:r>
      <w:r>
        <w:rPr>
          <w:rFonts w:ascii="휴먼명조" w:eastAsia="휴먼명조" w:hAnsi="휴먼명조" w:cs="휴먼명조"/>
          <w:b/>
          <w:sz w:val="22"/>
          <w:w w:val="97"/>
        </w:rPr>
        <w:t>147 (73.5%) returned only JSON as in (1) below</w:t>
      </w:r>
      <w:r>
        <w:rPr>
          <w:rFonts w:ascii="휴먼명조" w:eastAsia="휴먼명조" w:hAnsi="휴먼명조" w:cs="휴먼명조"/>
          <w:b w:val="0"/>
          <w:sz w:val="22"/>
          <w:w w:val="97"/>
        </w:rPr>
        <w:t>, while 53 (26.5%) included natural-language narrative (Sections 5.1, 5.3(8)).</w:t>
      </w:r>
    </w:p>
    <w:p>
      <w:pPr>
        <w:spacing w:line="384" w:lineRule="auto" w:after="0"/>
        <w:ind w:firstLine="220"/>
        <w:jc w:val="both"/>
      </w:pPr>
      <w:r>
        <w:rPr>
          <w:rFonts w:ascii="휴먼명조" w:eastAsia="휴먼명조" w:hAnsi="휴먼명조" w:cs="휴먼명조"/>
          <w:b/>
          <w:sz w:val="22"/>
          <w:w w:val="97"/>
        </w:rPr>
        <w:t>(1) Typical response — configuration only, no rationale (73.5% of the total)</w:t>
      </w:r>
    </w:p>
    <w:p>
      <w:pPr>
        <w:spacing w:line="384" w:lineRule="auto" w:after="0"/>
        <w:jc w:val="left"/>
      </w:pPr>
      <w:r>
        <w:rPr>
          <w:rFonts w:ascii="굴림체" w:eastAsia="굴림체" w:hAnsi="굴림체" w:cs="굴림체"/>
          <w:b w:val="0"/>
          <w:sz w:val="18"/>
          <w:w w:val="97"/>
        </w:rPr>
        <w:t>{"lora_rank": 64, "lora_alpha": 256, "learning_rate": 2.0e-4, "batch_size": 2,</w:t>
      </w:r>
    </w:p>
    <w:p>
      <w:pPr>
        <w:spacing w:line="384" w:lineRule="auto" w:after="0"/>
        <w:jc w:val="left"/>
      </w:pPr>
      <w:r>
        <w:rPr>
          <w:rFonts w:ascii="굴림체" w:eastAsia="굴림체" w:hAnsi="굴림체" w:cs="굴림체"/>
          <w:b w:val="0"/>
          <w:sz w:val="18"/>
          <w:w w:val="97"/>
        </w:rPr>
        <w:t xml:space="preserve"> "grad_accum_steps": 8, "warmup_ratio": 0.05, "weight_decay": 0.01,</w:t>
      </w:r>
    </w:p>
    <w:p>
      <w:pPr>
        <w:spacing w:line="384" w:lineRule="auto" w:after="0"/>
        <w:jc w:val="left"/>
      </w:pPr>
      <w:r>
        <w:rPr>
          <w:rFonts w:ascii="굴림체" w:eastAsia="굴림체" w:hAnsi="굴림체" w:cs="굴림체"/>
          <w:b w:val="0"/>
          <w:sz w:val="18"/>
          <w:w w:val="97"/>
        </w:rPr>
        <w:t xml:space="preserve"> "lora_targets": "full", "epochs": 3}</w:t>
      </w:r>
    </w:p>
    <w:p>
      <w:pPr>
        <w:spacing w:line="384" w:lineRule="auto" w:after="0"/>
        <w:ind w:firstLine="220"/>
        <w:jc w:val="both"/>
      </w:pPr>
      <w:r>
        <w:rPr>
          <w:rFonts w:ascii="휴먼명조" w:eastAsia="휴먼명조" w:hAnsi="휴먼명조" w:cs="휴먼명조"/>
          <w:b w:val="0"/>
          <w:sz w:val="22"/>
          <w:w w:val="97"/>
        </w:rPr>
        <w:t>Because the prompt prohibited explanation (Appendix A (iii)), this form is the response consistent with the instruction.</w:t>
      </w:r>
    </w:p>
    <w:p>
      <w:pPr>
        <w:spacing w:line="384" w:lineRule="auto" w:after="0"/>
        <w:ind w:firstLine="220"/>
        <w:jc w:val="both"/>
      </w:pPr>
      <w:r>
        <w:rPr>
          <w:rFonts w:ascii="휴먼명조" w:eastAsia="휴먼명조" w:hAnsi="휴먼명조" w:cs="휴먼명조"/>
          <w:b/>
          <w:sz w:val="22"/>
          <w:w w:val="97"/>
        </w:rPr>
        <w:t>(2) A case including natural-language narrative — accurate diagnosis, but an inoperative lever</w:t>
      </w:r>
    </w:p>
    <w:p>
      <w:pPr>
        <w:spacing w:line="384" w:lineRule="auto" w:after="0"/>
        <w:ind w:firstLine="220"/>
        <w:jc w:val="both"/>
      </w:pPr>
      <w:r>
        <w:rPr>
          <w:rFonts w:ascii="휴먼명조" w:eastAsia="휴먼명조" w:hAnsi="휴먼명조" w:cs="휴먼명조"/>
          <w:b w:val="0"/>
          <w:sz w:val="22"/>
          <w:w w:val="97"/>
        </w:rPr>
        <w:t>The agent diagnosed that "all trials have only 200 steps, so this looks like undertraining" and that "epochs were not changed." The diagnosis was accurate, but as noted in Appendix A (i) the epochs lever it proposed was discarded by the implementation and therefore never took effect.</w:t>
      </w:r>
    </w:p>
    <w:p>
      <w:pPr>
        <w:spacing w:line="384" w:lineRule="auto" w:after="0"/>
        <w:ind w:firstLine="220"/>
        <w:jc w:val="both"/>
      </w:pPr>
      <w:r>
        <w:rPr>
          <w:rFonts w:ascii="휴먼명조" w:eastAsia="휴먼명조" w:hAnsi="휴먼명조" w:cs="휴먼명조"/>
          <w:b/>
          <w:sz w:val="22"/>
          <w:w w:val="97"/>
        </w:rPr>
        <w:t>(3) Repeated proposal of an identical configuration</w:t>
      </w:r>
    </w:p>
    <w:p>
      <w:pPr>
        <w:spacing w:line="384" w:lineRule="auto" w:after="0"/>
        <w:ind w:firstLine="220"/>
        <w:jc w:val="both"/>
      </w:pPr>
      <w:r>
        <w:rPr>
          <w:rFonts w:ascii="휴먼명조" w:eastAsia="휴먼명조" w:hAnsi="휴먼명조" w:cs="휴먼명조"/>
          <w:b w:val="0"/>
          <w:sz w:val="22"/>
          <w:w w:val="97"/>
        </w:rPr>
        <w:t>In repeat 8, from trial 602 onward the agent proposed the identical configuration 11 times in succession, while the measured val_accuracy varied between 0.388 and 0.444. This variation reflects the stochastic behaviour of training and evaluation rather than any difference in configuration (Sections 4.3.4, 4.4.7).</w:t>
      </w:r>
    </w:p>
    <w:p>
      <w:pPr>
        <w:spacing w:line="384" w:lineRule="auto" w:after="0"/>
        <w:jc w:val="left"/>
      </w:pPr>
      <w:r>
        <w:rPr>
          <w:rFonts w:ascii="휴먼명조" w:eastAsia="휴먼명조" w:hAnsi="휴먼명조" w:cs="휴먼명조"/>
          <w:b w:val="0"/>
          <w:sz w:val="20"/>
          <w:w w:val="97"/>
        </w:rPr>
        <w:t>The full logs are in the agent_reasoning column of results/phase3_autoresearch/results.tsv and in rationale.md within each trial directory.</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Abstract (in Korean)</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경량 멀티모달 모델의 의료 영상 VQA 도메인 적응: QLoRA 파인튜닝과 자율 하이퍼파라미터 최적화</w:t>
      </w:r>
    </w:p>
    <w:p>
      <w:pPr>
        <w:spacing w:line="384" w:lineRule="auto" w:after="0"/>
        <w:ind w:firstLine="220"/>
        <w:jc w:val="both"/>
      </w:pPr>
      <w:r>
        <w:rPr>
          <w:rFonts w:ascii="휴먼명조" w:eastAsia="휴먼명조" w:hAnsi="휴먼명조" w:cs="휴먼명조"/>
          <w:b w:val="0"/>
          <w:sz w:val="22"/>
          <w:w w:val="97"/>
        </w:rPr>
        <w:t>황태욱</w:t>
      </w:r>
    </w:p>
    <w:p>
      <w:pPr>
        <w:spacing w:line="384" w:lineRule="auto" w:after="0"/>
        <w:ind w:firstLine="220"/>
        <w:jc w:val="both"/>
      </w:pPr>
      <w:r>
        <w:rPr>
          <w:rFonts w:ascii="휴먼명조" w:eastAsia="휴먼명조" w:hAnsi="휴먼명조" w:cs="휴먼명조"/>
          <w:b w:val="0"/>
          <w:sz w:val="22"/>
          <w:w w:val="97"/>
        </w:rPr>
        <w:t>융합정보기술학과 인공지능전공</w:t>
      </w:r>
    </w:p>
    <w:p>
      <w:pPr>
        <w:spacing w:line="384" w:lineRule="auto" w:after="0"/>
        <w:ind w:firstLine="220"/>
        <w:jc w:val="both"/>
      </w:pPr>
      <w:r>
        <w:rPr>
          <w:rFonts w:ascii="휴먼명조" w:eastAsia="휴먼명조" w:hAnsi="휴먼명조" w:cs="휴먼명조"/>
          <w:b w:val="0"/>
          <w:sz w:val="22"/>
          <w:w w:val="97"/>
        </w:rPr>
        <w:t>건국대학교 정보통신대학원</w:t>
      </w:r>
    </w:p>
    <w:p>
      <w:pPr>
        <w:spacing w:line="384" w:lineRule="auto" w:after="0"/>
        <w:ind w:firstLine="220"/>
        <w:jc w:val="both"/>
      </w:pPr>
      <w:r>
        <w:rPr>
          <w:rFonts w:ascii="휴먼명조" w:eastAsia="휴먼명조" w:hAnsi="휴먼명조" w:cs="휴먼명조"/>
          <w:b w:val="0"/>
          <w:sz w:val="22"/>
          <w:w w:val="97"/>
        </w:rPr>
        <w:t>본 연구는 소비자급 GPU 환경에서 경량 Vision-Language Model(VLM)을 의료 영상 Visual Question Answering(VQA) 도메인에 적응시키는 전 과정을 세 단계 실험으로 검증한다. 20억~30억 파라미터급 공개 모델 4종(Qwen3-VL-2B, Qwen2.5-VL-3B, SmolVLM2-2.2B, Gemma4-E2B)과 공개 의료 VQA 데이터셋 3종(PathVQA, SLAKE, VQA-RAD)을 대상으로, 제로샷 베이스라인 12조건(Phase 1), QLoRA 파인튜닝 75조건(Phase 2), 하이퍼파라미터 탐색 전략 비교 610 trial(Phase 3)을 동일한 평가 프로토콜 아래 수행했다.</w:t>
      </w:r>
    </w:p>
    <w:p>
      <w:pPr>
        <w:spacing w:line="384" w:lineRule="auto" w:after="0"/>
        <w:ind w:firstLine="220"/>
        <w:jc w:val="both"/>
      </w:pPr>
      <w:r>
        <w:rPr>
          <w:rFonts w:ascii="휴먼명조" w:eastAsia="휴먼명조" w:hAnsi="휴먼명조" w:cs="휴먼명조"/>
          <w:b w:val="0"/>
          <w:sz w:val="22"/>
          <w:w w:val="97"/>
        </w:rPr>
        <w:t>제로샷 성능은 모델 간 통계적으로 유의하게 달랐으며(Cochran's Q = 1904.28, df = 3, p &lt; .001), Qwen3-VL-2B가 합산 정확도 0.3843으로 가장 높았다. 이 순위는 Min-K% Probability로 식별한 사전훈련 노출 의심 표본을 제거한 뒤에도 유지되어 데이터 오염에 강건했다. QLoRA 파인튜닝의 효과는 모델에 따라 방향이 엇갈렸다. Qwen2.5-VL-3B(Cohen's d = +2.646)와 Qwen3-VL-2B(d = +1.620)에서는 유의하게 향상된 반면 SmolVLM2-2.2B(d = -2.284)에서는 유의하게 악화되었고, 네 모델을 합산한 혼합효과모형은 상반된 효과가 상쇄되어 "효과 없음"으로 보고했다(p = .3629). 자율 하이퍼파라미터 탐색에서는 대규모 언어모델 에이전트(0.4184)가 베이지안 최적화(0.4490)보다 유의하게 낮았고(Mann-Whitney U = 16.00, p = .0112, r = -0.68) 무작위 탐색(0.4186)과도 구분되지 않았다. 다만 세 자동 탐색 전략 모두 수동 설정(0.3776)을 상회했다. 에이전트의 열세는 제안 품질이 아니라 중복 제안에 따른 실효 탐색 예산 축소에서 비롯되었다(반복당 고유 설정 12.5/20).</w:t>
      </w:r>
    </w:p>
    <w:p>
      <w:pPr>
        <w:spacing w:line="384" w:lineRule="auto" w:after="0"/>
        <w:ind w:firstLine="220"/>
        <w:jc w:val="both"/>
      </w:pPr>
      <w:r>
        <w:rPr>
          <w:rFonts w:ascii="휴먼명조" w:eastAsia="휴먼명조" w:hAnsi="휴먼명조" w:cs="휴먼명조"/>
          <w:b w:val="0"/>
          <w:sz w:val="22"/>
          <w:w w:val="97"/>
        </w:rPr>
        <w:t>본 연구의 의의는 세 가지다. 첫째, 경량 VLM의 의료 도메인 적응에 관한 3단계 실증 데이터를 동일 프로토콜 아래 제공하며, 성능과 자원 소비가 단조 관계를 이루지 않음을 보여 자원 제약 환경의 모델 선택 근거를 제시한다. 둘째, 파인튜닝 효과의 모델별 이질성을 정량화하여 합산 분석이 상반된 효과를 은폐하는 과정을 실증한다. 셋째, 자율 에이전트 기반 최적화의 부정적 결과를 그 실패 기전과 함께 보고한다. 특히 동일 설정을 반복 실행할 때 관측된 변동폭(0.056)이 전략 간 평균 차이(0.031)보다 크다는 사실은 단일 실행 결과로 기법을 비교하는 관행에 대한 정량적 반례가 된다.</w:t>
      </w:r>
    </w:p>
    <w:p>
      <w:pPr>
        <w:spacing w:line="384" w:lineRule="auto" w:after="0"/>
        <w:ind w:firstLine="220"/>
        <w:jc w:val="both"/>
      </w:pPr>
      <w:r>
        <w:rPr>
          <w:rFonts w:ascii="휴먼명조" w:eastAsia="휴먼명조" w:hAnsi="휴먼명조" w:cs="휴먼명조"/>
          <w:b w:val="0"/>
          <w:sz w:val="22"/>
          <w:w w:val="97"/>
        </w:rPr>
        <w:t>주제어 : 의료 영상 질의응답, 시각-언어 모델, QLoRA, 파라미터 효율적 파인튜닝, 하이퍼파라미터 최적화, 대규모 언어모델 에이전트</w:t>
      </w:r>
    </w:p>
    <w:sectPr w:rsidR="00291369" w:rsidRPr="003D198D" w:rsidSect="006277D8">
      <w:endnotePr>
        <w:numFmt w:val="decimal"/>
      </w:endnotePr>
      <w:pgSz w:w="10318" w:h="14570"/>
      <w:pgMar w:top="1701" w:right="1440" w:bottom="1440" w:left="1440" w:header="0" w:footer="0" w:gutter="0"/>
      <w:pgNumType w:start="1"/>
      <w:cols w:space="0"/>
      <w:docGrid w:linePitch="299"/>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학위논문실" w:date="2024-03-18T10:17:00Z" w:initials="학">
    <w:p w14:paraId="13A0A18D" w14:textId="283EBE73" w:rsidR="00757438" w:rsidRDefault="007C44C6" w:rsidP="00757438">
      <w:pPr>
        <w:pStyle w:val="afff1"/>
      </w:pPr>
      <w:r>
        <w:rPr>
          <w:rStyle w:val="afff0"/>
        </w:rPr>
        <w:annotationRef/>
      </w:r>
      <w:r w:rsidR="00757438">
        <w:t>Wirte the year and month of your degree conferral date(year in numbers and month in English)</w:t>
      </w:r>
    </w:p>
  </w:comment>
  <w:comment w:id="1" w:author="학위논문실" w:date="2024-03-18T10:19:00Z" w:initials="학">
    <w:p w14:paraId="3579337C" w14:textId="5DEDBFF1" w:rsidR="00197AE1" w:rsidRPr="00A06DE3" w:rsidRDefault="006000CA" w:rsidP="00A06DE3">
      <w:pPr>
        <w:pStyle w:val="afff1"/>
      </w:pPr>
      <w:r w:rsidRPr="0003723A">
        <w:rPr>
          <w:rFonts w:ascii="함초롬돋움" w:eastAsia="함초롬돋움" w:hAnsi="함초롬돋움" w:cs="함초롬돋움" w:hint="eastAsia"/>
          <w:spacing w:val="-10"/>
          <w:kern w:val="0"/>
          <w:sz w:val="18"/>
          <w:szCs w:val="18"/>
        </w:rPr>
        <w:t>Please contact the administration office for your Department English name and enter it correctly.</w:t>
      </w:r>
      <w:r w:rsidR="00846490">
        <w:rPr>
          <w:rStyle w:val="afff0"/>
        </w:rPr>
        <w:annotationRef/>
      </w:r>
    </w:p>
  </w:comment>
  <w:comment w:id="2" w:author="USER" w:date="2024-09-27T10:18:00Z" w:initials="U">
    <w:p w14:paraId="612C4EAB" w14:textId="78A2A26B" w:rsidR="006000CA" w:rsidRPr="001828D0" w:rsidRDefault="006000CA" w:rsidP="00651473">
      <w:pPr>
        <w:pStyle w:val="a3"/>
        <w:rPr>
          <w:rFonts w:ascii="함초롬바탕" w:eastAsia="굴림" w:hAnsi="굴림" w:cs="굴림"/>
          <w:kern w:val="0"/>
          <w:sz w:val="16"/>
          <w:szCs w:val="16"/>
        </w:rPr>
      </w:pPr>
      <w:r>
        <w:rPr>
          <w:rStyle w:val="afff0"/>
        </w:rPr>
        <w:annotationRef/>
      </w:r>
      <w:r w:rsidR="00651473">
        <w:rPr>
          <w:rFonts w:ascii="함초롬바탕" w:eastAsia="굴림" w:hAnsi="굴림" w:cs="굴림" w:hint="eastAsia"/>
          <w:kern w:val="0"/>
          <w:szCs w:val="20"/>
          <w:shd w:val="clear" w:color="auto" w:fill="auto"/>
        </w:rPr>
        <w:t>If you are currently enrolled in a professional graduate school, please enter your graduate school.</w:t>
      </w:r>
    </w:p>
    <w:p w14:paraId="28F0CA19" w14:textId="48DE0ED1" w:rsidR="006000CA" w:rsidRDefault="006000CA" w:rsidP="00651473">
      <w:pPr>
        <w:pBdr>
          <w:top w:val="none" w:sz="0" w:space="0" w:color="auto"/>
          <w:left w:val="none" w:sz="0" w:space="0" w:color="auto"/>
          <w:bottom w:val="none" w:sz="0" w:space="0" w:color="auto"/>
          <w:right w:val="none" w:sz="0" w:space="0" w:color="auto"/>
        </w:pBdr>
        <w:spacing w:line="384" w:lineRule="auto"/>
      </w:pPr>
      <w:r w:rsidRPr="001828D0">
        <w:rPr>
          <w:rFonts w:eastAsia="맑은 고딕" w:hAnsi="맑은 고딕" w:cs="굴림" w:hint="eastAsia"/>
          <w:kern w:val="0"/>
          <w:sz w:val="16"/>
          <w:szCs w:val="16"/>
        </w:rPr>
        <w:t>ex. Graduate School of Education, Konkuk University</w:t>
      </w:r>
    </w:p>
  </w:comment>
  <w:comment w:id="3" w:author="학위논문실" w:date="2024-03-18T10:19:00Z" w:initials="학">
    <w:p w14:paraId="1523D697" w14:textId="06AFA93B" w:rsidR="006469C2" w:rsidRDefault="00846490" w:rsidP="00651473">
      <w:pPr>
        <w:pStyle w:val="a3"/>
      </w:pPr>
      <w:r>
        <w:rPr>
          <w:rStyle w:val="afff0"/>
        </w:rPr>
        <w:annotationRef/>
      </w:r>
      <w:r w:rsidR="00651473" w:rsidRPr="00651473">
        <w:rPr>
          <w:rFonts w:ascii="맑은 고딕" w:eastAsia="맑은 고딕" w:hAnsi="맑은 고딕" w:cs="굴림" w:hint="eastAsia"/>
          <w:kern w:val="0"/>
          <w:szCs w:val="20"/>
          <w:shd w:val="clear" w:color="auto" w:fill="auto"/>
        </w:rPr>
        <w:t>Please enter your degree title. Please contact the Graduate School Office.</w:t>
      </w:r>
    </w:p>
  </w:comment>
  <w:comment w:id="4" w:author="학위논문실" w:date="2024-03-18T10:20:00Z" w:initials="학">
    <w:p w14:paraId="095FA359" w14:textId="593592F3" w:rsidR="006469C2" w:rsidRPr="00651473" w:rsidRDefault="00846490" w:rsidP="00651473">
      <w:pPr>
        <w:pStyle w:val="a3"/>
        <w:rPr>
          <w:rFonts w:ascii="함초롬바탕" w:eastAsia="굴림" w:hAnsi="굴림" w:cs="굴림"/>
          <w:kern w:val="0"/>
          <w:szCs w:val="20"/>
          <w:shd w:val="clear" w:color="auto" w:fill="auto"/>
        </w:rPr>
      </w:pPr>
      <w:r>
        <w:rPr>
          <w:rStyle w:val="afff0"/>
        </w:rPr>
        <w:annotationRef/>
      </w:r>
      <w:r w:rsidR="00651473" w:rsidRPr="00651473">
        <w:rPr>
          <w:rFonts w:ascii="맑은 고딕" w:eastAsia="맑은 고딕" w:hAnsi="맑은 고딕" w:cs="굴림" w:hint="eastAsia"/>
          <w:kern w:val="0"/>
          <w:szCs w:val="20"/>
          <w:shd w:val="clear" w:color="auto" w:fill="auto"/>
        </w:rPr>
        <w:t>Please enter the month in which you applied for thesis review in the academic system.</w:t>
      </w:r>
    </w:p>
  </w:comment>
  <w:comment w:id="5" w:author="학위논문실" w:date="2024-03-18T10:22:00Z" w:initials="학">
    <w:p w14:paraId="28CD1540" w14:textId="77777777" w:rsidR="00197AE1" w:rsidRDefault="00846490" w:rsidP="00197AE1">
      <w:pPr>
        <w:pStyle w:val="afff1"/>
        <w:numPr>
          <w:ilvl w:val="0"/>
          <w:numId w:val="13"/>
        </w:numPr>
      </w:pPr>
      <w:r>
        <w:rPr>
          <w:rStyle w:val="afff0"/>
        </w:rPr>
        <w:annotationRef/>
      </w:r>
      <w:r w:rsidR="00197AE1">
        <w:t>Master candidates need signature of three committee members(including the main supervisor)</w:t>
      </w:r>
    </w:p>
    <w:p w14:paraId="138BE6D5" w14:textId="77777777" w:rsidR="00197AE1" w:rsidRDefault="00197AE1" w:rsidP="00197AE1">
      <w:pPr>
        <w:pStyle w:val="afff1"/>
        <w:numPr>
          <w:ilvl w:val="0"/>
          <w:numId w:val="13"/>
        </w:numPr>
      </w:pPr>
      <w:r>
        <w:t>When you upload the file, approved page must include the signed page.</w:t>
      </w:r>
    </w:p>
  </w:comment>
  <w:comment w:id="6" w:author="학위논문실" w:date="2024-03-18T10:23:00Z" w:initials="학">
    <w:p w14:paraId="4AF12C94" w14:textId="77777777" w:rsidR="00197AE1" w:rsidRDefault="00846490" w:rsidP="00197AE1">
      <w:pPr>
        <w:pStyle w:val="afff1"/>
      </w:pPr>
      <w:r>
        <w:rPr>
          <w:rStyle w:val="afff0"/>
        </w:rPr>
        <w:annotationRef/>
      </w:r>
      <w:r w:rsidR="00197AE1">
        <w:t>Write the year and month of your last thesis examnination date for approved page(year in numbers and month in English)</w:t>
      </w:r>
    </w:p>
  </w:comment>
  <w:comment w:id="7" w:author="학위논문실" w:date="2024-03-18T10:25:00Z" w:initials="학">
    <w:p w14:paraId="5C52CC3C" w14:textId="77777777" w:rsidR="00D051DC" w:rsidRDefault="00846490" w:rsidP="00D051DC">
      <w:pPr>
        <w:pStyle w:val="afff1"/>
        <w:numPr>
          <w:ilvl w:val="0"/>
          <w:numId w:val="24"/>
        </w:numPr>
      </w:pPr>
      <w:r>
        <w:rPr>
          <w:rStyle w:val="afff0"/>
        </w:rPr>
        <w:annotationRef/>
      </w:r>
      <w:r w:rsidR="00D051DC">
        <w:t>Use small Roman numeral on pages of Table of Contents, List of Tables, List of Figures Pages.</w:t>
      </w:r>
    </w:p>
    <w:p w14:paraId="6F71F655" w14:textId="77777777" w:rsidR="00D051DC" w:rsidRDefault="00D051DC" w:rsidP="00D051DC">
      <w:pPr>
        <w:pStyle w:val="afff1"/>
        <w:numPr>
          <w:ilvl w:val="0"/>
          <w:numId w:val="24"/>
        </w:numPr>
      </w:pPr>
      <w:r>
        <w:t>Location of Abstract</w:t>
      </w:r>
    </w:p>
    <w:p w14:paraId="2150C3FB" w14:textId="77777777" w:rsidR="00A92785" w:rsidRPr="00A92785" w:rsidRDefault="00A92785" w:rsidP="00A92785">
      <w:pPr>
        <w:pStyle w:val="afff4"/>
        <w:pBdr>
          <w:top w:val="none" w:sz="0" w:space="0" w:color="auto"/>
          <w:left w:val="none" w:sz="0" w:space="0" w:color="auto"/>
          <w:bottom w:val="none" w:sz="0" w:space="0" w:color="auto"/>
          <w:right w:val="none" w:sz="0" w:space="0" w:color="auto"/>
        </w:pBdr>
        <w:wordWrap/>
        <w:spacing w:line="384" w:lineRule="auto"/>
        <w:ind w:leftChars="0" w:left="0"/>
        <w:jc w:val="left"/>
        <w:rPr>
          <w:rFonts w:ascii="함초롬바탕" w:eastAsia="굴림" w:hAnsi="굴림" w:cs="굴림"/>
          <w:kern w:val="0"/>
          <w:sz w:val="20"/>
          <w:szCs w:val="20"/>
        </w:rPr>
      </w:pPr>
      <w:r w:rsidRPr="00A92785">
        <w:rPr>
          <w:rFonts w:eastAsia="맑은 고딕" w:hAnsi="맑은 고딕" w:cs="굴림" w:hint="eastAsia"/>
          <w:kern w:val="0"/>
          <w:sz w:val="20"/>
          <w:szCs w:val="20"/>
        </w:rPr>
        <w:t>① General/Professional/Special Graduate School (Doctoral): Submit one in Korean and one in English.</w:t>
      </w:r>
    </w:p>
    <w:p w14:paraId="327B463B" w14:textId="77777777" w:rsidR="00A92785" w:rsidRPr="00A92785" w:rsidRDefault="00A92785" w:rsidP="00A92785">
      <w:pPr>
        <w:pStyle w:val="afff4"/>
        <w:pBdr>
          <w:top w:val="none" w:sz="0" w:space="0" w:color="auto"/>
          <w:left w:val="none" w:sz="0" w:space="0" w:color="auto"/>
          <w:bottom w:val="none" w:sz="0" w:space="0" w:color="auto"/>
          <w:right w:val="none" w:sz="0" w:space="0" w:color="auto"/>
        </w:pBdr>
        <w:wordWrap/>
        <w:spacing w:line="384" w:lineRule="auto"/>
        <w:ind w:leftChars="0" w:left="0"/>
        <w:jc w:val="left"/>
        <w:rPr>
          <w:rFonts w:ascii="함초롬바탕" w:eastAsia="굴림" w:hAnsi="굴림" w:cs="굴림"/>
          <w:kern w:val="0"/>
          <w:sz w:val="20"/>
          <w:szCs w:val="20"/>
        </w:rPr>
      </w:pPr>
      <w:r w:rsidRPr="00A92785">
        <w:rPr>
          <w:rFonts w:eastAsia="맑은 고딕" w:hAnsi="맑은 고딕" w:cs="굴림" w:hint="eastAsia"/>
          <w:kern w:val="0"/>
          <w:sz w:val="20"/>
          <w:szCs w:val="20"/>
        </w:rPr>
        <w:t>② Professional/Special Graduate School (Master’s): Submit in Korean or English. However, for the Graduate School of Art and Design, an English abstract is mandatory.</w:t>
      </w:r>
    </w:p>
    <w:p w14:paraId="73D85CD3" w14:textId="77777777" w:rsidR="00D051DC" w:rsidRDefault="00D051DC" w:rsidP="00D051DC">
      <w:pPr>
        <w:pStyle w:val="afff1"/>
      </w:pPr>
      <w:r>
        <w:t>3. The Number of Abstracts</w:t>
      </w:r>
    </w:p>
    <w:p w14:paraId="4E6DFFEA" w14:textId="77777777" w:rsidR="00D051DC" w:rsidRDefault="00D051DC" w:rsidP="00D051DC">
      <w:pPr>
        <w:pStyle w:val="afff1"/>
      </w:pPr>
      <w:r>
        <w:t>①The Graduate School(Master, Doctor), Professional Graduate Schools(Doctor): Abstract in Korean &amp; English(Total 2)</w:t>
      </w:r>
    </w:p>
    <w:p w14:paraId="698DCCEA" w14:textId="77777777" w:rsidR="00D051DC" w:rsidRDefault="00D051DC" w:rsidP="00D051DC">
      <w:pPr>
        <w:pStyle w:val="afff1"/>
      </w:pPr>
      <w:r>
        <w:t>②Professional Graduate Schools(Master): Abstract in Korean or Abstract in English(Total 1)</w:t>
      </w:r>
      <w:r>
        <w:br/>
        <w:t xml:space="preserve">※Note: Graduate School of Art &amp; Design must include an Abstract in English. </w:t>
      </w:r>
    </w:p>
  </w:comment>
  <w:comment w:id="8" w:author="학위논문실" w:date="2024-03-18T10:26:00Z" w:initials="학">
    <w:p w14:paraId="2AD8A708" w14:textId="247E3DA9" w:rsidR="00F84C31" w:rsidRDefault="00846490" w:rsidP="00F84C31">
      <w:pPr>
        <w:pStyle w:val="afff1"/>
      </w:pPr>
      <w:r>
        <w:rPr>
          <w:rStyle w:val="afff0"/>
        </w:rPr>
        <w:annotationRef/>
      </w:r>
      <w:r w:rsidR="00F84C31">
        <w:t>Use Arabic numeral from Introduction page to Abstract(back) page.</w:t>
      </w:r>
    </w:p>
  </w:comment>
  <w:comment w:id="9" w:author="학위논문실" w:date="2024-03-18T10:26:00Z" w:initials="학">
    <w:p w14:paraId="1E8DB1C2" w14:textId="77777777" w:rsidR="00F84C31" w:rsidRDefault="00846490" w:rsidP="00F84C31">
      <w:pPr>
        <w:pStyle w:val="afff1"/>
      </w:pPr>
      <w:r>
        <w:rPr>
          <w:rStyle w:val="afff0"/>
        </w:rPr>
        <w:annotationRef/>
      </w:r>
      <w:r w:rsidR="00F84C31">
        <w:t>Write Strapline.</w:t>
      </w:r>
    </w:p>
  </w:comment>
  <w:comment w:id="10" w:author="학위논문실" w:date="2024-09-05T14:14:00Z" w:initials="학">
    <w:p w14:paraId="4C21D83A" w14:textId="77777777" w:rsidR="00330719" w:rsidRDefault="00DF0C18" w:rsidP="00330719">
      <w:pPr>
        <w:pStyle w:val="afff1"/>
      </w:pPr>
      <w:r>
        <w:rPr>
          <w:rStyle w:val="afff0"/>
        </w:rPr>
        <w:annotationRef/>
      </w:r>
      <w:r w:rsidR="00330719">
        <w:t>Write only Graduate school of Education, Real Estate Studies, Art &amp; Design.</w:t>
      </w:r>
    </w:p>
  </w:comment>
  <w:comment w:id="11" w:author="학위논문실" w:date="2024-03-18T10:28:00Z" w:initials="학">
    <w:p w14:paraId="6DCE5D99" w14:textId="77777777" w:rsidR="00330719" w:rsidRDefault="00846490" w:rsidP="00330719">
      <w:pPr>
        <w:pStyle w:val="afff1"/>
      </w:pPr>
      <w:r>
        <w:rPr>
          <w:rStyle w:val="afff0"/>
        </w:rPr>
        <w:annotationRef/>
      </w:r>
      <w:r w:rsidR="00330719">
        <w:t>On the last page of the abstract, write the English keyword on the English version of the abstract(6 Keywords at maximum).</w:t>
      </w:r>
    </w:p>
  </w:comment>
  <w:comment w:id="12" w:author="학위논문실" w:date="2024-03-18T10:29:00Z" w:initials="학">
    <w:p w14:paraId="0AC9B3E7" w14:textId="77777777" w:rsidR="008363E8" w:rsidRDefault="00846490" w:rsidP="008363E8">
      <w:pPr>
        <w:pStyle w:val="afff1"/>
      </w:pPr>
      <w:r>
        <w:rPr>
          <w:rStyle w:val="afff0"/>
        </w:rPr>
        <w:annotationRef/>
      </w:r>
      <w:r w:rsidR="008363E8">
        <w:t xml:space="preserve">Acknowledgments should be deleted before upload. </w:t>
      </w:r>
    </w:p>
    <w:p w14:paraId="77076C2C" w14:textId="77777777" w:rsidR="008363E8" w:rsidRDefault="008363E8" w:rsidP="008363E8">
      <w:pPr>
        <w:pStyle w:val="afff1"/>
      </w:pPr>
    </w:p>
    <w:p w14:paraId="72CDCA38" w14:textId="77777777" w:rsidR="008363E8" w:rsidRDefault="008363E8" w:rsidP="008363E8">
      <w:pPr>
        <w:pStyle w:val="afff1"/>
      </w:pPr>
      <w:r>
        <w:t>Available cases below:</w:t>
      </w:r>
    </w:p>
    <w:p w14:paraId="1C08538F" w14:textId="77777777" w:rsidR="001A2A17" w:rsidRPr="001A2A17" w:rsidRDefault="001A2A17" w:rsidP="001A2A17">
      <w:pPr>
        <w:pBdr>
          <w:top w:val="none" w:sz="0" w:space="0" w:color="auto"/>
          <w:left w:val="none" w:sz="0" w:space="0" w:color="auto"/>
          <w:bottom w:val="none" w:sz="0" w:space="0" w:color="auto"/>
          <w:right w:val="none" w:sz="0" w:space="0" w:color="auto"/>
        </w:pBdr>
        <w:spacing w:line="384" w:lineRule="auto"/>
        <w:rPr>
          <w:rFonts w:ascii="함초롬바탕" w:eastAsia="굴림" w:hAnsi="굴림" w:cs="굴림"/>
          <w:kern w:val="0"/>
          <w:sz w:val="20"/>
          <w:szCs w:val="20"/>
        </w:rPr>
      </w:pPr>
      <w:r w:rsidRPr="001A2A17">
        <w:rPr>
          <w:rFonts w:eastAsia="맑은 고딕" w:hAnsi="맑은 고딕" w:cs="굴림" w:hint="eastAsia"/>
          <w:kern w:val="0"/>
          <w:sz w:val="20"/>
          <w:szCs w:val="20"/>
        </w:rPr>
        <w:t>Available cases below:</w:t>
      </w:r>
    </w:p>
    <w:p w14:paraId="067A6234" w14:textId="77777777" w:rsidR="001A2A17" w:rsidRPr="001A2A17" w:rsidRDefault="001A2A17" w:rsidP="001A2A17">
      <w:pPr>
        <w:pBdr>
          <w:top w:val="none" w:sz="0" w:space="0" w:color="auto"/>
          <w:left w:val="none" w:sz="0" w:space="0" w:color="auto"/>
          <w:bottom w:val="none" w:sz="0" w:space="0" w:color="auto"/>
          <w:right w:val="none" w:sz="0" w:space="0" w:color="auto"/>
        </w:pBdr>
        <w:spacing w:line="384" w:lineRule="auto"/>
        <w:rPr>
          <w:rFonts w:ascii="함초롬바탕" w:eastAsia="굴림" w:hAnsi="굴림" w:cs="굴림"/>
          <w:kern w:val="0"/>
          <w:sz w:val="20"/>
          <w:szCs w:val="20"/>
        </w:rPr>
      </w:pPr>
      <w:r w:rsidRPr="001A2A17">
        <w:rPr>
          <w:rFonts w:eastAsia="맑은 고딕" w:hAnsi="맑은 고딕" w:cs="굴림" w:hint="eastAsia"/>
          <w:kern w:val="0"/>
          <w:sz w:val="20"/>
          <w:szCs w:val="20"/>
        </w:rPr>
        <w:t>①Foreign Students who have received 'Global Korea Scholarship' should write this phrase.</w:t>
      </w:r>
    </w:p>
    <w:p w14:paraId="201622C9" w14:textId="77777777" w:rsidR="001A2A17" w:rsidRPr="001A2A17" w:rsidRDefault="001A2A17" w:rsidP="001A2A17">
      <w:pPr>
        <w:pBdr>
          <w:top w:val="none" w:sz="0" w:space="0" w:color="auto"/>
          <w:left w:val="none" w:sz="0" w:space="0" w:color="auto"/>
          <w:bottom w:val="none" w:sz="0" w:space="0" w:color="auto"/>
          <w:right w:val="none" w:sz="0" w:space="0" w:color="auto"/>
        </w:pBdr>
        <w:spacing w:line="384" w:lineRule="auto"/>
        <w:rPr>
          <w:rFonts w:ascii="함초롬바탕" w:eastAsia="굴림" w:hAnsi="굴림" w:cs="굴림"/>
          <w:kern w:val="0"/>
          <w:sz w:val="20"/>
          <w:szCs w:val="20"/>
        </w:rPr>
      </w:pPr>
      <w:r w:rsidRPr="001A2A17">
        <w:rPr>
          <w:rFonts w:eastAsia="맑은 고딕" w:hAnsi="맑은 고딕" w:cs="굴림" w:hint="eastAsia"/>
          <w:kern w:val="0"/>
          <w:sz w:val="20"/>
          <w:szCs w:val="20"/>
        </w:rPr>
        <w:t>②In the case of necessity to indicate by receiving research funding.</w:t>
      </w:r>
    </w:p>
    <w:p w14:paraId="733B6913" w14:textId="6DA2DD15" w:rsidR="008363E8" w:rsidRPr="001A2A17" w:rsidRDefault="008363E8" w:rsidP="008363E8">
      <w:pPr>
        <w:pStyle w:val="afff1"/>
      </w:pPr>
    </w:p>
  </w:comment>
  <w:comment w:id="13" w:author="학위논문실" w:date="2024-03-18T10:57:00Z" w:initials="학">
    <w:p w14:paraId="069F5A50" w14:textId="77777777" w:rsidR="00323119" w:rsidRDefault="008F2D46" w:rsidP="00323119">
      <w:pPr>
        <w:pStyle w:val="afff1"/>
        <w:numPr>
          <w:ilvl w:val="0"/>
          <w:numId w:val="25"/>
        </w:numPr>
      </w:pPr>
      <w:r>
        <w:rPr>
          <w:rStyle w:val="afff0"/>
        </w:rPr>
        <w:annotationRef/>
      </w:r>
      <w:r w:rsidR="00323119">
        <w:t>Asian languages should be arranged in Korean, Japanese, Chinese in sequence followed by Western language.</w:t>
      </w:r>
    </w:p>
    <w:p w14:paraId="2A58695C" w14:textId="77777777" w:rsidR="00323119" w:rsidRDefault="00323119" w:rsidP="00323119">
      <w:pPr>
        <w:pStyle w:val="afff1"/>
        <w:numPr>
          <w:ilvl w:val="0"/>
          <w:numId w:val="25"/>
        </w:numPr>
      </w:pPr>
      <w:r>
        <w:t>Korean texts should be arranged in Korean alphabetical order and English texts should be arranged in alphabetical order by the author's last name.</w:t>
      </w:r>
    </w:p>
    <w:p w14:paraId="3F82E9DD" w14:textId="77777777" w:rsidR="00323119" w:rsidRDefault="00323119" w:rsidP="00323119">
      <w:pPr>
        <w:pStyle w:val="afff1"/>
        <w:numPr>
          <w:ilvl w:val="0"/>
          <w:numId w:val="25"/>
        </w:numPr>
      </w:pPr>
      <w:r>
        <w:t>When one reference goes over two lines, next line should be indented by six spaces.</w:t>
      </w:r>
    </w:p>
  </w:comment>
  <w:comment w:id="14" w:author="학위논문실" w:date="2024-03-18T10:30:00Z" w:initials="학">
    <w:p w14:paraId="68209135" w14:textId="3FF77147" w:rsidR="008363E8" w:rsidRDefault="003D198D" w:rsidP="008363E8">
      <w:pPr>
        <w:pStyle w:val="afff1"/>
      </w:pPr>
      <w:r>
        <w:rPr>
          <w:rStyle w:val="afff0"/>
        </w:rPr>
        <w:annotationRef/>
      </w:r>
      <w:r w:rsidR="008363E8">
        <w:t>Appendix Example: chronological table, abbreviation etc.</w:t>
      </w:r>
    </w:p>
  </w:comment>
  <w:comment w:id="15" w:author="학위논문실" w:date="2024-03-18T10:30:00Z" w:initials="학">
    <w:p w14:paraId="5138E303" w14:textId="41DEE716" w:rsidR="00330719" w:rsidRDefault="003D198D" w:rsidP="00330719">
      <w:pPr>
        <w:pStyle w:val="afff1"/>
      </w:pPr>
      <w:r>
        <w:rPr>
          <w:rStyle w:val="afff0"/>
        </w:rPr>
        <w:annotationRef/>
      </w:r>
      <w:r w:rsidR="00330719">
        <w:t>Write only Graduate school of Education, Real Estate Studies, Art &amp; Design.</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13A0A18D" w15:done="0"/>
  <w15:commentEx w15:paraId="3579337C" w15:done="0"/>
  <w15:commentEx w15:paraId="28F0CA19" w15:done="0"/>
  <w15:commentEx w15:paraId="1523D697" w15:done="0"/>
  <w15:commentEx w15:paraId="095FA359" w15:done="0"/>
  <w15:commentEx w15:paraId="138BE6D5" w15:done="0"/>
  <w15:commentEx w15:paraId="4AF12C94" w15:done="0"/>
  <w15:commentEx w15:paraId="698DCCEA" w15:done="0"/>
  <w15:commentEx w15:paraId="2AD8A708" w15:done="0"/>
  <w15:commentEx w15:paraId="1E8DB1C2" w15:done="0"/>
  <w15:commentEx w15:paraId="4C21D83A" w15:done="0"/>
  <w15:commentEx w15:paraId="6DCE5D99" w15:done="0"/>
  <w15:commentEx w15:paraId="733B6913" w15:done="0"/>
  <w15:commentEx w15:paraId="3F82E9DD" w15:done="0"/>
  <w15:commentEx w15:paraId="68209135" w15:done="0"/>
  <w15:commentEx w15:paraId="5138E3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33122FD0" w16cex:dateUtc="2024-09-05T02:34:00Z"/>
  <w16cex:commentExtensible w16cex:durableId="3737781F" w16cex:dateUtc="2024-03-18T01:16:00Z"/>
  <w16cex:commentExtensible w16cex:durableId="3B7DCA6E" w16cex:dateUtc="2024-03-18T01:17:00Z"/>
  <w16cex:commentExtensible w16cex:durableId="2C98754C" w16cex:dateUtc="2024-03-18T01:19:00Z"/>
  <w16cex:commentExtensible w16cex:durableId="0EA0B2CE" w16cex:dateUtc="2024-03-18T01:16:00Z"/>
  <w16cex:commentExtensible w16cex:durableId="6342E85C" w16cex:dateUtc="2024-03-18T01:51:00Z"/>
  <w16cex:commentExtensible w16cex:durableId="23FC4940" w16cex:dateUtc="2024-03-18T01:19:00Z"/>
  <w16cex:commentExtensible w16cex:durableId="6CC6E03F" w16cex:dateUtc="2024-03-18T01:20:00Z"/>
  <w16cex:commentExtensible w16cex:durableId="5BA7471A" w16cex:dateUtc="2024-03-18T01:22:00Z"/>
  <w16cex:commentExtensible w16cex:durableId="00F1BA82" w16cex:dateUtc="2024-03-18T01:23:00Z"/>
  <w16cex:commentExtensible w16cex:durableId="4E6A1644" w16cex:dateUtc="2024-03-18T01:25:00Z"/>
  <w16cex:commentExtensible w16cex:durableId="5C0E9FDD" w16cex:dateUtc="2024-03-18T01:26:00Z"/>
  <w16cex:commentExtensible w16cex:durableId="5909418A" w16cex:dateUtc="2024-03-18T01:26:00Z"/>
  <w16cex:commentExtensible w16cex:durableId="6428F9DE" w16cex:dateUtc="2024-09-05T05:06:00Z"/>
  <w16cex:commentExtensible w16cex:durableId="12151F18" w16cex:dateUtc="2024-09-05T05:06:00Z"/>
  <w16cex:commentExtensible w16cex:durableId="1ED48B28" w16cex:dateUtc="2024-09-05T05:12:00Z"/>
  <w16cex:commentExtensible w16cex:durableId="1120E295" w16cex:dateUtc="2024-09-05T05:14:00Z"/>
  <w16cex:commentExtensible w16cex:durableId="10EF19B0" w16cex:dateUtc="2024-03-18T01:28:00Z"/>
  <w16cex:commentExtensible w16cex:durableId="40307D28" w16cex:dateUtc="2024-03-18T01:29:00Z"/>
  <w16cex:commentExtensible w16cex:durableId="32AA118C" w16cex:dateUtc="2024-03-18T01:57:00Z"/>
  <w16cex:commentExtensible w16cex:durableId="09FD897D" w16cex:dateUtc="2024-03-18T01:30:00Z"/>
  <w16cex:commentExtensible w16cex:durableId="0C4FE85A" w16cex:dateUtc="2024-03-18T01:30:00Z"/>
  <w16cex:commentExtensible w16cex:durableId="119AEA18" w16cex:dateUtc="2024-03-18T01: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25427F59" w16cid:durableId="33122FD0"/>
  <w16cid:commentId w16cid:paraId="259484B3" w16cid:durableId="3737781F"/>
  <w16cid:commentId w16cid:paraId="13A0A18D" w16cid:durableId="3B7DCA6E"/>
  <w16cid:commentId w16cid:paraId="3579337C" w16cid:durableId="2C98754C"/>
  <w16cid:commentId w16cid:paraId="28F0CA19" w16cid:durableId="091AABE3"/>
  <w16cid:commentId w16cid:paraId="4FE35D09" w16cid:durableId="0EA0B2CE"/>
  <w16cid:commentId w16cid:paraId="0B2823DE" w16cid:durableId="6342E85C"/>
  <w16cid:commentId w16cid:paraId="1523D697" w16cid:durableId="23FC4940"/>
  <w16cid:commentId w16cid:paraId="095FA359" w16cid:durableId="6CC6E03F"/>
  <w16cid:commentId w16cid:paraId="138BE6D5" w16cid:durableId="5BA7471A"/>
  <w16cid:commentId w16cid:paraId="4AF12C94" w16cid:durableId="00F1BA82"/>
  <w16cid:commentId w16cid:paraId="0B93B9BD" w16cid:durableId="226A635B"/>
  <w16cid:commentId w16cid:paraId="698DCCEA" w16cid:durableId="4E6A1644"/>
  <w16cid:commentId w16cid:paraId="2AD8A708" w16cid:durableId="5C0E9FDD"/>
  <w16cid:commentId w16cid:paraId="1E8DB1C2" w16cid:durableId="5909418A"/>
  <w16cid:commentId w16cid:paraId="69EE888A" w16cid:durableId="6428F9DE"/>
  <w16cid:commentId w16cid:paraId="5C50A593" w16cid:durableId="12151F18"/>
  <w16cid:commentId w16cid:paraId="32C84BE3" w16cid:durableId="1ED48B28"/>
  <w16cid:commentId w16cid:paraId="667133EC" w16cid:durableId="2AB07FB0"/>
  <w16cid:commentId w16cid:paraId="4C21D83A" w16cid:durableId="1120E295"/>
  <w16cid:commentId w16cid:paraId="7E6FFBEA" w16cid:durableId="5E18BD20"/>
  <w16cid:commentId w16cid:paraId="6DCE5D99" w16cid:durableId="10EF19B0"/>
  <w16cid:commentId w16cid:paraId="733B6913" w16cid:durableId="40307D28"/>
  <w16cid:commentId w16cid:paraId="3F82E9DD" w16cid:durableId="32AA118C"/>
  <w16cid:commentId w16cid:paraId="68209135" w16cid:durableId="09FD897D"/>
  <w16cid:commentId w16cid:paraId="5138E303" w16cid:durableId="0C4FE85A"/>
  <w16cid:commentId w16cid:paraId="2B5D39C3" w16cid:durableId="119AEA18"/>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ADD9E9D" w14:textId="77777777" w:rsidR="00D05365" w:rsidRDefault="00D05365" w:rsidP="00D26248">
      <w:pPr>
        <w:pBdr>
          <w:top w:val="none" w:sz="2" w:space="0" w:color="000000"/>
        </w:pBdr>
      </w:pPr>
      <w:r>
        <w:separator/>
      </w:r>
    </w:p>
  </w:endnote>
  <w:endnote w:type="continuationSeparator" w:id="0">
    <w:p w14:paraId="624433F7" w14:textId="77777777" w:rsidR="00D05365" w:rsidRDefault="00D05365" w:rsidP="00D26248">
      <w:pPr>
        <w:pBdr>
          <w:top w:val="none" w:sz="2" w:space="0" w:color="000000"/>
        </w:pBd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한양신명조">
    <w:altName w:val="바탕"/>
    <w:panose1 w:val="00000000000000000000"/>
    <w:charset w:val="81"/>
    <w:family w:val="roman"/>
    <w:notTrueType/>
    <w:pitch w:val="default"/>
    <w:sig w:usb0="00000001" w:usb1="09060000" w:usb2="00000010" w:usb3="00000000" w:csb0="0008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HY신명조">
    <w:panose1 w:val="02030600000101010101"/>
    <w:charset w:val="81"/>
    <w:family w:val="roman"/>
    <w:pitch w:val="variable"/>
    <w:sig w:usb0="900002A7" w:usb1="29D77CF9" w:usb2="00000010" w:usb3="00000000" w:csb0="00080000"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휴먼명조">
    <w:altName w:val="바탕"/>
    <w:panose1 w:val="00000000000000000000"/>
    <w:charset w:val="81"/>
    <w:family w:val="roman"/>
    <w:notTrueType/>
    <w:pitch w:val="default"/>
  </w:font>
  <w:font w:name="함초롬돋움">
    <w:panose1 w:val="020B0604000101010101"/>
    <w:charset w:val="81"/>
    <w:family w:val="modern"/>
    <w:pitch w:val="variable"/>
    <w:sig w:usb0="F7002EFF" w:usb1="19DFFFFF" w:usb2="001BFDD7" w:usb3="00000000" w:csb0="001F007F" w:csb1="00000000"/>
  </w:font>
  <w:font w:name="함초롬바탕">
    <w:panose1 w:val="02030604000101010101"/>
    <w:charset w:val="81"/>
    <w:family w:val="roman"/>
    <w:pitch w:val="variable"/>
    <w:sig w:usb0="F7002EFF" w:usb1="19DFFFFF" w:usb2="001BFDD7" w:usb3="00000000" w:csb0="001F01FF" w:csb1="00000000"/>
  </w:font>
  <w:font w:name="휴먼고딕">
    <w:altName w:val="바탕"/>
    <w:panose1 w:val="00000000000000000000"/>
    <w:charset w:val="81"/>
    <w:family w:val="roman"/>
    <w:notTrueType/>
    <w:pitch w:val="default"/>
    <w:sig w:usb0="00000001" w:usb1="09060000" w:usb2="00000010" w:usb3="00000000" w:csb0="00080000"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23B362" w14:textId="77777777" w:rsidR="00D26248" w:rsidRDefault="00D26248" w:rsidP="00D26248">
    <w:pPr>
      <w:pStyle w:val="afff"/>
      <w:pBdr>
        <w:top w:val="none" w:sz="2" w:space="0" w:color="000000"/>
      </w:pBd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BF728B" w14:textId="77777777" w:rsidR="00345205" w:rsidRDefault="00345205" w:rsidP="00D26248">
    <w:pPr>
      <w:pBdr>
        <w:top w:val="none" w:sz="2" w:space="0" w:color="000000"/>
      </w:pBd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76F544" w14:textId="77777777" w:rsidR="00D26248" w:rsidRDefault="00D26248" w:rsidP="00D26248">
    <w:pPr>
      <w:pStyle w:val="afff"/>
      <w:pBdr>
        <w:top w:val="none" w:sz="2" w:space="0" w:color="000000"/>
      </w:pBd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40789DC" w14:textId="77777777" w:rsidR="006F129A" w:rsidRDefault="006F129A" w:rsidP="00D26248">
    <w:pPr>
      <w:pBdr>
        <w:top w:val="none" w:sz="2" w:space="0" w:color="000000"/>
      </w:pBdr>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62660730"/>
      <w:docPartObj>
        <w:docPartGallery w:val="Page Numbers (Bottom of Page)"/>
        <w:docPartUnique/>
      </w:docPartObj>
    </w:sdtPr>
    <w:sdtEndPr/>
    <w:sdtContent>
      <w:p w14:paraId="1D47717D" w14:textId="01670896" w:rsidR="00431532" w:rsidRDefault="00431532">
        <w:pPr>
          <w:pStyle w:val="afff"/>
          <w:jc w:val="center"/>
        </w:pPr>
        <w:r>
          <w:fldChar w:fldCharType="begin"/>
        </w:r>
        <w:r>
          <w:instrText>PAGE   \* MERGEFORMAT</w:instrText>
        </w:r>
        <w:r>
          <w:fldChar w:fldCharType="separate"/>
        </w:r>
        <w:r w:rsidR="002A70E6" w:rsidRPr="002A70E6">
          <w:rPr>
            <w:noProof/>
            <w:lang w:val="ko-KR"/>
          </w:rPr>
          <w:t>3</w:t>
        </w:r>
        <w:r>
          <w:fldChar w:fldCharType="end"/>
        </w:r>
      </w:p>
    </w:sdtContent>
  </w:sdt>
  <w:p w14:paraId="49ED06B3" w14:textId="77777777" w:rsidR="006F129A" w:rsidRDefault="006F129A" w:rsidP="00D26248">
    <w:pPr>
      <w:pBdr>
        <w:top w:val="none" w:sz="2" w:space="0" w:color="000000"/>
      </w:pBd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140BB5A" w14:textId="77777777" w:rsidR="00D05365" w:rsidRDefault="00D05365" w:rsidP="00D26248">
      <w:pPr>
        <w:pBdr>
          <w:top w:val="none" w:sz="2" w:space="0" w:color="000000"/>
        </w:pBdr>
      </w:pPr>
      <w:r>
        <w:separator/>
      </w:r>
    </w:p>
  </w:footnote>
  <w:footnote w:type="continuationSeparator" w:id="0">
    <w:p w14:paraId="311D1238" w14:textId="77777777" w:rsidR="00D05365" w:rsidRDefault="00D05365" w:rsidP="00D26248">
      <w:pPr>
        <w:pBdr>
          <w:top w:val="none" w:sz="2" w:space="0" w:color="000000"/>
        </w:pBdr>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4E1340" w14:textId="77777777" w:rsidR="00D26248" w:rsidRDefault="00D26248" w:rsidP="00D26248">
    <w:pPr>
      <w:pStyle w:val="affe"/>
      <w:pBdr>
        <w:top w:val="none" w:sz="2" w:space="0" w:color="000000"/>
      </w:pBd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7EE2F1" w14:textId="77777777" w:rsidR="00D26248" w:rsidRDefault="00D26248" w:rsidP="00D26248">
    <w:pPr>
      <w:pStyle w:val="affe"/>
      <w:pBdr>
        <w:top w:val="none" w:sz="2" w:space="0" w:color="000000"/>
      </w:pBd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601A3A" w14:textId="77777777" w:rsidR="00D26248" w:rsidRDefault="00D26248" w:rsidP="00D26248">
    <w:pPr>
      <w:pStyle w:val="affe"/>
      <w:pBdr>
        <w:top w:val="none" w:sz="2" w:space="0" w:color="000000"/>
      </w:pBd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E9A5E7" w14:textId="77777777" w:rsidR="006F129A" w:rsidRDefault="006F129A" w:rsidP="00D26248">
    <w:pPr>
      <w:pStyle w:val="affe"/>
      <w:pBdr>
        <w:top w:val="none" w:sz="2" w:space="0" w:color="000000"/>
      </w:pBd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E7AB702" w14:textId="77777777" w:rsidR="006F129A" w:rsidRDefault="006F129A" w:rsidP="00D26248">
    <w:pPr>
      <w:pStyle w:val="affe"/>
      <w:pBdr>
        <w:top w:val="none" w:sz="2" w:space="0" w:color="000000"/>
      </w:pBd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18594A"/>
    <w:multiLevelType w:val="hybridMultilevel"/>
    <w:tmpl w:val="4EA6A6C6"/>
    <w:lvl w:ilvl="0" w:tplc="A0EC202E">
      <w:start w:val="1"/>
      <w:numFmt w:val="decimal"/>
      <w:lvlText w:val="%1."/>
      <w:lvlJc w:val="left"/>
      <w:pPr>
        <w:ind w:left="1020" w:hanging="360"/>
      </w:pPr>
    </w:lvl>
    <w:lvl w:ilvl="1" w:tplc="DAE41C1C">
      <w:start w:val="1"/>
      <w:numFmt w:val="decimal"/>
      <w:lvlText w:val="%2."/>
      <w:lvlJc w:val="left"/>
      <w:pPr>
        <w:ind w:left="1020" w:hanging="360"/>
      </w:pPr>
    </w:lvl>
    <w:lvl w:ilvl="2" w:tplc="A4C6D52A">
      <w:start w:val="1"/>
      <w:numFmt w:val="decimal"/>
      <w:lvlText w:val="%3."/>
      <w:lvlJc w:val="left"/>
      <w:pPr>
        <w:ind w:left="1020" w:hanging="360"/>
      </w:pPr>
    </w:lvl>
    <w:lvl w:ilvl="3" w:tplc="4F58466C">
      <w:start w:val="1"/>
      <w:numFmt w:val="decimal"/>
      <w:lvlText w:val="%4."/>
      <w:lvlJc w:val="left"/>
      <w:pPr>
        <w:ind w:left="1020" w:hanging="360"/>
      </w:pPr>
    </w:lvl>
    <w:lvl w:ilvl="4" w:tplc="1CD43510">
      <w:start w:val="1"/>
      <w:numFmt w:val="decimal"/>
      <w:lvlText w:val="%5."/>
      <w:lvlJc w:val="left"/>
      <w:pPr>
        <w:ind w:left="1020" w:hanging="360"/>
      </w:pPr>
    </w:lvl>
    <w:lvl w:ilvl="5" w:tplc="0BCC1658">
      <w:start w:val="1"/>
      <w:numFmt w:val="decimal"/>
      <w:lvlText w:val="%6."/>
      <w:lvlJc w:val="left"/>
      <w:pPr>
        <w:ind w:left="1020" w:hanging="360"/>
      </w:pPr>
    </w:lvl>
    <w:lvl w:ilvl="6" w:tplc="94C4A8C4">
      <w:start w:val="1"/>
      <w:numFmt w:val="decimal"/>
      <w:lvlText w:val="%7."/>
      <w:lvlJc w:val="left"/>
      <w:pPr>
        <w:ind w:left="1020" w:hanging="360"/>
      </w:pPr>
    </w:lvl>
    <w:lvl w:ilvl="7" w:tplc="E5E8B21C">
      <w:start w:val="1"/>
      <w:numFmt w:val="decimal"/>
      <w:lvlText w:val="%8."/>
      <w:lvlJc w:val="left"/>
      <w:pPr>
        <w:ind w:left="1020" w:hanging="360"/>
      </w:pPr>
    </w:lvl>
    <w:lvl w:ilvl="8" w:tplc="57E68C62">
      <w:start w:val="1"/>
      <w:numFmt w:val="decimal"/>
      <w:lvlText w:val="%9."/>
      <w:lvlJc w:val="left"/>
      <w:pPr>
        <w:ind w:left="1020" w:hanging="360"/>
      </w:pPr>
    </w:lvl>
  </w:abstractNum>
  <w:abstractNum w:abstractNumId="1" w15:restartNumberingAfterBreak="0">
    <w:nsid w:val="1C5C1D7A"/>
    <w:multiLevelType w:val="hybridMultilevel"/>
    <w:tmpl w:val="EB3844EA"/>
    <w:lvl w:ilvl="0" w:tplc="2FC043B2">
      <w:start w:val="1"/>
      <w:numFmt w:val="decimal"/>
      <w:lvlText w:val="%1."/>
      <w:lvlJc w:val="left"/>
      <w:pPr>
        <w:ind w:left="720" w:hanging="360"/>
      </w:pPr>
    </w:lvl>
    <w:lvl w:ilvl="1" w:tplc="9356D400">
      <w:start w:val="1"/>
      <w:numFmt w:val="decimal"/>
      <w:lvlText w:val="%2."/>
      <w:lvlJc w:val="left"/>
      <w:pPr>
        <w:ind w:left="720" w:hanging="360"/>
      </w:pPr>
    </w:lvl>
    <w:lvl w:ilvl="2" w:tplc="A8ECEB62">
      <w:start w:val="1"/>
      <w:numFmt w:val="decimal"/>
      <w:lvlText w:val="%3."/>
      <w:lvlJc w:val="left"/>
      <w:pPr>
        <w:ind w:left="720" w:hanging="360"/>
      </w:pPr>
    </w:lvl>
    <w:lvl w:ilvl="3" w:tplc="BDE4776C">
      <w:start w:val="1"/>
      <w:numFmt w:val="decimal"/>
      <w:lvlText w:val="%4."/>
      <w:lvlJc w:val="left"/>
      <w:pPr>
        <w:ind w:left="720" w:hanging="360"/>
      </w:pPr>
    </w:lvl>
    <w:lvl w:ilvl="4" w:tplc="010CA1A8">
      <w:start w:val="1"/>
      <w:numFmt w:val="decimal"/>
      <w:lvlText w:val="%5."/>
      <w:lvlJc w:val="left"/>
      <w:pPr>
        <w:ind w:left="720" w:hanging="360"/>
      </w:pPr>
    </w:lvl>
    <w:lvl w:ilvl="5" w:tplc="25628C26">
      <w:start w:val="1"/>
      <w:numFmt w:val="decimal"/>
      <w:lvlText w:val="%6."/>
      <w:lvlJc w:val="left"/>
      <w:pPr>
        <w:ind w:left="720" w:hanging="360"/>
      </w:pPr>
    </w:lvl>
    <w:lvl w:ilvl="6" w:tplc="05B8AB14">
      <w:start w:val="1"/>
      <w:numFmt w:val="decimal"/>
      <w:lvlText w:val="%7."/>
      <w:lvlJc w:val="left"/>
      <w:pPr>
        <w:ind w:left="720" w:hanging="360"/>
      </w:pPr>
    </w:lvl>
    <w:lvl w:ilvl="7" w:tplc="AFE09980">
      <w:start w:val="1"/>
      <w:numFmt w:val="decimal"/>
      <w:lvlText w:val="%8."/>
      <w:lvlJc w:val="left"/>
      <w:pPr>
        <w:ind w:left="720" w:hanging="360"/>
      </w:pPr>
    </w:lvl>
    <w:lvl w:ilvl="8" w:tplc="55CCDDBA">
      <w:start w:val="1"/>
      <w:numFmt w:val="decimal"/>
      <w:lvlText w:val="%9."/>
      <w:lvlJc w:val="left"/>
      <w:pPr>
        <w:ind w:left="720" w:hanging="360"/>
      </w:pPr>
    </w:lvl>
  </w:abstractNum>
  <w:abstractNum w:abstractNumId="2" w15:restartNumberingAfterBreak="0">
    <w:nsid w:val="1C8257B5"/>
    <w:multiLevelType w:val="hybridMultilevel"/>
    <w:tmpl w:val="FBBAC158"/>
    <w:lvl w:ilvl="0" w:tplc="F4527122">
      <w:start w:val="1"/>
      <w:numFmt w:val="decimal"/>
      <w:lvlText w:val="%1."/>
      <w:lvlJc w:val="left"/>
      <w:pPr>
        <w:ind w:left="1020" w:hanging="360"/>
      </w:pPr>
    </w:lvl>
    <w:lvl w:ilvl="1" w:tplc="C2CA6868">
      <w:start w:val="1"/>
      <w:numFmt w:val="decimal"/>
      <w:lvlText w:val="%2."/>
      <w:lvlJc w:val="left"/>
      <w:pPr>
        <w:ind w:left="1020" w:hanging="360"/>
      </w:pPr>
    </w:lvl>
    <w:lvl w:ilvl="2" w:tplc="F6A6F10E">
      <w:start w:val="1"/>
      <w:numFmt w:val="decimal"/>
      <w:lvlText w:val="%3."/>
      <w:lvlJc w:val="left"/>
      <w:pPr>
        <w:ind w:left="1020" w:hanging="360"/>
      </w:pPr>
    </w:lvl>
    <w:lvl w:ilvl="3" w:tplc="51408EAC">
      <w:start w:val="1"/>
      <w:numFmt w:val="decimal"/>
      <w:lvlText w:val="%4."/>
      <w:lvlJc w:val="left"/>
      <w:pPr>
        <w:ind w:left="1020" w:hanging="360"/>
      </w:pPr>
    </w:lvl>
    <w:lvl w:ilvl="4" w:tplc="D7D0E724">
      <w:start w:val="1"/>
      <w:numFmt w:val="decimal"/>
      <w:lvlText w:val="%5."/>
      <w:lvlJc w:val="left"/>
      <w:pPr>
        <w:ind w:left="1020" w:hanging="360"/>
      </w:pPr>
    </w:lvl>
    <w:lvl w:ilvl="5" w:tplc="101EB864">
      <w:start w:val="1"/>
      <w:numFmt w:val="decimal"/>
      <w:lvlText w:val="%6."/>
      <w:lvlJc w:val="left"/>
      <w:pPr>
        <w:ind w:left="1020" w:hanging="360"/>
      </w:pPr>
    </w:lvl>
    <w:lvl w:ilvl="6" w:tplc="801657EE">
      <w:start w:val="1"/>
      <w:numFmt w:val="decimal"/>
      <w:lvlText w:val="%7."/>
      <w:lvlJc w:val="left"/>
      <w:pPr>
        <w:ind w:left="1020" w:hanging="360"/>
      </w:pPr>
    </w:lvl>
    <w:lvl w:ilvl="7" w:tplc="A716A99C">
      <w:start w:val="1"/>
      <w:numFmt w:val="decimal"/>
      <w:lvlText w:val="%8."/>
      <w:lvlJc w:val="left"/>
      <w:pPr>
        <w:ind w:left="1020" w:hanging="360"/>
      </w:pPr>
    </w:lvl>
    <w:lvl w:ilvl="8" w:tplc="68782062">
      <w:start w:val="1"/>
      <w:numFmt w:val="decimal"/>
      <w:lvlText w:val="%9."/>
      <w:lvlJc w:val="left"/>
      <w:pPr>
        <w:ind w:left="1020" w:hanging="360"/>
      </w:pPr>
    </w:lvl>
  </w:abstractNum>
  <w:abstractNum w:abstractNumId="3" w15:restartNumberingAfterBreak="0">
    <w:nsid w:val="1EFA134D"/>
    <w:multiLevelType w:val="hybridMultilevel"/>
    <w:tmpl w:val="2BCEE24A"/>
    <w:lvl w:ilvl="0" w:tplc="B5D6862E">
      <w:start w:val="1"/>
      <w:numFmt w:val="decimal"/>
      <w:lvlText w:val="%1."/>
      <w:lvlJc w:val="left"/>
      <w:pPr>
        <w:ind w:left="720" w:hanging="360"/>
      </w:pPr>
    </w:lvl>
    <w:lvl w:ilvl="1" w:tplc="F4C24B0A">
      <w:start w:val="1"/>
      <w:numFmt w:val="decimal"/>
      <w:lvlText w:val="%2."/>
      <w:lvlJc w:val="left"/>
      <w:pPr>
        <w:ind w:left="720" w:hanging="360"/>
      </w:pPr>
    </w:lvl>
    <w:lvl w:ilvl="2" w:tplc="4C20F502">
      <w:start w:val="1"/>
      <w:numFmt w:val="decimal"/>
      <w:lvlText w:val="%3."/>
      <w:lvlJc w:val="left"/>
      <w:pPr>
        <w:ind w:left="720" w:hanging="360"/>
      </w:pPr>
    </w:lvl>
    <w:lvl w:ilvl="3" w:tplc="039E2432">
      <w:start w:val="1"/>
      <w:numFmt w:val="decimal"/>
      <w:lvlText w:val="%4."/>
      <w:lvlJc w:val="left"/>
      <w:pPr>
        <w:ind w:left="720" w:hanging="360"/>
      </w:pPr>
    </w:lvl>
    <w:lvl w:ilvl="4" w:tplc="E0CA5BEA">
      <w:start w:val="1"/>
      <w:numFmt w:val="decimal"/>
      <w:lvlText w:val="%5."/>
      <w:lvlJc w:val="left"/>
      <w:pPr>
        <w:ind w:left="720" w:hanging="360"/>
      </w:pPr>
    </w:lvl>
    <w:lvl w:ilvl="5" w:tplc="92A8CC34">
      <w:start w:val="1"/>
      <w:numFmt w:val="decimal"/>
      <w:lvlText w:val="%6."/>
      <w:lvlJc w:val="left"/>
      <w:pPr>
        <w:ind w:left="720" w:hanging="360"/>
      </w:pPr>
    </w:lvl>
    <w:lvl w:ilvl="6" w:tplc="90DCF0A8">
      <w:start w:val="1"/>
      <w:numFmt w:val="decimal"/>
      <w:lvlText w:val="%7."/>
      <w:lvlJc w:val="left"/>
      <w:pPr>
        <w:ind w:left="720" w:hanging="360"/>
      </w:pPr>
    </w:lvl>
    <w:lvl w:ilvl="7" w:tplc="E37EE728">
      <w:start w:val="1"/>
      <w:numFmt w:val="decimal"/>
      <w:lvlText w:val="%8."/>
      <w:lvlJc w:val="left"/>
      <w:pPr>
        <w:ind w:left="720" w:hanging="360"/>
      </w:pPr>
    </w:lvl>
    <w:lvl w:ilvl="8" w:tplc="6F5ECB28">
      <w:start w:val="1"/>
      <w:numFmt w:val="decimal"/>
      <w:lvlText w:val="%9."/>
      <w:lvlJc w:val="left"/>
      <w:pPr>
        <w:ind w:left="720" w:hanging="360"/>
      </w:pPr>
    </w:lvl>
  </w:abstractNum>
  <w:abstractNum w:abstractNumId="4" w15:restartNumberingAfterBreak="0">
    <w:nsid w:val="2143332D"/>
    <w:multiLevelType w:val="multilevel"/>
    <w:tmpl w:val="16C26944"/>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pStyle w:val="7"/>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5" w15:restartNumberingAfterBreak="0">
    <w:nsid w:val="257D56B8"/>
    <w:multiLevelType w:val="hybridMultilevel"/>
    <w:tmpl w:val="4F84F888"/>
    <w:lvl w:ilvl="0" w:tplc="22B6F424">
      <w:start w:val="1"/>
      <w:numFmt w:val="decimal"/>
      <w:lvlText w:val="%1."/>
      <w:lvlJc w:val="left"/>
      <w:pPr>
        <w:ind w:left="1020" w:hanging="360"/>
      </w:pPr>
    </w:lvl>
    <w:lvl w:ilvl="1" w:tplc="B53093A4">
      <w:start w:val="1"/>
      <w:numFmt w:val="decimal"/>
      <w:lvlText w:val="%2."/>
      <w:lvlJc w:val="left"/>
      <w:pPr>
        <w:ind w:left="1020" w:hanging="360"/>
      </w:pPr>
    </w:lvl>
    <w:lvl w:ilvl="2" w:tplc="641052A8">
      <w:start w:val="1"/>
      <w:numFmt w:val="decimal"/>
      <w:lvlText w:val="%3."/>
      <w:lvlJc w:val="left"/>
      <w:pPr>
        <w:ind w:left="1020" w:hanging="360"/>
      </w:pPr>
    </w:lvl>
    <w:lvl w:ilvl="3" w:tplc="5EA4344A">
      <w:start w:val="1"/>
      <w:numFmt w:val="decimal"/>
      <w:lvlText w:val="%4."/>
      <w:lvlJc w:val="left"/>
      <w:pPr>
        <w:ind w:left="1020" w:hanging="360"/>
      </w:pPr>
    </w:lvl>
    <w:lvl w:ilvl="4" w:tplc="48EE25F8">
      <w:start w:val="1"/>
      <w:numFmt w:val="decimal"/>
      <w:lvlText w:val="%5."/>
      <w:lvlJc w:val="left"/>
      <w:pPr>
        <w:ind w:left="1020" w:hanging="360"/>
      </w:pPr>
    </w:lvl>
    <w:lvl w:ilvl="5" w:tplc="EFEE0234">
      <w:start w:val="1"/>
      <w:numFmt w:val="decimal"/>
      <w:lvlText w:val="%6."/>
      <w:lvlJc w:val="left"/>
      <w:pPr>
        <w:ind w:left="1020" w:hanging="360"/>
      </w:pPr>
    </w:lvl>
    <w:lvl w:ilvl="6" w:tplc="C6BEE84C">
      <w:start w:val="1"/>
      <w:numFmt w:val="decimal"/>
      <w:lvlText w:val="%7."/>
      <w:lvlJc w:val="left"/>
      <w:pPr>
        <w:ind w:left="1020" w:hanging="360"/>
      </w:pPr>
    </w:lvl>
    <w:lvl w:ilvl="7" w:tplc="30548858">
      <w:start w:val="1"/>
      <w:numFmt w:val="decimal"/>
      <w:lvlText w:val="%8."/>
      <w:lvlJc w:val="left"/>
      <w:pPr>
        <w:ind w:left="1020" w:hanging="360"/>
      </w:pPr>
    </w:lvl>
    <w:lvl w:ilvl="8" w:tplc="0ED2F128">
      <w:start w:val="1"/>
      <w:numFmt w:val="decimal"/>
      <w:lvlText w:val="%9."/>
      <w:lvlJc w:val="left"/>
      <w:pPr>
        <w:ind w:left="1020" w:hanging="360"/>
      </w:pPr>
    </w:lvl>
  </w:abstractNum>
  <w:abstractNum w:abstractNumId="6" w15:restartNumberingAfterBreak="0">
    <w:nsid w:val="321344F0"/>
    <w:multiLevelType w:val="hybridMultilevel"/>
    <w:tmpl w:val="C16CFE1C"/>
    <w:lvl w:ilvl="0" w:tplc="21FACBC4">
      <w:start w:val="1"/>
      <w:numFmt w:val="decimal"/>
      <w:lvlText w:val="%1."/>
      <w:lvlJc w:val="left"/>
      <w:pPr>
        <w:ind w:left="720" w:hanging="360"/>
      </w:pPr>
    </w:lvl>
    <w:lvl w:ilvl="1" w:tplc="BCB87502">
      <w:start w:val="1"/>
      <w:numFmt w:val="decimal"/>
      <w:lvlText w:val="%2."/>
      <w:lvlJc w:val="left"/>
      <w:pPr>
        <w:ind w:left="720" w:hanging="360"/>
      </w:pPr>
    </w:lvl>
    <w:lvl w:ilvl="2" w:tplc="5C021850">
      <w:start w:val="1"/>
      <w:numFmt w:val="decimal"/>
      <w:lvlText w:val="%3."/>
      <w:lvlJc w:val="left"/>
      <w:pPr>
        <w:ind w:left="720" w:hanging="360"/>
      </w:pPr>
    </w:lvl>
    <w:lvl w:ilvl="3" w:tplc="245A0380">
      <w:start w:val="1"/>
      <w:numFmt w:val="decimal"/>
      <w:lvlText w:val="%4."/>
      <w:lvlJc w:val="left"/>
      <w:pPr>
        <w:ind w:left="720" w:hanging="360"/>
      </w:pPr>
    </w:lvl>
    <w:lvl w:ilvl="4" w:tplc="823EF29C">
      <w:start w:val="1"/>
      <w:numFmt w:val="decimal"/>
      <w:lvlText w:val="%5."/>
      <w:lvlJc w:val="left"/>
      <w:pPr>
        <w:ind w:left="720" w:hanging="360"/>
      </w:pPr>
    </w:lvl>
    <w:lvl w:ilvl="5" w:tplc="D7A445D0">
      <w:start w:val="1"/>
      <w:numFmt w:val="decimal"/>
      <w:lvlText w:val="%6."/>
      <w:lvlJc w:val="left"/>
      <w:pPr>
        <w:ind w:left="720" w:hanging="360"/>
      </w:pPr>
    </w:lvl>
    <w:lvl w:ilvl="6" w:tplc="8C72994E">
      <w:start w:val="1"/>
      <w:numFmt w:val="decimal"/>
      <w:lvlText w:val="%7."/>
      <w:lvlJc w:val="left"/>
      <w:pPr>
        <w:ind w:left="720" w:hanging="360"/>
      </w:pPr>
    </w:lvl>
    <w:lvl w:ilvl="7" w:tplc="EFECECC0">
      <w:start w:val="1"/>
      <w:numFmt w:val="decimal"/>
      <w:lvlText w:val="%8."/>
      <w:lvlJc w:val="left"/>
      <w:pPr>
        <w:ind w:left="720" w:hanging="360"/>
      </w:pPr>
    </w:lvl>
    <w:lvl w:ilvl="8" w:tplc="055A93DA">
      <w:start w:val="1"/>
      <w:numFmt w:val="decimal"/>
      <w:lvlText w:val="%9."/>
      <w:lvlJc w:val="left"/>
      <w:pPr>
        <w:ind w:left="720" w:hanging="360"/>
      </w:pPr>
    </w:lvl>
  </w:abstractNum>
  <w:abstractNum w:abstractNumId="7" w15:restartNumberingAfterBreak="0">
    <w:nsid w:val="3E3F2913"/>
    <w:multiLevelType w:val="hybridMultilevel"/>
    <w:tmpl w:val="E438C77C"/>
    <w:lvl w:ilvl="0" w:tplc="8EF8544A">
      <w:start w:val="1"/>
      <w:numFmt w:val="bullet"/>
      <w:suff w:val="space"/>
      <w:lvlText w:val="●"/>
      <w:lvlJc w:val="left"/>
    </w:lvl>
    <w:lvl w:ilvl="1" w:tplc="1C0EADEE">
      <w:numFmt w:val="decimal"/>
      <w:lvlText w:val=""/>
      <w:lvlJc w:val="left"/>
    </w:lvl>
    <w:lvl w:ilvl="2" w:tplc="106EB74E">
      <w:numFmt w:val="decimal"/>
      <w:lvlText w:val=""/>
      <w:lvlJc w:val="left"/>
    </w:lvl>
    <w:lvl w:ilvl="3" w:tplc="DA1E4FB6">
      <w:numFmt w:val="decimal"/>
      <w:lvlText w:val=""/>
      <w:lvlJc w:val="left"/>
    </w:lvl>
    <w:lvl w:ilvl="4" w:tplc="805A8AD2">
      <w:numFmt w:val="decimal"/>
      <w:lvlText w:val=""/>
      <w:lvlJc w:val="left"/>
    </w:lvl>
    <w:lvl w:ilvl="5" w:tplc="2A403020">
      <w:numFmt w:val="decimal"/>
      <w:lvlText w:val=""/>
      <w:lvlJc w:val="left"/>
    </w:lvl>
    <w:lvl w:ilvl="6" w:tplc="832CB540">
      <w:numFmt w:val="decimal"/>
      <w:lvlText w:val=""/>
      <w:lvlJc w:val="left"/>
    </w:lvl>
    <w:lvl w:ilvl="7" w:tplc="E77C197A">
      <w:numFmt w:val="decimal"/>
      <w:lvlText w:val=""/>
      <w:lvlJc w:val="left"/>
    </w:lvl>
    <w:lvl w:ilvl="8" w:tplc="CCCADBFA">
      <w:numFmt w:val="decimal"/>
      <w:lvlText w:val=""/>
      <w:lvlJc w:val="left"/>
    </w:lvl>
  </w:abstractNum>
  <w:abstractNum w:abstractNumId="8" w15:restartNumberingAfterBreak="0">
    <w:nsid w:val="3F1006C4"/>
    <w:multiLevelType w:val="hybridMultilevel"/>
    <w:tmpl w:val="9B34A950"/>
    <w:lvl w:ilvl="0" w:tplc="E3E68C94">
      <w:start w:val="1"/>
      <w:numFmt w:val="decimal"/>
      <w:lvlText w:val="%1."/>
      <w:lvlJc w:val="left"/>
      <w:pPr>
        <w:ind w:left="1020" w:hanging="360"/>
      </w:pPr>
    </w:lvl>
    <w:lvl w:ilvl="1" w:tplc="812E675E">
      <w:start w:val="1"/>
      <w:numFmt w:val="decimal"/>
      <w:lvlText w:val="%2."/>
      <w:lvlJc w:val="left"/>
      <w:pPr>
        <w:ind w:left="1020" w:hanging="360"/>
      </w:pPr>
    </w:lvl>
    <w:lvl w:ilvl="2" w:tplc="F34665F6">
      <w:start w:val="1"/>
      <w:numFmt w:val="decimal"/>
      <w:lvlText w:val="%3."/>
      <w:lvlJc w:val="left"/>
      <w:pPr>
        <w:ind w:left="1020" w:hanging="360"/>
      </w:pPr>
    </w:lvl>
    <w:lvl w:ilvl="3" w:tplc="1AB4E57C">
      <w:start w:val="1"/>
      <w:numFmt w:val="decimal"/>
      <w:lvlText w:val="%4."/>
      <w:lvlJc w:val="left"/>
      <w:pPr>
        <w:ind w:left="1020" w:hanging="360"/>
      </w:pPr>
    </w:lvl>
    <w:lvl w:ilvl="4" w:tplc="4C78FB3C">
      <w:start w:val="1"/>
      <w:numFmt w:val="decimal"/>
      <w:lvlText w:val="%5."/>
      <w:lvlJc w:val="left"/>
      <w:pPr>
        <w:ind w:left="1020" w:hanging="360"/>
      </w:pPr>
    </w:lvl>
    <w:lvl w:ilvl="5" w:tplc="F32EC4CE">
      <w:start w:val="1"/>
      <w:numFmt w:val="decimal"/>
      <w:lvlText w:val="%6."/>
      <w:lvlJc w:val="left"/>
      <w:pPr>
        <w:ind w:left="1020" w:hanging="360"/>
      </w:pPr>
    </w:lvl>
    <w:lvl w:ilvl="6" w:tplc="9BBE5766">
      <w:start w:val="1"/>
      <w:numFmt w:val="decimal"/>
      <w:lvlText w:val="%7."/>
      <w:lvlJc w:val="left"/>
      <w:pPr>
        <w:ind w:left="1020" w:hanging="360"/>
      </w:pPr>
    </w:lvl>
    <w:lvl w:ilvl="7" w:tplc="5602092A">
      <w:start w:val="1"/>
      <w:numFmt w:val="decimal"/>
      <w:lvlText w:val="%8."/>
      <w:lvlJc w:val="left"/>
      <w:pPr>
        <w:ind w:left="1020" w:hanging="360"/>
      </w:pPr>
    </w:lvl>
    <w:lvl w:ilvl="8" w:tplc="0A4A12F8">
      <w:start w:val="1"/>
      <w:numFmt w:val="decimal"/>
      <w:lvlText w:val="%9."/>
      <w:lvlJc w:val="left"/>
      <w:pPr>
        <w:ind w:left="1020" w:hanging="360"/>
      </w:pPr>
    </w:lvl>
  </w:abstractNum>
  <w:abstractNum w:abstractNumId="9" w15:restartNumberingAfterBreak="0">
    <w:nsid w:val="4149445D"/>
    <w:multiLevelType w:val="hybridMultilevel"/>
    <w:tmpl w:val="E40661B8"/>
    <w:lvl w:ilvl="0" w:tplc="2FDC6E82">
      <w:start w:val="1"/>
      <w:numFmt w:val="decimal"/>
      <w:lvlText w:val="%1."/>
      <w:lvlJc w:val="left"/>
      <w:pPr>
        <w:ind w:left="720" w:hanging="360"/>
      </w:pPr>
    </w:lvl>
    <w:lvl w:ilvl="1" w:tplc="FD9CD07C">
      <w:start w:val="1"/>
      <w:numFmt w:val="decimal"/>
      <w:lvlText w:val="%2."/>
      <w:lvlJc w:val="left"/>
      <w:pPr>
        <w:ind w:left="720" w:hanging="360"/>
      </w:pPr>
    </w:lvl>
    <w:lvl w:ilvl="2" w:tplc="B3BE150A">
      <w:start w:val="1"/>
      <w:numFmt w:val="decimal"/>
      <w:lvlText w:val="%3."/>
      <w:lvlJc w:val="left"/>
      <w:pPr>
        <w:ind w:left="720" w:hanging="360"/>
      </w:pPr>
    </w:lvl>
    <w:lvl w:ilvl="3" w:tplc="8BBADBE8">
      <w:start w:val="1"/>
      <w:numFmt w:val="decimal"/>
      <w:lvlText w:val="%4."/>
      <w:lvlJc w:val="left"/>
      <w:pPr>
        <w:ind w:left="720" w:hanging="360"/>
      </w:pPr>
    </w:lvl>
    <w:lvl w:ilvl="4" w:tplc="EFBA3A02">
      <w:start w:val="1"/>
      <w:numFmt w:val="decimal"/>
      <w:lvlText w:val="%5."/>
      <w:lvlJc w:val="left"/>
      <w:pPr>
        <w:ind w:left="720" w:hanging="360"/>
      </w:pPr>
    </w:lvl>
    <w:lvl w:ilvl="5" w:tplc="CDF6D876">
      <w:start w:val="1"/>
      <w:numFmt w:val="decimal"/>
      <w:lvlText w:val="%6."/>
      <w:lvlJc w:val="left"/>
      <w:pPr>
        <w:ind w:left="720" w:hanging="360"/>
      </w:pPr>
    </w:lvl>
    <w:lvl w:ilvl="6" w:tplc="B8FE6448">
      <w:start w:val="1"/>
      <w:numFmt w:val="decimal"/>
      <w:lvlText w:val="%7."/>
      <w:lvlJc w:val="left"/>
      <w:pPr>
        <w:ind w:left="720" w:hanging="360"/>
      </w:pPr>
    </w:lvl>
    <w:lvl w:ilvl="7" w:tplc="90FED302">
      <w:start w:val="1"/>
      <w:numFmt w:val="decimal"/>
      <w:lvlText w:val="%8."/>
      <w:lvlJc w:val="left"/>
      <w:pPr>
        <w:ind w:left="720" w:hanging="360"/>
      </w:pPr>
    </w:lvl>
    <w:lvl w:ilvl="8" w:tplc="AF04E270">
      <w:start w:val="1"/>
      <w:numFmt w:val="decimal"/>
      <w:lvlText w:val="%9."/>
      <w:lvlJc w:val="left"/>
      <w:pPr>
        <w:ind w:left="720" w:hanging="360"/>
      </w:pPr>
    </w:lvl>
  </w:abstractNum>
  <w:abstractNum w:abstractNumId="10" w15:restartNumberingAfterBreak="0">
    <w:nsid w:val="41B91FD2"/>
    <w:multiLevelType w:val="hybridMultilevel"/>
    <w:tmpl w:val="EC3C5514"/>
    <w:lvl w:ilvl="0" w:tplc="624C96A6">
      <w:start w:val="1"/>
      <w:numFmt w:val="decimal"/>
      <w:lvlText w:val="%1."/>
      <w:lvlJc w:val="left"/>
      <w:pPr>
        <w:ind w:left="1020" w:hanging="360"/>
      </w:pPr>
    </w:lvl>
    <w:lvl w:ilvl="1" w:tplc="C93C9C38">
      <w:start w:val="1"/>
      <w:numFmt w:val="decimal"/>
      <w:lvlText w:val="%2."/>
      <w:lvlJc w:val="left"/>
      <w:pPr>
        <w:ind w:left="1020" w:hanging="360"/>
      </w:pPr>
    </w:lvl>
    <w:lvl w:ilvl="2" w:tplc="A25C53A0">
      <w:start w:val="1"/>
      <w:numFmt w:val="decimal"/>
      <w:lvlText w:val="%3."/>
      <w:lvlJc w:val="left"/>
      <w:pPr>
        <w:ind w:left="1020" w:hanging="360"/>
      </w:pPr>
    </w:lvl>
    <w:lvl w:ilvl="3" w:tplc="B9824216">
      <w:start w:val="1"/>
      <w:numFmt w:val="decimal"/>
      <w:lvlText w:val="%4."/>
      <w:lvlJc w:val="left"/>
      <w:pPr>
        <w:ind w:left="1020" w:hanging="360"/>
      </w:pPr>
    </w:lvl>
    <w:lvl w:ilvl="4" w:tplc="CAEC4E06">
      <w:start w:val="1"/>
      <w:numFmt w:val="decimal"/>
      <w:lvlText w:val="%5."/>
      <w:lvlJc w:val="left"/>
      <w:pPr>
        <w:ind w:left="1020" w:hanging="360"/>
      </w:pPr>
    </w:lvl>
    <w:lvl w:ilvl="5" w:tplc="9F40FEE6">
      <w:start w:val="1"/>
      <w:numFmt w:val="decimal"/>
      <w:lvlText w:val="%6."/>
      <w:lvlJc w:val="left"/>
      <w:pPr>
        <w:ind w:left="1020" w:hanging="360"/>
      </w:pPr>
    </w:lvl>
    <w:lvl w:ilvl="6" w:tplc="5726DC58">
      <w:start w:val="1"/>
      <w:numFmt w:val="decimal"/>
      <w:lvlText w:val="%7."/>
      <w:lvlJc w:val="left"/>
      <w:pPr>
        <w:ind w:left="1020" w:hanging="360"/>
      </w:pPr>
    </w:lvl>
    <w:lvl w:ilvl="7" w:tplc="DC36B176">
      <w:start w:val="1"/>
      <w:numFmt w:val="decimal"/>
      <w:lvlText w:val="%8."/>
      <w:lvlJc w:val="left"/>
      <w:pPr>
        <w:ind w:left="1020" w:hanging="360"/>
      </w:pPr>
    </w:lvl>
    <w:lvl w:ilvl="8" w:tplc="6B1EE080">
      <w:start w:val="1"/>
      <w:numFmt w:val="decimal"/>
      <w:lvlText w:val="%9."/>
      <w:lvlJc w:val="left"/>
      <w:pPr>
        <w:ind w:left="1020" w:hanging="360"/>
      </w:pPr>
    </w:lvl>
  </w:abstractNum>
  <w:abstractNum w:abstractNumId="11" w15:restartNumberingAfterBreak="0">
    <w:nsid w:val="4275563B"/>
    <w:multiLevelType w:val="multilevel"/>
    <w:tmpl w:val="CC267F78"/>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pStyle w:val="4"/>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2" w15:restartNumberingAfterBreak="0">
    <w:nsid w:val="46445E57"/>
    <w:multiLevelType w:val="multilevel"/>
    <w:tmpl w:val="0866788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pStyle w:val="6"/>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3" w15:restartNumberingAfterBreak="0">
    <w:nsid w:val="47B54197"/>
    <w:multiLevelType w:val="multilevel"/>
    <w:tmpl w:val="FB8E3A46"/>
    <w:lvl w:ilvl="0">
      <w:start w:val="1"/>
      <w:numFmt w:val="decimal"/>
      <w:pStyle w:val="1"/>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4" w15:restartNumberingAfterBreak="0">
    <w:nsid w:val="47E725C8"/>
    <w:multiLevelType w:val="hybridMultilevel"/>
    <w:tmpl w:val="49524E84"/>
    <w:lvl w:ilvl="0" w:tplc="9C282A5A">
      <w:start w:val="1"/>
      <w:numFmt w:val="decimal"/>
      <w:lvlText w:val="%1."/>
      <w:lvlJc w:val="left"/>
      <w:pPr>
        <w:ind w:left="720" w:hanging="360"/>
      </w:pPr>
    </w:lvl>
    <w:lvl w:ilvl="1" w:tplc="4A9EFA76">
      <w:start w:val="1"/>
      <w:numFmt w:val="decimal"/>
      <w:lvlText w:val="%2."/>
      <w:lvlJc w:val="left"/>
      <w:pPr>
        <w:ind w:left="720" w:hanging="360"/>
      </w:pPr>
    </w:lvl>
    <w:lvl w:ilvl="2" w:tplc="291C8890">
      <w:start w:val="1"/>
      <w:numFmt w:val="decimal"/>
      <w:lvlText w:val="%3."/>
      <w:lvlJc w:val="left"/>
      <w:pPr>
        <w:ind w:left="720" w:hanging="360"/>
      </w:pPr>
    </w:lvl>
    <w:lvl w:ilvl="3" w:tplc="9AF053B0">
      <w:start w:val="1"/>
      <w:numFmt w:val="decimal"/>
      <w:lvlText w:val="%4."/>
      <w:lvlJc w:val="left"/>
      <w:pPr>
        <w:ind w:left="720" w:hanging="360"/>
      </w:pPr>
    </w:lvl>
    <w:lvl w:ilvl="4" w:tplc="0748AD2C">
      <w:start w:val="1"/>
      <w:numFmt w:val="decimal"/>
      <w:lvlText w:val="%5."/>
      <w:lvlJc w:val="left"/>
      <w:pPr>
        <w:ind w:left="720" w:hanging="360"/>
      </w:pPr>
    </w:lvl>
    <w:lvl w:ilvl="5" w:tplc="FACE681C">
      <w:start w:val="1"/>
      <w:numFmt w:val="decimal"/>
      <w:lvlText w:val="%6."/>
      <w:lvlJc w:val="left"/>
      <w:pPr>
        <w:ind w:left="720" w:hanging="360"/>
      </w:pPr>
    </w:lvl>
    <w:lvl w:ilvl="6" w:tplc="82104298">
      <w:start w:val="1"/>
      <w:numFmt w:val="decimal"/>
      <w:lvlText w:val="%7."/>
      <w:lvlJc w:val="left"/>
      <w:pPr>
        <w:ind w:left="720" w:hanging="360"/>
      </w:pPr>
    </w:lvl>
    <w:lvl w:ilvl="7" w:tplc="1B9CA706">
      <w:start w:val="1"/>
      <w:numFmt w:val="decimal"/>
      <w:lvlText w:val="%8."/>
      <w:lvlJc w:val="left"/>
      <w:pPr>
        <w:ind w:left="720" w:hanging="360"/>
      </w:pPr>
    </w:lvl>
    <w:lvl w:ilvl="8" w:tplc="326E1A8E">
      <w:start w:val="1"/>
      <w:numFmt w:val="decimal"/>
      <w:lvlText w:val="%9."/>
      <w:lvlJc w:val="left"/>
      <w:pPr>
        <w:ind w:left="720" w:hanging="360"/>
      </w:pPr>
    </w:lvl>
  </w:abstractNum>
  <w:abstractNum w:abstractNumId="15" w15:restartNumberingAfterBreak="0">
    <w:nsid w:val="4ADE6AB1"/>
    <w:multiLevelType w:val="multilevel"/>
    <w:tmpl w:val="A4EA3CD0"/>
    <w:lvl w:ilvl="0">
      <w:start w:val="1"/>
      <w:numFmt w:val="decimal"/>
      <w:suff w:val="space"/>
      <w:lvlText w:val="%1."/>
      <w:lvlJc w:val="left"/>
    </w:lvl>
    <w:lvl w:ilvl="1">
      <w:start w:val="1"/>
      <w:numFmt w:val="ganada"/>
      <w:suff w:val="space"/>
      <w:lvlText w:val="%2."/>
      <w:lvlJc w:val="left"/>
    </w:lvl>
    <w:lvl w:ilvl="2">
      <w:start w:val="1"/>
      <w:numFmt w:val="decimal"/>
      <w:pStyle w:val="3"/>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6" w15:restartNumberingAfterBreak="0">
    <w:nsid w:val="4D004754"/>
    <w:multiLevelType w:val="multilevel"/>
    <w:tmpl w:val="32C63646"/>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7" w15:restartNumberingAfterBreak="0">
    <w:nsid w:val="549A4C69"/>
    <w:multiLevelType w:val="hybridMultilevel"/>
    <w:tmpl w:val="60BA2854"/>
    <w:lvl w:ilvl="0" w:tplc="7070D5C8">
      <w:start w:val="1"/>
      <w:numFmt w:val="decimal"/>
      <w:lvlText w:val="%1."/>
      <w:lvlJc w:val="left"/>
      <w:pPr>
        <w:ind w:left="720" w:hanging="360"/>
      </w:pPr>
    </w:lvl>
    <w:lvl w:ilvl="1" w:tplc="0040E1A6">
      <w:start w:val="1"/>
      <w:numFmt w:val="decimal"/>
      <w:lvlText w:val="%2."/>
      <w:lvlJc w:val="left"/>
      <w:pPr>
        <w:ind w:left="720" w:hanging="360"/>
      </w:pPr>
    </w:lvl>
    <w:lvl w:ilvl="2" w:tplc="37226E8C">
      <w:start w:val="1"/>
      <w:numFmt w:val="decimal"/>
      <w:lvlText w:val="%3."/>
      <w:lvlJc w:val="left"/>
      <w:pPr>
        <w:ind w:left="720" w:hanging="360"/>
      </w:pPr>
    </w:lvl>
    <w:lvl w:ilvl="3" w:tplc="90C68E9A">
      <w:start w:val="1"/>
      <w:numFmt w:val="decimal"/>
      <w:lvlText w:val="%4."/>
      <w:lvlJc w:val="left"/>
      <w:pPr>
        <w:ind w:left="720" w:hanging="360"/>
      </w:pPr>
    </w:lvl>
    <w:lvl w:ilvl="4" w:tplc="41D87258">
      <w:start w:val="1"/>
      <w:numFmt w:val="decimal"/>
      <w:lvlText w:val="%5."/>
      <w:lvlJc w:val="left"/>
      <w:pPr>
        <w:ind w:left="720" w:hanging="360"/>
      </w:pPr>
    </w:lvl>
    <w:lvl w:ilvl="5" w:tplc="F810FF8C">
      <w:start w:val="1"/>
      <w:numFmt w:val="decimal"/>
      <w:lvlText w:val="%6."/>
      <w:lvlJc w:val="left"/>
      <w:pPr>
        <w:ind w:left="720" w:hanging="360"/>
      </w:pPr>
    </w:lvl>
    <w:lvl w:ilvl="6" w:tplc="53CC1F4A">
      <w:start w:val="1"/>
      <w:numFmt w:val="decimal"/>
      <w:lvlText w:val="%7."/>
      <w:lvlJc w:val="left"/>
      <w:pPr>
        <w:ind w:left="720" w:hanging="360"/>
      </w:pPr>
    </w:lvl>
    <w:lvl w:ilvl="7" w:tplc="CEE603F4">
      <w:start w:val="1"/>
      <w:numFmt w:val="decimal"/>
      <w:lvlText w:val="%8."/>
      <w:lvlJc w:val="left"/>
      <w:pPr>
        <w:ind w:left="720" w:hanging="360"/>
      </w:pPr>
    </w:lvl>
    <w:lvl w:ilvl="8" w:tplc="EA205372">
      <w:start w:val="1"/>
      <w:numFmt w:val="decimal"/>
      <w:lvlText w:val="%9."/>
      <w:lvlJc w:val="left"/>
      <w:pPr>
        <w:ind w:left="720" w:hanging="360"/>
      </w:pPr>
    </w:lvl>
  </w:abstractNum>
  <w:abstractNum w:abstractNumId="18" w15:restartNumberingAfterBreak="0">
    <w:nsid w:val="580E60D8"/>
    <w:multiLevelType w:val="hybridMultilevel"/>
    <w:tmpl w:val="2370D0FC"/>
    <w:lvl w:ilvl="0" w:tplc="F1B405F0">
      <w:start w:val="1"/>
      <w:numFmt w:val="decimal"/>
      <w:lvlText w:val="%1."/>
      <w:lvlJc w:val="left"/>
      <w:pPr>
        <w:ind w:left="720" w:hanging="360"/>
      </w:pPr>
    </w:lvl>
    <w:lvl w:ilvl="1" w:tplc="1F3463E8">
      <w:start w:val="1"/>
      <w:numFmt w:val="decimal"/>
      <w:lvlText w:val="%2."/>
      <w:lvlJc w:val="left"/>
      <w:pPr>
        <w:ind w:left="720" w:hanging="360"/>
      </w:pPr>
    </w:lvl>
    <w:lvl w:ilvl="2" w:tplc="2CF64C94">
      <w:start w:val="1"/>
      <w:numFmt w:val="decimal"/>
      <w:lvlText w:val="%3."/>
      <w:lvlJc w:val="left"/>
      <w:pPr>
        <w:ind w:left="720" w:hanging="360"/>
      </w:pPr>
    </w:lvl>
    <w:lvl w:ilvl="3" w:tplc="337C8918">
      <w:start w:val="1"/>
      <w:numFmt w:val="decimal"/>
      <w:lvlText w:val="%4."/>
      <w:lvlJc w:val="left"/>
      <w:pPr>
        <w:ind w:left="720" w:hanging="360"/>
      </w:pPr>
    </w:lvl>
    <w:lvl w:ilvl="4" w:tplc="FB7082B2">
      <w:start w:val="1"/>
      <w:numFmt w:val="decimal"/>
      <w:lvlText w:val="%5."/>
      <w:lvlJc w:val="left"/>
      <w:pPr>
        <w:ind w:left="720" w:hanging="360"/>
      </w:pPr>
    </w:lvl>
    <w:lvl w:ilvl="5" w:tplc="78F83EEA">
      <w:start w:val="1"/>
      <w:numFmt w:val="decimal"/>
      <w:lvlText w:val="%6."/>
      <w:lvlJc w:val="left"/>
      <w:pPr>
        <w:ind w:left="720" w:hanging="360"/>
      </w:pPr>
    </w:lvl>
    <w:lvl w:ilvl="6" w:tplc="0C6CC94E">
      <w:start w:val="1"/>
      <w:numFmt w:val="decimal"/>
      <w:lvlText w:val="%7."/>
      <w:lvlJc w:val="left"/>
      <w:pPr>
        <w:ind w:left="720" w:hanging="360"/>
      </w:pPr>
    </w:lvl>
    <w:lvl w:ilvl="7" w:tplc="6F322E4A">
      <w:start w:val="1"/>
      <w:numFmt w:val="decimal"/>
      <w:lvlText w:val="%8."/>
      <w:lvlJc w:val="left"/>
      <w:pPr>
        <w:ind w:left="720" w:hanging="360"/>
      </w:pPr>
    </w:lvl>
    <w:lvl w:ilvl="8" w:tplc="1BD656AE">
      <w:start w:val="1"/>
      <w:numFmt w:val="decimal"/>
      <w:lvlText w:val="%9."/>
      <w:lvlJc w:val="left"/>
      <w:pPr>
        <w:ind w:left="720" w:hanging="360"/>
      </w:pPr>
    </w:lvl>
  </w:abstractNum>
  <w:abstractNum w:abstractNumId="19" w15:restartNumberingAfterBreak="0">
    <w:nsid w:val="5A703586"/>
    <w:multiLevelType w:val="hybridMultilevel"/>
    <w:tmpl w:val="326EF840"/>
    <w:lvl w:ilvl="0" w:tplc="4FDAC07A">
      <w:start w:val="1"/>
      <w:numFmt w:val="decimal"/>
      <w:lvlText w:val="%1."/>
      <w:lvlJc w:val="left"/>
      <w:pPr>
        <w:ind w:left="1020" w:hanging="360"/>
      </w:pPr>
    </w:lvl>
    <w:lvl w:ilvl="1" w:tplc="9C74B6DA">
      <w:start w:val="1"/>
      <w:numFmt w:val="decimal"/>
      <w:lvlText w:val="%2."/>
      <w:lvlJc w:val="left"/>
      <w:pPr>
        <w:ind w:left="1020" w:hanging="360"/>
      </w:pPr>
    </w:lvl>
    <w:lvl w:ilvl="2" w:tplc="5226E398">
      <w:start w:val="1"/>
      <w:numFmt w:val="decimal"/>
      <w:lvlText w:val="%3."/>
      <w:lvlJc w:val="left"/>
      <w:pPr>
        <w:ind w:left="1020" w:hanging="360"/>
      </w:pPr>
    </w:lvl>
    <w:lvl w:ilvl="3" w:tplc="CF9641EA">
      <w:start w:val="1"/>
      <w:numFmt w:val="decimal"/>
      <w:lvlText w:val="%4."/>
      <w:lvlJc w:val="left"/>
      <w:pPr>
        <w:ind w:left="1020" w:hanging="360"/>
      </w:pPr>
    </w:lvl>
    <w:lvl w:ilvl="4" w:tplc="33D8388C">
      <w:start w:val="1"/>
      <w:numFmt w:val="decimal"/>
      <w:lvlText w:val="%5."/>
      <w:lvlJc w:val="left"/>
      <w:pPr>
        <w:ind w:left="1020" w:hanging="360"/>
      </w:pPr>
    </w:lvl>
    <w:lvl w:ilvl="5" w:tplc="B548196A">
      <w:start w:val="1"/>
      <w:numFmt w:val="decimal"/>
      <w:lvlText w:val="%6."/>
      <w:lvlJc w:val="left"/>
      <w:pPr>
        <w:ind w:left="1020" w:hanging="360"/>
      </w:pPr>
    </w:lvl>
    <w:lvl w:ilvl="6" w:tplc="7534C4D0">
      <w:start w:val="1"/>
      <w:numFmt w:val="decimal"/>
      <w:lvlText w:val="%7."/>
      <w:lvlJc w:val="left"/>
      <w:pPr>
        <w:ind w:left="1020" w:hanging="360"/>
      </w:pPr>
    </w:lvl>
    <w:lvl w:ilvl="7" w:tplc="191E143E">
      <w:start w:val="1"/>
      <w:numFmt w:val="decimal"/>
      <w:lvlText w:val="%8."/>
      <w:lvlJc w:val="left"/>
      <w:pPr>
        <w:ind w:left="1020" w:hanging="360"/>
      </w:pPr>
    </w:lvl>
    <w:lvl w:ilvl="8" w:tplc="FBE4151C">
      <w:start w:val="1"/>
      <w:numFmt w:val="decimal"/>
      <w:lvlText w:val="%9."/>
      <w:lvlJc w:val="left"/>
      <w:pPr>
        <w:ind w:left="1020" w:hanging="360"/>
      </w:pPr>
    </w:lvl>
  </w:abstractNum>
  <w:abstractNum w:abstractNumId="20" w15:restartNumberingAfterBreak="0">
    <w:nsid w:val="62AB1870"/>
    <w:multiLevelType w:val="hybridMultilevel"/>
    <w:tmpl w:val="58529D10"/>
    <w:lvl w:ilvl="0" w:tplc="1D26A0A6">
      <w:start w:val="1"/>
      <w:numFmt w:val="decimal"/>
      <w:lvlText w:val="%1."/>
      <w:lvlJc w:val="left"/>
      <w:pPr>
        <w:ind w:left="720" w:hanging="360"/>
      </w:pPr>
    </w:lvl>
    <w:lvl w:ilvl="1" w:tplc="8A7AE68E">
      <w:start w:val="1"/>
      <w:numFmt w:val="decimal"/>
      <w:lvlText w:val="%2."/>
      <w:lvlJc w:val="left"/>
      <w:pPr>
        <w:ind w:left="720" w:hanging="360"/>
      </w:pPr>
    </w:lvl>
    <w:lvl w:ilvl="2" w:tplc="5672E35A">
      <w:start w:val="1"/>
      <w:numFmt w:val="decimal"/>
      <w:lvlText w:val="%3."/>
      <w:lvlJc w:val="left"/>
      <w:pPr>
        <w:ind w:left="720" w:hanging="360"/>
      </w:pPr>
    </w:lvl>
    <w:lvl w:ilvl="3" w:tplc="A9C6BB28">
      <w:start w:val="1"/>
      <w:numFmt w:val="decimal"/>
      <w:lvlText w:val="%4."/>
      <w:lvlJc w:val="left"/>
      <w:pPr>
        <w:ind w:left="720" w:hanging="360"/>
      </w:pPr>
    </w:lvl>
    <w:lvl w:ilvl="4" w:tplc="77C66BB6">
      <w:start w:val="1"/>
      <w:numFmt w:val="decimal"/>
      <w:lvlText w:val="%5."/>
      <w:lvlJc w:val="left"/>
      <w:pPr>
        <w:ind w:left="720" w:hanging="360"/>
      </w:pPr>
    </w:lvl>
    <w:lvl w:ilvl="5" w:tplc="A7CCF11E">
      <w:start w:val="1"/>
      <w:numFmt w:val="decimal"/>
      <w:lvlText w:val="%6."/>
      <w:lvlJc w:val="left"/>
      <w:pPr>
        <w:ind w:left="720" w:hanging="360"/>
      </w:pPr>
    </w:lvl>
    <w:lvl w:ilvl="6" w:tplc="B130FF08">
      <w:start w:val="1"/>
      <w:numFmt w:val="decimal"/>
      <w:lvlText w:val="%7."/>
      <w:lvlJc w:val="left"/>
      <w:pPr>
        <w:ind w:left="720" w:hanging="360"/>
      </w:pPr>
    </w:lvl>
    <w:lvl w:ilvl="7" w:tplc="67DCCD48">
      <w:start w:val="1"/>
      <w:numFmt w:val="decimal"/>
      <w:lvlText w:val="%8."/>
      <w:lvlJc w:val="left"/>
      <w:pPr>
        <w:ind w:left="720" w:hanging="360"/>
      </w:pPr>
    </w:lvl>
    <w:lvl w:ilvl="8" w:tplc="C8B8EEF4">
      <w:start w:val="1"/>
      <w:numFmt w:val="decimal"/>
      <w:lvlText w:val="%9."/>
      <w:lvlJc w:val="left"/>
      <w:pPr>
        <w:ind w:left="720" w:hanging="360"/>
      </w:pPr>
    </w:lvl>
  </w:abstractNum>
  <w:abstractNum w:abstractNumId="21" w15:restartNumberingAfterBreak="0">
    <w:nsid w:val="65DA3388"/>
    <w:multiLevelType w:val="hybridMultilevel"/>
    <w:tmpl w:val="55D06D08"/>
    <w:lvl w:ilvl="0" w:tplc="25267F3E">
      <w:start w:val="1"/>
      <w:numFmt w:val="decimal"/>
      <w:lvlText w:val="%1."/>
      <w:lvlJc w:val="left"/>
      <w:pPr>
        <w:ind w:left="720" w:hanging="360"/>
      </w:pPr>
    </w:lvl>
    <w:lvl w:ilvl="1" w:tplc="D18800DE">
      <w:start w:val="1"/>
      <w:numFmt w:val="decimal"/>
      <w:lvlText w:val="%2."/>
      <w:lvlJc w:val="left"/>
      <w:pPr>
        <w:ind w:left="720" w:hanging="360"/>
      </w:pPr>
    </w:lvl>
    <w:lvl w:ilvl="2" w:tplc="C6D46FFA">
      <w:start w:val="1"/>
      <w:numFmt w:val="decimal"/>
      <w:lvlText w:val="%3."/>
      <w:lvlJc w:val="left"/>
      <w:pPr>
        <w:ind w:left="720" w:hanging="360"/>
      </w:pPr>
    </w:lvl>
    <w:lvl w:ilvl="3" w:tplc="3686FFA6">
      <w:start w:val="1"/>
      <w:numFmt w:val="decimal"/>
      <w:lvlText w:val="%4."/>
      <w:lvlJc w:val="left"/>
      <w:pPr>
        <w:ind w:left="720" w:hanging="360"/>
      </w:pPr>
    </w:lvl>
    <w:lvl w:ilvl="4" w:tplc="35766F86">
      <w:start w:val="1"/>
      <w:numFmt w:val="decimal"/>
      <w:lvlText w:val="%5."/>
      <w:lvlJc w:val="left"/>
      <w:pPr>
        <w:ind w:left="720" w:hanging="360"/>
      </w:pPr>
    </w:lvl>
    <w:lvl w:ilvl="5" w:tplc="F46096A6">
      <w:start w:val="1"/>
      <w:numFmt w:val="decimal"/>
      <w:lvlText w:val="%6."/>
      <w:lvlJc w:val="left"/>
      <w:pPr>
        <w:ind w:left="720" w:hanging="360"/>
      </w:pPr>
    </w:lvl>
    <w:lvl w:ilvl="6" w:tplc="E41223F6">
      <w:start w:val="1"/>
      <w:numFmt w:val="decimal"/>
      <w:lvlText w:val="%7."/>
      <w:lvlJc w:val="left"/>
      <w:pPr>
        <w:ind w:left="720" w:hanging="360"/>
      </w:pPr>
    </w:lvl>
    <w:lvl w:ilvl="7" w:tplc="E294E9E0">
      <w:start w:val="1"/>
      <w:numFmt w:val="decimal"/>
      <w:lvlText w:val="%8."/>
      <w:lvlJc w:val="left"/>
      <w:pPr>
        <w:ind w:left="720" w:hanging="360"/>
      </w:pPr>
    </w:lvl>
    <w:lvl w:ilvl="8" w:tplc="CD40C6F0">
      <w:start w:val="1"/>
      <w:numFmt w:val="decimal"/>
      <w:lvlText w:val="%9."/>
      <w:lvlJc w:val="left"/>
      <w:pPr>
        <w:ind w:left="720" w:hanging="360"/>
      </w:pPr>
    </w:lvl>
  </w:abstractNum>
  <w:abstractNum w:abstractNumId="22" w15:restartNumberingAfterBreak="0">
    <w:nsid w:val="6C1F36A5"/>
    <w:multiLevelType w:val="hybridMultilevel"/>
    <w:tmpl w:val="22347F14"/>
    <w:lvl w:ilvl="0" w:tplc="97F8A940">
      <w:start w:val="1"/>
      <w:numFmt w:val="decimal"/>
      <w:lvlText w:val="%1."/>
      <w:lvlJc w:val="left"/>
      <w:pPr>
        <w:ind w:left="720" w:hanging="360"/>
      </w:pPr>
    </w:lvl>
    <w:lvl w:ilvl="1" w:tplc="A9F6D49C">
      <w:start w:val="1"/>
      <w:numFmt w:val="decimal"/>
      <w:lvlText w:val="%2."/>
      <w:lvlJc w:val="left"/>
      <w:pPr>
        <w:ind w:left="720" w:hanging="360"/>
      </w:pPr>
    </w:lvl>
    <w:lvl w:ilvl="2" w:tplc="EB746CEE">
      <w:start w:val="1"/>
      <w:numFmt w:val="decimal"/>
      <w:lvlText w:val="%3."/>
      <w:lvlJc w:val="left"/>
      <w:pPr>
        <w:ind w:left="720" w:hanging="360"/>
      </w:pPr>
    </w:lvl>
    <w:lvl w:ilvl="3" w:tplc="5EAC512A">
      <w:start w:val="1"/>
      <w:numFmt w:val="decimal"/>
      <w:lvlText w:val="%4."/>
      <w:lvlJc w:val="left"/>
      <w:pPr>
        <w:ind w:left="720" w:hanging="360"/>
      </w:pPr>
    </w:lvl>
    <w:lvl w:ilvl="4" w:tplc="49DAA354">
      <w:start w:val="1"/>
      <w:numFmt w:val="decimal"/>
      <w:lvlText w:val="%5."/>
      <w:lvlJc w:val="left"/>
      <w:pPr>
        <w:ind w:left="720" w:hanging="360"/>
      </w:pPr>
    </w:lvl>
    <w:lvl w:ilvl="5" w:tplc="457E77EE">
      <w:start w:val="1"/>
      <w:numFmt w:val="decimal"/>
      <w:lvlText w:val="%6."/>
      <w:lvlJc w:val="left"/>
      <w:pPr>
        <w:ind w:left="720" w:hanging="360"/>
      </w:pPr>
    </w:lvl>
    <w:lvl w:ilvl="6" w:tplc="547A57A4">
      <w:start w:val="1"/>
      <w:numFmt w:val="decimal"/>
      <w:lvlText w:val="%7."/>
      <w:lvlJc w:val="left"/>
      <w:pPr>
        <w:ind w:left="720" w:hanging="360"/>
      </w:pPr>
    </w:lvl>
    <w:lvl w:ilvl="7" w:tplc="B6C08BBE">
      <w:start w:val="1"/>
      <w:numFmt w:val="decimal"/>
      <w:lvlText w:val="%8."/>
      <w:lvlJc w:val="left"/>
      <w:pPr>
        <w:ind w:left="720" w:hanging="360"/>
      </w:pPr>
    </w:lvl>
    <w:lvl w:ilvl="8" w:tplc="9EE41E7E">
      <w:start w:val="1"/>
      <w:numFmt w:val="decimal"/>
      <w:lvlText w:val="%9."/>
      <w:lvlJc w:val="left"/>
      <w:pPr>
        <w:ind w:left="720" w:hanging="360"/>
      </w:pPr>
    </w:lvl>
  </w:abstractNum>
  <w:abstractNum w:abstractNumId="23" w15:restartNumberingAfterBreak="0">
    <w:nsid w:val="7635256D"/>
    <w:multiLevelType w:val="hybridMultilevel"/>
    <w:tmpl w:val="00622310"/>
    <w:lvl w:ilvl="0" w:tplc="86B4324E">
      <w:start w:val="1"/>
      <w:numFmt w:val="decimal"/>
      <w:lvlText w:val="%1."/>
      <w:lvlJc w:val="left"/>
      <w:pPr>
        <w:ind w:left="1020" w:hanging="360"/>
      </w:pPr>
    </w:lvl>
    <w:lvl w:ilvl="1" w:tplc="5492B48E">
      <w:start w:val="1"/>
      <w:numFmt w:val="decimal"/>
      <w:lvlText w:val="%2."/>
      <w:lvlJc w:val="left"/>
      <w:pPr>
        <w:ind w:left="1020" w:hanging="360"/>
      </w:pPr>
    </w:lvl>
    <w:lvl w:ilvl="2" w:tplc="2F3EC9BC">
      <w:start w:val="1"/>
      <w:numFmt w:val="decimal"/>
      <w:lvlText w:val="%3."/>
      <w:lvlJc w:val="left"/>
      <w:pPr>
        <w:ind w:left="1020" w:hanging="360"/>
      </w:pPr>
    </w:lvl>
    <w:lvl w:ilvl="3" w:tplc="DF762E6C">
      <w:start w:val="1"/>
      <w:numFmt w:val="decimal"/>
      <w:lvlText w:val="%4."/>
      <w:lvlJc w:val="left"/>
      <w:pPr>
        <w:ind w:left="1020" w:hanging="360"/>
      </w:pPr>
    </w:lvl>
    <w:lvl w:ilvl="4" w:tplc="593CE490">
      <w:start w:val="1"/>
      <w:numFmt w:val="decimal"/>
      <w:lvlText w:val="%5."/>
      <w:lvlJc w:val="left"/>
      <w:pPr>
        <w:ind w:left="1020" w:hanging="360"/>
      </w:pPr>
    </w:lvl>
    <w:lvl w:ilvl="5" w:tplc="EA5AFBDE">
      <w:start w:val="1"/>
      <w:numFmt w:val="decimal"/>
      <w:lvlText w:val="%6."/>
      <w:lvlJc w:val="left"/>
      <w:pPr>
        <w:ind w:left="1020" w:hanging="360"/>
      </w:pPr>
    </w:lvl>
    <w:lvl w:ilvl="6" w:tplc="23B8925A">
      <w:start w:val="1"/>
      <w:numFmt w:val="decimal"/>
      <w:lvlText w:val="%7."/>
      <w:lvlJc w:val="left"/>
      <w:pPr>
        <w:ind w:left="1020" w:hanging="360"/>
      </w:pPr>
    </w:lvl>
    <w:lvl w:ilvl="7" w:tplc="19A2D194">
      <w:start w:val="1"/>
      <w:numFmt w:val="decimal"/>
      <w:lvlText w:val="%8."/>
      <w:lvlJc w:val="left"/>
      <w:pPr>
        <w:ind w:left="1020" w:hanging="360"/>
      </w:pPr>
    </w:lvl>
    <w:lvl w:ilvl="8" w:tplc="C818BDC4">
      <w:start w:val="1"/>
      <w:numFmt w:val="decimal"/>
      <w:lvlText w:val="%9."/>
      <w:lvlJc w:val="left"/>
      <w:pPr>
        <w:ind w:left="1020" w:hanging="360"/>
      </w:pPr>
    </w:lvl>
  </w:abstractNum>
  <w:abstractNum w:abstractNumId="24" w15:restartNumberingAfterBreak="0">
    <w:nsid w:val="7B0B2235"/>
    <w:multiLevelType w:val="multilevel"/>
    <w:tmpl w:val="099C1DC6"/>
    <w:lvl w:ilvl="0">
      <w:start w:val="1"/>
      <w:numFmt w:val="decimal"/>
      <w:suff w:val="space"/>
      <w:lvlText w:val="%1."/>
      <w:lvlJc w:val="left"/>
    </w:lvl>
    <w:lvl w:ilvl="1">
      <w:start w:val="1"/>
      <w:numFmt w:val="ganada"/>
      <w:pStyle w:val="2"/>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num w:numId="1">
    <w:abstractNumId w:val="7"/>
  </w:num>
  <w:num w:numId="2">
    <w:abstractNumId w:val="13"/>
  </w:num>
  <w:num w:numId="3">
    <w:abstractNumId w:val="24"/>
  </w:num>
  <w:num w:numId="4">
    <w:abstractNumId w:val="15"/>
  </w:num>
  <w:num w:numId="5">
    <w:abstractNumId w:val="11"/>
  </w:num>
  <w:num w:numId="6">
    <w:abstractNumId w:val="16"/>
  </w:num>
  <w:num w:numId="7">
    <w:abstractNumId w:val="12"/>
  </w:num>
  <w:num w:numId="8">
    <w:abstractNumId w:val="4"/>
  </w:num>
  <w:num w:numId="9">
    <w:abstractNumId w:val="2"/>
  </w:num>
  <w:num w:numId="10">
    <w:abstractNumId w:val="19"/>
  </w:num>
  <w:num w:numId="11">
    <w:abstractNumId w:val="0"/>
  </w:num>
  <w:num w:numId="12">
    <w:abstractNumId w:val="1"/>
  </w:num>
  <w:num w:numId="13">
    <w:abstractNumId w:val="5"/>
  </w:num>
  <w:num w:numId="14">
    <w:abstractNumId w:val="6"/>
  </w:num>
  <w:num w:numId="15">
    <w:abstractNumId w:val="14"/>
  </w:num>
  <w:num w:numId="16">
    <w:abstractNumId w:val="20"/>
  </w:num>
  <w:num w:numId="17">
    <w:abstractNumId w:val="3"/>
  </w:num>
  <w:num w:numId="18">
    <w:abstractNumId w:val="18"/>
  </w:num>
  <w:num w:numId="19">
    <w:abstractNumId w:val="22"/>
  </w:num>
  <w:num w:numId="20">
    <w:abstractNumId w:val="9"/>
  </w:num>
  <w:num w:numId="21">
    <w:abstractNumId w:val="17"/>
  </w:num>
  <w:num w:numId="22">
    <w:abstractNumId w:val="23"/>
  </w:num>
  <w:num w:numId="23">
    <w:abstractNumId w:val="10"/>
  </w:num>
  <w:num w:numId="24">
    <w:abstractNumId w:val="21"/>
  </w:num>
  <w:num w:numId="25">
    <w:abstractNumId w:val="8"/>
  </w:num>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학위논문실">
    <w15:presenceInfo w15:providerId="None" w15:userId="학위논문실"/>
  </w15:person>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lang="en-US" w:vendorID="64" w:dllVersion="0" w:nlCheck="1" w:checkStyle="0"/>
  <w:activeWritingStyle w:appName="MSWord" w:lang="ko-KR" w:vendorID="64" w:dllVersion="0" w:nlCheck="1" w:checkStyle="0"/>
  <w:activeWritingStyle w:appName="MSWord" w:lang="en-US" w:vendorID="64" w:dllVersion="131078" w:nlCheck="1" w:checkStyle="0"/>
  <w:activeWritingStyle w:appName="MSWord" w:lang="ko-KR" w:vendorID="64" w:dllVersion="131077" w:nlCheck="1" w:checkStyle="1"/>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updateFields w:val="true"/>
  <w:hdrShapeDefaults>
    <o:shapedefaults v:ext="edit" spidmax="2049"/>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1369"/>
    <w:rsid w:val="0002752D"/>
    <w:rsid w:val="000473DD"/>
    <w:rsid w:val="000B195B"/>
    <w:rsid w:val="001079ED"/>
    <w:rsid w:val="00116A61"/>
    <w:rsid w:val="001238E7"/>
    <w:rsid w:val="00197AE1"/>
    <w:rsid w:val="001A2A17"/>
    <w:rsid w:val="00243B56"/>
    <w:rsid w:val="00254AC5"/>
    <w:rsid w:val="00291369"/>
    <w:rsid w:val="002949DB"/>
    <w:rsid w:val="002A1301"/>
    <w:rsid w:val="002A70E6"/>
    <w:rsid w:val="002E7562"/>
    <w:rsid w:val="003155B7"/>
    <w:rsid w:val="00323119"/>
    <w:rsid w:val="00330719"/>
    <w:rsid w:val="00345205"/>
    <w:rsid w:val="003756A9"/>
    <w:rsid w:val="003D198D"/>
    <w:rsid w:val="003D5F96"/>
    <w:rsid w:val="00431532"/>
    <w:rsid w:val="00452C8C"/>
    <w:rsid w:val="004A7E8A"/>
    <w:rsid w:val="004B63AB"/>
    <w:rsid w:val="004C73C6"/>
    <w:rsid w:val="004E491E"/>
    <w:rsid w:val="00524A69"/>
    <w:rsid w:val="00547FC5"/>
    <w:rsid w:val="005D5380"/>
    <w:rsid w:val="006000CA"/>
    <w:rsid w:val="0060059E"/>
    <w:rsid w:val="006277D8"/>
    <w:rsid w:val="00641178"/>
    <w:rsid w:val="006469C2"/>
    <w:rsid w:val="00651473"/>
    <w:rsid w:val="00663C9B"/>
    <w:rsid w:val="00673B37"/>
    <w:rsid w:val="00684030"/>
    <w:rsid w:val="00697D43"/>
    <w:rsid w:val="006B18E2"/>
    <w:rsid w:val="006C7993"/>
    <w:rsid w:val="006D019F"/>
    <w:rsid w:val="006D61CA"/>
    <w:rsid w:val="006E5DCD"/>
    <w:rsid w:val="006F129A"/>
    <w:rsid w:val="006F5A85"/>
    <w:rsid w:val="006F6DA3"/>
    <w:rsid w:val="00703EC0"/>
    <w:rsid w:val="00741643"/>
    <w:rsid w:val="007521D9"/>
    <w:rsid w:val="00757438"/>
    <w:rsid w:val="007752A9"/>
    <w:rsid w:val="0078128F"/>
    <w:rsid w:val="00795AFA"/>
    <w:rsid w:val="007960E0"/>
    <w:rsid w:val="007B5BFA"/>
    <w:rsid w:val="007C44C6"/>
    <w:rsid w:val="007D0B4F"/>
    <w:rsid w:val="007D6BF4"/>
    <w:rsid w:val="007D745F"/>
    <w:rsid w:val="007F3563"/>
    <w:rsid w:val="0080496A"/>
    <w:rsid w:val="0081097D"/>
    <w:rsid w:val="008363E8"/>
    <w:rsid w:val="008379AC"/>
    <w:rsid w:val="00846490"/>
    <w:rsid w:val="0089449A"/>
    <w:rsid w:val="008F2D46"/>
    <w:rsid w:val="00902DF4"/>
    <w:rsid w:val="0095151D"/>
    <w:rsid w:val="009535F4"/>
    <w:rsid w:val="00961B8C"/>
    <w:rsid w:val="009628AF"/>
    <w:rsid w:val="00963825"/>
    <w:rsid w:val="00975B46"/>
    <w:rsid w:val="0098035C"/>
    <w:rsid w:val="009967B5"/>
    <w:rsid w:val="009F2382"/>
    <w:rsid w:val="009F72CB"/>
    <w:rsid w:val="00A02BEC"/>
    <w:rsid w:val="00A06DE3"/>
    <w:rsid w:val="00A51196"/>
    <w:rsid w:val="00A803C0"/>
    <w:rsid w:val="00A92785"/>
    <w:rsid w:val="00AB00B6"/>
    <w:rsid w:val="00AD4E59"/>
    <w:rsid w:val="00BE35E5"/>
    <w:rsid w:val="00BF3778"/>
    <w:rsid w:val="00C60A29"/>
    <w:rsid w:val="00C704CD"/>
    <w:rsid w:val="00D04164"/>
    <w:rsid w:val="00D051DC"/>
    <w:rsid w:val="00D05365"/>
    <w:rsid w:val="00D10D89"/>
    <w:rsid w:val="00D26248"/>
    <w:rsid w:val="00D27A16"/>
    <w:rsid w:val="00D44916"/>
    <w:rsid w:val="00D67F45"/>
    <w:rsid w:val="00DA4D4B"/>
    <w:rsid w:val="00DF0C18"/>
    <w:rsid w:val="00E00B04"/>
    <w:rsid w:val="00E033DC"/>
    <w:rsid w:val="00E82FDC"/>
    <w:rsid w:val="00F84C31"/>
    <w:rsid w:val="00FB166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D03435"/>
  <w15:docId w15:val="{FEF7B578-9886-4F40-B873-61A932D32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uiPriority w:val="58"/>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바탕" w:eastAsia="바탕"/>
      <w:color w:val="000000"/>
      <w:shd w:val="clear" w:color="000000" w:fill="auto"/>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300"/>
      <w:textAlignment w:val="baseline"/>
    </w:pPr>
    <w:rPr>
      <w:rFonts w:ascii="바탕" w:eastAsia="바탕"/>
      <w:color w:val="000000"/>
    </w:rPr>
  </w:style>
  <w:style w:type="paragraph" w:customStyle="1" w:styleId="1">
    <w:name w:val="개요 1"/>
    <w:uiPriority w:val="2"/>
    <w:pPr>
      <w:widowControl w:val="0"/>
      <w:numPr>
        <w:numId w:val="2"/>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200"/>
      <w:textAlignment w:val="baseline"/>
      <w:outlineLvl w:val="0"/>
    </w:pPr>
    <w:rPr>
      <w:rFonts w:ascii="바탕" w:eastAsia="바탕"/>
      <w:color w:val="000000"/>
    </w:rPr>
  </w:style>
  <w:style w:type="paragraph" w:customStyle="1" w:styleId="2">
    <w:name w:val="개요 2"/>
    <w:uiPriority w:val="3"/>
    <w:pPr>
      <w:widowControl w:val="0"/>
      <w:numPr>
        <w:ilvl w:val="1"/>
        <w:numId w:val="3"/>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400"/>
      <w:textAlignment w:val="baseline"/>
      <w:outlineLvl w:val="1"/>
    </w:pPr>
    <w:rPr>
      <w:rFonts w:ascii="바탕" w:eastAsia="바탕"/>
      <w:color w:val="000000"/>
    </w:rPr>
  </w:style>
  <w:style w:type="paragraph" w:customStyle="1" w:styleId="3">
    <w:name w:val="개요 3"/>
    <w:uiPriority w:val="4"/>
    <w:pPr>
      <w:widowControl w:val="0"/>
      <w:numPr>
        <w:ilvl w:val="2"/>
        <w:numId w:val="4"/>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600"/>
      <w:textAlignment w:val="baseline"/>
      <w:outlineLvl w:val="2"/>
    </w:pPr>
    <w:rPr>
      <w:rFonts w:ascii="바탕" w:eastAsia="바탕"/>
      <w:color w:val="000000"/>
    </w:rPr>
  </w:style>
  <w:style w:type="paragraph" w:customStyle="1" w:styleId="4">
    <w:name w:val="개요 4"/>
    <w:uiPriority w:val="5"/>
    <w:pPr>
      <w:widowControl w:val="0"/>
      <w:numPr>
        <w:ilvl w:val="3"/>
        <w:numId w:val="5"/>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800"/>
      <w:textAlignment w:val="baseline"/>
      <w:outlineLvl w:val="3"/>
    </w:pPr>
    <w:rPr>
      <w:rFonts w:ascii="바탕" w:eastAsia="바탕"/>
      <w:color w:val="000000"/>
    </w:rPr>
  </w:style>
  <w:style w:type="paragraph" w:customStyle="1" w:styleId="5">
    <w:name w:val="개요 5"/>
    <w:uiPriority w:val="6"/>
    <w:pPr>
      <w:widowControl w:val="0"/>
      <w:numPr>
        <w:ilvl w:val="4"/>
        <w:numId w:val="6"/>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000"/>
      <w:textAlignment w:val="baseline"/>
      <w:outlineLvl w:val="4"/>
    </w:pPr>
    <w:rPr>
      <w:rFonts w:ascii="바탕" w:eastAsia="바탕"/>
      <w:color w:val="000000"/>
    </w:rPr>
  </w:style>
  <w:style w:type="paragraph" w:customStyle="1" w:styleId="6">
    <w:name w:val="개요 6"/>
    <w:uiPriority w:val="7"/>
    <w:pPr>
      <w:widowControl w:val="0"/>
      <w:numPr>
        <w:ilvl w:val="5"/>
        <w:numId w:val="7"/>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200"/>
      <w:textAlignment w:val="baseline"/>
      <w:outlineLvl w:val="5"/>
    </w:pPr>
    <w:rPr>
      <w:rFonts w:ascii="바탕" w:eastAsia="바탕"/>
      <w:color w:val="000000"/>
    </w:rPr>
  </w:style>
  <w:style w:type="paragraph" w:customStyle="1" w:styleId="7">
    <w:name w:val="개요 7"/>
    <w:uiPriority w:val="8"/>
    <w:pPr>
      <w:widowControl w:val="0"/>
      <w:numPr>
        <w:ilvl w:val="6"/>
        <w:numId w:val="8"/>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00"/>
      <w:textAlignment w:val="baseline"/>
      <w:outlineLvl w:val="6"/>
    </w:pPr>
    <w:rPr>
      <w:rFonts w:ascii="바탕" w:eastAsia="바탕"/>
      <w:color w:val="000000"/>
    </w:rPr>
  </w:style>
  <w:style w:type="paragraph" w:customStyle="1" w:styleId="a5">
    <w:name w:val="쪽 번호"/>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굴림" w:eastAsia="굴림"/>
      <w:color w:val="000000"/>
    </w:rPr>
  </w:style>
  <w:style w:type="paragraph" w:customStyle="1" w:styleId="a6">
    <w:name w:val="머리말"/>
    <w:uiPriority w:val="1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textAlignment w:val="baseline"/>
    </w:pPr>
    <w:rPr>
      <w:rFonts w:ascii="굴림" w:eastAsia="굴림"/>
      <w:color w:val="000000"/>
      <w:sz w:val="18"/>
    </w:rPr>
  </w:style>
  <w:style w:type="paragraph" w:customStyle="1" w:styleId="a7">
    <w:name w:val="각주"/>
    <w:uiPriority w:val="1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8">
    <w:name w:val="미주"/>
    <w:uiPriority w:val="1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9">
    <w:name w:val="메모"/>
    <w:uiPriority w:val="13"/>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textAlignment w:val="baseline"/>
    </w:pPr>
    <w:rPr>
      <w:rFonts w:ascii="굴림" w:eastAsia="굴림"/>
      <w:color w:val="000000"/>
      <w:spacing w:val="-4"/>
      <w:w w:val="95"/>
      <w:sz w:val="18"/>
    </w:rPr>
  </w:style>
  <w:style w:type="paragraph" w:customStyle="1" w:styleId="aa">
    <w:name w:val="표지(○사학위 청구논문)"/>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b/>
      <w:color w:val="000000"/>
      <w:sz w:val="28"/>
    </w:rPr>
  </w:style>
  <w:style w:type="paragraph" w:customStyle="1" w:styleId="ab">
    <w:name w:val="표지(논문제목)"/>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c">
    <w:name w:val="표지(부제"/>
    <w:aliases w:val="영문제목)"/>
    <w:uiPriority w:val="1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d">
    <w:name w:val="표지(년월)"/>
    <w:uiPriority w:val="1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e">
    <w:name w:val="표지(학교"/>
    <w:aliases w:val="성명)"/>
    <w:uiPriority w:val="1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6"/>
    </w:rPr>
  </w:style>
  <w:style w:type="paragraph" w:customStyle="1" w:styleId="af">
    <w:name w:val="표지(학과)"/>
    <w:uiPriority w:val="1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0">
    <w:name w:val="청구표지(논문제목)"/>
    <w:uiPriority w:val="2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f1">
    <w:name w:val="청구표지(부제"/>
    <w:aliases w:val="영문제목)"/>
    <w:uiPriority w:val="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2">
    <w:name w:val="청구표지(년월)"/>
    <w:uiPriority w:val="22"/>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3">
    <w:name w:val="청구표지(학교"/>
    <w:aliases w:val="성명)"/>
    <w:uiPriority w:val="2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6"/>
    </w:rPr>
  </w:style>
  <w:style w:type="paragraph" w:customStyle="1" w:styleId="af4">
    <w:name w:val="청구표지(학과명)"/>
    <w:uiPriority w:val="2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2"/>
    </w:rPr>
  </w:style>
  <w:style w:type="paragraph" w:customStyle="1" w:styleId="af5">
    <w:name w:val="인준지(○○○의 ○○학 ○사학위 청구논문을 인준함)"/>
    <w:uiPriority w:val="2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pacing w:val="-36"/>
      <w:w w:val="95"/>
      <w:sz w:val="36"/>
    </w:rPr>
  </w:style>
  <w:style w:type="paragraph" w:customStyle="1" w:styleId="af6">
    <w:name w:val="인준지(심사위원)"/>
    <w:uiPriority w:val="2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7">
    <w:name w:val="인준지(년월)"/>
    <w:uiPriority w:val="2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8">
    <w:name w:val="인준지(학교)"/>
    <w:uiPriority w:val="2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6"/>
    </w:rPr>
  </w:style>
  <w:style w:type="paragraph" w:customStyle="1" w:styleId="af9">
    <w:name w:val="목차(목차)"/>
    <w:uiPriority w:val="2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a">
    <w:name w:val="인준지(심사위원장)"/>
    <w:uiPriority w:val="3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b">
    <w:name w:val="목차(표목차"/>
    <w:aliases w:val="그림목차,국문초록)"/>
    <w:uiPriority w:val="31"/>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10">
    <w:name w:val="목차(제1장)"/>
    <w:uiPriority w:val="32"/>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w w:val="95"/>
      <w:sz w:val="26"/>
    </w:rPr>
  </w:style>
  <w:style w:type="paragraph" w:customStyle="1" w:styleId="11">
    <w:name w:val="목차(제1절)"/>
    <w:uiPriority w:val="33"/>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200"/>
      <w:jc w:val="distribute"/>
      <w:textAlignment w:val="baseline"/>
    </w:pPr>
    <w:rPr>
      <w:rFonts w:ascii="한양신명조" w:eastAsia="한양신명조"/>
      <w:color w:val="000000"/>
      <w:w w:val="95"/>
      <w:sz w:val="22"/>
    </w:rPr>
  </w:style>
  <w:style w:type="paragraph" w:customStyle="1" w:styleId="12">
    <w:name w:val="목차(1.)"/>
    <w:uiPriority w:val="34"/>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300"/>
      <w:textAlignment w:val="baseline"/>
    </w:pPr>
    <w:rPr>
      <w:rFonts w:ascii="한양신명조" w:eastAsia="한양신명조"/>
      <w:color w:val="000000"/>
      <w:w w:val="95"/>
      <w:sz w:val="22"/>
    </w:rPr>
  </w:style>
  <w:style w:type="paragraph" w:customStyle="1" w:styleId="afc">
    <w:name w:val="목차(참고문헌"/>
    <w:aliases w:val="부록,abstract)"/>
    <w:uiPriority w:val="35"/>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afd">
    <w:name w:val="표목차(표내용)"/>
    <w:uiPriority w:val="36"/>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spacing w:val="-3"/>
      <w:w w:val="90"/>
      <w:sz w:val="22"/>
    </w:rPr>
  </w:style>
  <w:style w:type="paragraph" w:customStyle="1" w:styleId="afe">
    <w:name w:val="국문초록(국문초록)"/>
    <w:uiPriority w:val="3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48" w:lineRule="auto"/>
      <w:textAlignment w:val="baseline"/>
    </w:pPr>
    <w:rPr>
      <w:rFonts w:ascii="한양신명조" w:eastAsia="한양신명조"/>
      <w:b/>
      <w:color w:val="000000"/>
      <w:sz w:val="28"/>
    </w:rPr>
  </w:style>
  <w:style w:type="paragraph" w:customStyle="1" w:styleId="aff">
    <w:name w:val="국문초록(제목)"/>
    <w:uiPriority w:val="3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0">
    <w:name w:val="국문초록(내용)"/>
    <w:uiPriority w:val="3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200"/>
      <w:textAlignment w:val="baseline"/>
    </w:pPr>
    <w:rPr>
      <w:rFonts w:ascii="한양신명조" w:eastAsia="한양신명조"/>
      <w:color w:val="000000"/>
      <w:sz w:val="22"/>
    </w:rPr>
  </w:style>
  <w:style w:type="paragraph" w:customStyle="1" w:styleId="aff1">
    <w:name w:val="국문초록(주제어)"/>
    <w:uiPriority w:val="4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rPr>
  </w:style>
  <w:style w:type="paragraph" w:customStyle="1" w:styleId="13">
    <w:name w:val="본문(제1장)"/>
    <w:uiPriority w:val="4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w w:val="97"/>
      <w:sz w:val="32"/>
    </w:rPr>
  </w:style>
  <w:style w:type="paragraph" w:customStyle="1" w:styleId="14">
    <w:name w:val="본문(1절)"/>
    <w:uiPriority w:val="4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textAlignment w:val="baseline"/>
    </w:pPr>
    <w:rPr>
      <w:rFonts w:ascii="한양신명조" w:eastAsia="한양신명조"/>
      <w:b/>
      <w:color w:val="000000"/>
      <w:w w:val="97"/>
      <w:sz w:val="28"/>
    </w:rPr>
  </w:style>
  <w:style w:type="paragraph" w:customStyle="1" w:styleId="15">
    <w:name w:val="본문 1."/>
    <w:uiPriority w:val="4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100"/>
      <w:textAlignment w:val="baseline"/>
    </w:pPr>
    <w:rPr>
      <w:rFonts w:ascii="한양신명조" w:eastAsia="한양신명조"/>
      <w:b/>
      <w:color w:val="000000"/>
      <w:w w:val="97"/>
      <w:sz w:val="22"/>
    </w:rPr>
  </w:style>
  <w:style w:type="paragraph" w:customStyle="1" w:styleId="aff2">
    <w:name w:val="본문(내용)"/>
    <w:uiPriority w:val="4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w w:val="97"/>
      <w:sz w:val="22"/>
    </w:rPr>
  </w:style>
  <w:style w:type="paragraph" w:customStyle="1" w:styleId="aff3">
    <w:name w:val="참고문헌(참고문헌)"/>
    <w:uiPriority w:val="4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4">
    <w:name w:val="참고문헌(동양문헌"/>
    <w:aliases w:val="서양문헌)"/>
    <w:uiPriority w:val="4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80" w:lineRule="auto"/>
      <w:textAlignment w:val="baseline"/>
    </w:pPr>
    <w:rPr>
      <w:rFonts w:ascii="한양신명조" w:eastAsia="한양신명조"/>
      <w:b/>
      <w:color w:val="000000"/>
      <w:sz w:val="26"/>
    </w:rPr>
  </w:style>
  <w:style w:type="paragraph" w:customStyle="1" w:styleId="aff5">
    <w:name w:val="참고문헌(내용)"/>
    <w:uiPriority w:val="4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textAlignment w:val="baseline"/>
    </w:pPr>
    <w:rPr>
      <w:rFonts w:ascii="한양신명조" w:eastAsia="한양신명조"/>
      <w:color w:val="000000"/>
      <w:sz w:val="22"/>
    </w:rPr>
  </w:style>
  <w:style w:type="paragraph" w:customStyle="1" w:styleId="ABSTRACT">
    <w:name w:val="영문초록(ABSTRACT)"/>
    <w:uiPriority w:val="4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72" w:lineRule="auto"/>
      <w:textAlignment w:val="baseline"/>
    </w:pPr>
    <w:rPr>
      <w:rFonts w:ascii="한양신명조" w:eastAsia="한양신명조"/>
      <w:b/>
      <w:color w:val="000000"/>
      <w:sz w:val="28"/>
    </w:rPr>
  </w:style>
  <w:style w:type="paragraph" w:customStyle="1" w:styleId="aff6">
    <w:name w:val="영문초록(영문제목)"/>
    <w:uiPriority w:val="4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7">
    <w:name w:val="영문초록(이름"/>
    <w:aliases w:val="학과,학교)"/>
    <w:uiPriority w:val="5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right"/>
      <w:textAlignment w:val="baseline"/>
    </w:pPr>
    <w:rPr>
      <w:rFonts w:ascii="한양신명조" w:eastAsia="한양신명조"/>
      <w:color w:val="000000"/>
      <w:sz w:val="22"/>
    </w:rPr>
  </w:style>
  <w:style w:type="paragraph" w:customStyle="1" w:styleId="aff8">
    <w:name w:val="영문초록(내용)"/>
    <w:uiPriority w:val="5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sz w:val="22"/>
    </w:rPr>
  </w:style>
  <w:style w:type="paragraph" w:customStyle="1" w:styleId="aff9">
    <w:name w:val="영문초록(주석)"/>
    <w:uiPriority w:val="5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sz w:val="18"/>
    </w:rPr>
  </w:style>
  <w:style w:type="paragraph" w:customStyle="1" w:styleId="affa">
    <w:name w:val="표지측면(년도)"/>
    <w:uiPriority w:val="5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240" w:lineRule="auto"/>
      <w:jc w:val="center"/>
      <w:textAlignment w:val="baseline"/>
    </w:pPr>
    <w:rPr>
      <w:rFonts w:ascii="한양신명조" w:eastAsia="한양신명조"/>
      <w:b/>
      <w:color w:val="000000"/>
      <w:sz w:val="32"/>
    </w:rPr>
  </w:style>
  <w:style w:type="paragraph" w:customStyle="1" w:styleId="affb">
    <w:name w:val="표지측면(제목)"/>
    <w:uiPriority w:val="5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fc">
    <w:name w:val="표지측면(성명)"/>
    <w:uiPriority w:val="5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pPr>
    <w:rPr>
      <w:rFonts w:ascii="한양신명조" w:eastAsia="한양신명조"/>
      <w:b/>
      <w:color w:val="000000"/>
      <w:sz w:val="32"/>
    </w:rPr>
  </w:style>
  <w:style w:type="paragraph" w:customStyle="1" w:styleId="affd">
    <w:name w:val="국문초록\(내용\)"/>
    <w:uiPriority w:val="56"/>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60" w:lineRule="auto"/>
      <w:ind w:right="88"/>
      <w:textAlignment w:val="baseline"/>
    </w:pPr>
    <w:rPr>
      <w:rFonts w:ascii="한양신명조" w:eastAsia="HY신명조"/>
      <w:color w:val="282828"/>
      <w:sz w:val="22"/>
    </w:rPr>
  </w:style>
  <w:style w:type="paragraph" w:customStyle="1" w:styleId="MS">
    <w:name w:val="MS바탕글"/>
    <w:uiPriority w:val="5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맑은 고딕" w:eastAsia="HY신명조"/>
      <w:color w:val="000000"/>
      <w:sz w:val="22"/>
    </w:rPr>
  </w:style>
  <w:style w:type="paragraph" w:customStyle="1" w:styleId="Normal1">
    <w:name w:val="Normal1"/>
    <w:uiPriority w:val="59"/>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paragraph" w:styleId="affe">
    <w:name w:val="header"/>
    <w:basedOn w:val="a"/>
    <w:link w:val="Char"/>
    <w:uiPriority w:val="99"/>
    <w:unhideWhenUsed/>
    <w:rsid w:val="007960E0"/>
    <w:pPr>
      <w:tabs>
        <w:tab w:val="center" w:pos="4513"/>
        <w:tab w:val="right" w:pos="9026"/>
      </w:tabs>
      <w:snapToGrid w:val="0"/>
    </w:pPr>
  </w:style>
  <w:style w:type="character" w:customStyle="1" w:styleId="Char">
    <w:name w:val="머리글 Char"/>
    <w:basedOn w:val="a0"/>
    <w:link w:val="affe"/>
    <w:uiPriority w:val="99"/>
    <w:rsid w:val="007960E0"/>
    <w:rPr>
      <w:rFonts w:ascii="맑은 고딕" w:eastAsia="HY신명조"/>
      <w:color w:val="000000"/>
      <w:kern w:val="1"/>
      <w:sz w:val="22"/>
    </w:rPr>
  </w:style>
  <w:style w:type="paragraph" w:styleId="afff">
    <w:name w:val="footer"/>
    <w:basedOn w:val="a"/>
    <w:link w:val="Char0"/>
    <w:uiPriority w:val="99"/>
    <w:unhideWhenUsed/>
    <w:rsid w:val="007960E0"/>
    <w:pPr>
      <w:tabs>
        <w:tab w:val="center" w:pos="4513"/>
        <w:tab w:val="right" w:pos="9026"/>
      </w:tabs>
      <w:snapToGrid w:val="0"/>
    </w:pPr>
  </w:style>
  <w:style w:type="character" w:customStyle="1" w:styleId="Char0">
    <w:name w:val="바닥글 Char"/>
    <w:basedOn w:val="a0"/>
    <w:link w:val="afff"/>
    <w:uiPriority w:val="99"/>
    <w:rsid w:val="007960E0"/>
    <w:rPr>
      <w:rFonts w:ascii="맑은 고딕" w:eastAsia="HY신명조"/>
      <w:color w:val="000000"/>
      <w:kern w:val="1"/>
      <w:sz w:val="22"/>
    </w:rPr>
  </w:style>
  <w:style w:type="character" w:styleId="afff0">
    <w:name w:val="annotation reference"/>
    <w:basedOn w:val="a0"/>
    <w:uiPriority w:val="99"/>
    <w:semiHidden/>
    <w:unhideWhenUsed/>
    <w:rsid w:val="007C44C6"/>
    <w:rPr>
      <w:sz w:val="18"/>
      <w:szCs w:val="18"/>
    </w:rPr>
  </w:style>
  <w:style w:type="paragraph" w:styleId="afff1">
    <w:name w:val="annotation text"/>
    <w:basedOn w:val="a"/>
    <w:link w:val="Char1"/>
    <w:uiPriority w:val="99"/>
    <w:unhideWhenUsed/>
    <w:rsid w:val="007C44C6"/>
    <w:pPr>
      <w:jc w:val="left"/>
    </w:pPr>
  </w:style>
  <w:style w:type="character" w:customStyle="1" w:styleId="Char1">
    <w:name w:val="메모 텍스트 Char"/>
    <w:basedOn w:val="a0"/>
    <w:link w:val="afff1"/>
    <w:uiPriority w:val="99"/>
    <w:rsid w:val="007C44C6"/>
    <w:rPr>
      <w:rFonts w:ascii="맑은 고딕" w:eastAsia="HY신명조"/>
      <w:color w:val="000000"/>
      <w:kern w:val="1"/>
      <w:sz w:val="22"/>
    </w:rPr>
  </w:style>
  <w:style w:type="paragraph" w:styleId="afff2">
    <w:name w:val="annotation subject"/>
    <w:basedOn w:val="afff1"/>
    <w:next w:val="afff1"/>
    <w:link w:val="Char2"/>
    <w:uiPriority w:val="99"/>
    <w:semiHidden/>
    <w:unhideWhenUsed/>
    <w:rsid w:val="007C44C6"/>
    <w:rPr>
      <w:b/>
      <w:bCs/>
    </w:rPr>
  </w:style>
  <w:style w:type="character" w:customStyle="1" w:styleId="Char2">
    <w:name w:val="메모 주제 Char"/>
    <w:basedOn w:val="Char1"/>
    <w:link w:val="afff2"/>
    <w:uiPriority w:val="99"/>
    <w:semiHidden/>
    <w:rsid w:val="007C44C6"/>
    <w:rPr>
      <w:rFonts w:ascii="맑은 고딕" w:eastAsia="HY신명조"/>
      <w:b/>
      <w:bCs/>
      <w:color w:val="000000"/>
      <w:kern w:val="1"/>
      <w:sz w:val="22"/>
    </w:rPr>
  </w:style>
  <w:style w:type="paragraph" w:styleId="afff3">
    <w:name w:val="Balloon Text"/>
    <w:basedOn w:val="a"/>
    <w:link w:val="Char3"/>
    <w:uiPriority w:val="99"/>
    <w:semiHidden/>
    <w:unhideWhenUsed/>
    <w:rsid w:val="00A06DE3"/>
    <w:rPr>
      <w:rFonts w:asciiTheme="majorHAnsi" w:eastAsiaTheme="majorEastAsia" w:hAnsiTheme="majorHAnsi" w:cstheme="majorBidi"/>
      <w:sz w:val="18"/>
      <w:szCs w:val="18"/>
    </w:rPr>
  </w:style>
  <w:style w:type="character" w:customStyle="1" w:styleId="Char3">
    <w:name w:val="풍선 도움말 텍스트 Char"/>
    <w:basedOn w:val="a0"/>
    <w:link w:val="afff3"/>
    <w:uiPriority w:val="99"/>
    <w:semiHidden/>
    <w:rsid w:val="00A06DE3"/>
    <w:rPr>
      <w:rFonts w:asciiTheme="majorHAnsi" w:eastAsiaTheme="majorEastAsia" w:hAnsiTheme="majorHAnsi" w:cstheme="majorBidi"/>
      <w:color w:val="000000"/>
      <w:kern w:val="1"/>
      <w:sz w:val="18"/>
      <w:szCs w:val="18"/>
    </w:rPr>
  </w:style>
  <w:style w:type="paragraph" w:styleId="afff4">
    <w:name w:val="List Paragraph"/>
    <w:basedOn w:val="a"/>
    <w:uiPriority w:val="34"/>
    <w:qFormat/>
    <w:rsid w:val="00A92785"/>
    <w:pPr>
      <w:ind w:leftChars="400" w:left="800"/>
    </w:pPr>
  </w:style>
  <w:style w:type="paragraph" w:customStyle="1" w:styleId="표캡션">
    <w:name w:val="표캡션"/>
    <w:basedOn w:val="a"/>
    <w:rPr>
      <w:rFonts w:ascii="휴먼명조" w:hAnsi="휴먼명조"/>
      <w:b/>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2341789">
      <w:bodyDiv w:val="1"/>
      <w:marLeft w:val="0"/>
      <w:marRight w:val="0"/>
      <w:marTop w:val="0"/>
      <w:marBottom w:val="0"/>
      <w:divBdr>
        <w:top w:val="none" w:sz="0" w:space="0" w:color="auto"/>
        <w:left w:val="none" w:sz="0" w:space="0" w:color="auto"/>
        <w:bottom w:val="none" w:sz="0" w:space="0" w:color="auto"/>
        <w:right w:val="none" w:sz="0" w:space="0" w:color="auto"/>
      </w:divBdr>
    </w:div>
    <w:div w:id="90395947">
      <w:bodyDiv w:val="1"/>
      <w:marLeft w:val="0"/>
      <w:marRight w:val="0"/>
      <w:marTop w:val="0"/>
      <w:marBottom w:val="0"/>
      <w:divBdr>
        <w:top w:val="none" w:sz="0" w:space="0" w:color="auto"/>
        <w:left w:val="none" w:sz="0" w:space="0" w:color="auto"/>
        <w:bottom w:val="none" w:sz="0" w:space="0" w:color="auto"/>
        <w:right w:val="none" w:sz="0" w:space="0" w:color="auto"/>
      </w:divBdr>
    </w:div>
    <w:div w:id="233778850">
      <w:bodyDiv w:val="1"/>
      <w:marLeft w:val="0"/>
      <w:marRight w:val="0"/>
      <w:marTop w:val="0"/>
      <w:marBottom w:val="0"/>
      <w:divBdr>
        <w:top w:val="none" w:sz="0" w:space="0" w:color="auto"/>
        <w:left w:val="none" w:sz="0" w:space="0" w:color="auto"/>
        <w:bottom w:val="none" w:sz="0" w:space="0" w:color="auto"/>
        <w:right w:val="none" w:sz="0" w:space="0" w:color="auto"/>
      </w:divBdr>
    </w:div>
    <w:div w:id="255208313">
      <w:bodyDiv w:val="1"/>
      <w:marLeft w:val="0"/>
      <w:marRight w:val="0"/>
      <w:marTop w:val="0"/>
      <w:marBottom w:val="0"/>
      <w:divBdr>
        <w:top w:val="none" w:sz="0" w:space="0" w:color="auto"/>
        <w:left w:val="none" w:sz="0" w:space="0" w:color="auto"/>
        <w:bottom w:val="none" w:sz="0" w:space="0" w:color="auto"/>
        <w:right w:val="none" w:sz="0" w:space="0" w:color="auto"/>
      </w:divBdr>
    </w:div>
    <w:div w:id="613095381">
      <w:bodyDiv w:val="1"/>
      <w:marLeft w:val="0"/>
      <w:marRight w:val="0"/>
      <w:marTop w:val="0"/>
      <w:marBottom w:val="0"/>
      <w:divBdr>
        <w:top w:val="none" w:sz="0" w:space="0" w:color="auto"/>
        <w:left w:val="none" w:sz="0" w:space="0" w:color="auto"/>
        <w:bottom w:val="none" w:sz="0" w:space="0" w:color="auto"/>
        <w:right w:val="none" w:sz="0" w:space="0" w:color="auto"/>
      </w:divBdr>
    </w:div>
    <w:div w:id="1160273743">
      <w:bodyDiv w:val="1"/>
      <w:marLeft w:val="0"/>
      <w:marRight w:val="0"/>
      <w:marTop w:val="0"/>
      <w:marBottom w:val="0"/>
      <w:divBdr>
        <w:top w:val="none" w:sz="0" w:space="0" w:color="auto"/>
        <w:left w:val="none" w:sz="0" w:space="0" w:color="auto"/>
        <w:bottom w:val="none" w:sz="0" w:space="0" w:color="auto"/>
        <w:right w:val="none" w:sz="0" w:space="0" w:color="auto"/>
      </w:divBdr>
    </w:div>
    <w:div w:id="1714231380">
      <w:bodyDiv w:val="1"/>
      <w:marLeft w:val="0"/>
      <w:marRight w:val="0"/>
      <w:marTop w:val="0"/>
      <w:marBottom w:val="0"/>
      <w:divBdr>
        <w:top w:val="none" w:sz="0" w:space="0" w:color="auto"/>
        <w:left w:val="none" w:sz="0" w:space="0" w:color="auto"/>
        <w:bottom w:val="none" w:sz="0" w:space="0" w:color="auto"/>
        <w:right w:val="none" w:sz="0" w:space="0" w:color="auto"/>
      </w:divBdr>
    </w:div>
    <w:div w:id="1825269100">
      <w:bodyDiv w:val="1"/>
      <w:marLeft w:val="0"/>
      <w:marRight w:val="0"/>
      <w:marTop w:val="0"/>
      <w:marBottom w:val="0"/>
      <w:divBdr>
        <w:top w:val="none" w:sz="0" w:space="0" w:color="auto"/>
        <w:left w:val="none" w:sz="0" w:space="0" w:color="auto"/>
        <w:bottom w:val="none" w:sz="0" w:space="0" w:color="auto"/>
        <w:right w:val="none" w:sz="0" w:space="0" w:color="auto"/>
      </w:divBdr>
    </w:div>
    <w:div w:id="1893689801">
      <w:bodyDiv w:val="1"/>
      <w:marLeft w:val="0"/>
      <w:marRight w:val="0"/>
      <w:marTop w:val="0"/>
      <w:marBottom w:val="0"/>
      <w:divBdr>
        <w:top w:val="none" w:sz="0" w:space="0" w:color="auto"/>
        <w:left w:val="none" w:sz="0" w:space="0" w:color="auto"/>
        <w:bottom w:val="none" w:sz="0" w:space="0" w:color="auto"/>
        <w:right w:val="none" w:sz="0" w:space="0" w:color="auto"/>
      </w:divBdr>
    </w:div>
    <w:div w:id="2067750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comments" Target="comment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styles" Target="styles.xml"/><Relationship Id="rId16" Type="http://schemas.openxmlformats.org/officeDocument/2006/relationships/footer" Target="footer4.xml"/><Relationship Id="rId20"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eader" Target="header4.xml"/><Relationship Id="rId23" Type="http://schemas.microsoft.com/office/2016/09/relationships/commentsIds" Target="commentsIds.xm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microsoft.com/office/2018/08/relationships/commentsExtensible" Target="commentsExtensi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11</Pages>
  <Words>603</Words>
  <Characters>3439</Characters>
  <Application>Microsoft Office Word</Application>
  <DocSecurity>0</DocSecurity>
  <Lines>28</Lines>
  <Paragraphs>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4034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학위논문실</cp:lastModifiedBy>
  <cp:revision>9</cp:revision>
  <cp:lastPrinted>2024-09-05T05:26:00Z</cp:lastPrinted>
  <dcterms:created xsi:type="dcterms:W3CDTF">2025-03-04T08:25:00Z</dcterms:created>
  <dcterms:modified xsi:type="dcterms:W3CDTF">2025-08-27T07:33:00Z</dcterms:modified>
  <cp:version>0501.0100.01</cp:version>
</cp:coreProperties>
</file>