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1238E7">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Min, Dugki</w:t>
            </w:r>
          </w:p>
        </w:tc>
      </w:tr>
      <w:tr w:rsidR="0081097D" w14:paraId="15E95065" w14:textId="77777777" w:rsidTr="001238E7">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1238E7">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066030E3" w14:textId="6AA26997" w:rsidR="00291369" w:rsidRPr="007960E0" w:rsidRDefault="006D61CA" w:rsidP="0002752D">
            <w:pPr>
              <w:pStyle w:val="aa"/>
              <w:wordWrap/>
              <w:spacing w:line="360" w:lineRule="auto"/>
              <w:jc w:val="center"/>
              <w:rPr>
                <w:rFonts w:ascii="Arial" w:hAnsi="Arial" w:cs="Arial"/>
                <w:sz w:val="32"/>
              </w:rPr>
            </w:pPr>
            <w:r w:rsidRPr="007960E0">
              <w:rPr>
                <w:rFonts w:ascii="Arial" w:hAnsi="Arial" w:cs="Arial"/>
                <w:sz w:val="32"/>
              </w:rPr>
            </w:r>
          </w:p>
          <w:p w14:paraId="3340302F" w14:textId="77777777" w:rsidR="00291369" w:rsidRPr="007960E0" w:rsidRDefault="00291369" w:rsidP="0002752D">
            <w:pPr>
              <w:pStyle w:val="aa"/>
              <w:wordWrap/>
              <w:spacing w:line="360" w:lineRule="auto"/>
              <w:jc w:val="center"/>
              <w:rPr>
                <w:rFonts w:ascii="Arial" w:eastAsia="휴먼명조" w:hAnsi="Arial" w:cs="Arial"/>
              </w:rPr>
            </w:pPr>
          </w:p>
          <w:p w14:paraId="40854BFF" w14:textId="77777777" w:rsidR="00291369" w:rsidRPr="007960E0" w:rsidRDefault="00291369" w:rsidP="0002752D">
            <w:pPr>
              <w:pStyle w:val="aa"/>
              <w:wordWrap/>
              <w:spacing w:line="360" w:lineRule="auto"/>
              <w:jc w:val="center"/>
              <w:rPr>
                <w:rFonts w:ascii="Arial" w:eastAsia="휴먼명조" w:hAnsi="Arial" w:cs="Arial"/>
              </w:rPr>
            </w:pPr>
          </w:p>
          <w:p w14:paraId="54C15612" w14:textId="77777777" w:rsidR="00291369" w:rsidRPr="007960E0" w:rsidRDefault="00291369" w:rsidP="0002752D">
            <w:pPr>
              <w:pStyle w:val="aa"/>
              <w:wordWrap/>
              <w:spacing w:line="360" w:lineRule="auto"/>
              <w:jc w:val="center"/>
              <w:rPr>
                <w:rFonts w:ascii="Arial" w:eastAsia="휴먼명조" w:hAnsi="Arial" w:cs="Arial"/>
              </w:rPr>
            </w:pPr>
          </w:p>
          <w:p w14:paraId="180FC19D" w14:textId="77777777" w:rsidR="00291369" w:rsidRDefault="00291369" w:rsidP="0002752D">
            <w:pPr>
              <w:pStyle w:val="aa"/>
              <w:wordWrap/>
              <w:spacing w:line="360" w:lineRule="auto"/>
              <w:jc w:val="center"/>
              <w:rPr>
                <w:rFonts w:ascii="Arial" w:eastAsiaTheme="minorEastAsia" w:hAnsi="Arial" w:cs="Arial"/>
              </w:rPr>
            </w:pPr>
          </w:p>
          <w:p w14:paraId="2F836C0B" w14:textId="77777777" w:rsidR="007960E0" w:rsidRDefault="007960E0" w:rsidP="0002752D">
            <w:pPr>
              <w:pStyle w:val="aa"/>
              <w:wordWrap/>
              <w:spacing w:line="360" w:lineRule="auto"/>
              <w:jc w:val="center"/>
              <w:rPr>
                <w:rFonts w:ascii="Arial" w:eastAsiaTheme="minorEastAsia" w:hAnsi="Arial" w:cs="Arial"/>
              </w:rPr>
            </w:pPr>
          </w:p>
          <w:p w14:paraId="5FD4AAD3" w14:textId="77777777" w:rsidR="007960E0" w:rsidRDefault="007960E0" w:rsidP="0002752D">
            <w:pPr>
              <w:pStyle w:val="aa"/>
              <w:wordWrap/>
              <w:spacing w:line="360" w:lineRule="auto"/>
              <w:jc w:val="center"/>
              <w:rPr>
                <w:rFonts w:ascii="Arial" w:eastAsiaTheme="minorEastAsia" w:hAnsi="Arial" w:cs="Arial"/>
              </w:rPr>
            </w:pPr>
          </w:p>
          <w:p w14:paraId="7CAA4FC5" w14:textId="77777777" w:rsidR="00291369" w:rsidRDefault="00291369" w:rsidP="0002752D">
            <w:pPr>
              <w:pStyle w:val="aa"/>
              <w:wordWrap/>
              <w:spacing w:line="360" w:lineRule="auto"/>
              <w:jc w:val="center"/>
              <w:rPr>
                <w:rFonts w:ascii="Arial" w:eastAsiaTheme="minorEastAsia" w:hAnsi="Arial" w:cs="Arial"/>
              </w:rPr>
            </w:pP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1238E7">
        <w:trPr>
          <w:gridAfter w:val="1"/>
          <w:wAfter w:w="229" w:type="dxa"/>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 Wook</w:t>
            </w:r>
          </w:p>
        </w:tc>
      </w:tr>
      <w:tr w:rsidR="00291369" w14:paraId="5F2437B7" w14:textId="77777777" w:rsidTr="001238E7">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commentRangeStart w:id="0"/>
            <w:r>
              <w:rPr>
                <w:rFonts w:ascii="Arial" w:hAnsi="Arial" w:cs="Arial" w:hint="eastAsia"/>
                <w:sz w:val="32"/>
              </w:rPr>
              <w:t>February, 2027</w:t>
            </w:r>
            <w:commentRangeEnd w:id="0"/>
          </w:p>
        </w:tc>
      </w:tr>
      <w:tr w:rsidR="00291369" w14:paraId="6DD7E50F" w14:textId="77777777" w:rsidTr="001238E7">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1238E7">
        <w:trPr>
          <w:gridAfter w:val="1"/>
          <w:wAfter w:w="229" w:type="dxa"/>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commentRangeStart w:id="1"/>
            <w:r w:rsidRPr="007960E0">
              <w:rPr>
                <w:rFonts w:ascii="Arial" w:hAnsi="Arial" w:cs="Arial"/>
                <w:sz w:val="32"/>
              </w:rPr>
              <w:t>Department of Convergence Information Technology</w:t>
            </w:r>
            <w:commentRangeEnd w:id="1"/>
          </w:p>
        </w:tc>
      </w:tr>
      <w:tr w:rsidR="00291369" w14:paraId="577043C6" w14:textId="77777777" w:rsidTr="001238E7">
        <w:trPr>
          <w:gridAfter w:val="1"/>
          <w:wAfter w:w="229" w:type="dxa"/>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14ECB1DE" w14:textId="4E5C1A13" w:rsidR="00291369" w:rsidRPr="007960E0" w:rsidRDefault="006D61CA" w:rsidP="0002752D">
            <w:pPr>
              <w:pStyle w:val="aa"/>
              <w:wordWrap/>
              <w:spacing w:line="360" w:lineRule="auto"/>
              <w:jc w:val="center"/>
              <w:rPr>
                <w:rFonts w:ascii="Arial" w:hAnsi="Arial" w:cs="Arial"/>
              </w:rPr>
            </w:pPr>
            <w:commentRangeStart w:id="2"/>
            <w:r w:rsidRPr="007960E0">
              <w:rPr>
                <w:rFonts w:ascii="Arial" w:hAnsi="Arial" w:cs="Arial"/>
                <w:sz w:val="32"/>
              </w:rPr>
              <w:t>Graduate School of Information &amp; Communications</w:t>
            </w:r>
            <w:commentRangeEnd w:id="2"/>
          </w:p>
        </w:tc>
      </w:tr>
      <w:tr w:rsidR="00291369" w14:paraId="7F61F192" w14:textId="77777777" w:rsidTr="001238E7">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57E03DAB"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t>Domain Adaptation of Lightweight Vision-Language Models for Medical Visual Question Answering: QLoRA Fine-Tuning with Autonomous Hyperparameter Optimization</w:t>
            </w:r>
          </w:p>
          <w:p w14:paraId="51F000F7" w14:textId="6D046EA0" w:rsidR="00291369" w:rsidRPr="0002752D" w:rsidRDefault="006D61CA" w:rsidP="0002752D">
            <w:pPr>
              <w:pStyle w:val="ac"/>
              <w:spacing w:line="360" w:lineRule="auto"/>
              <w:rPr>
                <w:rFonts w:ascii="Arial" w:hAnsi="Arial" w:cs="Arial"/>
              </w:rPr>
            </w:pPr>
            <w:r w:rsidRPr="0002752D">
              <w:rPr>
                <w:rFonts w:ascii="Arial" w:hAnsi="Arial" w:cs="Arial"/>
                <w:w w:val="97"/>
                <w:shd w:val="clear" w:color="000000" w:fill="auto"/>
              </w:rPr>
            </w:r>
          </w:p>
        </w:tc>
      </w:tr>
      <w:tr w:rsidR="00291369" w14:paraId="479EBF63" w14:textId="77777777" w:rsidTr="001238E7">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w w:val="97"/>
                <w:sz w:val="40"/>
                <w:shd w:val="clear" w:color="000000" w:fill="auto"/>
              </w:rPr>
            </w:pPr>
          </w:p>
        </w:tc>
      </w:tr>
      <w:tr w:rsidR="00291369" w14:paraId="1C0FE16A" w14:textId="77777777" w:rsidTr="001238E7">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Information &amp; Communications,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3"/>
            <w:r w:rsidRPr="0002752D">
              <w:rPr>
                <w:rFonts w:ascii="Arial" w:hAnsi="Arial" w:cs="Arial"/>
                <w:b/>
                <w:w w:val="97"/>
                <w:sz w:val="28"/>
              </w:rPr>
              <w:t>Master of Engineering.</w:t>
            </w:r>
            <w:commentRangeEnd w:id="3"/>
          </w:p>
        </w:tc>
      </w:tr>
      <w:tr w:rsidR="00291369" w14:paraId="53EE2EB8" w14:textId="77777777" w:rsidTr="001238E7">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t>Hwang, Tae Wook</w:t>
            </w:r>
          </w:p>
        </w:tc>
      </w:tr>
      <w:tr w:rsidR="00291369" w14:paraId="45AD2707" w14:textId="77777777" w:rsidTr="001238E7">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gridSpan w:val="2"/>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4"/>
            <w:r>
              <w:rPr>
                <w:rFonts w:ascii="Arial" w:hAnsi="Arial" w:cs="Arial"/>
                <w:b/>
                <w:w w:val="97"/>
                <w:sz w:val="32"/>
              </w:rPr>
              <w:t>November, 2026</w:t>
            </w:r>
            <w:commentRangeEnd w:id="4"/>
          </w:p>
        </w:tc>
      </w:tr>
    </w:tbl>
    <w:p w14:paraId="5C96A8A8" w14:textId="77777777" w:rsidR="00291369" w:rsidRDefault="00291369">
      <w:pPr>
        <w:pStyle w:val="a3"/>
        <w:snapToGrid/>
        <w:sectPr w:rsidR="00291369" w:rsidSect="001238E7">
          <w:headerReference w:type="even" r:id="rId9"/>
          <w:headerReference w:type="default" r:id="rId10"/>
          <w:footerReference w:type="even" r:id="rId11"/>
          <w:footerReference w:type="default" r:id="rId12"/>
          <w:headerReference w:type="first" r:id="rId13"/>
          <w:footerReference w:type="first" r:id="rId14"/>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 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5"/>
            <w:r w:rsidRPr="0002752D">
              <w:rPr>
                <w:rFonts w:ascii="Arial" w:hAnsi="Arial" w:cs="Arial"/>
                <w:b/>
                <w:w w:val="97"/>
                <w:sz w:val="28"/>
                <w:szCs w:val="28"/>
                <w:u w:val="single"/>
              </w:rPr>
              <w:t xml:space="preserve">                    ( Seal )</w:t>
            </w:r>
            <w:commentRangeEnd w:id="5"/>
            <w:r w:rsidR="00846490">
              <w:rPr>
                <w:rStyle w:val="afff0"/>
                <w:rFonts w:ascii="맑은 고딕" w:eastAsia="HY신명조"/>
                <w:kern w:val="1"/>
                <w:shd w:val="clear" w:color="auto" w:fill="auto"/>
              </w:rPr>
              <w:commentReference w:id="5"/>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6D61CA" w:rsidP="0098035C">
            <w:pPr>
              <w:pStyle w:val="a3"/>
              <w:wordWrap/>
              <w:spacing w:line="360" w:lineRule="auto"/>
              <w:jc w:val="left"/>
              <w:rPr>
                <w:rFonts w:ascii="Arial" w:hAnsi="Arial" w:cs="Arial"/>
                <w:sz w:val="28"/>
                <w:szCs w:val="28"/>
              </w:rPr>
            </w:pPr>
            <w:r w:rsidRPr="0002752D">
              <w:rPr>
                <w:rFonts w:ascii="Arial" w:hAnsi="Arial" w:cs="Arial"/>
                <w:b/>
                <w:color w:val="0059FF"/>
                <w:w w:val="97"/>
                <w:sz w:val="28"/>
                <w:szCs w:val="28"/>
              </w:rPr>
            </w: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December, 2026</w:t>
            </w:r>
            <w:commentRangeStart w:id="6"/>
            <w:commentRangeEnd w:id="6"/>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&amp; 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5"/>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sz w:val="32"/>
          <w:w w:val="97"/>
        </w:rPr>
        <w:t>TABLE OF CONTENTS</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\o "1-3" \h \z \u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sz w:val="32"/>
          <w:w w:val="97"/>
        </w:rPr>
        <w:t>List of Tables</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\h \z \t "표캡션,1"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sz w:val="28"/>
          <w:w w:val="97"/>
        </w:rPr>
        <w:t>ABSTRACT</w:t>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sz w:val="32"/>
          <w:w w:val="97"/>
        </w:rPr>
        <w:t>Domain Adaptation of Lightweight Vision-Language Models for Medical Visual Question Answering: QLoRA Fine-Tuning with Autonomous Hyperparameter Optimization</w:t>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val="0"/>
          <w:sz w:val="22"/>
          <w:w w:val="97"/>
        </w:rPr>
        <w:t>Hwang, Tae Wook</w:t>
      </w:r>
    </w:p>
    <w:p>
      <w:pPr>
        <w:spacing w:line="384" w:lineRule="auto" w:after="0"/>
        <w:jc w:val="center"/>
      </w:pPr>
      <w:r>
        <w:rPr>
          <w:rFonts w:ascii="휴먼명조" w:eastAsia="휴먼명조" w:hAnsi="휴먼명조" w:cs="휴먼명조"/>
          <w:b w:val="0"/>
          <w:sz w:val="22"/>
          <w:w w:val="97"/>
        </w:rPr>
        <w:t>Department of Convergence Information Technology</w:t>
      </w:r>
    </w:p>
    <w:p>
      <w:pPr>
        <w:spacing w:line="384" w:lineRule="auto" w:after="0"/>
        <w:jc w:val="center"/>
      </w:pPr>
      <w:r>
        <w:rPr>
          <w:rFonts w:ascii="휴먼명조" w:eastAsia="휴먼명조" w:hAnsi="휴먼명조" w:cs="휴먼명조"/>
          <w:b w:val="0"/>
          <w:sz w:val="22"/>
          <w:w w:val="97"/>
        </w:rPr>
        <w:t>Major in Artificial Intelligence</w:t>
      </w:r>
    </w:p>
    <w:p>
      <w:pPr>
        <w:spacing w:line="384" w:lineRule="auto" w:after="0"/>
        <w:jc w:val="center"/>
      </w:pPr>
      <w:r>
        <w:rPr>
          <w:rFonts w:ascii="휴먼명조" w:eastAsia="휴먼명조" w:hAnsi="휴먼명조" w:cs="휴먼명조"/>
          <w:b w:val="0"/>
          <w:sz w:val="22"/>
          <w:w w:val="97"/>
        </w:rPr>
        <w:t>Graduate School of Information &amp; Communications, Konkuk University</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sz w:val="22"/>
          <w:w w:val="97"/>
        </w:rPr>
        <w:t>Keywords : Medical Visual Question Answering, Vision-Language Model, QLoRA, Parameter-Efficient Fine-Tuning, Hyperparameter Optimization, Large Language Model Agent</w:t>
      </w:r>
    </w:p>
    <w:p w14:paraId="02D3904B" w14:textId="41D0EFA2" w:rsidR="00291369" w:rsidRPr="0002752D" w:rsidRDefault="006D61CA"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commentRangeStart w:id="11"/>
      <w:commentRangeEnd w:id="11"/>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 Introduction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1.1 Background</w:t>
      </w:r>
    </w:p>
    <w:p>
      <w:pPr>
        <w:spacing w:line="384" w:lineRule="auto" w:after="0"/>
        <w:ind w:firstLine="220"/>
        <w:jc w:val="both"/>
      </w:pPr>
      <w:r>
        <w:rPr>
          <w:rFonts w:ascii="휴먼명조" w:eastAsia="휴먼명조" w:hAnsi="휴먼명조" w:cs="휴먼명조"/>
          <w:b w:val="0"/>
          <w:sz w:val="22"/>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pPr>
        <w:spacing w:line="384" w:lineRule="auto" w:after="0"/>
        <w:ind w:firstLine="220"/>
        <w:jc w:val="both"/>
      </w:pPr>
      <w:r>
        <w:rPr>
          <w:rFonts w:ascii="휴먼명조" w:eastAsia="휴먼명조" w:hAnsi="휴먼명조" w:cs="휴먼명조"/>
          <w:b w:val="0"/>
          <w:sz w:val="22"/>
          <w:w w:val="97"/>
        </w:rPr>
        <w:t>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VLM PEFT in a 2024 NeurIPS survey. Beyond traditional grid and random search or Bayesian optimization (Optuna TPE), an autonomous search paradigm has been proposed in which an LLM agent interprets prior experimental results on its own and proposes the next configuration.</w:t>
      </w:r>
    </w:p>
    <w:p>
      <w:pPr>
        <w:spacing w:line="384" w:lineRule="auto" w:after="0"/>
        <w:jc w:val="left"/>
        <w:outlineLvl w:val="1"/>
      </w:pPr>
      <w:r>
        <w:rPr>
          <w:rFonts w:ascii="휴먼명조" w:eastAsia="휴먼명조" w:hAnsi="휴먼명조" w:cs="휴먼명조"/>
          <w:b/>
          <w:sz w:val="28"/>
          <w:w w:val="97"/>
        </w:rPr>
        <w:t>1.2 Research Objectives</w:t>
      </w:r>
    </w:p>
    <w:p>
      <w:pPr>
        <w:spacing w:line="384" w:lineRule="auto" w:after="0"/>
        <w:ind w:firstLine="220"/>
        <w:jc w:val="both"/>
      </w:pPr>
      <w:r>
        <w:rPr>
          <w:rFonts w:ascii="휴먼명조" w:eastAsia="휴먼명조" w:hAnsi="휴먼명조" w:cs="휴먼명조"/>
          <w:b w:val="0"/>
          <w:sz w:val="22"/>
          <w:w w:val="97"/>
        </w:rPr>
        <w:t>This study aims to empirically verify the full process of adapting lightweight Vision-Language Models to the medical imaging VQA (Visual Question Answering) domain on consumer GPUs. Specifically, it pursues the following three objectives.</w:t>
      </w:r>
    </w:p>
    <w:p>
      <w:pPr>
        <w:spacing w:line="384" w:lineRule="auto" w:after="0"/>
        <w:ind w:firstLine="220"/>
        <w:jc w:val="both"/>
      </w:pPr>
      <w:r>
        <w:rPr>
          <w:rFonts w:ascii="휴먼명조" w:eastAsia="휴먼명조" w:hAnsi="휴먼명조" w:cs="휴먼명조"/>
          <w:b w:val="0"/>
          <w:sz w:val="22"/>
          <w:w w:val="97"/>
        </w:rPr>
        <w:t>1. Demonstrate the feasibility of medical VQA domain adaptation for lightweight VLMs on consumer-class GPUs (executed here on 24GB cards; applicable to the 16GB class on the basis of measured VRAM).</w:t>
      </w:r>
    </w:p>
    <w:p>
      <w:pPr>
        <w:spacing w:line="384" w:lineRule="auto" w:after="0"/>
        <w:ind w:firstLine="220"/>
        <w:jc w:val="both"/>
      </w:pPr>
      <w:r>
        <w:rPr>
          <w:rFonts w:ascii="휴먼명조" w:eastAsia="휴먼명조" w:hAnsi="휴먼명조" w:cs="휴먼명조"/>
          <w:b w:val="0"/>
          <w:sz w:val="22"/>
          <w:w w:val="97"/>
        </w:rPr>
        <w:t>2. Systematically analyse how the principal hyperparameters of QLoRA fine-tuning — data scale, LoRA rank, and the scope of target modules — affect performance.</w:t>
      </w:r>
    </w:p>
    <w:p>
      <w:pPr>
        <w:spacing w:line="384" w:lineRule="auto" w:after="0"/>
        <w:ind w:firstLine="220"/>
        <w:jc w:val="both"/>
      </w:pPr>
      <w:r>
        <w:rPr>
          <w:rFonts w:ascii="휴먼명조" w:eastAsia="휴먼명조" w:hAnsi="휴먼명조" w:cs="휴먼명조"/>
          <w:b w:val="0"/>
          <w:sz w:val="22"/>
          <w:w w:val="97"/>
        </w:rPr>
        <w:t>3. Verify whether autoresearch-style autonomous hyperparameter search driven by an LLM agent delivers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sz w:val="22"/>
          <w:w w:val="97"/>
        </w:rPr>
        <w:t>These three objectives are formalized as the following research questions (RQs).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w:t>
            </w:r>
          </w:p>
        </w:tc>
        <w:tc>
          <w:tcPr>
            <w:tcW w:type="dxa" w:w="2479"/>
          </w:tcPr>
          <w:p>
            <w:pPr>
              <w:spacing w:line="240" w:lineRule="auto"/>
              <w:jc w:val="center"/>
            </w:pPr>
            <w:r/>
            <w:r>
              <w:rPr>
                <w:rFonts w:ascii="휴먼명조" w:eastAsia="휴먼명조" w:hAnsi="휴먼명조" w:cs="휴먼명조"/>
                <w:b/>
                <w:sz w:val="18"/>
                <w:w w:val="97"/>
              </w:rPr>
              <w:t>Research Question</w:t>
            </w:r>
          </w:p>
        </w:tc>
        <w:tc>
          <w:tcPr>
            <w:tcW w:type="dxa" w:w="2479"/>
          </w:tcPr>
          <w:p>
            <w:pPr>
              <w:spacing w:line="240" w:lineRule="auto"/>
              <w:jc w:val="center"/>
            </w:pPr>
            <w:r/>
            <w:r>
              <w:rPr>
                <w:rFonts w:ascii="휴먼명조" w:eastAsia="휴먼명조" w:hAnsi="휴먼명조" w:cs="휴먼명조"/>
                <w:b/>
                <w:sz w:val="18"/>
                <w:w w:val="97"/>
              </w:rPr>
              <w:t>Null Hypothesis</w:t>
            </w:r>
          </w:p>
        </w:tc>
      </w:tr>
      <w:tr>
        <w:tc>
          <w:tcPr>
            <w:tcW w:type="dxa" w:w="2479"/>
          </w:tcPr>
          <w:p>
            <w:pPr>
              <w:spacing w:line="240" w:lineRule="auto"/>
              <w:jc w:val="center"/>
            </w:pPr>
            <w:r/>
            <w:r>
              <w:rPr>
                <w:rFonts w:ascii="휴먼명조" w:eastAsia="휴먼명조" w:hAnsi="휴먼명조" w:cs="휴먼명조"/>
                <w:b w:val="0"/>
                <w:sz w:val="18"/>
                <w:w w:val="97"/>
              </w:rPr>
              <w:t>RQ1</w:t>
            </w:r>
          </w:p>
        </w:tc>
        <w:tc>
          <w:tcPr>
            <w:tcW w:type="dxa" w:w="2479"/>
          </w:tcPr>
          <w:p>
            <w:pPr>
              <w:spacing w:line="240" w:lineRule="auto"/>
              <w:jc w:val="center"/>
            </w:pPr>
            <w:r/>
            <w:r>
              <w:rPr>
                <w:rFonts w:ascii="휴먼명조" w:eastAsia="휴먼명조" w:hAnsi="휴먼명조" w:cs="휴먼명조"/>
                <w:b w:val="0"/>
                <w:sz w:val="18"/>
                <w:w w:val="97"/>
              </w:rPr>
              <w:t>Do lightweight VLMs (2-3B) differ significantly across models in zero-shot medical VQA performance?</w:t>
            </w:r>
          </w:p>
        </w:tc>
        <w:tc>
          <w:tcPr>
            <w:tcW w:type="dxa" w:w="2479"/>
          </w:tcPr>
          <w:p>
            <w:pPr>
              <w:spacing w:line="240" w:lineRule="auto"/>
              <w:jc w:val="center"/>
            </w:pPr>
            <w:r/>
            <w:r>
              <w:rPr>
                <w:rFonts w:ascii="휴먼명조" w:eastAsia="휴먼명조" w:hAnsi="휴먼명조" w:cs="휴먼명조"/>
                <w:b w:val="0"/>
                <w:sz w:val="18"/>
                <w:w w:val="97"/>
              </w:rPr>
              <w:t>H0: No difference in VQA accuracy across models</w:t>
            </w:r>
          </w:p>
        </w:tc>
      </w:tr>
      <w:tr>
        <w:tc>
          <w:tcPr>
            <w:tcW w:type="dxa" w:w="2479"/>
          </w:tcPr>
          <w:p>
            <w:pPr>
              <w:spacing w:line="240" w:lineRule="auto"/>
              <w:jc w:val="center"/>
            </w:pPr>
            <w:r/>
            <w:r>
              <w:rPr>
                <w:rFonts w:ascii="휴먼명조" w:eastAsia="휴먼명조" w:hAnsi="휴먼명조" w:cs="휴먼명조"/>
                <w:b w:val="0"/>
                <w:sz w:val="18"/>
                <w:w w:val="97"/>
              </w:rPr>
              <w:t>RQ2</w:t>
            </w:r>
          </w:p>
        </w:tc>
        <w:tc>
          <w:tcPr>
            <w:tcW w:type="dxa" w:w="2479"/>
          </w:tcPr>
          <w:p>
            <w:pPr>
              <w:spacing w:line="240" w:lineRule="auto"/>
              <w:jc w:val="center"/>
            </w:pPr>
            <w:r/>
            <w:r>
              <w:rPr>
                <w:rFonts w:ascii="휴먼명조" w:eastAsia="휴먼명조" w:hAnsi="휴먼명조" w:cs="휴먼명조"/>
                <w:b w:val="0"/>
                <w:sz w:val="18"/>
                <w:w w:val="97"/>
              </w:rPr>
              <w:t>Does QLoRA fine-tuning significantly improve medical VQA performance?</w:t>
            </w:r>
          </w:p>
        </w:tc>
        <w:tc>
          <w:tcPr>
            <w:tcW w:type="dxa" w:w="2479"/>
          </w:tcPr>
          <w:p>
            <w:pPr>
              <w:spacing w:line="240" w:lineRule="auto"/>
              <w:jc w:val="center"/>
            </w:pPr>
            <w:r/>
            <w:r>
              <w:rPr>
                <w:rFonts w:ascii="휴먼명조" w:eastAsia="휴먼명조" w:hAnsi="휴먼명조" w:cs="휴먼명조"/>
                <w:b w:val="0"/>
                <w:sz w:val="18"/>
                <w:w w:val="97"/>
              </w:rPr>
              <w:t>H0: Base = Fine-tuned performance</w:t>
            </w:r>
          </w:p>
        </w:tc>
      </w:tr>
      <w:tr>
        <w:tc>
          <w:tcPr>
            <w:tcW w:type="dxa" w:w="2479"/>
          </w:tcPr>
          <w:p>
            <w:pPr>
              <w:spacing w:line="240" w:lineRule="auto"/>
              <w:jc w:val="center"/>
            </w:pPr>
            <w:r/>
            <w:r>
              <w:rPr>
                <w:rFonts w:ascii="휴먼명조" w:eastAsia="휴먼명조" w:hAnsi="휴먼명조" w:cs="휴먼명조"/>
                <w:b w:val="0"/>
                <w:sz w:val="18"/>
                <w:w w:val="97"/>
              </w:rPr>
              <w:t>RQ3</w:t>
            </w:r>
          </w:p>
        </w:tc>
        <w:tc>
          <w:tcPr>
            <w:tcW w:type="dxa" w:w="2479"/>
          </w:tcPr>
          <w:p>
            <w:pPr>
              <w:spacing w:line="240" w:lineRule="auto"/>
              <w:jc w:val="center"/>
            </w:pPr>
            <w:r/>
            <w:r>
              <w:rPr>
                <w:rFonts w:ascii="휴먼명조" w:eastAsia="휴먼명조" w:hAnsi="휴먼명조" w:cs="휴먼명조"/>
                <w:b w:val="0"/>
                <w:sz w:val="18"/>
                <w:w w:val="97"/>
              </w:rPr>
              <w:t>Does LLM-agent-based autonomous hyperparameter search achieve performance competitive with Bayesian optimization (Optuna TPE) while providing interpretable search rationales?</w:t>
            </w:r>
          </w:p>
        </w:tc>
        <w:tc>
          <w:tcPr>
            <w:tcW w:type="dxa" w:w="2479"/>
          </w:tcPr>
          <w:p>
            <w:pPr>
              <w:spacing w:line="240" w:lineRule="auto"/>
              <w:jc w:val="center"/>
            </w:pPr>
            <w:r/>
            <w:r>
              <w:rPr>
                <w:rFonts w:ascii="휴먼명조" w:eastAsia="휴먼명조" w:hAnsi="휴먼명조" w:cs="휴먼명조"/>
                <w:b w:val="0"/>
                <w:sz w:val="18"/>
                <w:w w:val="97"/>
              </w:rPr>
              <w:t>H0: Autoresearch = Optuna (TPE)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retained solely as a lower-bound reference.</w:t>
      </w:r>
    </w:p>
    <w:p>
      <w:pPr>
        <w:spacing w:line="384" w:lineRule="auto" w:after="0"/>
        <w:ind w:firstLine="220"/>
        <w:jc w:val="both"/>
      </w:pPr>
      <w:r>
        <w:rPr>
          <w:rFonts w:ascii="휴먼명조" w:eastAsia="휴먼명조" w:hAnsi="휴먼명조" w:cs="휴먼명조"/>
          <w:b w:val="0"/>
          <w:sz w:val="22"/>
          <w:w w:val="97"/>
        </w:rPr>
        <w:t>RQ1, RQ2, and RQ3 are verified against measured data in Sections 4.1, 4.2, and 4.3 of Chapter IV respectively, and the discussion cutting across all three results is consolidated in Section 4.4.</w:t>
      </w:r>
    </w:p>
    <w:p>
      <w:pPr>
        <w:spacing w:line="384" w:lineRule="auto" w:after="0"/>
        <w:jc w:val="left"/>
        <w:outlineLvl w:val="1"/>
      </w:pPr>
      <w:r>
        <w:rPr>
          <w:rFonts w:ascii="휴먼명조" w:eastAsia="휴먼명조" w:hAnsi="휴먼명조" w:cs="휴먼명조"/>
          <w:b/>
          <w:sz w:val="28"/>
          <w:w w:val="97"/>
        </w:rPr>
        <w:t>1.3 Scope and Delimitations</w:t>
      </w:r>
    </w:p>
    <w:p>
      <w:pPr>
        <w:spacing w:line="384" w:lineRule="auto" w:after="0"/>
        <w:ind w:firstLine="220"/>
        <w:jc w:val="both"/>
      </w:pPr>
      <w:r>
        <w:rPr>
          <w:rFonts w:ascii="휴먼명조" w:eastAsia="휴먼명조" w:hAnsi="휴먼명조" w:cs="휴먼명조"/>
          <w:b w:val="0"/>
          <w:sz w:val="22"/>
          <w:w w:val="97"/>
        </w:rPr>
        <w:t>The experimental scope of this study is limited to four lightweight VLMs (Qwen3-VL-2B, Qwen2.5-VL-3B, SmolVLM2-2.2B, Gemma4-E2B) and three public medical VQA datasets (PathVQA, SLAKE, VQA-RAD). Models were selected on the criteria that QLoRA fine-tuning was expected to be feasible within 16GB-class VRAM (confirmed post hoc at a measured maximum of 14.4GB, Section 3.2.1) and that the license permits free redistribution (Apache 2.0 / MIT). Datasets were restricted to publicly accessible benchmarks in which clinical question types are labelled.</w:t>
      </w:r>
    </w:p>
    <w:p>
      <w:pPr>
        <w:spacing w:line="384" w:lineRule="auto" w:after="0"/>
        <w:ind w:firstLine="220"/>
        <w:jc w:val="both"/>
      </w:pPr>
      <w:r>
        <w:rPr>
          <w:rFonts w:ascii="휴먼명조" w:eastAsia="휴먼명조" w:hAnsi="휴먼명조" w:cs="휴먼명조"/>
          <w:b w:val="0"/>
          <w:sz w:val="22"/>
          <w:w w:val="97"/>
        </w:rPr>
        <w:t>The principal limitations of the study are as follows; detailed grounds 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pPr>
        <w:spacing w:line="384" w:lineRule="auto" w:after="0"/>
        <w:jc w:val="left"/>
        <w:outlineLvl w:val="1"/>
      </w:pPr>
      <w:r>
        <w:rPr>
          <w:rFonts w:ascii="휴먼명조" w:eastAsia="휴먼명조" w:hAnsi="휴먼명조" w:cs="휴먼명조"/>
          <w:b/>
          <w:sz w:val="28"/>
          <w:w w:val="97"/>
        </w:rPr>
        <w:t>1.4 Organization of the Thesis</w:t>
      </w:r>
    </w:p>
    <w:p>
      <w:pPr>
        <w:spacing w:line="384" w:lineRule="auto" w:after="0"/>
        <w:ind w:firstLine="220"/>
        <w:jc w:val="both"/>
      </w:pPr>
      <w:r>
        <w:rPr>
          <w:rFonts w:ascii="휴먼명조" w:eastAsia="휴먼명조" w:hAnsi="휴먼명조" w:cs="휴먼명조"/>
          <w:b w:val="0"/>
          <w:sz w:val="22"/>
          <w:w w:val="97"/>
        </w:rPr>
        <w:t>This thesis is organized as follows. Chapter II reviews the theoretical background and prior work on Vision-Language Models, Parameter-Efficient Fine-Tuning, medical VQA, and autonomous hyperparameter optimization. Chapter III describes the experimental environment, the target models and datasets, the concrete design of the three-stage experiment (Phase 1 zero-shot baseline, Phase 2 QLoRA fine-tuning, Phase 3 autonomous HPO), and the evaluation and statistical analysis methods. Chapter IV presents the experimental results of each phase in accordance with RQ1-RQ3 and discusses them collectively. Chapter V summarizes the findings and presents the contributions, limitations, and directions for future research.</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II. Theoretical Background</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2.1 Overview of Vision-Language Models</w:t>
      </w:r>
    </w:p>
    <w:p>
      <w:pPr>
        <w:spacing w:line="384" w:lineRule="auto" w:after="0"/>
        <w:jc w:val="left"/>
        <w:outlineLvl w:val="2"/>
      </w:pPr>
      <w:r>
        <w:rPr>
          <w:rFonts w:ascii="휴먼명조" w:eastAsia="휴먼명조" w:hAnsi="휴먼명조" w:cs="휴먼명조"/>
          <w:b/>
          <w:sz w:val="22"/>
          <w:w w:val="97"/>
        </w:rPr>
        <w:t>2.1.1 Development of Multimodal Learning</w:t>
      </w:r>
    </w:p>
    <w:p>
      <w:pPr>
        <w:spacing w:line="384" w:lineRule="auto" w:after="0"/>
        <w:ind w:firstLine="220"/>
        <w:jc w:val="both"/>
      </w:pPr>
      <w:r>
        <w:rPr>
          <w:rFonts w:ascii="휴먼명조" w:eastAsia="휴먼명조" w:hAnsi="휴먼명조" w:cs="휴먼명조"/>
          <w:b w:val="0"/>
          <w:sz w:val="22"/>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description generation abilities. LLaVA by Liu et al. (Visual Instruction Tuning, arXiv:2304.08485)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constraints are correspondingly large, which limits their use on consumer-grade hardware.</w:t>
      </w:r>
    </w:p>
    <w:p>
      <w:pPr>
        <w:spacing w:line="384" w:lineRule="auto" w:after="0"/>
        <w:jc w:val="left"/>
        <w:outlineLvl w:val="2"/>
      </w:pPr>
      <w:r>
        <w:rPr>
          <w:rFonts w:ascii="휴먼명조" w:eastAsia="휴먼명조" w:hAnsi="휴먼명조" w:cs="휴먼명조"/>
          <w:b/>
          <w:sz w:val="22"/>
          <w:w w:val="97"/>
        </w:rPr>
        <w:t>2.1.2 Lightweight VLM Architectures</w:t>
      </w:r>
    </w:p>
    <w:p>
      <w:pPr>
        <w:spacing w:line="384" w:lineRule="auto" w:after="0"/>
        <w:ind w:firstLine="220"/>
        <w:jc w:val="both"/>
      </w:pPr>
      <w:r>
        <w:rPr>
          <w:rFonts w:ascii="휴먼명조" w:eastAsia="휴먼명조" w:hAnsi="휴먼명조" w:cs="휴먼명조"/>
          <w:b w:val="0"/>
          <w:sz w:val="22"/>
          <w:w w:val="97"/>
        </w:rPr>
        <w:t>The four models targeted in this study are all lightweight VLMs in the 2-3B class released in 2025-2026, each pursuing parameter efficiency in a different way. Qwen2.5-VL (Qwen Team, Alibaba, Technical Report arXiv:2502.13923)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(30B-A3B/235B-A22B) families and introduced a "thinking mode" together with DeepStack-style multi-level fusion of visual features. SmolVLM2 (HuggingFace, "SmolVLM: Redefining small and efficient multimodal models", arXiv:2504.05299)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pPr>
        <w:spacing w:line="384" w:lineRule="auto" w:after="0"/>
        <w:jc w:val="left"/>
        <w:outlineLvl w:val="1"/>
      </w:pPr>
      <w:r>
        <w:rPr>
          <w:rFonts w:ascii="휴먼명조" w:eastAsia="휴먼명조" w:hAnsi="휴먼명조" w:cs="휴먼명조"/>
          <w:b/>
          <w:sz w:val="28"/>
          <w:w w:val="97"/>
        </w:rPr>
        <w:t>2.2 Parameter-Efficient Fine-Tuning</w:t>
      </w:r>
    </w:p>
    <w:p>
      <w:pPr>
        <w:spacing w:line="384" w:lineRule="auto" w:after="0"/>
        <w:jc w:val="left"/>
        <w:outlineLvl w:val="2"/>
      </w:pPr>
      <w:r>
        <w:rPr>
          <w:rFonts w:ascii="휴먼명조" w:eastAsia="휴먼명조" w:hAnsi="휴먼명조" w:cs="휴먼명조"/>
          <w:b/>
          <w:sz w:val="22"/>
          <w:w w:val="97"/>
        </w:rPr>
        <w:t>2.2.1 LoRA (Low-Rank Adaptation)</w:t>
      </w:r>
    </w:p>
    <w:p>
      <w:pPr>
        <w:spacing w:line="384" w:lineRule="auto" w:after="0"/>
        <w:ind w:firstLine="220"/>
        <w:jc w:val="both"/>
      </w:pPr>
      <w:r>
        <w:rPr>
          <w:rFonts w:ascii="휴먼명조" w:eastAsia="휴먼명조" w:hAnsi="휴먼명조" w:cs="휴먼명조"/>
          <w:b w:val="0"/>
          <w:sz w:val="22"/>
          <w:w w:val="97"/>
        </w:rPr>
        <w:t>LoRA (Hu et al., "LoRA: Low-Rank Adaptation of Large Language Models", arXiv:2106.09685, ICLR 2022) freezes a pretrained weight matrix $W_0$ and learns an approximation of its update $\Delta W$ as the product $BA$ of two low-rank matrices $A \in \mathbb{R}^{r \times k}$ and $B \in \mathbb{R}^{d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total; see Section 4.2.3). The rank $r$ is the key hyperparameter governing the trade-off between expressive capacity and parameter efficiency, while alpha is a coefficient that scales $\Delta W$ (multiplying $BAx$ by $\alpha/r$).</w:t>
      </w:r>
    </w:p>
    <w:p>
      <w:pPr>
        <w:spacing w:line="384" w:lineRule="auto" w:after="0"/>
        <w:jc w:val="left"/>
        <w:outlineLvl w:val="2"/>
      </w:pPr>
      <w:r>
        <w:rPr>
          <w:rFonts w:ascii="휴먼명조" w:eastAsia="휴먼명조" w:hAnsi="휴먼명조" w:cs="휴먼명조"/>
          <w:b/>
          <w:sz w:val="22"/>
          <w:w w:val="97"/>
        </w:rPr>
        <w:t>2.2.2 QLoRA (Quantized LoRA)</w:t>
      </w:r>
    </w:p>
    <w:p>
      <w:pPr>
        <w:spacing w:line="384" w:lineRule="auto" w:after="0"/>
        <w:ind w:firstLine="220"/>
        <w:jc w:val="both"/>
      </w:pPr>
      <w:r>
        <w:rPr>
          <w:rFonts w:ascii="휴먼명조" w:eastAsia="휴먼명조" w:hAnsi="휴먼명조" w:cs="휴먼명조"/>
          <w:b w:val="0"/>
          <w:sz w:val="22"/>
          <w:w w:val="97"/>
        </w:rPr>
        <w:t>QLoRA (Dettmers et al., "QLoRA: Efficient Finetuning of Quantized LLMs", arXiv:2305.14314, NeurIPS 2023)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of a 65B-class model on a single 48GB GPU while maintaining performance close to full 16-bit fine-tuning. This study applies the same QLoRA scheme (NF4 quantization + LoRA + paged AdamW 8-bit) to all four lightweight VLMs in order to verify the feasibility of medical-domain fine-tuning on consumer-class GPUs (Section 3.6). Execution took place on 24GB cards (RTX 4090 and 3090), and feasibility in the 16GB class is judged from measured peak VRAM (Section 3.2.1).</w:t>
      </w:r>
    </w:p>
    <w:p>
      <w:pPr>
        <w:spacing w:line="384" w:lineRule="auto" w:after="0"/>
        <w:jc w:val="left"/>
        <w:outlineLvl w:val="2"/>
      </w:pPr>
      <w:r>
        <w:rPr>
          <w:rFonts w:ascii="휴먼명조" w:eastAsia="휴먼명조" w:hAnsi="휴먼명조" w:cs="휴먼명조"/>
          <w:b/>
          <w:sz w:val="22"/>
          <w:w w:val="97"/>
        </w:rPr>
        <w:t>2.2.3 Comparison with Other PEFT Methods</w:t>
      </w:r>
    </w:p>
    <w:p>
      <w:pPr>
        <w:spacing w:line="384" w:lineRule="auto" w:after="0"/>
        <w:ind w:firstLine="220"/>
        <w:jc w:val="both"/>
      </w:pPr>
      <w:r>
        <w:rPr>
          <w:rFonts w:ascii="휴먼명조" w:eastAsia="휴먼명조" w:hAnsi="휴먼명조" w:cs="휴먼명조"/>
          <w:b w:val="0"/>
          <w:sz w:val="22"/>
          <w:w w:val="97"/>
        </w:rPr>
        <w:t>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base model to be reused across multiple tasks. This study adopts LoRA/QLoRA because these two advantages are particularly favourable for the repeated hyperparameter search conducted on consumer GPUs (Section 3.7, Phase 3).</w:t>
      </w:r>
    </w:p>
    <w:p>
      <w:pPr>
        <w:spacing w:line="384" w:lineRule="auto" w:after="0"/>
        <w:jc w:val="left"/>
        <w:outlineLvl w:val="1"/>
      </w:pPr>
      <w:r>
        <w:rPr>
          <w:rFonts w:ascii="휴먼명조" w:eastAsia="휴먼명조" w:hAnsi="휴먼명조" w:cs="휴먼명조"/>
          <w:b/>
          <w:sz w:val="28"/>
          <w:w w:val="97"/>
        </w:rPr>
        <w:t>2.3 Medical Visual Question Answering</w:t>
      </w:r>
    </w:p>
    <w:p>
      <w:pPr>
        <w:spacing w:line="384" w:lineRule="auto" w:after="0"/>
        <w:jc w:val="left"/>
        <w:outlineLvl w:val="2"/>
      </w:pPr>
      <w:r>
        <w:rPr>
          <w:rFonts w:ascii="휴먼명조" w:eastAsia="휴먼명조" w:hAnsi="휴먼명조" w:cs="휴먼명조"/>
          <w:b/>
          <w:sz w:val="22"/>
          <w:w w:val="97"/>
        </w:rPr>
        <w:t>2.3.1 Definition of the Medical VQA Task</w:t>
      </w:r>
    </w:p>
    <w:p>
      <w:pPr>
        <w:spacing w:line="384" w:lineRule="auto" w:after="0"/>
        <w:ind w:firstLine="220"/>
        <w:jc w:val="both"/>
      </w:pPr>
      <w:r>
        <w:rPr>
          <w:rFonts w:ascii="휴먼명조" w:eastAsia="휴먼명조" w:hAnsi="휴먼명조" w:cs="휴먼명조"/>
          <w:b w:val="0"/>
          <w:sz w:val="22"/>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differ greatly in scoring method and difficulty, as confirmed empirically in Section 4.1.2.</w:t>
      </w:r>
    </w:p>
    <w:p>
      <w:pPr>
        <w:spacing w:line="384" w:lineRule="auto" w:after="0"/>
        <w:jc w:val="left"/>
        <w:outlineLvl w:val="2"/>
      </w:pPr>
      <w:r>
        <w:rPr>
          <w:rFonts w:ascii="휴먼명조" w:eastAsia="휴먼명조" w:hAnsi="휴먼명조" w:cs="휴먼명조"/>
          <w:b/>
          <w:sz w:val="22"/>
          <w:w w:val="97"/>
        </w:rPr>
        <w:t>2.3.2 Principal Benchmark Datasets</w:t>
      </w:r>
    </w:p>
    <w:p>
      <w:pPr>
        <w:spacing w:line="384" w:lineRule="auto" w:after="0"/>
        <w:ind w:firstLine="220"/>
        <w:jc w:val="both"/>
      </w:pPr>
      <w:r>
        <w:rPr>
          <w:rFonts w:ascii="휴먼명조" w:eastAsia="휴먼명조" w:hAnsi="휴먼명조" w:cs="휴먼명조"/>
          <w:b w:val="0"/>
          <w:sz w:val="22"/>
          <w:w w:val="97"/>
        </w:rPr>
        <w:t>The three datasets used in this study each represent a different sub-domain of medical imaging. PathVQA (He et al., "PathVQA: 30000+ Questions for Medical Visual Question Answering", arXiv:2003.10286, 2020) provides 32,799 question-answer pairs over 4,998 pathology tissue images extracted from pathology textbooks and the PEIR digital library, organized into seven question types modelled on the American Board of Pathology (ABP) certification examination format. SLAKE (Liu et al., "SLAKE: A Semantically-Labeled Knowledge-Enhanced Dataset for Medical Visual Question Answering", ISBI 2021) combines 14,028 bilingual English-Chinese question-answer pairs over 642 radiology/CT images with a medical knowledge graph of 5,232 knowledge triplets. VQA-RAD (Lau et al., "A dataset of clinically generated visual questions and answers about radiology images", Scientific Data 5, 2018) was the first dataset to collect questions that clinicians naturally raised while viewing radiological images (CT/MRI/X-ray), containing roughly 3,500 question-answer pairs over 315 images.</w:t>
      </w:r>
    </w:p>
    <w:p>
      <w:pPr>
        <w:spacing w:line="384" w:lineRule="auto" w:after="0"/>
        <w:jc w:val="left"/>
        <w:outlineLvl w:val="2"/>
      </w:pPr>
      <w:r>
        <w:rPr>
          <w:rFonts w:ascii="휴먼명조" w:eastAsia="휴먼명조" w:hAnsi="휴먼명조" w:cs="휴먼명조"/>
          <w:b/>
          <w:sz w:val="22"/>
          <w:w w:val="97"/>
        </w:rPr>
        <w:t>2.3.3 Prior Work</w:t>
      </w:r>
    </w:p>
    <w:p>
      <w:pPr>
        <w:spacing w:line="384" w:lineRule="auto" w:after="0"/>
        <w:ind w:firstLine="220"/>
        <w:jc w:val="both"/>
      </w:pPr>
      <w:r>
        <w:rPr>
          <w:rFonts w:ascii="휴먼명조" w:eastAsia="휴먼명조" w:hAnsi="휴먼명조" w:cs="휴먼명조"/>
          <w:b w:val="0"/>
          <w:sz w:val="22"/>
          <w:w w:val="97"/>
        </w:rPr>
        <w:t>Attempts to specialize general-purpose VLMs for the medical domain divide broadly into large-scale retraining and adaptation approaches. LLaVA-Med (Li et al., "LLaVA-Med: Training a Large Language-and-Vision Assistant for Biomedicine in One Day", arXiv:2306.00890, NeurIPS 2023 Datasets and Benchmarks Track) generated GPT-4-based instruction data from large-scale biomedical figure-caption data in PubMed Central and adapted general-purpose LLaVA to the biomedical domain through curriculum learning. Med-Flamingo (Moor et al., "Med-Flamingo: a Multimodal Medical Few-shot Learner", arXiv:2307.15189, 2023) performed continued pretraining of OpenFlamingo-9B on image-text data from medical papers and textbooks, acquiring the ability to adapt to medical VQA from only a few examples. CheXagent (Chen et al., "CheXagent: Towards a Foundation Model for Chest X-Ray Interpretation", arXiv:2401.12208, 2024) is a foundation model composed of a clinical LLM, a visual encoder, and a cross-modal bridge network specialized for chest X-ray interpretation, representing an approach deeply specialized to one imaging sub-domain.</w:t>
      </w:r>
    </w:p>
    <w:p>
      <w:pPr>
        <w:spacing w:line="384" w:lineRule="auto" w:after="0"/>
        <w:ind w:firstLine="220"/>
        <w:jc w:val="both"/>
      </w:pPr>
      <w:r>
        <w:rPr>
          <w:rFonts w:ascii="휴먼명조" w:eastAsia="휴먼명조" w:hAnsi="휴먼명조" w:cs="휴먼명조"/>
          <w:b w:val="0"/>
          <w:sz w:val="22"/>
          <w:w w:val="97"/>
        </w:rPr>
        <w:t>These prior studies commonly target models on the scale of billions to hundreds of billions of parameters and presuppose either continued pretraining on large biomedical corpora or the generation of large-scale 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experimental comparison with these prior studies lies outside the present scope. However, since LLaVA-Med reports figures on the standard test splits of the same three datasets used here, an indirect comparison restricted to closed-ended metrics — where the scoring criteria coincide — is presented in Section 4.4.6 (Table 4.4) of Chapter IV. Open-ended metrics are excluded from comparison because the two scoring schemes differ fundamentally; the grounds and the remaining constraints are discussed in Section 5.3(2) of Chapter V.</w:t>
      </w:r>
    </w:p>
    <w:p>
      <w:pPr>
        <w:spacing w:line="384" w:lineRule="auto" w:after="0"/>
        <w:jc w:val="left"/>
        <w:outlineLvl w:val="1"/>
      </w:pPr>
      <w:r>
        <w:rPr>
          <w:rFonts w:ascii="휴먼명조" w:eastAsia="휴먼명조" w:hAnsi="휴먼명조" w:cs="휴먼명조"/>
          <w:b/>
          <w:sz w:val="28"/>
          <w:w w:val="97"/>
        </w:rPr>
        <w:t>2.4 Autonomous Hyperparameter Optimization</w:t>
      </w:r>
    </w:p>
    <w:p>
      <w:pPr>
        <w:spacing w:line="384" w:lineRule="auto" w:after="0"/>
        <w:jc w:val="left"/>
        <w:outlineLvl w:val="2"/>
      </w:pPr>
      <w:r>
        <w:rPr>
          <w:rFonts w:ascii="휴먼명조" w:eastAsia="휴먼명조" w:hAnsi="휴먼명조" w:cs="휴먼명조"/>
          <w:b/>
          <w:sz w:val="22"/>
          <w:w w:val="97"/>
        </w:rPr>
        <w:t>2.4.1 Traditional HPO (Grid, Random, Bayesian)</w:t>
      </w:r>
    </w:p>
    <w:p>
      <w:pPr>
        <w:spacing w:line="384" w:lineRule="auto" w:after="0"/>
        <w:ind w:firstLine="220"/>
        <w:jc w:val="both"/>
      </w:pPr>
      <w:r>
        <w:rPr>
          <w:rFonts w:ascii="휴먼명조" w:eastAsia="휴먼명조" w:hAnsi="휴먼명조" w:cs="휴먼명조"/>
          <w:b w:val="0"/>
          <w:sz w:val="22"/>
          <w:w w:val="97"/>
        </w:rPr>
        <w:t>The simplest method of hyperparameter optimization (HPO) is grid search, which evaluates every combination on a predefined grid; the number of required evaluations, however, grows exponentially with the dimensionality of the search space. Bergstra and Bengio ("Random Search for Hyper-Parameter Optimization", JMLR 13, 2012) showed theoretically and empirically that random sampling of combinations can yield substantially better — or equivalent — performance than grid search within the same computational budget, because the effective dimensionality of the hyperparameters that actually influence performance is often low. Bayesian optimization constructs a probabilistic surrogate model of the objective function from previous evaluations and selects the next evaluation point accordingly, aiming to find a better solution with fewer evaluations than grid or random search. Optuna (Akiba et al., "Optuna: A Next-generation Hyperparameter Optimization Framework", KDD 2019), used as the control in this study, is a Bayesian optimization framework adopting the Tree-structured Parzen Estimator (TPE) algorithm, providing a define-by-run API that allows the search space to be defined dynamically at runtime together with efficient pruning strategies.</w:t>
      </w:r>
    </w:p>
    <w:p>
      <w:pPr>
        <w:spacing w:line="384" w:lineRule="auto" w:after="0"/>
        <w:ind w:firstLine="220"/>
        <w:jc w:val="both"/>
      </w:pPr>
      <w:r>
        <w:rPr>
          <w:rFonts w:ascii="휴먼명조" w:eastAsia="휴먼명조" w:hAnsi="휴먼명조" w:cs="휴먼명조"/>
          <w:b w:val="0"/>
          <w:sz w:val="22"/>
          <w:w w:val="97"/>
        </w:rPr>
        <w:t>Among early-stopping-based methods, Hyperband (Li et al., "Hyperband: A Novel Bandit-Based Approach to Hyperparameter Optimization", JMLR 18, 2018)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ratio, Section 4.2.2) provides grounds for observing a similar early-signal-to-final-performance relationship within its own experimental context.</w:t>
      </w:r>
    </w:p>
    <w:p>
      <w:pPr>
        <w:spacing w:line="384" w:lineRule="auto" w:after="0"/>
        <w:jc w:val="left"/>
        <w:outlineLvl w:val="2"/>
      </w:pPr>
      <w:r>
        <w:rPr>
          <w:rFonts w:ascii="휴먼명조" w:eastAsia="휴먼명조" w:hAnsi="휴먼명조" w:cs="휴먼명조"/>
          <w:b/>
          <w:sz w:val="22"/>
          <w:w w:val="97"/>
        </w:rPr>
        <w:t>2.4.2 LLM-Agent-Based Optimization (autoresearch)</w:t>
      </w:r>
    </w:p>
    <w:p>
      <w:pPr>
        <w:spacing w:line="384" w:lineRule="auto" w:after="0"/>
        <w:ind w:firstLine="220"/>
        <w:jc w:val="both"/>
      </w:pPr>
      <w:r>
        <w:rPr>
          <w:rFonts w:ascii="휴먼명조" w:eastAsia="휴먼명조" w:hAnsi="휴먼명조" w:cs="휴먼명조"/>
          <w:b w:val="0"/>
          <w:sz w:val="22"/>
          <w:w w:val="97"/>
        </w:rPr>
        <w:t>In contrast to Bayesian optimization, which relies on a numerical surrogate model, a scheme in which an LLM agent directly interprets previous experimental logs and proposes the next configuration through natural-language reasoning has recently been discussed as a new alternative for hyperparameter search. The theoretical distinctions of this approach can be summarized in three points: (1) the LLM can transfer knowledge across different tasks and architectures (cross-domain transfer) by drawing on domain knowledge acquired during pretraining; (2) unlike Bayesian optimization, which treats individual hyperparameters as independent variables, it can understand interactions among hyperparameters structurally on the basis of prior knowledge; and (3) it records the reason for changing a configuration explicitly in natural language, providing interpretability and traceability of the search process. The autoresearch-style loop adopted in this study (read previous results → propose the next configuration with a natural-language rationale → execute → record the result, Section 3.7) is the experimental apparatus by which RQ3 tests whether these three distinctions can in fact be combined with performance competitive against Bayesian optimization (Optuna/TPE). This is, however, less an established standard methodology than one instance of an emerging research current on the use of LLM agents for automating scientific experimentation; rather than claiming general superiority for the approach, this study focuses on empirically verifying its competitiveness on the concrete task of medical VQA QLoRA tuning.</w:t>
      </w:r>
    </w:p>
    <w:p>
      <w:pPr>
        <w:spacing w:line="384" w:lineRule="auto" w:after="0"/>
        <w:jc w:val="left"/>
        <w:outlineLvl w:val="1"/>
      </w:pPr>
      <w:r>
        <w:rPr>
          <w:rFonts w:ascii="휴먼명조" w:eastAsia="휴먼명조" w:hAnsi="휴먼명조" w:cs="휴먼명조"/>
          <w:b/>
          <w:sz w:val="28"/>
          <w:w w:val="97"/>
        </w:rPr>
        <w:t>2.5 Summary of Prior Work and the Distinctiveness of This Study</w:t>
      </w:r>
    </w:p>
    <w:p>
      <w:pPr>
        <w:spacing w:line="384" w:lineRule="auto" w:after="0"/>
        <w:ind w:firstLine="220"/>
        <w:jc w:val="both"/>
      </w:pPr>
      <w:r>
        <w:rPr>
          <w:rFonts w:ascii="휴먼명조" w:eastAsia="휴먼명조" w:hAnsi="휴먼명조" w:cs="휴먼명조"/>
          <w:b w:val="0"/>
          <w:sz w:val="22"/>
          <w:w w:val="97"/>
        </w:rPr>
        <w:t xml:space="preserve">Taken together, the prior work reviewed above shows that research on medical-specialized VLMs (2.3.3) generally presupposes large models and large domain datasets; research on PEFT methodology (2.2) concentrates on verifying parameter efficiency in general domains; and research on HPO automation (2.4) has rarely compared LLM-agent-based methods directly against established Bayesian optimization on the same task. This study is distinguished from prior work in that, at the intersection of these three currents — </w:t>
      </w:r>
      <w:r>
        <w:rPr>
          <w:rFonts w:ascii="휴먼명조" w:eastAsia="휴먼명조" w:hAnsi="휴먼명조" w:cs="휴먼명조"/>
          <w:b/>
          <w:sz w:val="22"/>
          <w:w w:val="97"/>
        </w:rPr>
        <w:t>consumer GPU environment, lightweight VLMs, QLoRA domain adaptation, and LLM-based autonomous HPO</w:t>
      </w:r>
      <w:r>
        <w:rPr>
          <w:rFonts w:ascii="휴먼명조" w:eastAsia="휴먼명조" w:hAnsi="휴먼명조" w:cs="휴먼명조"/>
          <w:b w:val="0"/>
          <w:sz w:val="22"/>
          <w:w w:val="97"/>
        </w:rPr>
        <w:t xml:space="preserve"> — it (1) verifies the zero-shot and fine-tuned medical VQA performance of lightweight VLMs with statistical rigour (RQ1, RQ2), and (2) validates the practical value of autoresearch-style autonomous search by comparing it directly against the industry-standard Optuna (TPE) (RQ3).</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III. Research Method</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3.1 Overview of the Research Design</w:t>
      </w:r>
    </w:p>
    <w:p>
      <w:pPr>
        <w:spacing w:line="384" w:lineRule="auto" w:after="0"/>
        <w:ind w:firstLine="220"/>
        <w:jc w:val="both"/>
      </w:pPr>
      <w:r>
        <w:rPr>
          <w:rFonts w:ascii="휴먼명조" w:eastAsia="휴먼명조" w:hAnsi="휴먼명조" w:cs="휴먼명조"/>
          <w:b w:val="0"/>
          <w:sz w:val="22"/>
          <w:w w:val="97"/>
        </w:rPr>
        <w:t>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pPr>
        <w:spacing w:line="384" w:lineRule="auto" w:after="0"/>
        <w:jc w:val="left"/>
        <w:outlineLvl w:val="1"/>
      </w:pPr>
      <w:r>
        <w:rPr>
          <w:rFonts w:ascii="휴먼명조" w:eastAsia="휴먼명조" w:hAnsi="휴먼명조" w:cs="휴먼명조"/>
          <w:b/>
          <w:sz w:val="28"/>
          <w:w w:val="97"/>
        </w:rPr>
        <w:t>3.2 Experimental Environment and Tools</w:t>
      </w:r>
    </w:p>
    <w:p>
      <w:pPr>
        <w:spacing w:line="384" w:lineRule="auto" w:after="0"/>
        <w:jc w:val="left"/>
        <w:outlineLvl w:val="2"/>
      </w:pPr>
      <w:r>
        <w:rPr>
          <w:rFonts w:ascii="휴먼명조" w:eastAsia="휴먼명조" w:hAnsi="휴먼명조" w:cs="휴먼명조"/>
          <w:b/>
          <w:sz w:val="22"/>
          <w:w w:val="97"/>
        </w:rPr>
        <w:t>3.2.1 Hardware Specification</w:t>
      </w:r>
    </w:p>
    <w:p>
      <w:pPr>
        <w:spacing w:line="384" w:lineRule="auto" w:after="0"/>
        <w:ind w:firstLine="220"/>
        <w:jc w:val="both"/>
      </w:pPr>
      <w:r>
        <w:rPr>
          <w:rFonts w:ascii="휴먼명조" w:eastAsia="휴먼명조" w:hAnsi="휴먼명조" w:cs="휴먼명조"/>
          <w:b w:val="0"/>
          <w:sz w:val="22"/>
          <w:w w:val="97"/>
        </w:rPr>
        <w:t>All experiments reported in this study were conducted on a cloud GPU service (RunPod). Phases 1 and 2 used an RTX 4090 (24GB VRAM) instance and Phase 3 an RTX 3090 (24GB VRAM) instance. The change of GPU in Phase 3 was not a design choice but the result of securing whatever instance was available under tightened budget constraints after institutional cost support proved unavailable. Both are consumer-class cards with 24GB of VRAM, and every Phase 3 trial ran on the same 3090 instance, so the hardware conditions of the strategy comparison were controlled.</w:t>
      </w:r>
    </w:p>
    <w:p>
      <w:pPr>
        <w:spacing w:line="384" w:lineRule="auto" w:after="0"/>
        <w:ind w:firstLine="220"/>
        <w:jc w:val="both"/>
      </w:pPr>
      <w:r>
        <w:rPr>
          <w:rFonts w:ascii="휴먼명조" w:eastAsia="휴먼명조" w:hAnsi="휴먼명조" w:cs="휴먼명조"/>
          <w:b w:val="0"/>
          <w:sz w:val="22"/>
          <w:w w:val="97"/>
        </w:rPr>
        <w:t xml:space="preserve">A local workstation (RTX 5060 Ti 16GB + RTX 4060 8GB, Ryzen 5 5600X, 32GB RAM) was used only for a preliminary smoke test to size the Phase 3 execution (Section 3.7); </w:t>
      </w:r>
      <w:r>
        <w:rPr>
          <w:rFonts w:ascii="휴먼명조" w:eastAsia="휴먼명조" w:hAnsi="휴먼명조" w:cs="휴먼명조"/>
          <w:b/>
          <w:sz w:val="22"/>
          <w:w w:val="97"/>
        </w:rPr>
        <w:t>none of the figures reported in this thesis were produced in the local environment.</w:t>
      </w:r>
    </w:p>
    <w:p>
      <w:pPr>
        <w:spacing w:line="384" w:lineRule="auto" w:after="0"/>
        <w:ind w:firstLine="220"/>
        <w:jc w:val="both"/>
      </w:pPr>
      <w:r>
        <w:rPr>
          <w:rFonts w:ascii="휴먼명조" w:eastAsia="휴먼명조" w:hAnsi="휴먼명조" w:cs="휴먼명조"/>
          <w:b w:val="0"/>
          <w:sz w:val="22"/>
          <w:w w:val="97"/>
        </w:rPr>
        <w:t xml:space="preserve">Feasibility in the 16GB-class environment targeted by this study was confirmed </w:t>
      </w:r>
      <w:r>
        <w:rPr>
          <w:rFonts w:ascii="휴먼명조" w:eastAsia="휴먼명조" w:hAnsi="휴먼명조" w:cs="휴먼명조"/>
          <w:b/>
          <w:sz w:val="22"/>
          <w:w w:val="97"/>
        </w:rPr>
        <w:t>from measured VRAM usage rather than by execution on such a card</w:t>
      </w:r>
      <w:r>
        <w:rPr>
          <w:rFonts w:ascii="휴먼명조" w:eastAsia="휴먼명조" w:hAnsi="휴먼명조" w:cs="휴먼명조"/>
          <w:b w:val="0"/>
          <w:sz w:val="22"/>
          <w:w w:val="97"/>
        </w:rPr>
        <w:t>. Peak VRAM during Phase 2 QLoRA training was at most 14,373MB across the four models (Gemma4-E2B), within the 16GB limit, while the other three models required only 4,015-7,943MB. Because this was not verified by actually running on a 16GB card, the limits of this inference are discussed in Section 5.3(14) of Chapter V.</w:t>
      </w:r>
    </w:p>
    <w:p>
      <w:pPr>
        <w:spacing w:line="384" w:lineRule="auto" w:after="0"/>
        <w:jc w:val="left"/>
        <w:outlineLvl w:val="2"/>
      </w:pPr>
      <w:r>
        <w:rPr>
          <w:rFonts w:ascii="휴먼명조" w:eastAsia="휴먼명조" w:hAnsi="휴먼명조" w:cs="휴먼명조"/>
          <w:b/>
          <w:sz w:val="22"/>
          <w:w w:val="97"/>
        </w:rPr>
        <w:t>3.2.2 Software Stack</w:t>
      </w:r>
    </w:p>
    <w:p>
      <w:pPr>
        <w:spacing w:line="384" w:lineRule="auto" w:after="0"/>
        <w:ind w:firstLine="220"/>
        <w:jc w:val="both"/>
      </w:pPr>
      <w:r>
        <w:rPr>
          <w:rFonts w:ascii="휴먼명조" w:eastAsia="휴먼명조" w:hAnsi="휴먼명조" w:cs="휴먼명조"/>
          <w:b w:val="0"/>
          <w:sz w:val="22"/>
          <w:w w:val="97"/>
        </w:rPr>
        <w:t>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(Mixed-Effects Model). The LLM agent of the Autoresearch strategy calls the Anthropic Claude API.</w:t>
      </w:r>
    </w:p>
    <w:p>
      <w:pPr>
        <w:spacing w:line="384" w:lineRule="auto" w:after="0"/>
        <w:jc w:val="left"/>
        <w:outlineLvl w:val="1"/>
      </w:pPr>
      <w:r>
        <w:rPr>
          <w:rFonts w:ascii="휴먼명조" w:eastAsia="휴먼명조" w:hAnsi="휴먼명조" w:cs="휴먼명조"/>
          <w:b/>
          <w:sz w:val="28"/>
          <w:w w:val="97"/>
        </w:rPr>
        <w:t>3.3 Target Models and Selection Criteria</w:t>
      </w:r>
    </w:p>
    <w:p>
      <w:pPr>
        <w:pStyle w:val="표캡션"/>
        <w:spacing w:line="384" w:lineRule="auto" w:after="0"/>
        <w:jc w:val="center"/>
      </w:pPr>
      <w:r>
        <w:rPr>
          <w:rFonts w:ascii="휴먼명조" w:eastAsia="휴먼명조" w:hAnsi="휴먼명조" w:cs="휴먼명조"/>
          <w:b/>
          <w:sz w:val="22"/>
          <w:w w:val="97"/>
        </w:rPr>
        <w:t>Table 3.1. Target models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Parameters</w:t>
            </w:r>
          </w:p>
        </w:tc>
        <w:tc>
          <w:tcPr>
            <w:tcW w:type="dxa" w:w="1859"/>
          </w:tcPr>
          <w:p>
            <w:pPr>
              <w:spacing w:line="240" w:lineRule="auto"/>
              <w:jc w:val="center"/>
            </w:pPr>
            <w:r/>
            <w:r>
              <w:rPr>
                <w:rFonts w:ascii="휴먼명조" w:eastAsia="휴먼명조" w:hAnsi="휴먼명조" w:cs="휴먼명조"/>
                <w:b/>
                <w:sz w:val="18"/>
                <w:w w:val="97"/>
              </w:rPr>
              <w:t>Architectural features</w:t>
            </w:r>
          </w:p>
        </w:tc>
        <w:tc>
          <w:tcPr>
            <w:tcW w:type="dxa" w:w="1859"/>
          </w:tcPr>
          <w:p>
            <w:pPr>
              <w:spacing w:line="240" w:lineRule="auto"/>
              <w:jc w:val="center"/>
            </w:pPr>
            <w:r/>
            <w:r>
              <w:rPr>
                <w:rFonts w:ascii="휴먼명조" w:eastAsia="휴먼명조" w:hAnsi="휴먼명조" w:cs="휴먼명조"/>
                <w:b/>
                <w:sz w:val="18"/>
                <w:w w:val="97"/>
              </w:rPr>
              <w:t>Expected QLoRA VRAM</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2B</w:t>
            </w:r>
          </w:p>
        </w:tc>
        <w:tc>
          <w:tcPr>
            <w:tcW w:type="dxa" w:w="1859"/>
          </w:tcPr>
          <w:p>
            <w:pPr>
              <w:spacing w:line="240" w:lineRule="auto"/>
              <w:jc w:val="center"/>
            </w:pPr>
            <w:r/>
            <w:r>
              <w:rPr>
                <w:rFonts w:ascii="휴먼명조" w:eastAsia="휴먼명조" w:hAnsi="휴먼명조" w:cs="휴먼명조"/>
                <w:b w:val="0"/>
                <w:sz w:val="18"/>
                <w:w w:val="97"/>
              </w:rPr>
              <w:t>Thinking mode, DeepStack</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3B</w:t>
            </w:r>
          </w:p>
        </w:tc>
        <w:tc>
          <w:tcPr>
            <w:tcW w:type="dxa" w:w="1859"/>
          </w:tcPr>
          <w:p>
            <w:pPr>
              <w:spacing w:line="240" w:lineRule="auto"/>
              <w:jc w:val="center"/>
            </w:pPr>
            <w:r/>
            <w:r>
              <w:rPr>
                <w:rFonts w:ascii="휴먼명조" w:eastAsia="휴먼명조" w:hAnsi="휴먼명조" w:cs="휴먼명조"/>
                <w:b w:val="0"/>
                <w:sz w:val="18"/>
                <w:w w:val="97"/>
              </w:rPr>
              <w:t>Dynamic resolution, OCR in 19 languages</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2.2B</w:t>
            </w:r>
          </w:p>
        </w:tc>
        <w:tc>
          <w:tcPr>
            <w:tcW w:type="dxa" w:w="1859"/>
          </w:tcPr>
          <w:p>
            <w:pPr>
              <w:spacing w:line="240" w:lineRule="auto"/>
              <w:jc w:val="center"/>
            </w:pPr>
            <w:r/>
            <w:r>
              <w:rPr>
                <w:rFonts w:ascii="휴먼명조" w:eastAsia="휴먼명조" w:hAnsi="휴먼명조" w:cs="휴먼명조"/>
                <w:b w:val="0"/>
                <w:sz w:val="18"/>
                <w:w w:val="97"/>
              </w:rPr>
              <w:t>HuggingFace lightweight VLM</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2.3B (active) / 5.1B (total)</w:t>
            </w:r>
          </w:p>
        </w:tc>
        <w:tc>
          <w:tcPr>
            <w:tcW w:type="dxa" w:w="1859"/>
          </w:tcPr>
          <w:p>
            <w:pPr>
              <w:spacing w:line="240" w:lineRule="auto"/>
              <w:jc w:val="center"/>
            </w:pPr>
            <w:r/>
            <w:r>
              <w:rPr>
                <w:rFonts w:ascii="휴먼명조" w:eastAsia="휴먼명조" w:hAnsi="휴먼명조" w:cs="휴먼명조"/>
                <w:b w:val="0"/>
                <w:sz w:val="18"/>
                <w:w w:val="97"/>
              </w:rPr>
              <w:t>PLE (Per-Layer Embeddings), Apache 2.0</w:t>
            </w:r>
          </w:p>
        </w:tc>
        <w:tc>
          <w:tcPr>
            <w:tcW w:type="dxa" w:w="1859"/>
          </w:tcPr>
          <w:p>
            <w:pPr>
              <w:spacing w:line="240" w:lineRule="auto"/>
              <w:jc w:val="center"/>
            </w:pPr>
            <w:r/>
            <w:r>
              <w:rPr>
                <w:rFonts w:ascii="휴먼명조" w:eastAsia="휴먼명조" w:hAnsi="휴먼명조" w:cs="휴먼명조"/>
                <w:b w:val="0"/>
                <w:sz w:val="18"/>
                <w:w w:val="97"/>
              </w:rPr>
              <w:t>~12-14 GB</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selection criteria were threefold: (1) QLoRA fine-tuning must be feasible within 16GB of VRAM (an a priori expectation, confirmed post hoc from measured peak VRAM - Section 3.2.1);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influence of this architectural characteristic on the interpretation of results is discussed separately in Section 5.3 of Chapter V.</w:t>
      </w:r>
    </w:p>
    <w:p>
      <w:pPr>
        <w:spacing w:line="384" w:lineRule="auto" w:after="0"/>
        <w:jc w:val="left"/>
        <w:outlineLvl w:val="1"/>
      </w:pPr>
      <w:r>
        <w:rPr>
          <w:rFonts w:ascii="휴먼명조" w:eastAsia="휴먼명조" w:hAnsi="휴먼명조" w:cs="휴먼명조"/>
          <w:b/>
          <w:sz w:val="28"/>
          <w:w w:val="97"/>
        </w:rPr>
        <w:t>3.4 Datasets and Preprocessing</w:t>
      </w:r>
    </w:p>
    <w:p>
      <w:pPr>
        <w:pStyle w:val="표캡션"/>
        <w:spacing w:line="384" w:lineRule="auto" w:after="0"/>
        <w:jc w:val="center"/>
      </w:pPr>
      <w:r>
        <w:rPr>
          <w:rFonts w:ascii="휴먼명조" w:eastAsia="휴먼명조" w:hAnsi="휴먼명조" w:cs="휴먼명조"/>
          <w:b/>
          <w:sz w:val="22"/>
          <w:w w:val="97"/>
        </w:rPr>
        <w:t>Table 3.2. Target datasets</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Dataset</w:t>
            </w:r>
          </w:p>
        </w:tc>
        <w:tc>
          <w:tcPr>
            <w:tcW w:type="dxa" w:w="1240"/>
          </w:tcPr>
          <w:p>
            <w:pPr>
              <w:spacing w:line="240" w:lineRule="auto"/>
              <w:jc w:val="center"/>
            </w:pPr>
            <w:r/>
            <w:r>
              <w:rPr>
                <w:rFonts w:ascii="휴먼명조" w:eastAsia="휴먼명조" w:hAnsi="휴먼명조" w:cs="휴먼명조"/>
                <w:b/>
                <w:sz w:val="18"/>
                <w:w w:val="97"/>
              </w:rPr>
              <w:t>Images</w:t>
            </w:r>
          </w:p>
        </w:tc>
        <w:tc>
          <w:tcPr>
            <w:tcW w:type="dxa" w:w="1240"/>
          </w:tcPr>
          <w:p>
            <w:pPr>
              <w:spacing w:line="240" w:lineRule="auto"/>
              <w:jc w:val="center"/>
            </w:pPr>
            <w:r/>
            <w:r>
              <w:rPr>
                <w:rFonts w:ascii="휴먼명조" w:eastAsia="휴먼명조" w:hAnsi="휴먼명조" w:cs="휴먼명조"/>
                <w:b/>
                <w:sz w:val="18"/>
                <w:w w:val="97"/>
              </w:rPr>
              <w:t>QA pairs</w:t>
            </w:r>
          </w:p>
        </w:tc>
        <w:tc>
          <w:tcPr>
            <w:tcW w:type="dxa" w:w="1240"/>
          </w:tcPr>
          <w:p>
            <w:pPr>
              <w:spacing w:line="240" w:lineRule="auto"/>
              <w:jc w:val="center"/>
            </w:pPr>
            <w:r/>
            <w:r>
              <w:rPr>
                <w:rFonts w:ascii="휴먼명조" w:eastAsia="휴먼명조" w:hAnsi="휴먼명조" w:cs="휴먼명조"/>
                <w:b/>
                <w:sz w:val="18"/>
                <w:w w:val="97"/>
              </w:rPr>
              <w:t>Language</w:t>
            </w:r>
          </w:p>
        </w:tc>
        <w:tc>
          <w:tcPr>
            <w:tcW w:type="dxa" w:w="1240"/>
          </w:tcPr>
          <w:p>
            <w:pPr>
              <w:spacing w:line="240" w:lineRule="auto"/>
              <w:jc w:val="center"/>
            </w:pPr>
            <w:r/>
            <w:r>
              <w:rPr>
                <w:rFonts w:ascii="휴먼명조" w:eastAsia="휴먼명조" w:hAnsi="휴먼명조" w:cs="휴먼명조"/>
                <w:b/>
                <w:sz w:val="18"/>
                <w:w w:val="97"/>
              </w:rPr>
              <w:t>Domain</w:t>
            </w:r>
          </w:p>
        </w:tc>
        <w:tc>
          <w:tcPr>
            <w:tcW w:type="dxa" w:w="1240"/>
          </w:tcPr>
          <w:p>
            <w:pPr>
              <w:spacing w:line="240" w:lineRule="auto"/>
              <w:jc w:val="center"/>
            </w:pPr>
            <w:r/>
            <w:r>
              <w:rPr>
                <w:rFonts w:ascii="휴먼명조" w:eastAsia="휴먼명조" w:hAnsi="휴먼명조" w:cs="휴먼명조"/>
                <w:b/>
                <w:sz w:val="18"/>
                <w:w w:val="97"/>
              </w:rPr>
              <w:t>Question types</w:t>
            </w:r>
          </w:p>
        </w:tc>
      </w:tr>
      <w:tr>
        <w:tc>
          <w:tcPr>
            <w:tcW w:type="dxa" w:w="1240"/>
          </w:tcPr>
          <w:p>
            <w:pPr>
              <w:spacing w:line="240" w:lineRule="auto"/>
              <w:jc w:val="center"/>
            </w:pPr>
            <w:r/>
            <w:r>
              <w:rPr>
                <w:rFonts w:ascii="휴먼명조" w:eastAsia="휴먼명조" w:hAnsi="휴먼명조" w:cs="휴먼명조"/>
                <w:b w:val="0"/>
                <w:sz w:val="18"/>
                <w:w w:val="97"/>
              </w:rPr>
              <w:t>PathVQA</w:t>
            </w:r>
          </w:p>
        </w:tc>
        <w:tc>
          <w:tcPr>
            <w:tcW w:type="dxa" w:w="1240"/>
          </w:tcPr>
          <w:p>
            <w:pPr>
              <w:spacing w:line="240" w:lineRule="auto"/>
              <w:jc w:val="center"/>
            </w:pPr>
            <w:r/>
            <w:r>
              <w:rPr>
                <w:rFonts w:ascii="휴먼명조" w:eastAsia="휴먼명조" w:hAnsi="휴먼명조" w:cs="휴먼명조"/>
                <w:b w:val="0"/>
                <w:sz w:val="18"/>
                <w:w w:val="97"/>
              </w:rPr>
              <w:t>4,998</w:t>
            </w:r>
          </w:p>
        </w:tc>
        <w:tc>
          <w:tcPr>
            <w:tcW w:type="dxa" w:w="1240"/>
          </w:tcPr>
          <w:p>
            <w:pPr>
              <w:spacing w:line="240" w:lineRule="auto"/>
              <w:jc w:val="center"/>
            </w:pPr>
            <w:r/>
            <w:r>
              <w:rPr>
                <w:rFonts w:ascii="휴먼명조" w:eastAsia="휴먼명조" w:hAnsi="휴먼명조" w:cs="휴먼명조"/>
                <w:b w:val="0"/>
                <w:sz w:val="18"/>
                <w:w w:val="97"/>
              </w:rPr>
              <w:t>32,799</w:t>
            </w:r>
          </w:p>
        </w:tc>
        <w:tc>
          <w:tcPr>
            <w:tcW w:type="dxa" w:w="1240"/>
          </w:tcPr>
          <w:p>
            <w:pPr>
              <w:spacing w:line="240" w:lineRule="auto"/>
              <w:jc w:val="center"/>
            </w:pPr>
            <w:r/>
            <w:r>
              <w:rPr>
                <w:rFonts w:ascii="휴먼명조" w:eastAsia="휴먼명조" w:hAnsi="휴먼명조" w:cs="휴먼명조"/>
                <w:b w:val="0"/>
                <w:sz w:val="18"/>
                <w:w w:val="97"/>
              </w:rPr>
              <w:t>English</w:t>
            </w:r>
          </w:p>
        </w:tc>
        <w:tc>
          <w:tcPr>
            <w:tcW w:type="dxa" w:w="1240"/>
          </w:tcPr>
          <w:p>
            <w:pPr>
              <w:spacing w:line="240" w:lineRule="auto"/>
              <w:jc w:val="center"/>
            </w:pPr>
            <w:r/>
            <w:r>
              <w:rPr>
                <w:rFonts w:ascii="휴먼명조" w:eastAsia="휴먼명조" w:hAnsi="휴먼명조" w:cs="휴먼명조"/>
                <w:b w:val="0"/>
                <w:sz w:val="18"/>
                <w:w w:val="97"/>
              </w:rPr>
              <w:t>Pathology</w:t>
            </w:r>
          </w:p>
        </w:tc>
        <w:tc>
          <w:tcPr>
            <w:tcW w:type="dxa" w:w="1240"/>
          </w:tcPr>
          <w:p>
            <w:pPr>
              <w:spacing w:line="240" w:lineRule="auto"/>
              <w:jc w:val="center"/>
            </w:pPr>
            <w:r/>
            <w:r>
              <w:rPr>
                <w:rFonts w:ascii="휴먼명조" w:eastAsia="휴먼명조" w:hAnsi="휴먼명조" w:cs="휴먼명조"/>
                <w:b w:val="0"/>
                <w:sz w:val="18"/>
                <w:w w:val="97"/>
              </w:rPr>
              <w:t>Open + Closed (7 types)</w:t>
            </w:r>
          </w:p>
        </w:tc>
      </w:tr>
      <w:tr>
        <w:tc>
          <w:tcPr>
            <w:tcW w:type="dxa" w:w="1240"/>
          </w:tcPr>
          <w:p>
            <w:pPr>
              <w:spacing w:line="240" w:lineRule="auto"/>
              <w:jc w:val="center"/>
            </w:pPr>
            <w:r/>
            <w:r>
              <w:rPr>
                <w:rFonts w:ascii="휴먼명조" w:eastAsia="휴먼명조" w:hAnsi="휴먼명조" w:cs="휴먼명조"/>
                <w:b w:val="0"/>
                <w:sz w:val="18"/>
                <w:w w:val="97"/>
              </w:rPr>
              <w:t>SLAKE</w:t>
            </w:r>
          </w:p>
        </w:tc>
        <w:tc>
          <w:tcPr>
            <w:tcW w:type="dxa" w:w="1240"/>
          </w:tcPr>
          <w:p>
            <w:pPr>
              <w:spacing w:line="240" w:lineRule="auto"/>
              <w:jc w:val="center"/>
            </w:pPr>
            <w:r/>
            <w:r>
              <w:rPr>
                <w:rFonts w:ascii="휴먼명조" w:eastAsia="휴먼명조" w:hAnsi="휴먼명조" w:cs="휴먼명조"/>
                <w:b w:val="0"/>
                <w:sz w:val="18"/>
                <w:w w:val="97"/>
              </w:rPr>
              <w:t>642</w:t>
            </w:r>
          </w:p>
        </w:tc>
        <w:tc>
          <w:tcPr>
            <w:tcW w:type="dxa" w:w="1240"/>
          </w:tcPr>
          <w:p>
            <w:pPr>
              <w:spacing w:line="240" w:lineRule="auto"/>
              <w:jc w:val="center"/>
            </w:pPr>
            <w:r/>
            <w:r>
              <w:rPr>
                <w:rFonts w:ascii="휴먼명조" w:eastAsia="휴먼명조" w:hAnsi="휴먼명조" w:cs="휴먼명조"/>
                <w:b w:val="0"/>
                <w:sz w:val="18"/>
                <w:w w:val="97"/>
              </w:rPr>
              <w:t>14,028</w:t>
            </w:r>
          </w:p>
        </w:tc>
        <w:tc>
          <w:tcPr>
            <w:tcW w:type="dxa" w:w="1240"/>
          </w:tcPr>
          <w:p>
            <w:pPr>
              <w:spacing w:line="240" w:lineRule="auto"/>
              <w:jc w:val="center"/>
            </w:pPr>
            <w:r/>
            <w:r>
              <w:rPr>
                <w:rFonts w:ascii="휴먼명조" w:eastAsia="휴먼명조" w:hAnsi="휴먼명조" w:cs="휴먼명조"/>
                <w:b w:val="0"/>
                <w:sz w:val="18"/>
                <w:w w:val="97"/>
              </w:rPr>
              <w:t>English + Chinese</w:t>
            </w:r>
          </w:p>
        </w:tc>
        <w:tc>
          <w:tcPr>
            <w:tcW w:type="dxa" w:w="1240"/>
          </w:tcPr>
          <w:p>
            <w:pPr>
              <w:spacing w:line="240" w:lineRule="auto"/>
              <w:jc w:val="center"/>
            </w:pPr>
            <w:r/>
            <w:r>
              <w:rPr>
                <w:rFonts w:ascii="휴먼명조" w:eastAsia="휴먼명조" w:hAnsi="휴먼명조" w:cs="휴먼명조"/>
                <w:b w:val="0"/>
                <w:sz w:val="18"/>
                <w:w w:val="97"/>
              </w:rPr>
              <w:t>Radiology / CT</w:t>
            </w:r>
          </w:p>
        </w:tc>
        <w:tc>
          <w:tcPr>
            <w:tcW w:type="dxa" w:w="1240"/>
          </w:tcPr>
          <w:p>
            <w:pPr>
              <w:spacing w:line="240" w:lineRule="auto"/>
              <w:jc w:val="center"/>
            </w:pPr>
            <w:r/>
            <w:r>
              <w:rPr>
                <w:rFonts w:ascii="휴먼명조" w:eastAsia="휴먼명조" w:hAnsi="휴먼명조" w:cs="휴먼명조"/>
                <w:b w:val="0"/>
                <w:sz w:val="18"/>
                <w:w w:val="97"/>
              </w:rPr>
              <w:t>Open + Closed</w:t>
            </w:r>
          </w:p>
        </w:tc>
      </w:tr>
      <w:tr>
        <w:tc>
          <w:tcPr>
            <w:tcW w:type="dxa" w:w="1240"/>
          </w:tcPr>
          <w:p>
            <w:pPr>
              <w:spacing w:line="240" w:lineRule="auto"/>
              <w:jc w:val="center"/>
            </w:pPr>
            <w:r/>
            <w:r>
              <w:rPr>
                <w:rFonts w:ascii="휴먼명조" w:eastAsia="휴먼명조" w:hAnsi="휴먼명조" w:cs="휴먼명조"/>
                <w:b w:val="0"/>
                <w:sz w:val="18"/>
                <w:w w:val="97"/>
              </w:rPr>
              <w:t>VQA-RAD</w:t>
            </w:r>
          </w:p>
        </w:tc>
        <w:tc>
          <w:tcPr>
            <w:tcW w:type="dxa" w:w="1240"/>
          </w:tcPr>
          <w:p>
            <w:pPr>
              <w:spacing w:line="240" w:lineRule="auto"/>
              <w:jc w:val="center"/>
            </w:pPr>
            <w:r/>
            <w:r>
              <w:rPr>
                <w:rFonts w:ascii="휴먼명조" w:eastAsia="휴먼명조" w:hAnsi="휴먼명조" w:cs="휴먼명조"/>
                <w:b w:val="0"/>
                <w:sz w:val="18"/>
                <w:w w:val="97"/>
              </w:rPr>
              <w:t>315</w:t>
            </w:r>
          </w:p>
        </w:tc>
        <w:tc>
          <w:tcPr>
            <w:tcW w:type="dxa" w:w="1240"/>
          </w:tcPr>
          <w:p>
            <w:pPr>
              <w:spacing w:line="240" w:lineRule="auto"/>
              <w:jc w:val="center"/>
            </w:pPr>
            <w:r/>
            <w:r>
              <w:rPr>
                <w:rFonts w:ascii="휴먼명조" w:eastAsia="휴먼명조" w:hAnsi="휴먼명조" w:cs="휴먼명조"/>
                <w:b w:val="0"/>
                <w:sz w:val="18"/>
                <w:w w:val="97"/>
              </w:rPr>
              <w:t>2,248</w:t>
            </w:r>
          </w:p>
        </w:tc>
        <w:tc>
          <w:tcPr>
            <w:tcW w:type="dxa" w:w="1240"/>
          </w:tcPr>
          <w:p>
            <w:pPr>
              <w:spacing w:line="240" w:lineRule="auto"/>
              <w:jc w:val="center"/>
            </w:pPr>
            <w:r/>
            <w:r>
              <w:rPr>
                <w:rFonts w:ascii="휴먼명조" w:eastAsia="휴먼명조" w:hAnsi="휴먼명조" w:cs="휴먼명조"/>
                <w:b w:val="0"/>
                <w:sz w:val="18"/>
                <w:w w:val="97"/>
              </w:rPr>
              <w:t>English</w:t>
            </w:r>
          </w:p>
        </w:tc>
        <w:tc>
          <w:tcPr>
            <w:tcW w:type="dxa" w:w="1240"/>
          </w:tcPr>
          <w:p>
            <w:pPr>
              <w:spacing w:line="240" w:lineRule="auto"/>
              <w:jc w:val="center"/>
            </w:pPr>
            <w:r/>
            <w:r>
              <w:rPr>
                <w:rFonts w:ascii="휴먼명조" w:eastAsia="휴먼명조" w:hAnsi="휴먼명조" w:cs="휴먼명조"/>
                <w:b w:val="0"/>
                <w:sz w:val="18"/>
                <w:w w:val="97"/>
              </w:rPr>
              <w:t>Radiology</w:t>
            </w:r>
          </w:p>
        </w:tc>
        <w:tc>
          <w:tcPr>
            <w:tcW w:type="dxa" w:w="1240"/>
          </w:tcPr>
          <w:p>
            <w:pPr>
              <w:spacing w:line="240" w:lineRule="auto"/>
              <w:jc w:val="center"/>
            </w:pPr>
            <w:r/>
            <w:r>
              <w:rPr>
                <w:rFonts w:ascii="휴먼명조" w:eastAsia="휴먼명조" w:hAnsi="휴먼명조" w:cs="휴먼명조"/>
                <w:b w:val="0"/>
                <w:sz w:val="18"/>
                <w:w w:val="97"/>
              </w:rPr>
              <w:t>Open + Closed</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Each dataset was used with its official train/val/test split unchanged.</w:t>
      </w:r>
    </w:p>
    <w:p>
      <w:pPr>
        <w:spacing w:line="384" w:lineRule="auto" w:after="0"/>
        <w:ind w:firstLine="220"/>
        <w:jc w:val="both"/>
      </w:pPr>
      <w:r>
        <w:rPr>
          <w:rFonts w:ascii="휴먼명조" w:eastAsia="휴먼명조" w:hAnsi="휴먼명조" w:cs="휴먼명조"/>
          <w:b/>
          <w:sz w:val="22"/>
          <w:w w:val="97"/>
        </w:rPr>
        <w:t>Contamination control</w:t>
      </w:r>
      <w:r>
        <w:rPr>
          <w:rFonts w:ascii="휴먼명조" w:eastAsia="휴먼명조" w:hAnsi="휴먼명조" w:cs="휴먼명조"/>
          <w:b w:val="0"/>
          <w:sz w:val="22"/>
          <w:w w:val="97"/>
        </w:rPr>
        <w:t>: PathVQA (2018), SLAKE (2021), and VQA-RAD (2018) were all released before the pretraining cut-off of the target models (2025-2026), so the possibility of pretraining data contamination cannot be excluded. This study measures such contamination actively using the Min-K% Probability Attack (Shi et al., "Detecting Pretraining Data from Large Language Models", arXiv:2310.16789, ICLR 2024). The mean token-level log-probability of the lowest K% (K = 20) of tokens in each sample's gold answer text is used as the contamination indicator — on the theory that samples exposed during pretraining exhibit higher mean probability — and samples in the top 5% within a dataset are classified as suspected 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and more than 5%p requires reconsideration of the conclusion) are implemented in scripts/measure_contamination.py.</w:t>
      </w:r>
    </w:p>
    <w:p>
      <w:pPr>
        <w:spacing w:line="384" w:lineRule="auto" w:after="0"/>
        <w:jc w:val="left"/>
        <w:outlineLvl w:val="1"/>
      </w:pPr>
      <w:r>
        <w:rPr>
          <w:rFonts w:ascii="휴먼명조" w:eastAsia="휴먼명조" w:hAnsi="휴먼명조" w:cs="휴먼명조"/>
          <w:b/>
          <w:sz w:val="28"/>
          <w:w w:val="97"/>
        </w:rPr>
        <w:t>3.5 Experiment 1: Zero-Shot Baseline Evaluation (Phase 1)</w:t>
      </w:r>
    </w:p>
    <w:p>
      <w:pPr>
        <w:spacing w:line="384" w:lineRule="auto" w:after="0"/>
        <w:ind w:firstLine="220"/>
        <w:jc w:val="both"/>
      </w:pPr>
      <w:r>
        <w:rPr>
          <w:rFonts w:ascii="휴먼명조" w:eastAsia="휴먼명조" w:hAnsi="휴먼명조" w:cs="휴먼명조"/>
          <w:b w:val="0"/>
          <w:sz w:val="22"/>
          <w:w w:val="97"/>
        </w:rPr>
        <w:t>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a paired structure; accordingly, Cochran's Q test (binary correctness on a shared test set, H0: equal accuracy) and pairwise McNemar post-hoc tests with Bonferroni correction were used instead of ANOVA, which assumes independent samples.</w:t>
      </w:r>
    </w:p>
    <w:p>
      <w:pPr>
        <w:spacing w:line="384" w:lineRule="auto" w:after="0"/>
        <w:ind w:firstLine="220"/>
        <w:jc w:val="both"/>
      </w:pPr>
      <w:r>
        <w:rPr>
          <w:rFonts w:ascii="휴먼명조" w:eastAsia="휴먼명조" w:hAnsi="휴먼명조" w:cs="휴먼명조"/>
          <w:b w:val="0"/>
          <w:sz w:val="22"/>
          <w:w w:val="97"/>
        </w:rPr>
        <w:t>The measured metrics are closed-ended accuracy (multiple choice), open-ended accuracy (gold-token matching) together with BERTScore F1 (roberta-large), bootstrap 95% CIs for each accuracy, response time (ms per item), and peak VRAM (MB).</w:t>
      </w:r>
    </w:p>
    <w:p>
      <w:pPr>
        <w:spacing w:line="384" w:lineRule="auto" w:after="0"/>
        <w:jc w:val="left"/>
        <w:outlineLvl w:val="1"/>
      </w:pPr>
      <w:r>
        <w:rPr>
          <w:rFonts w:ascii="휴먼명조" w:eastAsia="휴먼명조" w:hAnsi="휴먼명조" w:cs="휴먼명조"/>
          <w:b/>
          <w:sz w:val="28"/>
          <w:w w:val="97"/>
        </w:rPr>
        <w:t>3.6 Experiment 2: QLoRA Fine-Tuning (Phase 2)</w:t>
      </w:r>
    </w:p>
    <w:p>
      <w:pPr>
        <w:pStyle w:val="표캡션"/>
        <w:spacing w:line="384" w:lineRule="auto" w:after="0"/>
        <w:jc w:val="center"/>
      </w:pPr>
      <w:r>
        <w:rPr>
          <w:rFonts w:ascii="휴먼명조" w:eastAsia="휴먼명조" w:hAnsi="휴먼명조" w:cs="휴먼명조"/>
          <w:b/>
          <w:sz w:val="22"/>
          <w:w w:val="97"/>
        </w:rPr>
        <w:t>Table 3.3. Base QLoRA configuration</w:t>
      </w:r>
    </w:p>
    <w:tbl>
      <w:tblPr>
        <w:tblW w:type="auto" w:w="0"/>
        <w:tblLook w:firstColumn="1" w:firstRow="1" w:lastColumn="0" w:lastRow="0" w:noHBand="0" w:noVBand="1" w:val="04A0"/>
      </w:tblPr>
      <w:tblGrid>
        <w:gridCol w:w="3719"/>
        <w:gridCol w:w="3719"/>
      </w:tblGrid>
      <w:tr>
        <w:tc>
          <w:tcPr>
            <w:tcW w:type="dxa" w:w="3719"/>
          </w:tcPr>
          <w:p>
            <w:pPr>
              <w:spacing w:line="240" w:lineRule="auto"/>
              <w:jc w:val="center"/>
            </w:pPr>
            <w:r/>
            <w:r>
              <w:rPr>
                <w:rFonts w:ascii="휴먼명조" w:eastAsia="휴먼명조" w:hAnsi="휴먼명조" w:cs="휴먼명조"/>
                <w:b/>
                <w:sz w:val="18"/>
                <w:w w:val="97"/>
              </w:rPr>
              <w:t>Parameter</w:t>
            </w:r>
          </w:p>
        </w:tc>
        <w:tc>
          <w:tcPr>
            <w:tcW w:type="dxa" w:w="3719"/>
          </w:tcPr>
          <w:p>
            <w:pPr>
              <w:spacing w:line="240" w:lineRule="auto"/>
              <w:jc w:val="center"/>
            </w:pPr>
            <w:r/>
            <w:r>
              <w:rPr>
                <w:rFonts w:ascii="휴먼명조" w:eastAsia="휴먼명조" w:hAnsi="휴먼명조" w:cs="휴먼명조"/>
                <w:b/>
                <w:sz w:val="18"/>
                <w:w w:val="97"/>
              </w:rPr>
              <w:t>Value</w:t>
            </w:r>
          </w:p>
        </w:tc>
      </w:tr>
      <w:tr>
        <w:tc>
          <w:tcPr>
            <w:tcW w:type="dxa" w:w="3719"/>
          </w:tcPr>
          <w:p>
            <w:pPr>
              <w:spacing w:line="240" w:lineRule="auto"/>
              <w:jc w:val="center"/>
            </w:pPr>
            <w:r/>
            <w:r>
              <w:rPr>
                <w:rFonts w:ascii="휴먼명조" w:eastAsia="휴먼명조" w:hAnsi="휴먼명조" w:cs="휴먼명조"/>
                <w:b w:val="0"/>
                <w:sz w:val="18"/>
                <w:w w:val="97"/>
              </w:rPr>
              <w:t>Quantization</w:t>
            </w:r>
          </w:p>
        </w:tc>
        <w:tc>
          <w:tcPr>
            <w:tcW w:type="dxa" w:w="3719"/>
          </w:tcPr>
          <w:p>
            <w:pPr>
              <w:spacing w:line="240" w:lineRule="auto"/>
              <w:jc w:val="center"/>
            </w:pPr>
            <w:r/>
            <w:r>
              <w:rPr>
                <w:rFonts w:ascii="휴먼명조" w:eastAsia="휴먼명조" w:hAnsi="휴먼명조" w:cs="휴먼명조"/>
                <w:b w:val="0"/>
                <w:sz w:val="18"/>
                <w:w w:val="97"/>
              </w:rPr>
              <w:t>NF4 (4-bit NormalFloat)</w:t>
            </w:r>
          </w:p>
        </w:tc>
      </w:tr>
      <w:tr>
        <w:tc>
          <w:tcPr>
            <w:tcW w:type="dxa" w:w="3719"/>
          </w:tcPr>
          <w:p>
            <w:pPr>
              <w:spacing w:line="240" w:lineRule="auto"/>
              <w:jc w:val="center"/>
            </w:pPr>
            <w:r/>
            <w:r>
              <w:rPr>
                <w:rFonts w:ascii="휴먼명조" w:eastAsia="휴먼명조" w:hAnsi="휴먼명조" w:cs="휴먼명조"/>
                <w:b w:val="0"/>
                <w:sz w:val="18"/>
                <w:w w:val="97"/>
              </w:rPr>
              <w:t>LoRA rank</w:t>
            </w:r>
          </w:p>
        </w:tc>
        <w:tc>
          <w:tcPr>
            <w:tcW w:type="dxa" w:w="3719"/>
          </w:tcPr>
          <w:p>
            <w:pPr>
              <w:spacing w:line="240" w:lineRule="auto"/>
              <w:jc w:val="center"/>
            </w:pPr>
            <w:r/>
            <w:r>
              <w:rPr>
                <w:rFonts w:ascii="휴먼명조" w:eastAsia="휴먼명조" w:hAnsi="휴먼명조" w:cs="휴먼명조"/>
                <w:b w:val="0"/>
                <w:sz w:val="18"/>
                <w:w w:val="97"/>
              </w:rPr>
              <w:t>64 (determined by Ablation B)</w:t>
            </w:r>
          </w:p>
        </w:tc>
      </w:tr>
      <w:tr>
        <w:tc>
          <w:tcPr>
            <w:tcW w:type="dxa" w:w="3719"/>
          </w:tcPr>
          <w:p>
            <w:pPr>
              <w:spacing w:line="240" w:lineRule="auto"/>
              <w:jc w:val="center"/>
            </w:pPr>
            <w:r/>
            <w:r>
              <w:rPr>
                <w:rFonts w:ascii="휴먼명조" w:eastAsia="휴먼명조" w:hAnsi="휴먼명조" w:cs="휴먼명조"/>
                <w:b w:val="0"/>
                <w:sz w:val="18"/>
                <w:w w:val="97"/>
              </w:rPr>
              <w:t>LoRA alpha</w:t>
            </w:r>
          </w:p>
        </w:tc>
        <w:tc>
          <w:tcPr>
            <w:tcW w:type="dxa" w:w="3719"/>
          </w:tcPr>
          <w:p>
            <w:pPr>
              <w:spacing w:line="240" w:lineRule="auto"/>
              <w:jc w:val="center"/>
            </w:pPr>
            <w:r/>
            <w:r>
              <w:rPr>
                <w:rFonts w:ascii="휴먼명조" w:eastAsia="휴먼명조" w:hAnsi="휴먼명조" w:cs="휴먼명조"/>
                <w:b w:val="0"/>
                <w:sz w:val="18"/>
                <w:w w:val="97"/>
              </w:rPr>
              <w:t>128</w:t>
            </w:r>
          </w:p>
        </w:tc>
      </w:tr>
      <w:tr>
        <w:tc>
          <w:tcPr>
            <w:tcW w:type="dxa" w:w="3719"/>
          </w:tcPr>
          <w:p>
            <w:pPr>
              <w:spacing w:line="240" w:lineRule="auto"/>
              <w:jc w:val="center"/>
            </w:pPr>
            <w:r/>
            <w:r>
              <w:rPr>
                <w:rFonts w:ascii="휴먼명조" w:eastAsia="휴먼명조" w:hAnsi="휴먼명조" w:cs="휴먼명조"/>
                <w:b w:val="0"/>
                <w:sz w:val="18"/>
                <w:w w:val="97"/>
              </w:rPr>
              <w:t>LoRA dropout</w:t>
            </w:r>
          </w:p>
        </w:tc>
        <w:tc>
          <w:tcPr>
            <w:tcW w:type="dxa" w:w="3719"/>
          </w:tcPr>
          <w:p>
            <w:pPr>
              <w:spacing w:line="240" w:lineRule="auto"/>
              <w:jc w:val="center"/>
            </w:pPr>
            <w:r/>
            <w:r>
              <w:rPr>
                <w:rFonts w:ascii="휴먼명조" w:eastAsia="휴먼명조" w:hAnsi="휴먼명조" w:cs="휴먼명조"/>
                <w:b w:val="0"/>
                <w:sz w:val="18"/>
                <w:w w:val="97"/>
              </w:rPr>
              <w:t>0.05</w:t>
            </w:r>
          </w:p>
        </w:tc>
      </w:tr>
      <w:tr>
        <w:tc>
          <w:tcPr>
            <w:tcW w:type="dxa" w:w="3719"/>
          </w:tcPr>
          <w:p>
            <w:pPr>
              <w:spacing w:line="240" w:lineRule="auto"/>
              <w:jc w:val="center"/>
            </w:pPr>
            <w:r/>
            <w:r>
              <w:rPr>
                <w:rFonts w:ascii="휴먼명조" w:eastAsia="휴먼명조" w:hAnsi="휴먼명조" w:cs="휴먼명조"/>
                <w:b w:val="0"/>
                <w:sz w:val="18"/>
                <w:w w:val="97"/>
              </w:rPr>
              <w:t>Target modules</w:t>
            </w:r>
          </w:p>
        </w:tc>
        <w:tc>
          <w:tcPr>
            <w:tcW w:type="dxa" w:w="3719"/>
          </w:tcPr>
          <w:p>
            <w:pPr>
              <w:spacing w:line="240" w:lineRule="auto"/>
              <w:jc w:val="center"/>
            </w:pPr>
            <w:r/>
            <w:r>
              <w:rPr>
                <w:rFonts w:ascii="휴먼명조" w:eastAsia="휴먼명조" w:hAnsi="휴먼명조" w:cs="휴먼명조"/>
                <w:b w:val="0"/>
                <w:sz w:val="18"/>
                <w:w w:val="97"/>
              </w:rPr>
              <w:t>all-linear (determined by Ablation C)</w:t>
            </w:r>
          </w:p>
        </w:tc>
      </w:tr>
      <w:tr>
        <w:tc>
          <w:tcPr>
            <w:tcW w:type="dxa" w:w="3719"/>
          </w:tcPr>
          <w:p>
            <w:pPr>
              <w:spacing w:line="240" w:lineRule="auto"/>
              <w:jc w:val="center"/>
            </w:pPr>
            <w:r/>
            <w:r>
              <w:rPr>
                <w:rFonts w:ascii="휴먼명조" w:eastAsia="휴먼명조" w:hAnsi="휴먼명조" w:cs="휴먼명조"/>
                <w:b w:val="0"/>
                <w:sz w:val="18"/>
                <w:w w:val="97"/>
              </w:rPr>
              <w:t>Learning rate</w:t>
            </w:r>
          </w:p>
        </w:tc>
        <w:tc>
          <w:tcPr>
            <w:tcW w:type="dxa" w:w="3719"/>
          </w:tcPr>
          <w:p>
            <w:pPr>
              <w:spacing w:line="240" w:lineRule="auto"/>
              <w:jc w:val="center"/>
            </w:pPr>
            <w:r/>
            <w:r>
              <w:rPr>
                <w:rFonts w:ascii="휴먼명조" w:eastAsia="휴먼명조" w:hAnsi="휴먼명조" w:cs="휴먼명조"/>
                <w:b w:val="0"/>
                <w:sz w:val="18"/>
                <w:w w:val="97"/>
              </w:rPr>
              <w:t>2e-4</w:t>
            </w:r>
          </w:p>
        </w:tc>
      </w:tr>
      <w:tr>
        <w:tc>
          <w:tcPr>
            <w:tcW w:type="dxa" w:w="3719"/>
          </w:tcPr>
          <w:p>
            <w:pPr>
              <w:spacing w:line="240" w:lineRule="auto"/>
              <w:jc w:val="center"/>
            </w:pPr>
            <w:r/>
            <w:r>
              <w:rPr>
                <w:rFonts w:ascii="휴먼명조" w:eastAsia="휴먼명조" w:hAnsi="휴먼명조" w:cs="휴먼명조"/>
                <w:b w:val="0"/>
                <w:sz w:val="18"/>
                <w:w w:val="97"/>
              </w:rPr>
              <w:t>Batch size</w:t>
            </w:r>
          </w:p>
        </w:tc>
        <w:tc>
          <w:tcPr>
            <w:tcW w:type="dxa" w:w="3719"/>
          </w:tcPr>
          <w:p>
            <w:pPr>
              <w:spacing w:line="240" w:lineRule="auto"/>
              <w:jc w:val="center"/>
            </w:pPr>
            <w:r/>
            <w:r>
              <w:rPr>
                <w:rFonts w:ascii="휴먼명조" w:eastAsia="휴먼명조" w:hAnsi="휴먼명조" w:cs="휴먼명조"/>
                <w:b w:val="0"/>
                <w:sz w:val="18"/>
                <w:w w:val="97"/>
              </w:rPr>
              <w:t>1 (gradient accumulation 8, effective batch = 8)</w:t>
            </w:r>
          </w:p>
        </w:tc>
      </w:tr>
      <w:tr>
        <w:tc>
          <w:tcPr>
            <w:tcW w:type="dxa" w:w="3719"/>
          </w:tcPr>
          <w:p>
            <w:pPr>
              <w:spacing w:line="240" w:lineRule="auto"/>
              <w:jc w:val="center"/>
            </w:pPr>
            <w:r/>
            <w:r>
              <w:rPr>
                <w:rFonts w:ascii="휴먼명조" w:eastAsia="휴먼명조" w:hAnsi="휴먼명조" w:cs="휴먼명조"/>
                <w:b w:val="0"/>
                <w:sz w:val="18"/>
                <w:w w:val="97"/>
              </w:rPr>
              <w:t>Optimizer</w:t>
            </w:r>
          </w:p>
        </w:tc>
        <w:tc>
          <w:tcPr>
            <w:tcW w:type="dxa" w:w="3719"/>
          </w:tcPr>
          <w:p>
            <w:pPr>
              <w:spacing w:line="240" w:lineRule="auto"/>
              <w:jc w:val="center"/>
            </w:pPr>
            <w:r/>
            <w:r>
              <w:rPr>
                <w:rFonts w:ascii="휴먼명조" w:eastAsia="휴먼명조" w:hAnsi="휴먼명조" w:cs="휴먼명조"/>
                <w:b w:val="0"/>
                <w:sz w:val="18"/>
                <w:w w:val="97"/>
              </w:rPr>
              <w:t>paged_adamw_8bit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training budget targeted 3 epochs, but a ceiling of max_steps=500 (samples_seen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pPr>
        <w:spacing w:line="384" w:lineRule="auto" w:after="0"/>
        <w:ind w:firstLine="220"/>
        <w:jc w:val="both"/>
      </w:pPr>
      <w:r>
        <w:rPr>
          <w:rFonts w:ascii="휴먼명조" w:eastAsia="휴먼명조" w:hAnsi="휴먼명조" w:cs="휴먼명조"/>
          <w:b/>
          <w:sz w:val="22"/>
          <w:w w:val="97"/>
        </w:rPr>
        <w:t>Experimental conditions</w:t>
      </w:r>
      <w:r>
        <w:rPr>
          <w:rFonts w:ascii="휴먼명조" w:eastAsia="휴먼명조" w:hAnsi="휴먼명조" w:cs="휴먼명조"/>
          <w:b w:val="0"/>
          <w:sz w:val="22"/>
          <w:w w:val="97"/>
        </w:rPr>
        <w:t>: 4 models × 3 datasets = 12 conditions, each repeated 3 times (seeds 42/123/456). The values LoRA rank = 64 and target = all-linear were fixed on the basis of the three ablation studies below; detailed results appear in Sections 4.2.2-4.2.4 of Chapter IV.</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A (effect of data size)</w:t>
      </w:r>
      <w:r>
        <w:rPr>
          <w:rFonts w:ascii="휴먼명조" w:eastAsia="휴먼명조" w:hAnsi="휴먼명조" w:cs="휴먼명조"/>
          <w:b w:val="0"/>
          <w:sz w:val="22"/>
          <w:w w:val="97"/>
        </w:rPr>
        <w:t>: PathVQA and Qwen3-VL-2B fixed; training-data ratio 5/10/25/50/100%</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B (effect of LoRA rank)</w:t>
      </w:r>
      <w:r>
        <w:rPr>
          <w:rFonts w:ascii="휴먼명조" w:eastAsia="휴먼명조" w:hAnsi="휴먼명조" w:cs="휴먼명조"/>
          <w:b w:val="0"/>
          <w:sz w:val="22"/>
          <w:w w:val="97"/>
        </w:rPr>
        <w:t>: PathVQA and Qwen3-VL-2B fixed; rank ∈ {4, 8, 16, 32, 64}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C (effect of target modules)</w:t>
      </w:r>
      <w:r>
        <w:rPr>
          <w:rFonts w:ascii="휴먼명조" w:eastAsia="휴먼명조" w:hAnsi="휴먼명조" w:cs="휴먼명조"/>
          <w:b w:val="0"/>
          <w:sz w:val="22"/>
          <w:w w:val="97"/>
        </w:rPr>
        <w:t>: PathVQA and Qwen3-VL-2B fixed; {q/v_proj} vs {q/k/v/o_proj} vs {all-linear}</w:t>
      </w:r>
    </w:p>
    <w:p>
      <w:pPr>
        <w:spacing w:line="384" w:lineRule="auto" w:after="0"/>
        <w:ind w:firstLine="220"/>
        <w:jc w:val="both"/>
      </w:pPr>
      <w:r>
        <w:rPr>
          <w:rFonts w:ascii="휴먼명조" w:eastAsia="휴먼명조" w:hAnsi="휴먼명조" w:cs="휴먼명조"/>
          <w:b/>
          <w:sz w:val="22"/>
          <w:w w:val="97"/>
        </w:rPr>
        <w:t>Catastrophic forgetting</w:t>
      </w:r>
      <w:r>
        <w:rPr>
          <w:rFonts w:ascii="휴먼명조" w:eastAsia="휴먼명조" w:hAnsi="휴먼명조" w:cs="휴먼명조"/>
          <w:b w:val="0"/>
          <w:sz w:val="22"/>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 in image domain itself, the results of (B) are interpreted as a domain-generalization gap rather than as catastrophic forgetting in the strict sense (Section 4.2.5).</w:t>
      </w:r>
    </w:p>
    <w:p>
      <w:pPr>
        <w:spacing w:line="384" w:lineRule="auto" w:after="0"/>
        <w:jc w:val="left"/>
        <w:outlineLvl w:val="1"/>
      </w:pPr>
      <w:r>
        <w:rPr>
          <w:rFonts w:ascii="휴먼명조" w:eastAsia="휴먼명조" w:hAnsi="휴먼명조" w:cs="휴먼명조"/>
          <w:b/>
          <w:sz w:val="28"/>
          <w:w w:val="97"/>
        </w:rPr>
        <w:t>3.7 Experiment 3: Autonomous Hyperparameter Optimization (Phase 3)</w:t>
      </w:r>
    </w:p>
    <w:p>
      <w:pPr>
        <w:pStyle w:val="표캡션"/>
        <w:spacing w:line="384" w:lineRule="auto" w:after="0"/>
        <w:jc w:val="center"/>
      </w:pPr>
      <w:r>
        <w:rPr>
          <w:rFonts w:ascii="휴먼명조" w:eastAsia="휴먼명조" w:hAnsi="휴먼명조" w:cs="휴먼명조"/>
          <w:b/>
          <w:sz w:val="22"/>
          <w:w w:val="97"/>
        </w:rPr>
        <w:t>Table 3.4. Phase 3 search space</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Parameter</w:t>
            </w:r>
          </w:p>
        </w:tc>
        <w:tc>
          <w:tcPr>
            <w:tcW w:type="dxa" w:w="2479"/>
          </w:tcPr>
          <w:p>
            <w:pPr>
              <w:spacing w:line="240" w:lineRule="auto"/>
              <w:jc w:val="center"/>
            </w:pPr>
            <w:r/>
            <w:r>
              <w:rPr>
                <w:rFonts w:ascii="휴먼명조" w:eastAsia="휴먼명조" w:hAnsi="휴먼명조" w:cs="휴먼명조"/>
                <w:b/>
                <w:sz w:val="18"/>
                <w:w w:val="97"/>
              </w:rPr>
              <w:t>Search range</w:t>
            </w:r>
          </w:p>
        </w:tc>
        <w:tc>
          <w:tcPr>
            <w:tcW w:type="dxa" w:w="2479"/>
          </w:tcPr>
          <w:p>
            <w:pPr>
              <w:spacing w:line="240" w:lineRule="auto"/>
              <w:jc w:val="center"/>
            </w:pPr>
            <w:r/>
            <w:r>
              <w:rPr>
                <w:rFonts w:ascii="휴먼명조" w:eastAsia="휴먼명조" w:hAnsi="휴먼명조" w:cs="휴먼명조"/>
                <w:b/>
                <w:sz w:val="18"/>
                <w:w w:val="97"/>
              </w:rPr>
              <w:t>Type</w:t>
            </w:r>
          </w:p>
        </w:tc>
      </w:tr>
      <w:tr>
        <w:tc>
          <w:tcPr>
            <w:tcW w:type="dxa" w:w="2479"/>
          </w:tcPr>
          <w:p>
            <w:pPr>
              <w:spacing w:line="240" w:lineRule="auto"/>
              <w:jc w:val="center"/>
            </w:pPr>
            <w:r/>
            <w:r>
              <w:rPr>
                <w:rFonts w:ascii="휴먼명조" w:eastAsia="휴먼명조" w:hAnsi="휴먼명조" w:cs="휴먼명조"/>
                <w:b w:val="0"/>
                <w:sz w:val="18"/>
                <w:w w:val="97"/>
              </w:rPr>
              <w:t>lora_rank</w:t>
            </w:r>
          </w:p>
        </w:tc>
        <w:tc>
          <w:tcPr>
            <w:tcW w:type="dxa" w:w="2479"/>
          </w:tcPr>
          <w:p>
            <w:pPr>
              <w:spacing w:line="240" w:lineRule="auto"/>
              <w:jc w:val="center"/>
            </w:pPr>
            <w:r/>
            <w:r>
              <w:rPr>
                <w:rFonts w:ascii="휴먼명조" w:eastAsia="휴먼명조" w:hAnsi="휴먼명조" w:cs="휴먼명조"/>
                <w:b w:val="0"/>
                <w:sz w:val="18"/>
                <w:w w:val="97"/>
              </w:rPr>
              <w:t>{4, 8, 16, 32, 64}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lora_alpha</w:t>
            </w:r>
          </w:p>
        </w:tc>
        <w:tc>
          <w:tcPr>
            <w:tcW w:type="dxa" w:w="2479"/>
          </w:tcPr>
          <w:p>
            <w:pPr>
              <w:spacing w:line="240" w:lineRule="auto"/>
              <w:jc w:val="center"/>
            </w:pPr>
            <w:r/>
            <w:r>
              <w:rPr>
                <w:rFonts w:ascii="휴먼명조" w:eastAsia="휴먼명조" w:hAnsi="휴먼명조" w:cs="휴먼명조"/>
                <w:b w:val="0"/>
                <w:sz w:val="18"/>
                <w:w w:val="97"/>
              </w:rPr>
              <w:t>rank × {1, 2, 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learning_rate</w:t>
            </w:r>
          </w:p>
        </w:tc>
        <w:tc>
          <w:tcPr>
            <w:tcW w:type="dxa" w:w="2479"/>
          </w:tcPr>
          <w:p>
            <w:pPr>
              <w:spacing w:line="240" w:lineRule="auto"/>
              <w:jc w:val="center"/>
            </w:pPr>
            <w:r/>
            <w:r>
              <w:rPr>
                <w:rFonts w:ascii="휴먼명조" w:eastAsia="휴먼명조" w:hAnsi="휴먼명조" w:cs="휴먼명조"/>
                <w:b w:val="0"/>
                <w:sz w:val="18"/>
                <w:w w:val="97"/>
              </w:rPr>
              <w:t>[1e-5, 5e-4]</w:t>
            </w:r>
          </w:p>
        </w:tc>
        <w:tc>
          <w:tcPr>
            <w:tcW w:type="dxa" w:w="2479"/>
          </w:tcPr>
          <w:p>
            <w:pPr>
              <w:spacing w:line="240" w:lineRule="auto"/>
              <w:jc w:val="center"/>
            </w:pPr>
            <w:r/>
            <w:r>
              <w:rPr>
                <w:rFonts w:ascii="휴먼명조" w:eastAsia="휴먼명조" w:hAnsi="휴먼명조" w:cs="휴먼명조"/>
                <w:b w:val="0"/>
                <w:sz w:val="18"/>
                <w:w w:val="97"/>
              </w:rPr>
              <w:t>Continuous (log scale)</w:t>
            </w:r>
          </w:p>
        </w:tc>
      </w:tr>
      <w:tr>
        <w:tc>
          <w:tcPr>
            <w:tcW w:type="dxa" w:w="2479"/>
          </w:tcPr>
          <w:p>
            <w:pPr>
              <w:spacing w:line="240" w:lineRule="auto"/>
              <w:jc w:val="center"/>
            </w:pPr>
            <w:r/>
            <w:r>
              <w:rPr>
                <w:rFonts w:ascii="휴먼명조" w:eastAsia="휴먼명조" w:hAnsi="휴먼명조" w:cs="휴먼명조"/>
                <w:b w:val="0"/>
                <w:sz w:val="18"/>
                <w:w w:val="97"/>
              </w:rPr>
              <w:t>batch_size</w:t>
            </w:r>
          </w:p>
        </w:tc>
        <w:tc>
          <w:tcPr>
            <w:tcW w:type="dxa" w:w="2479"/>
          </w:tcPr>
          <w:p>
            <w:pPr>
              <w:spacing w:line="240" w:lineRule="auto"/>
              <w:jc w:val="center"/>
            </w:pPr>
            <w:r/>
            <w:r>
              <w:rPr>
                <w:rFonts w:ascii="휴먼명조" w:eastAsia="휴먼명조" w:hAnsi="휴먼명조" w:cs="휴먼명조"/>
                <w:b w:val="0"/>
                <w:sz w:val="18"/>
                <w:w w:val="97"/>
              </w:rPr>
              <w:t>{1, 2, 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grad_accum_steps</w:t>
            </w:r>
          </w:p>
        </w:tc>
        <w:tc>
          <w:tcPr>
            <w:tcW w:type="dxa" w:w="2479"/>
          </w:tcPr>
          <w:p>
            <w:pPr>
              <w:spacing w:line="240" w:lineRule="auto"/>
              <w:jc w:val="center"/>
            </w:pPr>
            <w:r/>
            <w:r>
              <w:rPr>
                <w:rFonts w:ascii="휴먼명조" w:eastAsia="휴먼명조" w:hAnsi="휴먼명조" w:cs="휴먼명조"/>
                <w:b w:val="0"/>
                <w:sz w:val="18"/>
                <w:w w:val="97"/>
              </w:rPr>
              <w:t>{4, 8, 16}</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warmup_ratio</w:t>
            </w:r>
          </w:p>
        </w:tc>
        <w:tc>
          <w:tcPr>
            <w:tcW w:type="dxa" w:w="2479"/>
          </w:tcPr>
          <w:p>
            <w:pPr>
              <w:spacing w:line="240" w:lineRule="auto"/>
              <w:jc w:val="center"/>
            </w:pPr>
            <w:r/>
            <w:r>
              <w:rPr>
                <w:rFonts w:ascii="휴먼명조" w:eastAsia="휴먼명조" w:hAnsi="휴먼명조" w:cs="휴먼명조"/>
                <w:b w:val="0"/>
                <w:sz w:val="18"/>
                <w:w w:val="97"/>
              </w:rPr>
              <w:t>[0.0, 0.1]</w:t>
            </w:r>
          </w:p>
        </w:tc>
        <w:tc>
          <w:tcPr>
            <w:tcW w:type="dxa" w:w="2479"/>
          </w:tcPr>
          <w:p>
            <w:pPr>
              <w:spacing w:line="240" w:lineRule="auto"/>
              <w:jc w:val="center"/>
            </w:pPr>
            <w:r/>
            <w:r>
              <w:rPr>
                <w:rFonts w:ascii="휴먼명조" w:eastAsia="휴먼명조" w:hAnsi="휴먼명조" w:cs="휴먼명조"/>
                <w:b w:val="0"/>
                <w:sz w:val="18"/>
                <w:w w:val="97"/>
              </w:rPr>
              <w:t>Continuous</w:t>
            </w:r>
          </w:p>
        </w:tc>
      </w:tr>
      <w:tr>
        <w:tc>
          <w:tcPr>
            <w:tcW w:type="dxa" w:w="2479"/>
          </w:tcPr>
          <w:p>
            <w:pPr>
              <w:spacing w:line="240" w:lineRule="auto"/>
              <w:jc w:val="center"/>
            </w:pPr>
            <w:r/>
            <w:r>
              <w:rPr>
                <w:rFonts w:ascii="휴먼명조" w:eastAsia="휴먼명조" w:hAnsi="휴먼명조" w:cs="휴먼명조"/>
                <w:b w:val="0"/>
                <w:sz w:val="18"/>
                <w:w w:val="97"/>
              </w:rPr>
              <w:t>weight_decay</w:t>
            </w:r>
          </w:p>
        </w:tc>
        <w:tc>
          <w:tcPr>
            <w:tcW w:type="dxa" w:w="2479"/>
          </w:tcPr>
          <w:p>
            <w:pPr>
              <w:spacing w:line="240" w:lineRule="auto"/>
              <w:jc w:val="center"/>
            </w:pPr>
            <w:r/>
            <w:r>
              <w:rPr>
                <w:rFonts w:ascii="휴먼명조" w:eastAsia="휴먼명조" w:hAnsi="휴먼명조" w:cs="휴먼명조"/>
                <w:b w:val="0"/>
                <w:sz w:val="18"/>
                <w:w w:val="97"/>
              </w:rPr>
              <w:t>[0.0, 0.1]</w:t>
            </w:r>
          </w:p>
        </w:tc>
        <w:tc>
          <w:tcPr>
            <w:tcW w:type="dxa" w:w="2479"/>
          </w:tcPr>
          <w:p>
            <w:pPr>
              <w:spacing w:line="240" w:lineRule="auto"/>
              <w:jc w:val="center"/>
            </w:pPr>
            <w:r/>
            <w:r>
              <w:rPr>
                <w:rFonts w:ascii="휴먼명조" w:eastAsia="휴먼명조" w:hAnsi="휴먼명조" w:cs="휴먼명조"/>
                <w:b w:val="0"/>
                <w:sz w:val="18"/>
                <w:w w:val="97"/>
              </w:rPr>
              <w:t>Continuous</w:t>
            </w:r>
          </w:p>
        </w:tc>
      </w:tr>
      <w:tr>
        <w:tc>
          <w:tcPr>
            <w:tcW w:type="dxa" w:w="2479"/>
          </w:tcPr>
          <w:p>
            <w:pPr>
              <w:spacing w:line="240" w:lineRule="auto"/>
              <w:jc w:val="center"/>
            </w:pPr>
            <w:r/>
            <w:r>
              <w:rPr>
                <w:rFonts w:ascii="휴먼명조" w:eastAsia="휴먼명조" w:hAnsi="휴먼명조" w:cs="휴먼명조"/>
                <w:b w:val="0"/>
                <w:sz w:val="18"/>
                <w:w w:val="97"/>
              </w:rPr>
              <w:t>lora_targets</w:t>
            </w:r>
          </w:p>
        </w:tc>
        <w:tc>
          <w:tcPr>
            <w:tcW w:type="dxa" w:w="2479"/>
          </w:tcPr>
          <w:p>
            <w:pPr>
              <w:spacing w:line="240" w:lineRule="auto"/>
              <w:jc w:val="center"/>
            </w:pPr>
            <w:r/>
            <w:r>
              <w:rPr>
                <w:rFonts w:ascii="휴먼명조" w:eastAsia="휴먼명조" w:hAnsi="휴먼명조" w:cs="휴먼명조"/>
                <w:b w:val="0"/>
                <w:sz w:val="18"/>
                <w:w w:val="97"/>
              </w:rPr>
              <w:t>{minimal, medium, full}</w:t>
            </w:r>
          </w:p>
        </w:tc>
        <w:tc>
          <w:tcPr>
            <w:tcW w:type="dxa" w:w="2479"/>
          </w:tcPr>
          <w:p>
            <w:pPr>
              <w:spacing w:line="240" w:lineRule="auto"/>
              <w:jc w:val="center"/>
            </w:pPr>
            <w:r/>
            <w:r>
              <w:rPr>
                <w:rFonts w:ascii="휴먼명조" w:eastAsia="휴먼명조" w:hAnsi="휴먼명조" w:cs="휴먼명조"/>
                <w:b w:val="0"/>
                <w:sz w:val="18"/>
                <w:w w:val="97"/>
              </w:rPr>
              <w:t>Categorical</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Four strategies compared</w:t>
      </w:r>
      <w:r>
        <w:rPr>
          <w:rFonts w:ascii="휴먼명조" w:eastAsia="휴먼명조" w:hAnsi="휴먼명조" w:cs="휴먼명조"/>
          <w:b w:val="0"/>
          <w:sz w:val="22"/>
          <w:w w:val="97"/>
        </w:rPr>
        <w:t>: Manual (the researcher's default values, one run) / Random Search (random sampling) / Optuna TPE (Bayesian optimization) / Autoresearch (autonomous search by an LLM agent). 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performance improves and discards it otherwise.</w:t>
      </w:r>
    </w:p>
    <w:p>
      <w:pPr>
        <w:spacing w:line="384" w:lineRule="auto" w:after="0"/>
        <w:ind w:firstLine="220"/>
        <w:jc w:val="both"/>
      </w:pPr>
      <w:r>
        <w:rPr>
          <w:rFonts w:ascii="휴먼명조" w:eastAsia="휴먼명조" w:hAnsi="휴먼명조" w:cs="휴먼명조"/>
          <w:b w:val="0"/>
          <w:sz w:val="22"/>
          <w:w w:val="97"/>
        </w:rPr>
        <w:t xml:space="preserve">All trials share the same model (the best model from Phase 2), the same dataset (PathVQA), and a fixed max_steps=200 in order to control training volume; the wall-clock ceiling time_budget_min serves as a safety device to prevent pathological combinations rather than as an experimental control variable. The original design called for Manual 10 + Random Search 400 + Optuna 400 + Autoresearch 400 = 1,210 trials in total (40 trials per strategy × 10 independent repeats). A </w:t>
      </w:r>
      <w:r>
        <w:rPr>
          <w:rFonts w:ascii="휴먼명조" w:eastAsia="휴먼명조" w:hAnsi="휴먼명조" w:cs="휴먼명조"/>
          <w:b/>
          <w:sz w:val="22"/>
          <w:w w:val="97"/>
        </w:rPr>
        <w:t>preliminary smoke test conducted solely to size the execution</w:t>
      </w:r>
      <w:r>
        <w:rPr>
          <w:rFonts w:ascii="휴먼명조" w:eastAsia="휴먼명조" w:hAnsi="휴먼명조" w:cs="휴먼명조"/>
          <w:b w:val="0"/>
          <w:sz w:val="22"/>
          <w:w w:val="97"/>
        </w:rPr>
        <w:t xml:space="preserve"> (on the local dual-GPU workstation, for timing measurement only and not reported in this thesis),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from 40 to 20, halving the total time to approximately 12.8 days. </w:t>
      </w:r>
      <w:r>
        <w:rPr>
          <w:rFonts w:ascii="휴먼명조" w:eastAsia="휴먼명조" w:hAnsi="휴먼명조" w:cs="휴먼명조"/>
          <w:b/>
          <w:sz w:val="22"/>
          <w:w w:val="97"/>
        </w:rPr>
        <w:t>The final execution scale is Manual 10 + Random Search 200 + Optuna 200 + Autoresearch 200 = 610 trials in total (20 trials per strategy × 10 independent repeats).</w:t>
      </w:r>
      <w:r>
        <w:rPr>
          <w:rFonts w:ascii="휴먼명조" w:eastAsia="휴먼명조" w:hAnsi="휴먼명조" w:cs="휴먼명조"/>
          <w:b w:val="0"/>
          <w:sz w:val="22"/>
          <w:w w:val="97"/>
        </w:rPr>
        <w:t xml:space="preserve"> This reduction carries the trade-off of halving the diversity of hyperparameter combinations explored per strategy, but it does not affect the validity of the run-level statistical tests based on 10 independent repeats.</w:t>
      </w:r>
    </w:p>
    <w:p>
      <w:pPr>
        <w:spacing w:line="384" w:lineRule="auto" w:after="0"/>
        <w:ind w:firstLine="220"/>
        <w:jc w:val="both"/>
      </w:pPr>
      <w:r>
        <w:rPr>
          <w:rFonts w:ascii="휴먼명조" w:eastAsia="휴먼명조" w:hAnsi="휴먼명조" w:cs="휴먼명조"/>
          <w:b/>
          <w:sz w:val="22"/>
          <w:w w:val="97"/>
        </w:rPr>
        <w:t>Statistical verification is performed only at the run level, not at the trial level.</w:t>
      </w:r>
      <w:r>
        <w:rPr>
          <w:rFonts w:ascii="휴먼명조" w:eastAsia="휴먼명조" w:hAnsi="휴먼명조" w:cs="휴먼명조"/>
          <w:b w:val="0"/>
          <w:sz w:val="22"/>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are used only for visualization such as anytime performance curves.</w:t>
      </w:r>
    </w:p>
    <w:p>
      <w:pPr>
        <w:spacing w:line="384" w:lineRule="auto" w:after="0"/>
        <w:jc w:val="left"/>
        <w:outlineLvl w:val="1"/>
      </w:pPr>
      <w:r>
        <w:rPr>
          <w:rFonts w:ascii="휴먼명조" w:eastAsia="휴먼명조" w:hAnsi="휴먼명조" w:cs="휴먼명조"/>
          <w:b/>
          <w:sz w:val="28"/>
          <w:w w:val="97"/>
        </w:rPr>
        <w:t>3.8 Evaluation Metrics and Statistical Analysis</w:t>
      </w:r>
    </w:p>
    <w:p>
      <w:pPr>
        <w:spacing w:line="384" w:lineRule="auto" w:after="0"/>
        <w:jc w:val="left"/>
        <w:outlineLvl w:val="2"/>
      </w:pPr>
      <w:r>
        <w:rPr>
          <w:rFonts w:ascii="휴먼명조" w:eastAsia="휴먼명조" w:hAnsi="휴먼명조" w:cs="휴먼명조"/>
          <w:b/>
          <w:sz w:val="22"/>
          <w:w w:val="97"/>
        </w:rPr>
        <w:t>3.8.1 Dual Reporting of BERTScore</w:t>
      </w:r>
    </w:p>
    <w:p>
      <w:pPr>
        <w:spacing w:line="384" w:lineRule="auto" w:after="0"/>
        <w:ind w:firstLine="220"/>
        <w:jc w:val="both"/>
      </w:pPr>
      <w:r>
        <w:rPr>
          <w:rFonts w:ascii="휴먼명조" w:eastAsia="휴먼명조" w:hAnsi="휴먼명조" w:cs="휴먼명조"/>
          <w:b w:val="0"/>
          <w:sz w:val="22"/>
          <w:w w:val="97"/>
        </w:rPr>
        <w:t>Open-ended responses are reported with both exact match and BERTScore F1. The general-purpose criterion (roberta-large, threshold ≥ 0.7) is the sole decision metric (primary) for accuracy and statistical testing, while the medical-specialized criterion (BioBERT, dmis-lab/biobert-v1.1) is reported alongside as a secondary metric only; no dual gating (requiring both metrics to pass before an answer is judged correct) is applied.</w:t>
      </w:r>
    </w:p>
    <w:p>
      <w:pPr>
        <w:spacing w:line="384" w:lineRule="auto" w:after="0"/>
        <w:jc w:val="left"/>
        <w:outlineLvl w:val="2"/>
      </w:pPr>
      <w:r>
        <w:rPr>
          <w:rFonts w:ascii="휴먼명조" w:eastAsia="휴먼명조" w:hAnsi="휴먼명조" w:cs="휴먼명조"/>
          <w:b/>
          <w:sz w:val="22"/>
          <w:w w:val="97"/>
        </w:rPr>
        <w:t>3.8.2 Dual Measurement of Catastrophic Forgetting</w:t>
      </w:r>
    </w:p>
    <w:p>
      <w:pPr>
        <w:spacing w:line="384" w:lineRule="auto" w:after="0"/>
        <w:ind w:firstLine="220"/>
        <w:jc w:val="both"/>
      </w:pPr>
      <w:r>
        <w:rPr>
          <w:rFonts w:ascii="휴먼명조" w:eastAsia="휴먼명조" w:hAnsi="휴먼명조" w:cs="휴먼명조"/>
          <w:b w:val="0"/>
          <w:sz w:val="22"/>
          <w:w w:val="97"/>
        </w:rPr>
        <w:t>Both (A) the change in general capability measured on VQAv2 and (B) the cross-dataset generalization gap described in Section 3.6 are reported, so that side effects of fine-tuning that a single metric cannot capture are measured from multiple angles.</w:t>
      </w:r>
    </w:p>
    <w:p>
      <w:pPr>
        <w:spacing w:line="384" w:lineRule="auto" w:after="0"/>
        <w:jc w:val="left"/>
        <w:outlineLvl w:val="2"/>
      </w:pPr>
      <w:r>
        <w:rPr>
          <w:rFonts w:ascii="휴먼명조" w:eastAsia="휴먼명조" w:hAnsi="휴먼명조" w:cs="휴먼명조"/>
          <w:b/>
          <w:sz w:val="22"/>
          <w:w w:val="97"/>
        </w:rPr>
        <w:t>3.8.3 Clinical Significance Analysis (WCA + ECE)</w:t>
      </w:r>
    </w:p>
    <w:p>
      <w:pPr>
        <w:spacing w:line="384" w:lineRule="auto" w:after="0"/>
        <w:ind w:firstLine="220"/>
        <w:jc w:val="both"/>
      </w:pPr>
      <w:r>
        <w:rPr>
          <w:rFonts w:ascii="휴먼명조" w:eastAsia="휴먼명조" w:hAnsi="휴먼명조" w:cs="휴먼명조"/>
          <w:b w:val="0"/>
          <w:sz w:val="22"/>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pPr>
        <w:spacing w:line="384" w:lineRule="auto" w:after="0"/>
        <w:ind w:firstLine="220"/>
        <w:jc w:val="both"/>
      </w:pPr>
      <w:r>
        <w:rPr>
          <w:rFonts w:ascii="휴먼명조" w:eastAsia="휴먼명조" w:hAnsi="휴먼명조" w:cs="휴먼명조"/>
          <w:b w:val="0"/>
          <w:sz w:val="22"/>
          <w:w w:val="97"/>
        </w:rPr>
        <w:t>WCA = Σ(accuracy per type × weight) / Σweights</w:t>
      </w:r>
    </w:p>
    <w:p>
      <w:pPr>
        <w:spacing w:line="384" w:lineRule="auto" w:after="0"/>
        <w:ind w:firstLine="220"/>
        <w:jc w:val="both"/>
      </w:pPr>
      <w:r>
        <w:rPr>
          <w:rFonts w:ascii="휴먼명조" w:eastAsia="휴먼명조" w:hAnsi="휴먼명조" w:cs="휴먼명조"/>
          <w:b w:val="0"/>
          <w:sz w:val="22"/>
          <w:w w:val="97"/>
        </w:rPr>
        <w:t>Weights were assigned by clinical importance in the order diagnosis = 1.0 (a diagnostic error directly affects the direction of treatment) &gt; location = 0.8 &gt; measurement = 0.7 &gt; description = 0.6 &gt; temporal = yes_no = 0.5 (binary judgements with limited information content). These weights, however, were set arbitrarily by the researcher without external clinical literature or Delphi consensus; they cannot be interpreted as an absolute scale of clinical importance and are used only in a limited way as a supplementary reference metric complementing the primary metrics (accuracy and BERTScore).</w:t>
      </w:r>
    </w:p>
    <w:p>
      <w:pPr>
        <w:spacing w:line="384" w:lineRule="auto" w:after="0"/>
        <w:ind w:firstLine="220"/>
        <w:jc w:val="both"/>
      </w:pPr>
      <w:r>
        <w:rPr>
          <w:rFonts w:ascii="휴먼명조" w:eastAsia="휴먼명조" w:hAnsi="휴먼명조" w:cs="휴먼명조"/>
          <w:b w:val="0"/>
          <w:sz w:val="22"/>
          <w:w w:val="97"/>
        </w:rPr>
        <w:t>Expected Calibration Error (ECE, Guo et al., ICML 2017), a metric measuring how well a model's predicted confidence matches its actual accuracy, was planned for inclusion but could not be computed because the current evaluation pipeline does not store per-sample confidence (see the limitations in Section 5.3 of Chapter V).</w:t>
      </w:r>
    </w:p>
    <w:p>
      <w:pPr>
        <w:spacing w:line="384" w:lineRule="auto" w:after="0"/>
        <w:jc w:val="left"/>
        <w:outlineLvl w:val="2"/>
      </w:pPr>
      <w:r>
        <w:rPr>
          <w:rFonts w:ascii="휴먼명조" w:eastAsia="휴먼명조" w:hAnsi="휴먼명조" w:cs="휴먼명조"/>
          <w:b/>
          <w:sz w:val="22"/>
          <w:w w:val="97"/>
        </w:rPr>
        <w:t>3.8.4 Robust Statistics (Bootstrap + Mixed-Effects)</w:t>
      </w:r>
    </w:p>
    <w:p>
      <w:pPr>
        <w:spacing w:line="384" w:lineRule="auto" w:after="0"/>
        <w:ind w:firstLine="220"/>
        <w:jc w:val="both"/>
      </w:pPr>
      <w:r>
        <w:rPr>
          <w:rFonts w:ascii="휴먼명조" w:eastAsia="휴먼명조" w:hAnsi="휴먼명조" w:cs="휴먼명조"/>
          <w:b w:val="0"/>
          <w:sz w:val="22"/>
          <w:w w:val="97"/>
        </w:rPr>
        <w:t>Given the sample-size limitation of n = 9 (3 datasets × 3 seeds), the test of the fine-tuning effect in Phase 2 uses three methods in parallel: (1) a paired t-test with Cohen's d (the conventional comparison), (2) a 95% CI for Cohen's d obtained by BCa bootstrap with 10,000 resamples (robust estimation), and (3) the Wilcoxon signed-rank test (non-parametric). A Mixed-Effects Model pooling the four models (accuracy ~ condition + dataset, group = seed) is additionally applied as a supplement; however, because heterogeneous effects across models may cancel in a pooled estimate, the triple verification performed per model is treated as the primary evidence and the MEM result is used only as supporting explanation — a phenomenon actually observed in Section 4.2.1.</w:t>
      </w:r>
    </w:p>
    <w:p>
      <w:pPr>
        <w:spacing w:line="384" w:lineRule="auto" w:after="0"/>
        <w:jc w:val="left"/>
        <w:outlineLvl w:val="2"/>
      </w:pPr>
      <w:r>
        <w:rPr>
          <w:rFonts w:ascii="휴먼명조" w:eastAsia="휴먼명조" w:hAnsi="휴먼명조" w:cs="휴먼명조"/>
          <w:b/>
          <w:sz w:val="22"/>
          <w:w w:val="97"/>
        </w:rPr>
        <w:t>3.8.5 Contamination Control (Min-K% Probability)</w:t>
      </w:r>
    </w:p>
    <w:p>
      <w:pPr>
        <w:spacing w:line="384" w:lineRule="auto" w:after="0"/>
        <w:ind w:firstLine="220"/>
        <w:jc w:val="both"/>
      </w:pPr>
      <w:r>
        <w:rPr>
          <w:rFonts w:ascii="휴먼명조" w:eastAsia="휴먼명조" w:hAnsi="휴먼명조" w:cs="휴먼명조"/>
          <w:b w:val="0"/>
          <w:sz w:val="22"/>
          <w:w w:val="97"/>
        </w:rPr>
        <w:t>The methodology is as described in Section 3.4. The robustness verification results are presented in Section 4.1.1 of Chapter IV.</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IV. Experimental Results and Analysis</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4.1 Phase 1: Zero-Shot Baseline Results</w:t>
      </w:r>
    </w:p>
    <w:p>
      <w:pPr>
        <w:spacing w:line="384" w:lineRule="auto" w:after="0"/>
        <w:ind w:firstLine="220"/>
        <w:jc w:val="both"/>
      </w:pPr>
      <w:r>
        <w:rPr>
          <w:rFonts w:ascii="휴먼명조" w:eastAsia="휴먼명조" w:hAnsi="휴먼명조" w:cs="휴먼명조"/>
          <w:b w:val="0"/>
          <w:sz w:val="22"/>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pPr>
        <w:spacing w:line="384" w:lineRule="auto" w:after="0"/>
        <w:jc w:val="left"/>
        <w:outlineLvl w:val="2"/>
      </w:pPr>
      <w:r>
        <w:rPr>
          <w:rFonts w:ascii="휴먼명조" w:eastAsia="휴먼명조" w:hAnsi="휴먼명조" w:cs="휴먼명조"/>
          <w:b/>
          <w:sz w:val="22"/>
          <w:w w:val="97"/>
        </w:rPr>
        <w:t>4.1.1 Performance Comparison across Models</w:t>
      </w:r>
    </w:p>
    <w:p>
      <w:pPr>
        <w:pStyle w:val="표캡션"/>
        <w:spacing w:line="384" w:lineRule="auto" w:after="0"/>
        <w:jc w:val="center"/>
      </w:pPr>
      <w:r>
        <w:rPr>
          <w:rFonts w:ascii="휴먼명조" w:eastAsia="휴먼명조" w:hAnsi="휴먼명조" w:cs="휴먼명조"/>
          <w:b/>
          <w:sz w:val="22"/>
          <w:w w:val="97"/>
        </w:rPr>
        <w:t>Table 4.1. Zero-shot baseline results (model × dataset)</w:t>
      </w:r>
    </w:p>
    <w:tbl>
      <w:tblPr>
        <w:tblW w:type="auto" w:w="0"/>
        <w:tblLook w:firstColumn="1" w:firstRow="1" w:lastColumn="0" w:lastRow="0" w:noHBand="0" w:noVBand="1" w:val="04A0"/>
      </w:tblPr>
      <w:tblGrid>
        <w:gridCol w:w="930"/>
        <w:gridCol w:w="930"/>
        <w:gridCol w:w="930"/>
        <w:gridCol w:w="930"/>
        <w:gridCol w:w="930"/>
        <w:gridCol w:w="930"/>
        <w:gridCol w:w="930"/>
        <w:gridCol w:w="930"/>
      </w:tblGrid>
      <w:tr>
        <w:tc>
          <w:tcPr>
            <w:tcW w:type="dxa" w:w="930"/>
          </w:tcPr>
          <w:p>
            <w:pPr>
              <w:spacing w:line="240" w:lineRule="auto"/>
              <w:jc w:val="center"/>
            </w:pPr>
            <w:r/>
            <w:r>
              <w:rPr>
                <w:rFonts w:ascii="휴먼명조" w:eastAsia="휴먼명조" w:hAnsi="휴먼명조" w:cs="휴먼명조"/>
                <w:b/>
                <w:sz w:val="18"/>
                <w:w w:val="97"/>
              </w:rPr>
              <w:t>Model</w:t>
            </w:r>
          </w:p>
        </w:tc>
        <w:tc>
          <w:tcPr>
            <w:tcW w:type="dxa" w:w="930"/>
          </w:tcPr>
          <w:p>
            <w:pPr>
              <w:spacing w:line="240" w:lineRule="auto"/>
              <w:jc w:val="center"/>
            </w:pPr>
            <w:r/>
            <w:r>
              <w:rPr>
                <w:rFonts w:ascii="휴먼명조" w:eastAsia="휴먼명조" w:hAnsi="휴먼명조" w:cs="휴먼명조"/>
                <w:b/>
                <w:sz w:val="18"/>
                <w:w w:val="97"/>
              </w:rPr>
              <w:t>Dataset</w:t>
            </w:r>
          </w:p>
        </w:tc>
        <w:tc>
          <w:tcPr>
            <w:tcW w:type="dxa" w:w="930"/>
          </w:tcPr>
          <w:p>
            <w:pPr>
              <w:spacing w:line="240" w:lineRule="auto"/>
              <w:jc w:val="center"/>
            </w:pPr>
            <w:r/>
            <w:r>
              <w:rPr>
                <w:rFonts w:ascii="휴먼명조" w:eastAsia="휴먼명조" w:hAnsi="휴먼명조" w:cs="휴먼명조"/>
                <w:b/>
                <w:sz w:val="18"/>
                <w:w w:val="97"/>
              </w:rPr>
              <w:t>Closed Acc</w:t>
            </w:r>
          </w:p>
        </w:tc>
        <w:tc>
          <w:tcPr>
            <w:tcW w:type="dxa" w:w="930"/>
          </w:tcPr>
          <w:p>
            <w:pPr>
              <w:spacing w:line="240" w:lineRule="auto"/>
              <w:jc w:val="center"/>
            </w:pPr>
            <w:r/>
            <w:r>
              <w:rPr>
                <w:rFonts w:ascii="휴먼명조" w:eastAsia="휴먼명조" w:hAnsi="휴먼명조" w:cs="휴먼명조"/>
                <w:b/>
                <w:sz w:val="18"/>
                <w:w w:val="97"/>
              </w:rPr>
              <w:t>Open Acc</w:t>
            </w:r>
          </w:p>
        </w:tc>
        <w:tc>
          <w:tcPr>
            <w:tcW w:type="dxa" w:w="930"/>
          </w:tcPr>
          <w:p>
            <w:pPr>
              <w:spacing w:line="240" w:lineRule="auto"/>
              <w:jc w:val="center"/>
            </w:pPr>
            <w:r/>
            <w:r>
              <w:rPr>
                <w:rFonts w:ascii="휴먼명조" w:eastAsia="휴먼명조" w:hAnsi="휴먼명조" w:cs="휴먼명조"/>
                <w:b/>
                <w:sz w:val="18"/>
                <w:w w:val="97"/>
              </w:rPr>
              <w:t>Overall Acc</w:t>
            </w:r>
          </w:p>
        </w:tc>
        <w:tc>
          <w:tcPr>
            <w:tcW w:type="dxa" w:w="930"/>
          </w:tcPr>
          <w:p>
            <w:pPr>
              <w:spacing w:line="240" w:lineRule="auto"/>
              <w:jc w:val="center"/>
            </w:pPr>
            <w:r/>
            <w:r>
              <w:rPr>
                <w:rFonts w:ascii="휴먼명조" w:eastAsia="휴먼명조" w:hAnsi="휴먼명조" w:cs="휴먼명조"/>
                <w:b/>
                <w:sz w:val="18"/>
                <w:w w:val="97"/>
              </w:rPr>
              <w:t>BERTScore F1</w:t>
            </w:r>
          </w:p>
        </w:tc>
        <w:tc>
          <w:tcPr>
            <w:tcW w:type="dxa" w:w="930"/>
          </w:tcPr>
          <w:p>
            <w:pPr>
              <w:spacing w:line="240" w:lineRule="auto"/>
              <w:jc w:val="center"/>
            </w:pPr>
            <w:r/>
            <w:r>
              <w:rPr>
                <w:rFonts w:ascii="휴먼명조" w:eastAsia="휴먼명조" w:hAnsi="휴먼명조" w:cs="휴먼명조"/>
                <w:b/>
                <w:sz w:val="18"/>
                <w:w w:val="97"/>
              </w:rPr>
              <w:t>Response time (ms)</w:t>
            </w:r>
          </w:p>
        </w:tc>
        <w:tc>
          <w:tcPr>
            <w:tcW w:type="dxa" w:w="930"/>
          </w:tcPr>
          <w:p>
            <w:pPr>
              <w:spacing w:line="240" w:lineRule="auto"/>
              <w:jc w:val="center"/>
            </w:pPr>
            <w:r/>
            <w:r>
              <w:rPr>
                <w:rFonts w:ascii="휴먼명조" w:eastAsia="휴먼명조" w:hAnsi="휴먼명조" w:cs="휴먼명조"/>
                <w:b/>
                <w:sz w:val="18"/>
                <w:w w:val="97"/>
              </w:rPr>
              <w:t>Peak VRAM (MB)</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0.1633</w:t>
            </w:r>
          </w:p>
        </w:tc>
        <w:tc>
          <w:tcPr>
            <w:tcW w:type="dxa" w:w="930"/>
          </w:tcPr>
          <w:p>
            <w:pPr>
              <w:spacing w:line="240" w:lineRule="auto"/>
              <w:jc w:val="center"/>
            </w:pPr>
            <w:r/>
            <w:r>
              <w:rPr>
                <w:rFonts w:ascii="휴먼명조" w:eastAsia="휴먼명조" w:hAnsi="휴먼명조" w:cs="휴먼명조"/>
                <w:b w:val="0"/>
                <w:sz w:val="18"/>
                <w:w w:val="97"/>
              </w:rPr>
              <w:t>0.0477</w:t>
            </w:r>
          </w:p>
        </w:tc>
        <w:tc>
          <w:tcPr>
            <w:tcW w:type="dxa" w:w="930"/>
          </w:tcPr>
          <w:p>
            <w:pPr>
              <w:spacing w:line="240" w:lineRule="auto"/>
              <w:jc w:val="center"/>
            </w:pPr>
            <w:r/>
            <w:r>
              <w:rPr>
                <w:rFonts w:ascii="휴먼명조" w:eastAsia="휴먼명조" w:hAnsi="휴먼명조" w:cs="휴먼명조"/>
                <w:b/>
                <w:sz w:val="18"/>
                <w:w w:val="97"/>
              </w:rPr>
              <w:t>0.1055</w:t>
            </w:r>
          </w:p>
        </w:tc>
        <w:tc>
          <w:tcPr>
            <w:tcW w:type="dxa" w:w="930"/>
          </w:tcPr>
          <w:p>
            <w:pPr>
              <w:spacing w:line="240" w:lineRule="auto"/>
              <w:jc w:val="center"/>
            </w:pPr>
            <w:r/>
            <w:r>
              <w:rPr>
                <w:rFonts w:ascii="휴먼명조" w:eastAsia="휴먼명조" w:hAnsi="휴먼명조" w:cs="휴먼명조"/>
                <w:b w:val="0"/>
                <w:sz w:val="18"/>
                <w:w w:val="97"/>
              </w:rPr>
              <w:t>0.8069</w:t>
            </w:r>
          </w:p>
        </w:tc>
        <w:tc>
          <w:tcPr>
            <w:tcW w:type="dxa" w:w="930"/>
          </w:tcPr>
          <w:p>
            <w:pPr>
              <w:spacing w:line="240" w:lineRule="auto"/>
              <w:jc w:val="center"/>
            </w:pPr>
            <w:r/>
            <w:r>
              <w:rPr>
                <w:rFonts w:ascii="휴먼명조" w:eastAsia="휴먼명조" w:hAnsi="휴먼명조" w:cs="휴먼명조"/>
                <w:b w:val="0"/>
                <w:sz w:val="18"/>
                <w:w w:val="97"/>
              </w:rPr>
              <w:t>892.6</w:t>
            </w:r>
          </w:p>
        </w:tc>
        <w:tc>
          <w:tcPr>
            <w:tcW w:type="dxa" w:w="930"/>
          </w:tcPr>
          <w:p>
            <w:pPr>
              <w:spacing w:line="240" w:lineRule="auto"/>
              <w:jc w:val="center"/>
            </w:pPr>
            <w:r/>
            <w:r>
              <w:rPr>
                <w:rFonts w:ascii="휴먼명조" w:eastAsia="휴먼명조" w:hAnsi="휴먼명조" w:cs="휴먼명조"/>
                <w:b w:val="0"/>
                <w:sz w:val="18"/>
                <w:w w:val="97"/>
              </w:rPr>
              <w:t>13,932.7</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0.6394</w:t>
            </w:r>
          </w:p>
        </w:tc>
        <w:tc>
          <w:tcPr>
            <w:tcW w:type="dxa" w:w="930"/>
          </w:tcPr>
          <w:p>
            <w:pPr>
              <w:spacing w:line="240" w:lineRule="auto"/>
              <w:jc w:val="center"/>
            </w:pPr>
            <w:r/>
            <w:r>
              <w:rPr>
                <w:rFonts w:ascii="휴먼명조" w:eastAsia="휴먼명조" w:hAnsi="휴먼명조" w:cs="휴먼명조"/>
                <w:b w:val="0"/>
                <w:sz w:val="18"/>
                <w:w w:val="97"/>
              </w:rPr>
              <w:t>0.4178</w:t>
            </w:r>
          </w:p>
        </w:tc>
        <w:tc>
          <w:tcPr>
            <w:tcW w:type="dxa" w:w="930"/>
          </w:tcPr>
          <w:p>
            <w:pPr>
              <w:spacing w:line="240" w:lineRule="auto"/>
              <w:jc w:val="center"/>
            </w:pPr>
            <w:r/>
            <w:r>
              <w:rPr>
                <w:rFonts w:ascii="휴먼명조" w:eastAsia="휴먼명조" w:hAnsi="휴먼명조" w:cs="휴먼명조"/>
                <w:b/>
                <w:sz w:val="18"/>
                <w:w w:val="97"/>
              </w:rPr>
              <w:t>0.4920</w:t>
            </w:r>
          </w:p>
        </w:tc>
        <w:tc>
          <w:tcPr>
            <w:tcW w:type="dxa" w:w="930"/>
          </w:tcPr>
          <w:p>
            <w:pPr>
              <w:spacing w:line="240" w:lineRule="auto"/>
              <w:jc w:val="center"/>
            </w:pPr>
            <w:r/>
            <w:r>
              <w:rPr>
                <w:rFonts w:ascii="휴먼명조" w:eastAsia="휴먼명조" w:hAnsi="휴먼명조" w:cs="휴먼명조"/>
                <w:b w:val="0"/>
                <w:sz w:val="18"/>
                <w:w w:val="97"/>
              </w:rPr>
              <w:t>0.8679</w:t>
            </w:r>
          </w:p>
        </w:tc>
        <w:tc>
          <w:tcPr>
            <w:tcW w:type="dxa" w:w="930"/>
          </w:tcPr>
          <w:p>
            <w:pPr>
              <w:spacing w:line="240" w:lineRule="auto"/>
              <w:jc w:val="center"/>
            </w:pPr>
            <w:r/>
            <w:r>
              <w:rPr>
                <w:rFonts w:ascii="휴먼명조" w:eastAsia="휴먼명조" w:hAnsi="휴먼명조" w:cs="휴먼명조"/>
                <w:b w:val="0"/>
                <w:sz w:val="18"/>
                <w:w w:val="97"/>
              </w:rPr>
              <w:t>689.8</w:t>
            </w:r>
          </w:p>
        </w:tc>
        <w:tc>
          <w:tcPr>
            <w:tcW w:type="dxa" w:w="930"/>
          </w:tcPr>
          <w:p>
            <w:pPr>
              <w:spacing w:line="240" w:lineRule="auto"/>
              <w:jc w:val="center"/>
            </w:pPr>
            <w:r/>
            <w:r>
              <w:rPr>
                <w:rFonts w:ascii="휴먼명조" w:eastAsia="휴먼명조" w:hAnsi="휴먼명조" w:cs="휴먼명조"/>
                <w:b w:val="0"/>
                <w:sz w:val="18"/>
                <w:w w:val="97"/>
              </w:rPr>
              <w:t>13,927.3</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0.4502</w:t>
            </w:r>
          </w:p>
        </w:tc>
        <w:tc>
          <w:tcPr>
            <w:tcW w:type="dxa" w:w="930"/>
          </w:tcPr>
          <w:p>
            <w:pPr>
              <w:spacing w:line="240" w:lineRule="auto"/>
              <w:jc w:val="center"/>
            </w:pPr>
            <w:r/>
            <w:r>
              <w:rPr>
                <w:rFonts w:ascii="휴먼명조" w:eastAsia="휴먼명조" w:hAnsi="휴먼명조" w:cs="휴먼명조"/>
                <w:b w:val="0"/>
                <w:sz w:val="18"/>
                <w:w w:val="97"/>
              </w:rPr>
              <w:t>0.3100</w:t>
            </w:r>
          </w:p>
        </w:tc>
        <w:tc>
          <w:tcPr>
            <w:tcW w:type="dxa" w:w="930"/>
          </w:tcPr>
          <w:p>
            <w:pPr>
              <w:spacing w:line="240" w:lineRule="auto"/>
              <w:jc w:val="center"/>
            </w:pPr>
            <w:r/>
            <w:r>
              <w:rPr>
                <w:rFonts w:ascii="휴먼명조" w:eastAsia="휴먼명조" w:hAnsi="휴먼명조" w:cs="휴먼명조"/>
                <w:b/>
                <w:sz w:val="18"/>
                <w:w w:val="97"/>
              </w:rPr>
              <w:t>0.3880</w:t>
            </w:r>
          </w:p>
        </w:tc>
        <w:tc>
          <w:tcPr>
            <w:tcW w:type="dxa" w:w="930"/>
          </w:tcPr>
          <w:p>
            <w:pPr>
              <w:spacing w:line="240" w:lineRule="auto"/>
              <w:jc w:val="center"/>
            </w:pPr>
            <w:r/>
            <w:r>
              <w:rPr>
                <w:rFonts w:ascii="휴먼명조" w:eastAsia="휴먼명조" w:hAnsi="휴먼명조" w:cs="휴먼명조"/>
                <w:b w:val="0"/>
                <w:sz w:val="18"/>
                <w:w w:val="97"/>
              </w:rPr>
              <w:t>0.8373</w:t>
            </w:r>
          </w:p>
        </w:tc>
        <w:tc>
          <w:tcPr>
            <w:tcW w:type="dxa" w:w="930"/>
          </w:tcPr>
          <w:p>
            <w:pPr>
              <w:spacing w:line="240" w:lineRule="auto"/>
              <w:jc w:val="center"/>
            </w:pPr>
            <w:r/>
            <w:r>
              <w:rPr>
                <w:rFonts w:ascii="휴먼명조" w:eastAsia="휴먼명조" w:hAnsi="휴먼명조" w:cs="휴먼명조"/>
                <w:b w:val="0"/>
                <w:sz w:val="18"/>
                <w:w w:val="97"/>
              </w:rPr>
              <w:t>721.5</w:t>
            </w:r>
          </w:p>
        </w:tc>
        <w:tc>
          <w:tcPr>
            <w:tcW w:type="dxa" w:w="930"/>
          </w:tcPr>
          <w:p>
            <w:pPr>
              <w:spacing w:line="240" w:lineRule="auto"/>
              <w:jc w:val="center"/>
            </w:pPr>
            <w:r/>
            <w:r>
              <w:rPr>
                <w:rFonts w:ascii="휴먼명조" w:eastAsia="휴먼명조" w:hAnsi="휴먼명조" w:cs="휴먼명조"/>
                <w:b w:val="0"/>
                <w:sz w:val="18"/>
                <w:w w:val="97"/>
              </w:rPr>
              <w:t>13,929.1</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0.6130</w:t>
            </w:r>
          </w:p>
        </w:tc>
        <w:tc>
          <w:tcPr>
            <w:tcW w:type="dxa" w:w="930"/>
          </w:tcPr>
          <w:p>
            <w:pPr>
              <w:spacing w:line="240" w:lineRule="auto"/>
              <w:jc w:val="center"/>
            </w:pPr>
            <w:r/>
            <w:r>
              <w:rPr>
                <w:rFonts w:ascii="휴먼명조" w:eastAsia="휴먼명조" w:hAnsi="휴먼명조" w:cs="휴먼명조"/>
                <w:b w:val="0"/>
                <w:sz w:val="18"/>
                <w:w w:val="97"/>
              </w:rPr>
              <w:t>0.0354</w:t>
            </w:r>
          </w:p>
        </w:tc>
        <w:tc>
          <w:tcPr>
            <w:tcW w:type="dxa" w:w="930"/>
          </w:tcPr>
          <w:p>
            <w:pPr>
              <w:spacing w:line="240" w:lineRule="auto"/>
              <w:jc w:val="center"/>
            </w:pPr>
            <w:r/>
            <w:r>
              <w:rPr>
                <w:rFonts w:ascii="휴먼명조" w:eastAsia="휴먼명조" w:hAnsi="휴먼명조" w:cs="휴먼명조"/>
                <w:b/>
                <w:sz w:val="18"/>
                <w:w w:val="97"/>
              </w:rPr>
              <w:t>0.3245</w:t>
            </w:r>
          </w:p>
        </w:tc>
        <w:tc>
          <w:tcPr>
            <w:tcW w:type="dxa" w:w="930"/>
          </w:tcPr>
          <w:p>
            <w:pPr>
              <w:spacing w:line="240" w:lineRule="auto"/>
              <w:jc w:val="center"/>
            </w:pPr>
            <w:r/>
            <w:r>
              <w:rPr>
                <w:rFonts w:ascii="휴먼명조" w:eastAsia="휴먼명조" w:hAnsi="휴먼명조" w:cs="휴먼명조"/>
                <w:b w:val="0"/>
                <w:sz w:val="18"/>
                <w:w w:val="97"/>
              </w:rPr>
              <w:t>0.8613</w:t>
            </w:r>
          </w:p>
        </w:tc>
        <w:tc>
          <w:tcPr>
            <w:tcW w:type="dxa" w:w="930"/>
          </w:tcPr>
          <w:p>
            <w:pPr>
              <w:spacing w:line="240" w:lineRule="auto"/>
              <w:jc w:val="center"/>
            </w:pPr>
            <w:r/>
            <w:r>
              <w:rPr>
                <w:rFonts w:ascii="휴먼명조" w:eastAsia="휴먼명조" w:hAnsi="휴먼명조" w:cs="휴먼명조"/>
                <w:b w:val="0"/>
                <w:sz w:val="18"/>
                <w:w w:val="97"/>
              </w:rPr>
              <w:t>483.4</w:t>
            </w:r>
          </w:p>
        </w:tc>
        <w:tc>
          <w:tcPr>
            <w:tcW w:type="dxa" w:w="930"/>
          </w:tcPr>
          <w:p>
            <w:pPr>
              <w:spacing w:line="240" w:lineRule="auto"/>
              <w:jc w:val="center"/>
            </w:pPr>
            <w:r/>
            <w:r>
              <w:rPr>
                <w:rFonts w:ascii="휴먼명조" w:eastAsia="휴먼명조" w:hAnsi="휴먼명조" w:cs="휴먼명조"/>
                <w:b w:val="0"/>
                <w:sz w:val="18"/>
                <w:w w:val="97"/>
              </w:rPr>
              <w:t>7,581.3</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0.7465</w:t>
            </w:r>
          </w:p>
        </w:tc>
        <w:tc>
          <w:tcPr>
            <w:tcW w:type="dxa" w:w="930"/>
          </w:tcPr>
          <w:p>
            <w:pPr>
              <w:spacing w:line="240" w:lineRule="auto"/>
              <w:jc w:val="center"/>
            </w:pPr>
            <w:r/>
            <w:r>
              <w:rPr>
                <w:rFonts w:ascii="휴먼명조" w:eastAsia="휴먼명조" w:hAnsi="휴먼명조" w:cs="휴먼명조"/>
                <w:b w:val="0"/>
                <w:sz w:val="18"/>
                <w:w w:val="97"/>
              </w:rPr>
              <w:t>0.4632</w:t>
            </w:r>
          </w:p>
        </w:tc>
        <w:tc>
          <w:tcPr>
            <w:tcW w:type="dxa" w:w="930"/>
          </w:tcPr>
          <w:p>
            <w:pPr>
              <w:spacing w:line="240" w:lineRule="auto"/>
              <w:jc w:val="center"/>
            </w:pPr>
            <w:r/>
            <w:r>
              <w:rPr>
                <w:rFonts w:ascii="휴먼명조" w:eastAsia="휴먼명조" w:hAnsi="휴먼명조" w:cs="휴먼명조"/>
                <w:b/>
                <w:sz w:val="18"/>
                <w:w w:val="97"/>
              </w:rPr>
              <w:t>0.5580</w:t>
            </w:r>
          </w:p>
        </w:tc>
        <w:tc>
          <w:tcPr>
            <w:tcW w:type="dxa" w:w="930"/>
          </w:tcPr>
          <w:p>
            <w:pPr>
              <w:spacing w:line="240" w:lineRule="auto"/>
              <w:jc w:val="center"/>
            </w:pPr>
            <w:r/>
            <w:r>
              <w:rPr>
                <w:rFonts w:ascii="휴먼명조" w:eastAsia="휴먼명조" w:hAnsi="휴먼명조" w:cs="휴먼명조"/>
                <w:b w:val="0"/>
                <w:sz w:val="18"/>
                <w:w w:val="97"/>
              </w:rPr>
              <w:t>0.9359</w:t>
            </w:r>
          </w:p>
        </w:tc>
        <w:tc>
          <w:tcPr>
            <w:tcW w:type="dxa" w:w="930"/>
          </w:tcPr>
          <w:p>
            <w:pPr>
              <w:spacing w:line="240" w:lineRule="auto"/>
              <w:jc w:val="center"/>
            </w:pPr>
            <w:r/>
            <w:r>
              <w:rPr>
                <w:rFonts w:ascii="휴먼명조" w:eastAsia="휴먼명조" w:hAnsi="휴먼명조" w:cs="휴먼명조"/>
                <w:b w:val="0"/>
                <w:sz w:val="18"/>
                <w:w w:val="97"/>
              </w:rPr>
              <w:t>254.8</w:t>
            </w:r>
          </w:p>
        </w:tc>
        <w:tc>
          <w:tcPr>
            <w:tcW w:type="dxa" w:w="930"/>
          </w:tcPr>
          <w:p>
            <w:pPr>
              <w:spacing w:line="240" w:lineRule="auto"/>
              <w:jc w:val="center"/>
            </w:pPr>
            <w:r/>
            <w:r>
              <w:rPr>
                <w:rFonts w:ascii="휴먼명조" w:eastAsia="휴먼명조" w:hAnsi="휴먼명조" w:cs="휴먼명조"/>
                <w:b w:val="0"/>
                <w:sz w:val="18"/>
                <w:w w:val="97"/>
              </w:rPr>
              <w:t>7,561.9</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0.6614</w:t>
            </w:r>
          </w:p>
        </w:tc>
        <w:tc>
          <w:tcPr>
            <w:tcW w:type="dxa" w:w="930"/>
          </w:tcPr>
          <w:p>
            <w:pPr>
              <w:spacing w:line="240" w:lineRule="auto"/>
              <w:jc w:val="center"/>
            </w:pPr>
            <w:r/>
            <w:r>
              <w:rPr>
                <w:rFonts w:ascii="휴먼명조" w:eastAsia="휴먼명조" w:hAnsi="휴먼명조" w:cs="휴먼명조"/>
                <w:b w:val="0"/>
                <w:sz w:val="18"/>
                <w:w w:val="97"/>
              </w:rPr>
              <w:t>0.2800</w:t>
            </w:r>
          </w:p>
        </w:tc>
        <w:tc>
          <w:tcPr>
            <w:tcW w:type="dxa" w:w="930"/>
          </w:tcPr>
          <w:p>
            <w:pPr>
              <w:spacing w:line="240" w:lineRule="auto"/>
              <w:jc w:val="center"/>
            </w:pPr>
            <w:r/>
            <w:r>
              <w:rPr>
                <w:rFonts w:ascii="휴먼명조" w:eastAsia="휴먼명조" w:hAnsi="휴먼명조" w:cs="휴먼명조"/>
                <w:b/>
                <w:sz w:val="18"/>
                <w:w w:val="97"/>
              </w:rPr>
              <w:t>0.4922</w:t>
            </w:r>
          </w:p>
        </w:tc>
        <w:tc>
          <w:tcPr>
            <w:tcW w:type="dxa" w:w="930"/>
          </w:tcPr>
          <w:p>
            <w:pPr>
              <w:spacing w:line="240" w:lineRule="auto"/>
              <w:jc w:val="center"/>
            </w:pPr>
            <w:r/>
            <w:r>
              <w:rPr>
                <w:rFonts w:ascii="휴먼명조" w:eastAsia="휴먼명조" w:hAnsi="휴먼명조" w:cs="휴먼명조"/>
                <w:b w:val="0"/>
                <w:sz w:val="18"/>
                <w:w w:val="97"/>
              </w:rPr>
              <w:t>0.8886</w:t>
            </w:r>
          </w:p>
        </w:tc>
        <w:tc>
          <w:tcPr>
            <w:tcW w:type="dxa" w:w="930"/>
          </w:tcPr>
          <w:p>
            <w:pPr>
              <w:spacing w:line="240" w:lineRule="auto"/>
              <w:jc w:val="center"/>
            </w:pPr>
            <w:r/>
            <w:r>
              <w:rPr>
                <w:rFonts w:ascii="휴먼명조" w:eastAsia="휴먼명조" w:hAnsi="휴먼명조" w:cs="휴먼명조"/>
                <w:b w:val="0"/>
                <w:sz w:val="18"/>
                <w:w w:val="97"/>
              </w:rPr>
              <w:t>310.6</w:t>
            </w:r>
          </w:p>
        </w:tc>
        <w:tc>
          <w:tcPr>
            <w:tcW w:type="dxa" w:w="930"/>
          </w:tcPr>
          <w:p>
            <w:pPr>
              <w:spacing w:line="240" w:lineRule="auto"/>
              <w:jc w:val="center"/>
            </w:pPr>
            <w:r/>
            <w:r>
              <w:rPr>
                <w:rFonts w:ascii="휴먼명조" w:eastAsia="휴먼명조" w:hAnsi="휴먼명조" w:cs="휴먼명조"/>
                <w:b w:val="0"/>
                <w:sz w:val="18"/>
                <w:w w:val="97"/>
              </w:rPr>
              <w:t>7,580.5</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0.6336</w:t>
            </w:r>
          </w:p>
        </w:tc>
        <w:tc>
          <w:tcPr>
            <w:tcW w:type="dxa" w:w="930"/>
          </w:tcPr>
          <w:p>
            <w:pPr>
              <w:spacing w:line="240" w:lineRule="auto"/>
              <w:jc w:val="center"/>
            </w:pPr>
            <w:r/>
            <w:r>
              <w:rPr>
                <w:rFonts w:ascii="휴먼명조" w:eastAsia="휴먼명조" w:hAnsi="휴먼명조" w:cs="휴먼명조"/>
                <w:b w:val="0"/>
                <w:sz w:val="18"/>
                <w:w w:val="97"/>
              </w:rPr>
              <w:t>0.0605</w:t>
            </w:r>
          </w:p>
        </w:tc>
        <w:tc>
          <w:tcPr>
            <w:tcW w:type="dxa" w:w="930"/>
          </w:tcPr>
          <w:p>
            <w:pPr>
              <w:spacing w:line="240" w:lineRule="auto"/>
              <w:jc w:val="center"/>
            </w:pPr>
            <w:r/>
            <w:r>
              <w:rPr>
                <w:rFonts w:ascii="휴먼명조" w:eastAsia="휴먼명조" w:hAnsi="휴먼명조" w:cs="휴먼명조"/>
                <w:b/>
                <w:sz w:val="18"/>
                <w:w w:val="97"/>
              </w:rPr>
              <w:t>0.3472</w:t>
            </w:r>
          </w:p>
        </w:tc>
        <w:tc>
          <w:tcPr>
            <w:tcW w:type="dxa" w:w="930"/>
          </w:tcPr>
          <w:p>
            <w:pPr>
              <w:spacing w:line="240" w:lineRule="auto"/>
              <w:jc w:val="center"/>
            </w:pPr>
            <w:r/>
            <w:r>
              <w:rPr>
                <w:rFonts w:ascii="휴먼명조" w:eastAsia="휴먼명조" w:hAnsi="휴먼명조" w:cs="휴먼명조"/>
                <w:b w:val="0"/>
                <w:sz w:val="18"/>
                <w:w w:val="97"/>
              </w:rPr>
              <w:t>0.8487</w:t>
            </w:r>
          </w:p>
        </w:tc>
        <w:tc>
          <w:tcPr>
            <w:tcW w:type="dxa" w:w="930"/>
          </w:tcPr>
          <w:p>
            <w:pPr>
              <w:spacing w:line="240" w:lineRule="auto"/>
              <w:jc w:val="center"/>
            </w:pPr>
            <w:r/>
            <w:r>
              <w:rPr>
                <w:rFonts w:ascii="휴먼명조" w:eastAsia="휴먼명조" w:hAnsi="휴먼명조" w:cs="휴먼명조"/>
                <w:b w:val="0"/>
                <w:sz w:val="18"/>
                <w:w w:val="97"/>
              </w:rPr>
              <w:t>419.1</w:t>
            </w:r>
          </w:p>
        </w:tc>
        <w:tc>
          <w:tcPr>
            <w:tcW w:type="dxa" w:w="930"/>
          </w:tcPr>
          <w:p>
            <w:pPr>
              <w:spacing w:line="240" w:lineRule="auto"/>
              <w:jc w:val="center"/>
            </w:pPr>
            <w:r/>
            <w:r>
              <w:rPr>
                <w:rFonts w:ascii="휴먼명조" w:eastAsia="휴먼명조" w:hAnsi="휴먼명조" w:cs="휴먼명조"/>
                <w:b w:val="0"/>
                <w:sz w:val="18"/>
                <w:w w:val="97"/>
              </w:rPr>
              <w:t>4,527.3</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0.7915</w:t>
            </w:r>
          </w:p>
        </w:tc>
        <w:tc>
          <w:tcPr>
            <w:tcW w:type="dxa" w:w="930"/>
          </w:tcPr>
          <w:p>
            <w:pPr>
              <w:spacing w:line="240" w:lineRule="auto"/>
              <w:jc w:val="center"/>
            </w:pPr>
            <w:r/>
            <w:r>
              <w:rPr>
                <w:rFonts w:ascii="휴먼명조" w:eastAsia="휴먼명조" w:hAnsi="휴먼명조" w:cs="휴먼명조"/>
                <w:b w:val="0"/>
                <w:sz w:val="18"/>
                <w:w w:val="97"/>
              </w:rPr>
              <w:t>0.4575</w:t>
            </w:r>
          </w:p>
        </w:tc>
        <w:tc>
          <w:tcPr>
            <w:tcW w:type="dxa" w:w="930"/>
          </w:tcPr>
          <w:p>
            <w:pPr>
              <w:spacing w:line="240" w:lineRule="auto"/>
              <w:jc w:val="center"/>
            </w:pPr>
            <w:r/>
            <w:r>
              <w:rPr>
                <w:rFonts w:ascii="휴먼명조" w:eastAsia="휴먼명조" w:hAnsi="휴먼명조" w:cs="휴먼명조"/>
                <w:b/>
                <w:sz w:val="18"/>
                <w:w w:val="97"/>
              </w:rPr>
              <w:t>0.5693</w:t>
            </w:r>
          </w:p>
        </w:tc>
        <w:tc>
          <w:tcPr>
            <w:tcW w:type="dxa" w:w="930"/>
          </w:tcPr>
          <w:p>
            <w:pPr>
              <w:spacing w:line="240" w:lineRule="auto"/>
              <w:jc w:val="center"/>
            </w:pPr>
            <w:r/>
            <w:r>
              <w:rPr>
                <w:rFonts w:ascii="휴먼명조" w:eastAsia="휴먼명조" w:hAnsi="휴먼명조" w:cs="휴먼명조"/>
                <w:b w:val="0"/>
                <w:sz w:val="18"/>
                <w:w w:val="97"/>
              </w:rPr>
              <w:t>0.9081</w:t>
            </w:r>
          </w:p>
        </w:tc>
        <w:tc>
          <w:tcPr>
            <w:tcW w:type="dxa" w:w="930"/>
          </w:tcPr>
          <w:p>
            <w:pPr>
              <w:spacing w:line="240" w:lineRule="auto"/>
              <w:jc w:val="center"/>
            </w:pPr>
            <w:r/>
            <w:r>
              <w:rPr>
                <w:rFonts w:ascii="휴먼명조" w:eastAsia="휴먼명조" w:hAnsi="휴먼명조" w:cs="휴먼명조"/>
                <w:b w:val="0"/>
                <w:sz w:val="18"/>
                <w:w w:val="97"/>
              </w:rPr>
              <w:t>344.9</w:t>
            </w:r>
          </w:p>
        </w:tc>
        <w:tc>
          <w:tcPr>
            <w:tcW w:type="dxa" w:w="930"/>
          </w:tcPr>
          <w:p>
            <w:pPr>
              <w:spacing w:line="240" w:lineRule="auto"/>
              <w:jc w:val="center"/>
            </w:pPr>
            <w:r/>
            <w:r>
              <w:rPr>
                <w:rFonts w:ascii="휴먼명조" w:eastAsia="휴먼명조" w:hAnsi="휴먼명조" w:cs="휴먼명조"/>
                <w:b w:val="0"/>
                <w:sz w:val="18"/>
                <w:w w:val="97"/>
              </w:rPr>
              <w:t>4,412.9</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0.7211</w:t>
            </w:r>
          </w:p>
        </w:tc>
        <w:tc>
          <w:tcPr>
            <w:tcW w:type="dxa" w:w="930"/>
          </w:tcPr>
          <w:p>
            <w:pPr>
              <w:spacing w:line="240" w:lineRule="auto"/>
              <w:jc w:val="center"/>
            </w:pPr>
            <w:r/>
            <w:r>
              <w:rPr>
                <w:rFonts w:ascii="휴먼명조" w:eastAsia="휴먼명조" w:hAnsi="휴먼명조" w:cs="휴먼명조"/>
                <w:b w:val="0"/>
                <w:sz w:val="18"/>
                <w:w w:val="97"/>
              </w:rPr>
              <w:t>0.2250</w:t>
            </w:r>
          </w:p>
        </w:tc>
        <w:tc>
          <w:tcPr>
            <w:tcW w:type="dxa" w:w="930"/>
          </w:tcPr>
          <w:p>
            <w:pPr>
              <w:spacing w:line="240" w:lineRule="auto"/>
              <w:jc w:val="center"/>
            </w:pPr>
            <w:r/>
            <w:r>
              <w:rPr>
                <w:rFonts w:ascii="휴먼명조" w:eastAsia="휴먼명조" w:hAnsi="휴먼명조" w:cs="휴먼명조"/>
                <w:b/>
                <w:sz w:val="18"/>
                <w:w w:val="97"/>
              </w:rPr>
              <w:t>0.5011</w:t>
            </w:r>
          </w:p>
        </w:tc>
        <w:tc>
          <w:tcPr>
            <w:tcW w:type="dxa" w:w="930"/>
          </w:tcPr>
          <w:p>
            <w:pPr>
              <w:spacing w:line="240" w:lineRule="auto"/>
              <w:jc w:val="center"/>
            </w:pPr>
            <w:r/>
            <w:r>
              <w:rPr>
                <w:rFonts w:ascii="휴먼명조" w:eastAsia="휴먼명조" w:hAnsi="휴먼명조" w:cs="휴먼명조"/>
                <w:b w:val="0"/>
                <w:sz w:val="18"/>
                <w:w w:val="97"/>
              </w:rPr>
              <w:t>0.8894</w:t>
            </w:r>
          </w:p>
        </w:tc>
        <w:tc>
          <w:tcPr>
            <w:tcW w:type="dxa" w:w="930"/>
          </w:tcPr>
          <w:p>
            <w:pPr>
              <w:spacing w:line="240" w:lineRule="auto"/>
              <w:jc w:val="center"/>
            </w:pPr>
            <w:r/>
            <w:r>
              <w:rPr>
                <w:rFonts w:ascii="휴먼명조" w:eastAsia="휴먼명조" w:hAnsi="휴먼명조" w:cs="휴먼명조"/>
                <w:b w:val="0"/>
                <w:sz w:val="18"/>
                <w:w w:val="97"/>
              </w:rPr>
              <w:t>245.7</w:t>
            </w:r>
          </w:p>
        </w:tc>
        <w:tc>
          <w:tcPr>
            <w:tcW w:type="dxa" w:w="930"/>
          </w:tcPr>
          <w:p>
            <w:pPr>
              <w:spacing w:line="240" w:lineRule="auto"/>
              <w:jc w:val="center"/>
            </w:pPr>
            <w:r/>
            <w:r>
              <w:rPr>
                <w:rFonts w:ascii="휴먼명조" w:eastAsia="휴먼명조" w:hAnsi="휴먼명조" w:cs="휴먼명조"/>
                <w:b w:val="0"/>
                <w:sz w:val="18"/>
                <w:w w:val="97"/>
              </w:rPr>
              <w:t>4,428.5</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0.5892</w:t>
            </w:r>
          </w:p>
        </w:tc>
        <w:tc>
          <w:tcPr>
            <w:tcW w:type="dxa" w:w="930"/>
          </w:tcPr>
          <w:p>
            <w:pPr>
              <w:spacing w:line="240" w:lineRule="auto"/>
              <w:jc w:val="center"/>
            </w:pPr>
            <w:r/>
            <w:r>
              <w:rPr>
                <w:rFonts w:ascii="휴먼명조" w:eastAsia="휴먼명조" w:hAnsi="휴먼명조" w:cs="휴먼명조"/>
                <w:b w:val="0"/>
                <w:sz w:val="18"/>
                <w:w w:val="97"/>
              </w:rPr>
              <w:t>0.0274</w:t>
            </w:r>
          </w:p>
        </w:tc>
        <w:tc>
          <w:tcPr>
            <w:tcW w:type="dxa" w:w="930"/>
          </w:tcPr>
          <w:p>
            <w:pPr>
              <w:spacing w:line="240" w:lineRule="auto"/>
              <w:jc w:val="center"/>
            </w:pPr>
            <w:r/>
            <w:r>
              <w:rPr>
                <w:rFonts w:ascii="휴먼명조" w:eastAsia="휴먼명조" w:hAnsi="휴먼명조" w:cs="휴먼명조"/>
                <w:b/>
                <w:sz w:val="18"/>
                <w:w w:val="97"/>
              </w:rPr>
              <w:t>0.3085</w:t>
            </w:r>
          </w:p>
        </w:tc>
        <w:tc>
          <w:tcPr>
            <w:tcW w:type="dxa" w:w="930"/>
          </w:tcPr>
          <w:p>
            <w:pPr>
              <w:spacing w:line="240" w:lineRule="auto"/>
              <w:jc w:val="center"/>
            </w:pPr>
            <w:r/>
            <w:r>
              <w:rPr>
                <w:rFonts w:ascii="휴먼명조" w:eastAsia="휴먼명조" w:hAnsi="휴먼명조" w:cs="휴먼명조"/>
                <w:b w:val="0"/>
                <w:sz w:val="18"/>
                <w:w w:val="97"/>
              </w:rPr>
              <w:t>0.8557</w:t>
            </w:r>
          </w:p>
        </w:tc>
        <w:tc>
          <w:tcPr>
            <w:tcW w:type="dxa" w:w="930"/>
          </w:tcPr>
          <w:p>
            <w:pPr>
              <w:spacing w:line="240" w:lineRule="auto"/>
              <w:jc w:val="center"/>
            </w:pPr>
            <w:r/>
            <w:r>
              <w:rPr>
                <w:rFonts w:ascii="휴먼명조" w:eastAsia="휴먼명조" w:hAnsi="휴먼명조" w:cs="휴먼명조"/>
                <w:b w:val="0"/>
                <w:sz w:val="18"/>
                <w:w w:val="97"/>
              </w:rPr>
              <w:t>666.0</w:t>
            </w:r>
          </w:p>
        </w:tc>
        <w:tc>
          <w:tcPr>
            <w:tcW w:type="dxa" w:w="930"/>
          </w:tcPr>
          <w:p>
            <w:pPr>
              <w:spacing w:line="240" w:lineRule="auto"/>
              <w:jc w:val="center"/>
            </w:pPr>
            <w:r/>
            <w:r>
              <w:rPr>
                <w:rFonts w:ascii="휴먼명조" w:eastAsia="휴먼명조" w:hAnsi="휴먼명조" w:cs="휴먼명조"/>
                <w:b w:val="0"/>
                <w:sz w:val="18"/>
                <w:w w:val="97"/>
              </w:rPr>
              <w:t>6,021.3</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0.6648</w:t>
            </w:r>
          </w:p>
        </w:tc>
        <w:tc>
          <w:tcPr>
            <w:tcW w:type="dxa" w:w="930"/>
          </w:tcPr>
          <w:p>
            <w:pPr>
              <w:spacing w:line="240" w:lineRule="auto"/>
              <w:jc w:val="center"/>
            </w:pPr>
            <w:r/>
            <w:r>
              <w:rPr>
                <w:rFonts w:ascii="휴먼명조" w:eastAsia="휴먼명조" w:hAnsi="휴먼명조" w:cs="휴먼명조"/>
                <w:b w:val="0"/>
                <w:sz w:val="18"/>
                <w:w w:val="97"/>
              </w:rPr>
              <w:t>0.3598</w:t>
            </w:r>
          </w:p>
        </w:tc>
        <w:tc>
          <w:tcPr>
            <w:tcW w:type="dxa" w:w="930"/>
          </w:tcPr>
          <w:p>
            <w:pPr>
              <w:spacing w:line="240" w:lineRule="auto"/>
              <w:jc w:val="center"/>
            </w:pPr>
            <w:r/>
            <w:r>
              <w:rPr>
                <w:rFonts w:ascii="휴먼명조" w:eastAsia="휴먼명조" w:hAnsi="휴먼명조" w:cs="휴먼명조"/>
                <w:b/>
                <w:sz w:val="18"/>
                <w:w w:val="97"/>
              </w:rPr>
              <w:t>0.4618</w:t>
            </w:r>
          </w:p>
        </w:tc>
        <w:tc>
          <w:tcPr>
            <w:tcW w:type="dxa" w:w="930"/>
          </w:tcPr>
          <w:p>
            <w:pPr>
              <w:spacing w:line="240" w:lineRule="auto"/>
              <w:jc w:val="center"/>
            </w:pPr>
            <w:r/>
            <w:r>
              <w:rPr>
                <w:rFonts w:ascii="휴먼명조" w:eastAsia="휴먼명조" w:hAnsi="휴먼명조" w:cs="휴먼명조"/>
                <w:b w:val="0"/>
                <w:sz w:val="18"/>
                <w:w w:val="97"/>
              </w:rPr>
              <w:t>0.9130</w:t>
            </w:r>
          </w:p>
        </w:tc>
        <w:tc>
          <w:tcPr>
            <w:tcW w:type="dxa" w:w="930"/>
          </w:tcPr>
          <w:p>
            <w:pPr>
              <w:spacing w:line="240" w:lineRule="auto"/>
              <w:jc w:val="center"/>
            </w:pPr>
            <w:r/>
            <w:r>
              <w:rPr>
                <w:rFonts w:ascii="휴먼명조" w:eastAsia="휴먼명조" w:hAnsi="휴먼명조" w:cs="휴먼명조"/>
                <w:b w:val="0"/>
                <w:sz w:val="18"/>
                <w:w w:val="97"/>
              </w:rPr>
              <w:t>774.7</w:t>
            </w:r>
          </w:p>
        </w:tc>
        <w:tc>
          <w:tcPr>
            <w:tcW w:type="dxa" w:w="930"/>
          </w:tcPr>
          <w:p>
            <w:pPr>
              <w:spacing w:line="240" w:lineRule="auto"/>
              <w:jc w:val="center"/>
            </w:pPr>
            <w:r/>
            <w:r>
              <w:rPr>
                <w:rFonts w:ascii="휴먼명조" w:eastAsia="휴먼명조" w:hAnsi="휴먼명조" w:cs="휴먼명조"/>
                <w:b w:val="0"/>
                <w:sz w:val="18"/>
                <w:w w:val="97"/>
              </w:rPr>
              <w:t>5,991.2</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0.6574</w:t>
            </w:r>
          </w:p>
        </w:tc>
        <w:tc>
          <w:tcPr>
            <w:tcW w:type="dxa" w:w="930"/>
          </w:tcPr>
          <w:p>
            <w:pPr>
              <w:spacing w:line="240" w:lineRule="auto"/>
              <w:jc w:val="center"/>
            </w:pPr>
            <w:r/>
            <w:r>
              <w:rPr>
                <w:rFonts w:ascii="휴먼명조" w:eastAsia="휴먼명조" w:hAnsi="휴먼명조" w:cs="휴먼명조"/>
                <w:b w:val="0"/>
                <w:sz w:val="18"/>
                <w:w w:val="97"/>
              </w:rPr>
              <w:t>0.3150</w:t>
            </w:r>
          </w:p>
        </w:tc>
        <w:tc>
          <w:tcPr>
            <w:tcW w:type="dxa" w:w="930"/>
          </w:tcPr>
          <w:p>
            <w:pPr>
              <w:spacing w:line="240" w:lineRule="auto"/>
              <w:jc w:val="center"/>
            </w:pPr>
            <w:r/>
            <w:r>
              <w:rPr>
                <w:rFonts w:ascii="휴먼명조" w:eastAsia="휴먼명조" w:hAnsi="휴먼명조" w:cs="휴먼명조"/>
                <w:b/>
                <w:sz w:val="18"/>
                <w:w w:val="97"/>
              </w:rPr>
              <w:t>0.5055</w:t>
            </w:r>
          </w:p>
        </w:tc>
        <w:tc>
          <w:tcPr>
            <w:tcW w:type="dxa" w:w="930"/>
          </w:tcPr>
          <w:p>
            <w:pPr>
              <w:spacing w:line="240" w:lineRule="auto"/>
              <w:jc w:val="center"/>
            </w:pPr>
            <w:r/>
            <w:r>
              <w:rPr>
                <w:rFonts w:ascii="휴먼명조" w:eastAsia="휴먼명조" w:hAnsi="휴먼명조" w:cs="휴먼명조"/>
                <w:b w:val="0"/>
                <w:sz w:val="18"/>
                <w:w w:val="97"/>
              </w:rPr>
              <w:t>0.9029</w:t>
            </w:r>
          </w:p>
        </w:tc>
        <w:tc>
          <w:tcPr>
            <w:tcW w:type="dxa" w:w="930"/>
          </w:tcPr>
          <w:p>
            <w:pPr>
              <w:spacing w:line="240" w:lineRule="auto"/>
              <w:jc w:val="center"/>
            </w:pPr>
            <w:r/>
            <w:r>
              <w:rPr>
                <w:rFonts w:ascii="휴먼명조" w:eastAsia="휴먼명조" w:hAnsi="휴먼명조" w:cs="휴먼명조"/>
                <w:b w:val="0"/>
                <w:sz w:val="18"/>
                <w:w w:val="97"/>
              </w:rPr>
              <w:t>756.7</w:t>
            </w:r>
          </w:p>
        </w:tc>
        <w:tc>
          <w:tcPr>
            <w:tcW w:type="dxa" w:w="930"/>
          </w:tcPr>
          <w:p>
            <w:pPr>
              <w:spacing w:line="240" w:lineRule="auto"/>
              <w:jc w:val="center"/>
            </w:pPr>
            <w:r/>
            <w:r>
              <w:rPr>
                <w:rFonts w:ascii="휴먼명조" w:eastAsia="휴먼명조" w:hAnsi="휴먼명조" w:cs="휴먼명조"/>
                <w:b w:val="0"/>
                <w:sz w:val="18"/>
                <w:w w:val="97"/>
              </w:rPr>
              <w:t>5,996.2</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Overall Acc denotes accuracy computed over closed-ended and open-ended items combined. Open items are scored by BERTScore (roberta-large backbone, threshold method) and closed items by exact string match against the gold answer.</w:t>
      </w:r>
    </w:p>
    <w:p>
      <w:pPr>
        <w:spacing w:line="384" w:lineRule="auto" w:after="0"/>
        <w:ind w:firstLine="220"/>
        <w:jc w:val="both"/>
      </w:pPr>
      <w:r>
        <w:rPr>
          <w:rFonts w:ascii="휴먼명조" w:eastAsia="휴먼명조" w:hAnsi="휴먼명조" w:cs="휴먼명조"/>
          <w:b w:val="0"/>
          <w:sz w:val="22"/>
          <w:w w:val="97"/>
        </w:rPr>
        <w:t>On pooled accuracy across all datasets, the performance of the four models is as follows (n = 8,231, the total number of items across the three datasets).</w:t>
      </w:r>
    </w:p>
    <w:p>
      <w:pPr>
        <w:pStyle w:val="표캡션"/>
        <w:spacing w:line="384" w:lineRule="auto" w:after="0"/>
        <w:jc w:val="center"/>
      </w:pPr>
      <w:r>
        <w:rPr>
          <w:rFonts w:ascii="휴먼명조" w:eastAsia="휴먼명조" w:hAnsi="휴먼명조" w:cs="휴먼명조"/>
          <w:b/>
          <w:sz w:val="22"/>
          <w:w w:val="97"/>
        </w:rPr>
        <w:t>Table 4.1a. Pooled accuracy and statistical tests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Rank</w:t>
            </w:r>
          </w:p>
        </w:tc>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Pooled Overall Acc</w:t>
            </w:r>
          </w:p>
        </w:tc>
        <w:tc>
          <w:tcPr>
            <w:tcW w:type="dxa" w:w="1859"/>
          </w:tcPr>
          <w:p>
            <w:pPr>
              <w:spacing w:line="240" w:lineRule="auto"/>
              <w:jc w:val="center"/>
            </w:pPr>
            <w:r/>
            <w:r>
              <w:rPr>
                <w:rFonts w:ascii="휴먼명조" w:eastAsia="휴먼명조" w:hAnsi="휴먼명조" w:cs="휴먼명조"/>
                <w:b/>
                <w:sz w:val="18"/>
                <w:w w:val="97"/>
              </w:rPr>
              <w:t>95% CI</w:t>
            </w:r>
          </w:p>
        </w:tc>
      </w:tr>
      <w:tr>
        <w:tc>
          <w:tcPr>
            <w:tcW w:type="dxa" w:w="1859"/>
          </w:tcPr>
          <w:p>
            <w:pPr>
              <w:spacing w:line="240" w:lineRule="auto"/>
              <w:jc w:val="center"/>
            </w:pPr>
            <w:r/>
            <w:r>
              <w:rPr>
                <w:rFonts w:ascii="휴먼명조" w:eastAsia="휴먼명조" w:hAnsi="휴먼명조" w:cs="휴먼명조"/>
                <w:b w:val="0"/>
                <w:sz w:val="18"/>
                <w:w w:val="97"/>
              </w:rPr>
              <w:t>1</w:t>
            </w:r>
          </w:p>
        </w:tc>
        <w:tc>
          <w:tcPr>
            <w:tcW w:type="dxa" w:w="1859"/>
          </w:tcPr>
          <w:p>
            <w:pPr>
              <w:spacing w:line="240" w:lineRule="auto"/>
              <w:jc w:val="center"/>
            </w:pPr>
            <w:r/>
            <w:r>
              <w:rPr>
                <w:rFonts w:ascii="휴먼명조" w:eastAsia="휴먼명조" w:hAnsi="휴먼명조" w:cs="휴먼명조"/>
                <w:b/>
                <w:sz w:val="18"/>
                <w:w w:val="97"/>
              </w:rPr>
              <w:t>Qwen3-VL-2B</w:t>
            </w:r>
          </w:p>
        </w:tc>
        <w:tc>
          <w:tcPr>
            <w:tcW w:type="dxa" w:w="1859"/>
          </w:tcPr>
          <w:p>
            <w:pPr>
              <w:spacing w:line="240" w:lineRule="auto"/>
              <w:jc w:val="center"/>
            </w:pPr>
            <w:r/>
            <w:r>
              <w:rPr>
                <w:rFonts w:ascii="휴먼명조" w:eastAsia="휴먼명조" w:hAnsi="휴먼명조" w:cs="휴먼명조"/>
                <w:b/>
                <w:sz w:val="18"/>
                <w:w w:val="97"/>
              </w:rPr>
              <w:t>0.3843</w:t>
            </w:r>
          </w:p>
        </w:tc>
        <w:tc>
          <w:tcPr>
            <w:tcW w:type="dxa" w:w="1859"/>
          </w:tcPr>
          <w:p>
            <w:pPr>
              <w:spacing w:line="240" w:lineRule="auto"/>
              <w:jc w:val="center"/>
            </w:pPr>
            <w:r/>
            <w:r>
              <w:rPr>
                <w:rFonts w:ascii="휴먼명조" w:eastAsia="휴먼명조" w:hAnsi="휴먼명조" w:cs="휴먼명조"/>
                <w:b w:val="0"/>
                <w:sz w:val="18"/>
                <w:w w:val="97"/>
              </w:rPr>
              <w:t>[0.3740, 0.3947]</w:t>
            </w:r>
          </w:p>
        </w:tc>
      </w:tr>
      <w:tr>
        <w:tc>
          <w:tcPr>
            <w:tcW w:type="dxa" w:w="1859"/>
          </w:tcPr>
          <w:p>
            <w:pPr>
              <w:spacing w:line="240" w:lineRule="auto"/>
              <w:jc w:val="center"/>
            </w:pPr>
            <w:r/>
            <w:r>
              <w:rPr>
                <w:rFonts w:ascii="휴먼명조" w:eastAsia="휴먼명조" w:hAnsi="휴먼명조" w:cs="휴먼명조"/>
                <w:b w:val="0"/>
                <w:sz w:val="18"/>
                <w:w w:val="97"/>
              </w:rPr>
              <w:t>2</w:t>
            </w:r>
          </w:p>
        </w:tc>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0.3637</w:t>
            </w:r>
          </w:p>
        </w:tc>
        <w:tc>
          <w:tcPr>
            <w:tcW w:type="dxa" w:w="1859"/>
          </w:tcPr>
          <w:p>
            <w:pPr>
              <w:spacing w:line="240" w:lineRule="auto"/>
              <w:jc w:val="center"/>
            </w:pPr>
            <w:r/>
            <w:r>
              <w:rPr>
                <w:rFonts w:ascii="휴먼명조" w:eastAsia="휴먼명조" w:hAnsi="휴먼명조" w:cs="휴먼명조"/>
                <w:b w:val="0"/>
                <w:sz w:val="18"/>
                <w:w w:val="97"/>
              </w:rPr>
              <w:t>[0.3533, 0.3740]</w:t>
            </w:r>
          </w:p>
        </w:tc>
      </w:tr>
      <w:tr>
        <w:tc>
          <w:tcPr>
            <w:tcW w:type="dxa" w:w="1859"/>
          </w:tcPr>
          <w:p>
            <w:pPr>
              <w:spacing w:line="240" w:lineRule="auto"/>
              <w:jc w:val="center"/>
            </w:pPr>
            <w:r/>
            <w:r>
              <w:rPr>
                <w:rFonts w:ascii="휴먼명조" w:eastAsia="휴먼명조" w:hAnsi="휴먼명조" w:cs="휴먼명조"/>
                <w:b w:val="0"/>
                <w:sz w:val="18"/>
                <w:w w:val="97"/>
              </w:rPr>
              <w:t>3</w:t>
            </w:r>
          </w:p>
        </w:tc>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0.3391</w:t>
            </w:r>
          </w:p>
        </w:tc>
        <w:tc>
          <w:tcPr>
            <w:tcW w:type="dxa" w:w="1859"/>
          </w:tcPr>
          <w:p>
            <w:pPr>
              <w:spacing w:line="240" w:lineRule="auto"/>
              <w:jc w:val="center"/>
            </w:pPr>
            <w:r/>
            <w:r>
              <w:rPr>
                <w:rFonts w:ascii="휴먼명조" w:eastAsia="휴먼명조" w:hAnsi="휴먼명조" w:cs="휴먼명조"/>
                <w:b w:val="0"/>
                <w:sz w:val="18"/>
                <w:w w:val="97"/>
              </w:rPr>
              <w:t>[0.3289, 0.3495]</w:t>
            </w:r>
          </w:p>
        </w:tc>
      </w:tr>
      <w:tr>
        <w:tc>
          <w:tcPr>
            <w:tcW w:type="dxa" w:w="1859"/>
          </w:tcPr>
          <w:p>
            <w:pPr>
              <w:spacing w:line="240" w:lineRule="auto"/>
              <w:jc w:val="center"/>
            </w:pPr>
            <w:r/>
            <w:r>
              <w:rPr>
                <w:rFonts w:ascii="휴먼명조" w:eastAsia="휴먼명조" w:hAnsi="휴먼명조" w:cs="휴먼명조"/>
                <w:b w:val="0"/>
                <w:sz w:val="18"/>
                <w:w w:val="97"/>
              </w:rPr>
              <w:t>4</w:t>
            </w:r>
          </w:p>
        </w:tc>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0.1708</w:t>
            </w:r>
          </w:p>
        </w:tc>
        <w:tc>
          <w:tcPr>
            <w:tcW w:type="dxa" w:w="1859"/>
          </w:tcPr>
          <w:p>
            <w:pPr>
              <w:spacing w:line="240" w:lineRule="auto"/>
              <w:jc w:val="center"/>
            </w:pPr>
            <w:r/>
            <w:r>
              <w:rPr>
                <w:rFonts w:ascii="휴먼명조" w:eastAsia="휴먼명조" w:hAnsi="휴먼명조" w:cs="휴먼명조"/>
                <w:b w:val="0"/>
                <w:sz w:val="18"/>
                <w:w w:val="97"/>
              </w:rPr>
              <w:t>[0.1627, 0.1790]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pPr>
        <w:spacing w:line="384" w:lineRule="auto" w:after="0"/>
        <w:ind w:firstLine="220"/>
        <w:jc w:val="both"/>
      </w:pPr>
      <w:r>
        <w:rPr>
          <w:rFonts w:ascii="휴먼명조" w:eastAsia="휴먼명조" w:hAnsi="휴먼명조" w:cs="휴먼명조"/>
          <w:b w:val="0"/>
          <w:sz w:val="22"/>
          <w:w w:val="97"/>
        </w:rPr>
        <w:t xml:space="preserve">In pairwise McNemar post-hoc tests with Bonferroni correction, </w:t>
      </w:r>
      <w:r>
        <w:rPr>
          <w:rFonts w:ascii="휴먼명조" w:eastAsia="휴먼명조" w:hAnsi="휴먼명조" w:cs="휴먼명조"/>
          <w:b/>
          <w:sz w:val="22"/>
          <w:w w:val="97"/>
        </w:rPr>
        <w:t>Gemma4-E2B performed significantly worse than all three other models on the pooled basis and on the PathVQA and VQA-RAD datasets individually</w:t>
      </w:r>
      <w:r>
        <w:rPr>
          <w:rFonts w:ascii="휴먼명조" w:eastAsia="휴먼명조" w:hAnsi="휴먼명조" w:cs="휴먼명조"/>
          <w:b w:val="0"/>
          <w:sz w:val="22"/>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SLAKE and VQA-RAD individually the difference between Qwen2.5-VL-3B and Qwen3-VL-2B was not significant (p(adj) = 1 in both cases). In short, </w:t>
      </w:r>
      <w:r>
        <w:rPr>
          <w:rFonts w:ascii="휴먼명조" w:eastAsia="휴먼명조" w:hAnsi="휴먼명조" w:cs="휴먼명조"/>
          <w:b/>
          <w:sz w:val="22"/>
          <w:w w:val="97"/>
        </w:rPr>
        <w:t>Qwen3-VL-2B is the best model on pooled accuracy, but it is close enough to Qwen2.5-VL-3B that the two are not statistically separable on some datasets.</w:t>
      </w:r>
    </w:p>
    <w:p>
      <w:pPr>
        <w:spacing w:line="384" w:lineRule="auto" w:after="0"/>
        <w:ind w:firstLine="220"/>
        <w:jc w:val="both"/>
      </w:pPr>
      <w:r>
        <w:rPr>
          <w:rFonts w:ascii="휴먼명조" w:eastAsia="휴먼명조" w:hAnsi="휴먼명조" w:cs="휴먼명조"/>
          <w:b/>
          <w:sz w:val="22"/>
          <w:w w:val="97"/>
        </w:rPr>
        <w:t>Contamination robustness verification</w:t>
      </w:r>
      <w:r>
        <w:rPr>
          <w:rFonts w:ascii="휴먼명조" w:eastAsia="휴먼명조" w:hAnsi="휴먼명조" w:cs="휴먼명조"/>
          <w:b w:val="0"/>
          <w:sz w:val="22"/>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sz w:val="22"/>
          <w:w w:val="97"/>
        </w:rPr>
        <w:t>the pooled model ranking and the best model (Qwen3-VL-2B) were preserved</w:t>
      </w:r>
      <w:r>
        <w:rPr>
          <w:rFonts w:ascii="휴먼명조" w:eastAsia="휴먼명조" w:hAnsi="휴먼명조" w:cs="휴먼명조"/>
          <w:b w:val="0"/>
          <w:sz w:val="22"/>
          <w:w w:val="97"/>
        </w:rPr>
        <w:t xml:space="preserve"> (original 0.3849 → reduced set 0.3041: absolute accuracy falls but the ranking is unchanged). The conclusions of this section are therefore robust to potential data contamination (details: results/phase1_baseline/phase1_robustness.md).</w:t>
      </w:r>
    </w:p>
    <w:p>
      <w:pPr>
        <w:spacing w:line="384" w:lineRule="auto" w:after="0"/>
        <w:jc w:val="left"/>
        <w:outlineLvl w:val="2"/>
      </w:pPr>
      <w:r>
        <w:rPr>
          <w:rFonts w:ascii="휴먼명조" w:eastAsia="휴먼명조" w:hAnsi="휴먼명조" w:cs="휴먼명조"/>
          <w:b/>
          <w:sz w:val="22"/>
          <w:w w:val="97"/>
        </w:rPr>
        <w:t>4.1.2 Analysis of Dataset Difficulty</w:t>
      </w:r>
    </w:p>
    <w:p>
      <w:pPr>
        <w:spacing w:line="384" w:lineRule="auto" w:after="0"/>
        <w:ind w:firstLine="220"/>
        <w:jc w:val="both"/>
      </w:pPr>
      <w:r>
        <w:rPr>
          <w:rFonts w:ascii="휴먼명조" w:eastAsia="휴먼명조" w:hAnsi="휴먼명조" w:cs="휴먼명조"/>
          <w:b w:val="0"/>
          <w:sz w:val="22"/>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sz w:val="22"/>
          <w:w w:val="97"/>
        </w:rPr>
        <w:t>PathVQA (mean 0.271) &lt; VQA-RAD (mean 0.472) &lt; SLAKE (mean 0.520)</w:t>
      </w:r>
      <w:r>
        <w:rPr>
          <w:rFonts w:ascii="휴먼명조" w:eastAsia="휴먼명조" w:hAnsi="휴먼명조" w:cs="휴먼명조"/>
          <w:b w:val="0"/>
          <w:sz w:val="22"/>
          <w:w w:val="97"/>
        </w:rPr>
        <w:t>, so PathVQA is markedly harder than the other two.</w:t>
      </w:r>
    </w:p>
    <w:p>
      <w:pPr>
        <w:spacing w:line="384" w:lineRule="auto" w:after="0"/>
        <w:ind w:firstLine="220"/>
        <w:jc w:val="both"/>
      </w:pPr>
      <w:r>
        <w:rPr>
          <w:rFonts w:ascii="휴먼명조" w:eastAsia="휴먼명조" w:hAnsi="휴먼명조" w:cs="휴먼명조"/>
          <w:b w:val="0"/>
          <w:sz w:val="22"/>
          <w:w w:val="97"/>
        </w:rPr>
        <w:t xml:space="preserve">This gap is especially pronounced on </w:t>
      </w:r>
      <w:r>
        <w:rPr>
          <w:rFonts w:ascii="휴먼명조" w:eastAsia="휴먼명조" w:hAnsi="휴먼명조" w:cs="휴먼명조"/>
          <w:b/>
          <w:sz w:val="22"/>
          <w:w w:val="97"/>
        </w:rPr>
        <w:t>open-ended items</w:t>
      </w:r>
      <w:r>
        <w:rPr>
          <w:rFonts w:ascii="휴먼명조" w:eastAsia="휴먼명조" w:hAnsi="휴먼명조" w:cs="휴먼명조"/>
          <w:b w:val="0"/>
          <w:sz w:val="22"/>
          <w:w w:val="97"/>
        </w:rPr>
        <w:t>.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and VQA-RAD, which contain relatively more multiple-choice-type items.</w:t>
      </w:r>
    </w:p>
    <w:p>
      <w:pPr>
        <w:spacing w:line="384" w:lineRule="auto" w:after="0"/>
        <w:ind w:firstLine="220"/>
        <w:jc w:val="both"/>
      </w:pPr>
      <w:r>
        <w:rPr>
          <w:rFonts w:ascii="휴먼명조" w:eastAsia="휴먼명조" w:hAnsi="휴먼명조" w:cs="휴먼명조"/>
          <w:b w:val="0"/>
          <w:sz w:val="22"/>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pPr>
        <w:spacing w:line="384" w:lineRule="auto" w:after="0"/>
        <w:jc w:val="left"/>
        <w:outlineLvl w:val="2"/>
      </w:pPr>
      <w:r>
        <w:rPr>
          <w:rFonts w:ascii="휴먼명조" w:eastAsia="휴먼명조" w:hAnsi="휴먼명조" w:cs="휴먼명조"/>
          <w:b/>
          <w:sz w:val="22"/>
          <w:w w:val="97"/>
        </w:rPr>
        <w:t>4.1.3 Error Type Analysis</w:t>
      </w:r>
    </w:p>
    <w:p>
      <w:pPr>
        <w:spacing w:line="384" w:lineRule="auto" w:after="0"/>
        <w:ind w:firstLine="220"/>
        <w:jc w:val="both"/>
      </w:pPr>
      <w:r>
        <w:rPr>
          <w:rFonts w:ascii="휴먼명조" w:eastAsia="휴먼명조" w:hAnsi="휴먼명조" w:cs="휴먼명조"/>
          <w:b w:val="0"/>
          <w:sz w:val="22"/>
          <w:w w:val="97"/>
        </w:rPr>
        <w:t>For the WCA (Weighted Clinical Accuracy) analysis, PathVQA items (seed 42) were classified into seven clinical question types (diagnosis, location, measurement, description, temporal, yes_no, unknown) and accuracy was computed per type. As discussed in Section 5.3, the weights are a provisional scale without clinical-literature validation and are used here only to identify reference error patterns.</w:t>
      </w:r>
    </w:p>
    <w:p>
      <w:pPr>
        <w:pStyle w:val="표캡션"/>
        <w:spacing w:line="384" w:lineRule="auto" w:after="0"/>
        <w:jc w:val="center"/>
      </w:pPr>
      <w:r>
        <w:rPr>
          <w:rFonts w:ascii="휴먼명조" w:eastAsia="휴먼명조" w:hAnsi="휴먼명조" w:cs="휴먼명조"/>
          <w:b/>
          <w:sz w:val="22"/>
          <w:w w:val="97"/>
        </w:rPr>
        <w:t>Table 4.1b. PathVQA accuracy by question type</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Type</w:t>
            </w:r>
          </w:p>
        </w:tc>
        <w:tc>
          <w:tcPr>
            <w:tcW w:type="dxa" w:w="1240"/>
          </w:tcPr>
          <w:p>
            <w:pPr>
              <w:spacing w:line="240" w:lineRule="auto"/>
              <w:jc w:val="center"/>
            </w:pPr>
            <w:r/>
            <w:r>
              <w:rPr>
                <w:rFonts w:ascii="휴먼명조" w:eastAsia="휴먼명조" w:hAnsi="휴먼명조" w:cs="휴먼명조"/>
                <w:b/>
                <w:sz w:val="18"/>
                <w:w w:val="97"/>
              </w:rPr>
              <w:t>Samples</w:t>
            </w:r>
          </w:p>
        </w:tc>
        <w:tc>
          <w:tcPr>
            <w:tcW w:type="dxa" w:w="1240"/>
          </w:tcPr>
          <w:p>
            <w:pPr>
              <w:spacing w:line="240" w:lineRule="auto"/>
              <w:jc w:val="center"/>
            </w:pPr>
            <w:r/>
            <w:r>
              <w:rPr>
                <w:rFonts w:ascii="휴먼명조" w:eastAsia="휴먼명조" w:hAnsi="휴먼명조" w:cs="휴먼명조"/>
                <w:b/>
                <w:sz w:val="18"/>
                <w:w w:val="97"/>
              </w:rPr>
              <w:t>Gemma4-E2B</w:t>
            </w:r>
          </w:p>
        </w:tc>
        <w:tc>
          <w:tcPr>
            <w:tcW w:type="dxa" w:w="1240"/>
          </w:tcPr>
          <w:p>
            <w:pPr>
              <w:spacing w:line="240" w:lineRule="auto"/>
              <w:jc w:val="center"/>
            </w:pPr>
            <w:r/>
            <w:r>
              <w:rPr>
                <w:rFonts w:ascii="휴먼명조" w:eastAsia="휴먼명조" w:hAnsi="휴먼명조" w:cs="휴먼명조"/>
                <w:b/>
                <w:sz w:val="18"/>
                <w:w w:val="97"/>
              </w:rPr>
              <w:t>Qwen2.5-VL-3B</w:t>
            </w:r>
          </w:p>
        </w:tc>
        <w:tc>
          <w:tcPr>
            <w:tcW w:type="dxa" w:w="1240"/>
          </w:tcPr>
          <w:p>
            <w:pPr>
              <w:spacing w:line="240" w:lineRule="auto"/>
              <w:jc w:val="center"/>
            </w:pPr>
            <w:r/>
            <w:r>
              <w:rPr>
                <w:rFonts w:ascii="휴먼명조" w:eastAsia="휴먼명조" w:hAnsi="휴먼명조" w:cs="휴먼명조"/>
                <w:b/>
                <w:sz w:val="18"/>
                <w:w w:val="97"/>
              </w:rPr>
              <w:t>Qwen3-VL-2B</w:t>
            </w:r>
          </w:p>
        </w:tc>
        <w:tc>
          <w:tcPr>
            <w:tcW w:type="dxa" w:w="1240"/>
          </w:tcPr>
          <w:p>
            <w:pPr>
              <w:spacing w:line="240" w:lineRule="auto"/>
              <w:jc w:val="center"/>
            </w:pPr>
            <w:r/>
            <w:r>
              <w:rPr>
                <w:rFonts w:ascii="휴먼명조" w:eastAsia="휴먼명조" w:hAnsi="휴먼명조" w:cs="휴먼명조"/>
                <w:b/>
                <w:sz w:val="18"/>
                <w:w w:val="97"/>
              </w:rPr>
              <w:t>SmolVLM2-2.2B</w:t>
            </w:r>
          </w:p>
        </w:tc>
      </w:tr>
      <w:tr>
        <w:tc>
          <w:tcPr>
            <w:tcW w:type="dxa" w:w="1240"/>
          </w:tcPr>
          <w:p>
            <w:pPr>
              <w:spacing w:line="240" w:lineRule="auto"/>
              <w:jc w:val="center"/>
            </w:pPr>
            <w:r/>
            <w:r>
              <w:rPr>
                <w:rFonts w:ascii="휴먼명조" w:eastAsia="휴먼명조" w:hAnsi="휴먼명조" w:cs="휴먼명조"/>
                <w:b w:val="0"/>
                <w:sz w:val="18"/>
                <w:w w:val="97"/>
              </w:rPr>
              <w:t>diagnosis</w:t>
            </w:r>
          </w:p>
        </w:tc>
        <w:tc>
          <w:tcPr>
            <w:tcW w:type="dxa" w:w="1240"/>
          </w:tcPr>
          <w:p>
            <w:pPr>
              <w:spacing w:line="240" w:lineRule="auto"/>
              <w:jc w:val="center"/>
            </w:pPr>
            <w:r/>
            <w:r>
              <w:rPr>
                <w:rFonts w:ascii="휴먼명조" w:eastAsia="휴먼명조" w:hAnsi="휴먼명조" w:cs="휴먼명조"/>
                <w:b w:val="0"/>
                <w:sz w:val="18"/>
                <w:w w:val="97"/>
              </w:rPr>
              <w:t>23</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r>
      <w:tr>
        <w:tc>
          <w:tcPr>
            <w:tcW w:type="dxa" w:w="1240"/>
          </w:tcPr>
          <w:p>
            <w:pPr>
              <w:spacing w:line="240" w:lineRule="auto"/>
              <w:jc w:val="center"/>
            </w:pPr>
            <w:r/>
            <w:r>
              <w:rPr>
                <w:rFonts w:ascii="휴먼명조" w:eastAsia="휴먼명조" w:hAnsi="휴먼명조" w:cs="휴먼명조"/>
                <w:b w:val="0"/>
                <w:sz w:val="18"/>
                <w:w w:val="97"/>
              </w:rPr>
              <w:t>location</w:t>
            </w:r>
          </w:p>
        </w:tc>
        <w:tc>
          <w:tcPr>
            <w:tcW w:type="dxa" w:w="1240"/>
          </w:tcPr>
          <w:p>
            <w:pPr>
              <w:spacing w:line="240" w:lineRule="auto"/>
              <w:jc w:val="center"/>
            </w:pPr>
            <w:r/>
            <w:r>
              <w:rPr>
                <w:rFonts w:ascii="휴먼명조" w:eastAsia="휴먼명조" w:hAnsi="휴먼명조" w:cs="휴먼명조"/>
                <w:b w:val="0"/>
                <w:sz w:val="18"/>
                <w:w w:val="97"/>
              </w:rPr>
              <w:t>433</w:t>
            </w:r>
          </w:p>
        </w:tc>
        <w:tc>
          <w:tcPr>
            <w:tcW w:type="dxa" w:w="1240"/>
          </w:tcPr>
          <w:p>
            <w:pPr>
              <w:spacing w:line="240" w:lineRule="auto"/>
              <w:jc w:val="center"/>
            </w:pPr>
            <w:r/>
            <w:r>
              <w:rPr>
                <w:rFonts w:ascii="휴먼명조" w:eastAsia="휴먼명조" w:hAnsi="휴먼명조" w:cs="휴먼명조"/>
                <w:b w:val="0"/>
                <w:sz w:val="18"/>
                <w:w w:val="97"/>
              </w:rPr>
              <w:t>0.0647</w:t>
            </w:r>
          </w:p>
        </w:tc>
        <w:tc>
          <w:tcPr>
            <w:tcW w:type="dxa" w:w="1240"/>
          </w:tcPr>
          <w:p>
            <w:pPr>
              <w:spacing w:line="240" w:lineRule="auto"/>
              <w:jc w:val="center"/>
            </w:pPr>
            <w:r/>
            <w:r>
              <w:rPr>
                <w:rFonts w:ascii="휴먼명조" w:eastAsia="휴먼명조" w:hAnsi="휴먼명조" w:cs="휴먼명조"/>
                <w:b w:val="0"/>
                <w:sz w:val="18"/>
                <w:w w:val="97"/>
              </w:rPr>
              <w:t>0.1062</w:t>
            </w:r>
          </w:p>
        </w:tc>
        <w:tc>
          <w:tcPr>
            <w:tcW w:type="dxa" w:w="1240"/>
          </w:tcPr>
          <w:p>
            <w:pPr>
              <w:spacing w:line="240" w:lineRule="auto"/>
              <w:jc w:val="center"/>
            </w:pPr>
            <w:r/>
            <w:r>
              <w:rPr>
                <w:rFonts w:ascii="휴먼명조" w:eastAsia="휴먼명조" w:hAnsi="휴먼명조" w:cs="휴먼명조"/>
                <w:b w:val="0"/>
                <w:sz w:val="18"/>
                <w:w w:val="97"/>
              </w:rPr>
              <w:t>0.1478</w:t>
            </w:r>
          </w:p>
        </w:tc>
        <w:tc>
          <w:tcPr>
            <w:tcW w:type="dxa" w:w="1240"/>
          </w:tcPr>
          <w:p>
            <w:pPr>
              <w:spacing w:line="240" w:lineRule="auto"/>
              <w:jc w:val="center"/>
            </w:pPr>
            <w:r/>
            <w:r>
              <w:rPr>
                <w:rFonts w:ascii="휴먼명조" w:eastAsia="휴먼명조" w:hAnsi="휴먼명조" w:cs="휴먼명조"/>
                <w:b w:val="0"/>
                <w:sz w:val="18"/>
                <w:w w:val="97"/>
              </w:rPr>
              <w:t>0.0762</w:t>
            </w:r>
          </w:p>
        </w:tc>
      </w:tr>
      <w:tr>
        <w:tc>
          <w:tcPr>
            <w:tcW w:type="dxa" w:w="1240"/>
          </w:tcPr>
          <w:p>
            <w:pPr>
              <w:spacing w:line="240" w:lineRule="auto"/>
              <w:jc w:val="center"/>
            </w:pPr>
            <w:r/>
            <w:r>
              <w:rPr>
                <w:rFonts w:ascii="휴먼명조" w:eastAsia="휴먼명조" w:hAnsi="휴먼명조" w:cs="휴먼명조"/>
                <w:b w:val="0"/>
                <w:sz w:val="18"/>
                <w:w w:val="97"/>
              </w:rPr>
              <w:t>measurement</w:t>
            </w:r>
          </w:p>
        </w:tc>
        <w:tc>
          <w:tcPr>
            <w:tcW w:type="dxa" w:w="1240"/>
          </w:tcPr>
          <w:p>
            <w:pPr>
              <w:spacing w:line="240" w:lineRule="auto"/>
              <w:jc w:val="center"/>
            </w:pPr>
            <w:r/>
            <w:r>
              <w:rPr>
                <w:rFonts w:ascii="휴먼명조" w:eastAsia="휴먼명조" w:hAnsi="휴먼명조" w:cs="휴먼명조"/>
                <w:b w:val="0"/>
                <w:sz w:val="18"/>
                <w:w w:val="97"/>
              </w:rPr>
              <w:t>33</w:t>
            </w:r>
          </w:p>
        </w:tc>
        <w:tc>
          <w:tcPr>
            <w:tcW w:type="dxa" w:w="1240"/>
          </w:tcPr>
          <w:p>
            <w:pPr>
              <w:spacing w:line="240" w:lineRule="auto"/>
              <w:jc w:val="center"/>
            </w:pPr>
            <w:r/>
            <w:r>
              <w:rPr>
                <w:rFonts w:ascii="휴먼명조" w:eastAsia="휴먼명조" w:hAnsi="휴먼명조" w:cs="휴먼명조"/>
                <w:b w:val="0"/>
                <w:sz w:val="18"/>
                <w:w w:val="97"/>
              </w:rPr>
              <w:t>0.2121</w:t>
            </w:r>
          </w:p>
        </w:tc>
        <w:tc>
          <w:tcPr>
            <w:tcW w:type="dxa" w:w="1240"/>
          </w:tcPr>
          <w:p>
            <w:pPr>
              <w:spacing w:line="240" w:lineRule="auto"/>
              <w:jc w:val="center"/>
            </w:pPr>
            <w:r/>
            <w:r>
              <w:rPr>
                <w:rFonts w:ascii="휴먼명조" w:eastAsia="휴먼명조" w:hAnsi="휴먼명조" w:cs="휴먼명조"/>
                <w:b w:val="0"/>
                <w:sz w:val="18"/>
                <w:w w:val="97"/>
              </w:rPr>
              <w:t>0.0909</w:t>
            </w:r>
          </w:p>
        </w:tc>
        <w:tc>
          <w:tcPr>
            <w:tcW w:type="dxa" w:w="1240"/>
          </w:tcPr>
          <w:p>
            <w:pPr>
              <w:spacing w:line="240" w:lineRule="auto"/>
              <w:jc w:val="center"/>
            </w:pPr>
            <w:r/>
            <w:r>
              <w:rPr>
                <w:rFonts w:ascii="휴먼명조" w:eastAsia="휴먼명조" w:hAnsi="휴먼명조" w:cs="휴먼명조"/>
                <w:b w:val="0"/>
                <w:sz w:val="18"/>
                <w:w w:val="97"/>
              </w:rPr>
              <w:t>0.1515</w:t>
            </w:r>
          </w:p>
        </w:tc>
        <w:tc>
          <w:tcPr>
            <w:tcW w:type="dxa" w:w="1240"/>
          </w:tcPr>
          <w:p>
            <w:pPr>
              <w:spacing w:line="240" w:lineRule="auto"/>
              <w:jc w:val="center"/>
            </w:pPr>
            <w:r/>
            <w:r>
              <w:rPr>
                <w:rFonts w:ascii="휴먼명조" w:eastAsia="휴먼명조" w:hAnsi="휴먼명조" w:cs="휴먼명조"/>
                <w:b w:val="0"/>
                <w:sz w:val="18"/>
                <w:w w:val="97"/>
              </w:rPr>
              <w:t>0.0909</w:t>
            </w:r>
          </w:p>
        </w:tc>
      </w:tr>
      <w:tr>
        <w:tc>
          <w:tcPr>
            <w:tcW w:type="dxa" w:w="1240"/>
          </w:tcPr>
          <w:p>
            <w:pPr>
              <w:spacing w:line="240" w:lineRule="auto"/>
              <w:jc w:val="center"/>
            </w:pPr>
            <w:r/>
            <w:r>
              <w:rPr>
                <w:rFonts w:ascii="휴먼명조" w:eastAsia="휴먼명조" w:hAnsi="휴먼명조" w:cs="휴먼명조"/>
                <w:b w:val="0"/>
                <w:sz w:val="18"/>
                <w:w w:val="97"/>
              </w:rPr>
              <w:t>description</w:t>
            </w:r>
          </w:p>
        </w:tc>
        <w:tc>
          <w:tcPr>
            <w:tcW w:type="dxa" w:w="1240"/>
          </w:tcPr>
          <w:p>
            <w:pPr>
              <w:spacing w:line="240" w:lineRule="auto"/>
              <w:jc w:val="center"/>
            </w:pPr>
            <w:r/>
            <w:r>
              <w:rPr>
                <w:rFonts w:ascii="휴먼명조" w:eastAsia="휴먼명조" w:hAnsi="휴먼명조" w:cs="휴먼명조"/>
                <w:b w:val="0"/>
                <w:sz w:val="18"/>
                <w:w w:val="97"/>
              </w:rPr>
              <w:t>2,729</w:t>
            </w:r>
          </w:p>
        </w:tc>
        <w:tc>
          <w:tcPr>
            <w:tcW w:type="dxa" w:w="1240"/>
          </w:tcPr>
          <w:p>
            <w:pPr>
              <w:spacing w:line="240" w:lineRule="auto"/>
              <w:jc w:val="center"/>
            </w:pPr>
            <w:r/>
            <w:r>
              <w:rPr>
                <w:rFonts w:ascii="휴먼명조" w:eastAsia="휴먼명조" w:hAnsi="휴먼명조" w:cs="휴먼명조"/>
                <w:b w:val="0"/>
                <w:sz w:val="18"/>
                <w:w w:val="97"/>
              </w:rPr>
              <w:t>0.0425</w:t>
            </w:r>
          </w:p>
        </w:tc>
        <w:tc>
          <w:tcPr>
            <w:tcW w:type="dxa" w:w="1240"/>
          </w:tcPr>
          <w:p>
            <w:pPr>
              <w:spacing w:line="240" w:lineRule="auto"/>
              <w:jc w:val="center"/>
            </w:pPr>
            <w:r/>
            <w:r>
              <w:rPr>
                <w:rFonts w:ascii="휴먼명조" w:eastAsia="휴먼명조" w:hAnsi="휴먼명조" w:cs="휴먼명조"/>
                <w:b w:val="0"/>
                <w:sz w:val="18"/>
                <w:w w:val="97"/>
              </w:rPr>
              <w:t>0.0224</w:t>
            </w:r>
          </w:p>
        </w:tc>
        <w:tc>
          <w:tcPr>
            <w:tcW w:type="dxa" w:w="1240"/>
          </w:tcPr>
          <w:p>
            <w:pPr>
              <w:spacing w:line="240" w:lineRule="auto"/>
              <w:jc w:val="center"/>
            </w:pPr>
            <w:r/>
            <w:r>
              <w:rPr>
                <w:rFonts w:ascii="휴먼명조" w:eastAsia="휴먼명조" w:hAnsi="휴먼명조" w:cs="휴먼명조"/>
                <w:b w:val="0"/>
                <w:sz w:val="18"/>
                <w:w w:val="97"/>
              </w:rPr>
              <w:t>0.0447</w:t>
            </w:r>
          </w:p>
        </w:tc>
        <w:tc>
          <w:tcPr>
            <w:tcW w:type="dxa" w:w="1240"/>
          </w:tcPr>
          <w:p>
            <w:pPr>
              <w:spacing w:line="240" w:lineRule="auto"/>
              <w:jc w:val="center"/>
            </w:pPr>
            <w:r/>
            <w:r>
              <w:rPr>
                <w:rFonts w:ascii="휴먼명조" w:eastAsia="휴먼명조" w:hAnsi="휴먼명조" w:cs="휴먼명조"/>
                <w:b w:val="0"/>
                <w:sz w:val="18"/>
                <w:w w:val="97"/>
              </w:rPr>
              <w:t>0.0198</w:t>
            </w:r>
          </w:p>
        </w:tc>
      </w:tr>
      <w:tr>
        <w:tc>
          <w:tcPr>
            <w:tcW w:type="dxa" w:w="1240"/>
          </w:tcPr>
          <w:p>
            <w:pPr>
              <w:spacing w:line="240" w:lineRule="auto"/>
              <w:jc w:val="center"/>
            </w:pPr>
            <w:r/>
            <w:r>
              <w:rPr>
                <w:rFonts w:ascii="휴먼명조" w:eastAsia="휴먼명조" w:hAnsi="휴먼명조" w:cs="휴먼명조"/>
                <w:b w:val="0"/>
                <w:sz w:val="18"/>
                <w:w w:val="97"/>
              </w:rPr>
              <w:t>temporal</w:t>
            </w:r>
          </w:p>
        </w:tc>
        <w:tc>
          <w:tcPr>
            <w:tcW w:type="dxa" w:w="1240"/>
          </w:tcPr>
          <w:p>
            <w:pPr>
              <w:spacing w:line="240" w:lineRule="auto"/>
              <w:jc w:val="center"/>
            </w:pPr>
            <w:r/>
            <w:r>
              <w:rPr>
                <w:rFonts w:ascii="휴먼명조" w:eastAsia="휴먼명조" w:hAnsi="휴먼명조" w:cs="휴먼명조"/>
                <w:b w:val="0"/>
                <w:sz w:val="18"/>
                <w:w w:val="97"/>
              </w:rPr>
              <w:t>9</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r>
      <w:tr>
        <w:tc>
          <w:tcPr>
            <w:tcW w:type="dxa" w:w="1240"/>
          </w:tcPr>
          <w:p>
            <w:pPr>
              <w:spacing w:line="240" w:lineRule="auto"/>
              <w:jc w:val="center"/>
            </w:pPr>
            <w:r/>
            <w:r>
              <w:rPr>
                <w:rFonts w:ascii="휴먼명조" w:eastAsia="휴먼명조" w:hAnsi="휴먼명조" w:cs="휴먼명조"/>
                <w:b w:val="0"/>
                <w:sz w:val="18"/>
                <w:w w:val="97"/>
              </w:rPr>
              <w:t>yes_no</w:t>
            </w:r>
          </w:p>
        </w:tc>
        <w:tc>
          <w:tcPr>
            <w:tcW w:type="dxa" w:w="1240"/>
          </w:tcPr>
          <w:p>
            <w:pPr>
              <w:spacing w:line="240" w:lineRule="auto"/>
              <w:jc w:val="center"/>
            </w:pPr>
            <w:r/>
            <w:r>
              <w:rPr>
                <w:rFonts w:ascii="휴먼명조" w:eastAsia="휴먼명조" w:hAnsi="휴먼명조" w:cs="휴먼명조"/>
                <w:b w:val="0"/>
                <w:sz w:val="18"/>
                <w:w w:val="97"/>
              </w:rPr>
              <w:t>3,362</w:t>
            </w:r>
          </w:p>
        </w:tc>
        <w:tc>
          <w:tcPr>
            <w:tcW w:type="dxa" w:w="1240"/>
          </w:tcPr>
          <w:p>
            <w:pPr>
              <w:spacing w:line="240" w:lineRule="auto"/>
              <w:jc w:val="center"/>
            </w:pPr>
            <w:r/>
            <w:r>
              <w:rPr>
                <w:rFonts w:ascii="휴먼명조" w:eastAsia="휴먼명조" w:hAnsi="휴먼명조" w:cs="휴먼명조"/>
                <w:b w:val="0"/>
                <w:sz w:val="18"/>
                <w:w w:val="97"/>
              </w:rPr>
              <w:t>0.1633</w:t>
            </w:r>
          </w:p>
        </w:tc>
        <w:tc>
          <w:tcPr>
            <w:tcW w:type="dxa" w:w="1240"/>
          </w:tcPr>
          <w:p>
            <w:pPr>
              <w:spacing w:line="240" w:lineRule="auto"/>
              <w:jc w:val="center"/>
            </w:pPr>
            <w:r/>
            <w:r>
              <w:rPr>
                <w:rFonts w:ascii="휴먼명조" w:eastAsia="휴먼명조" w:hAnsi="휴먼명조" w:cs="휴먼명조"/>
                <w:b w:val="0"/>
                <w:sz w:val="18"/>
                <w:w w:val="97"/>
              </w:rPr>
              <w:t>0.6130</w:t>
            </w:r>
          </w:p>
        </w:tc>
        <w:tc>
          <w:tcPr>
            <w:tcW w:type="dxa" w:w="1240"/>
          </w:tcPr>
          <w:p>
            <w:pPr>
              <w:spacing w:line="240" w:lineRule="auto"/>
              <w:jc w:val="center"/>
            </w:pPr>
            <w:r/>
            <w:r>
              <w:rPr>
                <w:rFonts w:ascii="휴먼명조" w:eastAsia="휴먼명조" w:hAnsi="휴먼명조" w:cs="휴먼명조"/>
                <w:b w:val="0"/>
                <w:sz w:val="18"/>
                <w:w w:val="97"/>
              </w:rPr>
              <w:t>0.6336</w:t>
            </w:r>
          </w:p>
        </w:tc>
        <w:tc>
          <w:tcPr>
            <w:tcW w:type="dxa" w:w="1240"/>
          </w:tcPr>
          <w:p>
            <w:pPr>
              <w:spacing w:line="240" w:lineRule="auto"/>
              <w:jc w:val="center"/>
            </w:pPr>
            <w:r/>
            <w:r>
              <w:rPr>
                <w:rFonts w:ascii="휴먼명조" w:eastAsia="휴먼명조" w:hAnsi="휴먼명조" w:cs="휴먼명조"/>
                <w:b w:val="0"/>
                <w:sz w:val="18"/>
                <w:w w:val="97"/>
              </w:rPr>
              <w:t>0.5892</w:t>
            </w:r>
          </w:p>
        </w:tc>
      </w:tr>
      <w:tr>
        <w:tc>
          <w:tcPr>
            <w:tcW w:type="dxa" w:w="1240"/>
          </w:tcPr>
          <w:p>
            <w:pPr>
              <w:spacing w:line="240" w:lineRule="auto"/>
              <w:jc w:val="center"/>
            </w:pPr>
            <w:r/>
            <w:r>
              <w:rPr>
                <w:rFonts w:ascii="휴먼명조" w:eastAsia="휴먼명조" w:hAnsi="휴먼명조" w:cs="휴먼명조"/>
                <w:b w:val="0"/>
                <w:sz w:val="18"/>
                <w:w w:val="97"/>
              </w:rPr>
              <w:t>unknown</w:t>
            </w:r>
          </w:p>
        </w:tc>
        <w:tc>
          <w:tcPr>
            <w:tcW w:type="dxa" w:w="1240"/>
          </w:tcPr>
          <w:p>
            <w:pPr>
              <w:spacing w:line="240" w:lineRule="auto"/>
              <w:jc w:val="center"/>
            </w:pPr>
            <w:r/>
            <w:r>
              <w:rPr>
                <w:rFonts w:ascii="휴먼명조" w:eastAsia="휴먼명조" w:hAnsi="휴먼명조" w:cs="휴먼명조"/>
                <w:b w:val="0"/>
                <w:sz w:val="18"/>
                <w:w w:val="97"/>
              </w:rPr>
              <w:t>130</w:t>
            </w:r>
          </w:p>
        </w:tc>
        <w:tc>
          <w:tcPr>
            <w:tcW w:type="dxa" w:w="1240"/>
          </w:tcPr>
          <w:p>
            <w:pPr>
              <w:spacing w:line="240" w:lineRule="auto"/>
              <w:jc w:val="center"/>
            </w:pPr>
            <w:r/>
            <w:r>
              <w:rPr>
                <w:rFonts w:ascii="휴먼명조" w:eastAsia="휴먼명조" w:hAnsi="휴먼명조" w:cs="휴먼명조"/>
                <w:b w:val="0"/>
                <w:sz w:val="18"/>
                <w:w w:val="97"/>
              </w:rPr>
              <w:t>0.0692</w:t>
            </w:r>
          </w:p>
        </w:tc>
        <w:tc>
          <w:tcPr>
            <w:tcW w:type="dxa" w:w="1240"/>
          </w:tcPr>
          <w:p>
            <w:pPr>
              <w:spacing w:line="240" w:lineRule="auto"/>
              <w:jc w:val="center"/>
            </w:pPr>
            <w:r/>
            <w:r>
              <w:rPr>
                <w:rFonts w:ascii="휴먼명조" w:eastAsia="휴먼명조" w:hAnsi="휴먼명조" w:cs="휴먼명조"/>
                <w:b w:val="0"/>
                <w:sz w:val="18"/>
                <w:w w:val="97"/>
              </w:rPr>
              <w:t>0.0692</w:t>
            </w:r>
          </w:p>
        </w:tc>
        <w:tc>
          <w:tcPr>
            <w:tcW w:type="dxa" w:w="1240"/>
          </w:tcPr>
          <w:p>
            <w:pPr>
              <w:spacing w:line="240" w:lineRule="auto"/>
              <w:jc w:val="center"/>
            </w:pPr>
            <w:r/>
            <w:r>
              <w:rPr>
                <w:rFonts w:ascii="휴먼명조" w:eastAsia="휴먼명조" w:hAnsi="휴먼명조" w:cs="휴먼명조"/>
                <w:b w:val="0"/>
                <w:sz w:val="18"/>
                <w:w w:val="97"/>
              </w:rPr>
              <w:t>0.0923</w:t>
            </w:r>
          </w:p>
        </w:tc>
        <w:tc>
          <w:tcPr>
            <w:tcW w:type="dxa" w:w="1240"/>
          </w:tcPr>
          <w:p>
            <w:pPr>
              <w:spacing w:line="240" w:lineRule="auto"/>
              <w:jc w:val="center"/>
            </w:pPr>
            <w:r/>
            <w:r>
              <w:rPr>
                <w:rFonts w:ascii="휴먼명조" w:eastAsia="휴먼명조" w:hAnsi="휴먼명조" w:cs="휴먼명조"/>
                <w:b w:val="0"/>
                <w:sz w:val="18"/>
                <w:w w:val="97"/>
              </w:rPr>
              <w:t>0.0154</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most striking pattern is that </w:t>
      </w:r>
      <w:r>
        <w:rPr>
          <w:rFonts w:ascii="휴먼명조" w:eastAsia="휴먼명조" w:hAnsi="휴먼명조" w:cs="휴먼명조"/>
          <w:b/>
          <w:sz w:val="22"/>
          <w:w w:val="97"/>
        </w:rPr>
        <w:t>all four models score exactly 0.0000 on the diagnosis and temporal question types</w:t>
      </w:r>
      <w:r>
        <w:rPr>
          <w:rFonts w:ascii="휴먼명조" w:eastAsia="휴먼명조" w:hAnsi="휴먼명조" w:cs="휴먼명조"/>
          <w:b w:val="0"/>
          <w:sz w:val="22"/>
          <w:w w:val="97"/>
        </w:rPr>
        <w:t>. Although diagnosis carries 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pPr>
        <w:spacing w:line="384" w:lineRule="auto" w:after="0"/>
        <w:ind w:firstLine="220"/>
        <w:jc w:val="both"/>
      </w:pPr>
      <w:r>
        <w:rPr>
          <w:rFonts w:ascii="휴먼명조" w:eastAsia="휴먼명조" w:hAnsi="휴먼명조" w:cs="휴먼명조"/>
          <w:b w:val="0"/>
          <w:sz w:val="22"/>
          <w:w w:val="97"/>
        </w:rPr>
        <w:t xml:space="preserve">Conversely, </w:t>
      </w:r>
      <w:r>
        <w:rPr>
          <w:rFonts w:ascii="휴먼명조" w:eastAsia="휴먼명조" w:hAnsi="휴먼명조" w:cs="휴먼명조"/>
          <w:b/>
          <w:sz w:val="22"/>
          <w:w w:val="97"/>
        </w:rPr>
        <w:t>the yes_no type shows relatively high accuracy</w:t>
      </w:r>
      <w:r>
        <w:rPr>
          <w:rFonts w:ascii="휴먼명조" w:eastAsia="휴먼명조" w:hAnsi="휴먼명조" w:cs="휴먼명조"/>
          <w:b w:val="0"/>
          <w:sz w:val="22"/>
          <w:w w:val="97"/>
        </w:rPr>
        <w:t xml:space="preserve"> (for example, 0.6336 for Qwen3-VL-2B), and the ranking across models largely matches the overall ranking in Section 4.1.1 (Qwen3-VL-2B &gt; Qwen2.5-VL-3B &gt; SmolVLM2-2.2B ≫ Gemma4-E2B). Gemma4-E2B, however, lags far behind the other three even on yes_no (0.1633 versus 0.59-0.63), confirming that its overall inferiority in Section 4.1.1 is not confined to particular types but extends across all of them.</w:t>
      </w:r>
    </w:p>
    <w:p>
      <w:pPr>
        <w:spacing w:line="384" w:lineRule="auto" w:after="0"/>
        <w:ind w:firstLine="220"/>
        <w:jc w:val="both"/>
      </w:pPr>
      <w:r>
        <w:rPr>
          <w:rFonts w:ascii="휴먼명조" w:eastAsia="휴먼명조" w:hAnsi="휴먼명조" w:cs="휴먼명조"/>
          <w:b w:val="0"/>
          <w:sz w:val="22"/>
          <w:w w:val="97"/>
        </w:rPr>
        <w:t xml:space="preserve">In summary, zero-shot lightweight VLMs </w:t>
      </w:r>
      <w:r>
        <w:rPr>
          <w:rFonts w:ascii="휴먼명조" w:eastAsia="휴먼명조" w:hAnsi="휴먼명조" w:cs="휴먼명조"/>
          <w:b/>
          <w:sz w:val="22"/>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b w:val="0"/>
          <w:sz w:val="22"/>
          <w:w w:val="97"/>
        </w:rPr>
        <w:t xml:space="preserve"> This supports the need for RQ2 (the effect of fine-tuning), and is discussed in connection with how these type-level gaps change after fine-tuning in Section 4.2 (clinical significance analysis in Section 4.2.5).</w:t>
      </w:r>
    </w:p>
    <w:p>
      <w:pPr>
        <w:spacing w:line="384" w:lineRule="auto" w:after="0"/>
        <w:jc w:val="left"/>
        <w:outlineLvl w:val="1"/>
      </w:pPr>
      <w:r>
        <w:rPr>
          <w:rFonts w:ascii="휴먼명조" w:eastAsia="휴먼명조" w:hAnsi="휴먼명조" w:cs="휴먼명조"/>
          <w:b/>
          <w:sz w:val="28"/>
          <w:w w:val="97"/>
        </w:rPr>
        <w:t>4.2 Phase 2: QLoRA Fine-Tuning Results</w:t>
      </w:r>
    </w:p>
    <w:p>
      <w:pPr>
        <w:spacing w:line="384" w:lineRule="auto" w:after="0"/>
        <w:ind w:firstLine="220"/>
        <w:jc w:val="both"/>
      </w:pPr>
      <w:r>
        <w:rPr>
          <w:rFonts w:ascii="휴먼명조" w:eastAsia="휴먼명조" w:hAnsi="휴먼명조" w:cs="휴먼명조"/>
          <w:b w:val="0"/>
          <w:sz w:val="22"/>
          <w:w w:val="97"/>
        </w:rPr>
        <w:t>Phase 2 fine-tuned each of the four models on each of the three datasets with QLoRA (rank = 64, alpha = 128, target = all-linear, ceiling max_steps=500) and verified RQ2 ("does domain-specific fine-tuning significantly improve performance over zero-shot?"). In addition to the 36 main conditions (4 models × 3 datasets × 3 seeds), 39 further conditions were run under fixed Qwen3-VL-2B and PathVQA settings for Ablation A (data ratio), B (LoRA rank), and C (target modules), giving 75 conditions in total.</w:t>
      </w:r>
    </w:p>
    <w:p>
      <w:pPr>
        <w:spacing w:line="384" w:lineRule="auto" w:after="0"/>
        <w:jc w:val="left"/>
        <w:outlineLvl w:val="2"/>
      </w:pPr>
      <w:r>
        <w:rPr>
          <w:rFonts w:ascii="휴먼명조" w:eastAsia="휴먼명조" w:hAnsi="휴먼명조" w:cs="휴먼명조"/>
          <w:b/>
          <w:sz w:val="22"/>
          <w:w w:val="97"/>
        </w:rPr>
        <w:t>4.2.1 Base vs Fine-Tuned Performance</w:t>
      </w:r>
    </w:p>
    <w:p>
      <w:pPr>
        <w:pStyle w:val="표캡션"/>
        <w:spacing w:line="384" w:lineRule="auto" w:after="0"/>
        <w:jc w:val="center"/>
      </w:pPr>
      <w:r>
        <w:rPr>
          <w:rFonts w:ascii="휴먼명조" w:eastAsia="휴먼명조" w:hAnsi="휴먼명조" w:cs="휴먼명조"/>
          <w:b/>
          <w:sz w:val="22"/>
          <w:w w:val="97"/>
        </w:rPr>
        <w:t>Table 4.2. Fine-tuning effect by model (paired, n = 9 = 3 datasets × 3 seeds)</w:t>
      </w:r>
    </w:p>
    <w:tbl>
      <w:tblPr>
        <w:tblW w:type="auto" w:w="0"/>
        <w:tblLook w:firstColumn="1" w:firstRow="1" w:lastColumn="0" w:lastRow="0" w:noHBand="0" w:noVBand="1" w:val="04A0"/>
      </w:tblPr>
      <w:tblGrid>
        <w:gridCol w:w="1063"/>
        <w:gridCol w:w="1063"/>
        <w:gridCol w:w="1063"/>
        <w:gridCol w:w="1063"/>
        <w:gridCol w:w="1063"/>
        <w:gridCol w:w="1063"/>
        <w:gridCol w:w="1063"/>
      </w:tblGrid>
      <w:tr>
        <w:tc>
          <w:tcPr>
            <w:tcW w:type="dxa" w:w="1063"/>
          </w:tcPr>
          <w:p>
            <w:pPr>
              <w:spacing w:line="240" w:lineRule="auto"/>
              <w:jc w:val="center"/>
            </w:pPr>
            <w:r/>
            <w:r>
              <w:rPr>
                <w:rFonts w:ascii="휴먼명조" w:eastAsia="휴먼명조" w:hAnsi="휴먼명조" w:cs="휴먼명조"/>
                <w:b/>
                <w:sz w:val="18"/>
                <w:w w:val="97"/>
              </w:rPr>
              <w:t>Model</w:t>
            </w:r>
          </w:p>
        </w:tc>
        <w:tc>
          <w:tcPr>
            <w:tcW w:type="dxa" w:w="1063"/>
          </w:tcPr>
          <w:p>
            <w:pPr>
              <w:spacing w:line="240" w:lineRule="auto"/>
              <w:jc w:val="center"/>
            </w:pPr>
            <w:r/>
            <w:r>
              <w:rPr>
                <w:rFonts w:ascii="휴먼명조" w:eastAsia="휴먼명조" w:hAnsi="휴먼명조" w:cs="휴먼명조"/>
                <w:b/>
                <w:sz w:val="18"/>
                <w:w w:val="97"/>
              </w:rPr>
              <w:t>Base Acc</w:t>
            </w:r>
          </w:p>
        </w:tc>
        <w:tc>
          <w:tcPr>
            <w:tcW w:type="dxa" w:w="1063"/>
          </w:tcPr>
          <w:p>
            <w:pPr>
              <w:spacing w:line="240" w:lineRule="auto"/>
              <w:jc w:val="center"/>
            </w:pPr>
            <w:r/>
            <w:r>
              <w:rPr>
                <w:rFonts w:ascii="휴먼명조" w:eastAsia="휴먼명조" w:hAnsi="휴먼명조" w:cs="휴먼명조"/>
                <w:b/>
                <w:sz w:val="18"/>
                <w:w w:val="97"/>
              </w:rPr>
              <w:t>FT Acc</w:t>
            </w:r>
          </w:p>
        </w:tc>
        <w:tc>
          <w:tcPr>
            <w:tcW w:type="dxa" w:w="1063"/>
          </w:tcPr>
          <w:p>
            <w:pPr>
              <w:spacing w:line="240" w:lineRule="auto"/>
              <w:jc w:val="center"/>
            </w:pPr>
            <w:r/>
            <w:r>
              <w:rPr>
                <w:rFonts w:ascii="휴먼명조" w:eastAsia="휴먼명조" w:hAnsi="휴먼명조" w:cs="휴먼명조"/>
                <w:b/>
                <w:sz w:val="18"/>
                <w:w w:val="97"/>
              </w:rPr>
              <w:t>Cohen's d</w:t>
            </w:r>
          </w:p>
        </w:tc>
        <w:tc>
          <w:tcPr>
            <w:tcW w:type="dxa" w:w="1063"/>
          </w:tcPr>
          <w:p>
            <w:pPr>
              <w:spacing w:line="240" w:lineRule="auto"/>
              <w:jc w:val="center"/>
            </w:pPr>
            <w:r/>
            <w:r>
              <w:rPr>
                <w:rFonts w:ascii="휴먼명조" w:eastAsia="휴먼명조" w:hAnsi="휴먼명조" w:cs="휴먼명조"/>
                <w:b/>
                <w:sz w:val="18"/>
                <w:w w:val="97"/>
              </w:rPr>
              <w:t>d 95% CI (BCa)</w:t>
            </w:r>
          </w:p>
        </w:tc>
        <w:tc>
          <w:tcPr>
            <w:tcW w:type="dxa" w:w="1063"/>
          </w:tcPr>
          <w:p>
            <w:pPr>
              <w:spacing w:line="240" w:lineRule="auto"/>
              <w:jc w:val="center"/>
            </w:pPr>
            <w:r/>
            <w:r>
              <w:rPr>
                <w:rFonts w:ascii="휴먼명조" w:eastAsia="휴먼명조" w:hAnsi="휴먼명조" w:cs="휴먼명조"/>
                <w:b/>
                <w:sz w:val="18"/>
                <w:w w:val="97"/>
              </w:rPr>
              <w:t>paired t-test p</w:t>
            </w:r>
          </w:p>
        </w:tc>
        <w:tc>
          <w:tcPr>
            <w:tcW w:type="dxa" w:w="1063"/>
          </w:tcPr>
          <w:p>
            <w:pPr>
              <w:spacing w:line="240" w:lineRule="auto"/>
              <w:jc w:val="center"/>
            </w:pPr>
            <w:r/>
            <w:r>
              <w:rPr>
                <w:rFonts w:ascii="휴먼명조" w:eastAsia="휴먼명조" w:hAnsi="휴먼명조" w:cs="휴먼명조"/>
                <w:b/>
                <w:sz w:val="18"/>
                <w:w w:val="97"/>
              </w:rPr>
              <w:t>Wilcoxon p</w:t>
            </w:r>
          </w:p>
        </w:tc>
      </w:tr>
      <w:tr>
        <w:tc>
          <w:tcPr>
            <w:tcW w:type="dxa" w:w="1063"/>
          </w:tcPr>
          <w:p>
            <w:pPr>
              <w:spacing w:line="240" w:lineRule="auto"/>
              <w:jc w:val="center"/>
            </w:pPr>
            <w:r/>
            <w:r>
              <w:rPr>
                <w:rFonts w:ascii="휴먼명조" w:eastAsia="휴먼명조" w:hAnsi="휴먼명조" w:cs="휴먼명조"/>
                <w:b w:val="0"/>
                <w:sz w:val="18"/>
                <w:w w:val="97"/>
              </w:rPr>
              <w:t>Qwen2.5-VL-3B</w:t>
            </w:r>
          </w:p>
        </w:tc>
        <w:tc>
          <w:tcPr>
            <w:tcW w:type="dxa" w:w="1063"/>
          </w:tcPr>
          <w:p>
            <w:pPr>
              <w:spacing w:line="240" w:lineRule="auto"/>
              <w:jc w:val="center"/>
            </w:pPr>
            <w:r/>
            <w:r>
              <w:rPr>
                <w:rFonts w:ascii="휴먼명조" w:eastAsia="휴먼명조" w:hAnsi="휴먼명조" w:cs="휴먼명조"/>
                <w:b w:val="0"/>
                <w:sz w:val="18"/>
                <w:w w:val="97"/>
              </w:rPr>
              <w:t>0.4582</w:t>
            </w:r>
          </w:p>
        </w:tc>
        <w:tc>
          <w:tcPr>
            <w:tcW w:type="dxa" w:w="1063"/>
          </w:tcPr>
          <w:p>
            <w:pPr>
              <w:spacing w:line="240" w:lineRule="auto"/>
              <w:jc w:val="center"/>
            </w:pPr>
            <w:r/>
            <w:r>
              <w:rPr>
                <w:rFonts w:ascii="휴먼명조" w:eastAsia="휴먼명조" w:hAnsi="휴먼명조" w:cs="휴먼명조"/>
                <w:b w:val="0"/>
                <w:sz w:val="18"/>
                <w:w w:val="97"/>
              </w:rPr>
              <w:t>0.5749</w:t>
            </w:r>
          </w:p>
        </w:tc>
        <w:tc>
          <w:tcPr>
            <w:tcW w:type="dxa" w:w="1063"/>
          </w:tcPr>
          <w:p>
            <w:pPr>
              <w:spacing w:line="240" w:lineRule="auto"/>
              <w:jc w:val="center"/>
            </w:pPr>
            <w:r/>
            <w:r>
              <w:rPr>
                <w:rFonts w:ascii="휴먼명조" w:eastAsia="휴먼명조" w:hAnsi="휴먼명조" w:cs="휴먼명조"/>
                <w:b/>
                <w:sz w:val="18"/>
                <w:w w:val="97"/>
              </w:rPr>
              <w:t>+2.646</w:t>
            </w:r>
          </w:p>
        </w:tc>
        <w:tc>
          <w:tcPr>
            <w:tcW w:type="dxa" w:w="1063"/>
          </w:tcPr>
          <w:p>
            <w:pPr>
              <w:spacing w:line="240" w:lineRule="auto"/>
              <w:jc w:val="center"/>
            </w:pPr>
            <w:r/>
            <w:r>
              <w:rPr>
                <w:rFonts w:ascii="휴먼명조" w:eastAsia="휴먼명조" w:hAnsi="휴먼명조" w:cs="휴먼명조"/>
                <w:b w:val="0"/>
                <w:sz w:val="18"/>
                <w:w w:val="97"/>
              </w:rPr>
              <w:t>[1.953, 4.723]</w:t>
            </w:r>
          </w:p>
        </w:tc>
        <w:tc>
          <w:tcPr>
            <w:tcW w:type="dxa" w:w="1063"/>
          </w:tcPr>
          <w:p>
            <w:pPr>
              <w:spacing w:line="240" w:lineRule="auto"/>
              <w:jc w:val="center"/>
            </w:pPr>
            <w:r/>
            <w:r>
              <w:rPr>
                <w:rFonts w:ascii="휴먼명조" w:eastAsia="휴먼명조" w:hAnsi="휴먼명조" w:cs="휴먼명조"/>
                <w:b w:val="0"/>
                <w:sz w:val="18"/>
                <w:w w:val="97"/>
              </w:rPr>
              <w:t>&lt; .001</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Qwen3-VL-2B</w:t>
            </w:r>
          </w:p>
        </w:tc>
        <w:tc>
          <w:tcPr>
            <w:tcW w:type="dxa" w:w="1063"/>
          </w:tcPr>
          <w:p>
            <w:pPr>
              <w:spacing w:line="240" w:lineRule="auto"/>
              <w:jc w:val="center"/>
            </w:pPr>
            <w:r/>
            <w:r>
              <w:rPr>
                <w:rFonts w:ascii="휴먼명조" w:eastAsia="휴먼명조" w:hAnsi="휴먼명조" w:cs="휴먼명조"/>
                <w:b w:val="0"/>
                <w:sz w:val="18"/>
                <w:w w:val="97"/>
              </w:rPr>
              <w:t>0.4725</w:t>
            </w:r>
          </w:p>
        </w:tc>
        <w:tc>
          <w:tcPr>
            <w:tcW w:type="dxa" w:w="1063"/>
          </w:tcPr>
          <w:p>
            <w:pPr>
              <w:spacing w:line="240" w:lineRule="auto"/>
              <w:jc w:val="center"/>
            </w:pPr>
            <w:r/>
            <w:r>
              <w:rPr>
                <w:rFonts w:ascii="휴먼명조" w:eastAsia="휴먼명조" w:hAnsi="휴먼명조" w:cs="휴먼명조"/>
                <w:b w:val="0"/>
                <w:sz w:val="18"/>
                <w:w w:val="97"/>
              </w:rPr>
              <w:t>0.5845</w:t>
            </w:r>
          </w:p>
        </w:tc>
        <w:tc>
          <w:tcPr>
            <w:tcW w:type="dxa" w:w="1063"/>
          </w:tcPr>
          <w:p>
            <w:pPr>
              <w:spacing w:line="240" w:lineRule="auto"/>
              <w:jc w:val="center"/>
            </w:pPr>
            <w:r/>
            <w:r>
              <w:rPr>
                <w:rFonts w:ascii="휴먼명조" w:eastAsia="휴먼명조" w:hAnsi="휴먼명조" w:cs="휴먼명조"/>
                <w:b/>
                <w:sz w:val="18"/>
                <w:w w:val="97"/>
              </w:rPr>
              <w:t>+1.620</w:t>
            </w:r>
          </w:p>
        </w:tc>
        <w:tc>
          <w:tcPr>
            <w:tcW w:type="dxa" w:w="1063"/>
          </w:tcPr>
          <w:p>
            <w:pPr>
              <w:spacing w:line="240" w:lineRule="auto"/>
              <w:jc w:val="center"/>
            </w:pPr>
            <w:r/>
            <w:r>
              <w:rPr>
                <w:rFonts w:ascii="휴먼명조" w:eastAsia="휴먼명조" w:hAnsi="휴먼명조" w:cs="휴먼명조"/>
                <w:b w:val="0"/>
                <w:sz w:val="18"/>
                <w:w w:val="97"/>
              </w:rPr>
              <w:t>[0.932, 3.153]</w:t>
            </w:r>
          </w:p>
        </w:tc>
        <w:tc>
          <w:tcPr>
            <w:tcW w:type="dxa" w:w="1063"/>
          </w:tcPr>
          <w:p>
            <w:pPr>
              <w:spacing w:line="240" w:lineRule="auto"/>
              <w:jc w:val="center"/>
            </w:pPr>
            <w:r/>
            <w:r>
              <w:rPr>
                <w:rFonts w:ascii="휴먼명조" w:eastAsia="휴먼명조" w:hAnsi="휴먼명조" w:cs="휴먼명조"/>
                <w:b w:val="0"/>
                <w:sz w:val="18"/>
                <w:w w:val="97"/>
              </w:rPr>
              <w:t>.0013</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SmolVLM2-2.2B</w:t>
            </w:r>
          </w:p>
        </w:tc>
        <w:tc>
          <w:tcPr>
            <w:tcW w:type="dxa" w:w="1063"/>
          </w:tcPr>
          <w:p>
            <w:pPr>
              <w:spacing w:line="240" w:lineRule="auto"/>
              <w:jc w:val="center"/>
            </w:pPr>
            <w:r/>
            <w:r>
              <w:rPr>
                <w:rFonts w:ascii="휴먼명조" w:eastAsia="휴먼명조" w:hAnsi="휴먼명조" w:cs="휴먼명조"/>
                <w:b w:val="0"/>
                <w:sz w:val="18"/>
                <w:w w:val="97"/>
              </w:rPr>
              <w:t>0.4253</w:t>
            </w:r>
          </w:p>
        </w:tc>
        <w:tc>
          <w:tcPr>
            <w:tcW w:type="dxa" w:w="1063"/>
          </w:tcPr>
          <w:p>
            <w:pPr>
              <w:spacing w:line="240" w:lineRule="auto"/>
              <w:jc w:val="center"/>
            </w:pPr>
            <w:r/>
            <w:r>
              <w:rPr>
                <w:rFonts w:ascii="휴먼명조" w:eastAsia="휴먼명조" w:hAnsi="휴먼명조" w:cs="휴먼명조"/>
                <w:b w:val="0"/>
                <w:sz w:val="18"/>
                <w:w w:val="97"/>
              </w:rPr>
              <w:t>0.4036</w:t>
            </w:r>
          </w:p>
        </w:tc>
        <w:tc>
          <w:tcPr>
            <w:tcW w:type="dxa" w:w="1063"/>
          </w:tcPr>
          <w:p>
            <w:pPr>
              <w:spacing w:line="240" w:lineRule="auto"/>
              <w:jc w:val="center"/>
            </w:pPr>
            <w:r/>
            <w:r>
              <w:rPr>
                <w:rFonts w:ascii="휴먼명조" w:eastAsia="휴먼명조" w:hAnsi="휴먼명조" w:cs="휴먼명조"/>
                <w:b/>
                <w:sz w:val="18"/>
                <w:w w:val="97"/>
              </w:rPr>
              <w:t>-2.284</w:t>
            </w:r>
          </w:p>
        </w:tc>
        <w:tc>
          <w:tcPr>
            <w:tcW w:type="dxa" w:w="1063"/>
          </w:tcPr>
          <w:p>
            <w:pPr>
              <w:spacing w:line="240" w:lineRule="auto"/>
              <w:jc w:val="center"/>
            </w:pPr>
            <w:r/>
            <w:r>
              <w:rPr>
                <w:rFonts w:ascii="휴먼명조" w:eastAsia="휴먼명조" w:hAnsi="휴먼명조" w:cs="휴먼명조"/>
                <w:b w:val="0"/>
                <w:sz w:val="18"/>
                <w:w w:val="97"/>
              </w:rPr>
              <w:t>[-3.160, -1.552]</w:t>
            </w:r>
          </w:p>
        </w:tc>
        <w:tc>
          <w:tcPr>
            <w:tcW w:type="dxa" w:w="1063"/>
          </w:tcPr>
          <w:p>
            <w:pPr>
              <w:spacing w:line="240" w:lineRule="auto"/>
              <w:jc w:val="center"/>
            </w:pPr>
            <w:r/>
            <w:r>
              <w:rPr>
                <w:rFonts w:ascii="휴먼명조" w:eastAsia="휴먼명조" w:hAnsi="휴먼명조" w:cs="휴먼명조"/>
                <w:b w:val="0"/>
                <w:sz w:val="18"/>
                <w:w w:val="97"/>
              </w:rPr>
              <w:t>&lt; .001</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Gemma4-E2B</w:t>
            </w:r>
          </w:p>
        </w:tc>
        <w:tc>
          <w:tcPr>
            <w:tcW w:type="dxa" w:w="1063"/>
          </w:tcPr>
          <w:p>
            <w:pPr>
              <w:spacing w:line="240" w:lineRule="auto"/>
              <w:jc w:val="center"/>
            </w:pPr>
            <w:r/>
            <w:r>
              <w:rPr>
                <w:rFonts w:ascii="휴먼명조" w:eastAsia="휴먼명조" w:hAnsi="휴먼명조" w:cs="휴먼명조"/>
                <w:b w:val="0"/>
                <w:sz w:val="18"/>
                <w:w w:val="97"/>
              </w:rPr>
              <w:t>0.3285</w:t>
            </w:r>
          </w:p>
        </w:tc>
        <w:tc>
          <w:tcPr>
            <w:tcW w:type="dxa" w:w="1063"/>
          </w:tcPr>
          <w:p>
            <w:pPr>
              <w:spacing w:line="240" w:lineRule="auto"/>
              <w:jc w:val="center"/>
            </w:pPr>
            <w:r/>
            <w:r>
              <w:rPr>
                <w:rFonts w:ascii="휴먼명조" w:eastAsia="휴먼명조" w:hAnsi="휴먼명조" w:cs="휴먼명조"/>
                <w:b w:val="0"/>
                <w:sz w:val="18"/>
                <w:w w:val="97"/>
              </w:rPr>
              <w:t>0.2288</w:t>
            </w:r>
          </w:p>
        </w:tc>
        <w:tc>
          <w:tcPr>
            <w:tcW w:type="dxa" w:w="1063"/>
          </w:tcPr>
          <w:p>
            <w:pPr>
              <w:spacing w:line="240" w:lineRule="auto"/>
              <w:jc w:val="center"/>
            </w:pPr>
            <w:r/>
            <w:r>
              <w:rPr>
                <w:rFonts w:ascii="휴먼명조" w:eastAsia="휴먼명조" w:hAnsi="휴먼명조" w:cs="휴먼명조"/>
                <w:b w:val="0"/>
                <w:sz w:val="18"/>
                <w:w w:val="97"/>
              </w:rPr>
              <w:t>-0.652</w:t>
            </w:r>
          </w:p>
        </w:tc>
        <w:tc>
          <w:tcPr>
            <w:tcW w:type="dxa" w:w="1063"/>
          </w:tcPr>
          <w:p>
            <w:pPr>
              <w:spacing w:line="240" w:lineRule="auto"/>
              <w:jc w:val="center"/>
            </w:pPr>
            <w:r/>
            <w:r>
              <w:rPr>
                <w:rFonts w:ascii="휴먼명조" w:eastAsia="휴먼명조" w:hAnsi="휴먼명조" w:cs="휴먼명조"/>
                <w:b w:val="0"/>
                <w:sz w:val="18"/>
                <w:w w:val="97"/>
              </w:rPr>
              <w:t>[-1.599, 0.032]</w:t>
            </w:r>
          </w:p>
        </w:tc>
        <w:tc>
          <w:tcPr>
            <w:tcW w:type="dxa" w:w="1063"/>
          </w:tcPr>
          <w:p>
            <w:pPr>
              <w:spacing w:line="240" w:lineRule="auto"/>
              <w:jc w:val="center"/>
            </w:pPr>
            <w:r/>
            <w:r>
              <w:rPr>
                <w:rFonts w:ascii="휴먼명조" w:eastAsia="휴먼명조" w:hAnsi="휴먼명조" w:cs="휴먼명조"/>
                <w:b w:val="0"/>
                <w:sz w:val="18"/>
                <w:w w:val="97"/>
              </w:rPr>
              <w:t>.0864 (n.s.)</w:t>
            </w:r>
          </w:p>
        </w:tc>
        <w:tc>
          <w:tcPr>
            <w:tcW w:type="dxa" w:w="1063"/>
          </w:tcPr>
          <w:p>
            <w:pPr>
              <w:spacing w:line="240" w:lineRule="auto"/>
              <w:jc w:val="center"/>
            </w:pPr>
            <w:r/>
            <w:r>
              <w:rPr>
                <w:rFonts w:ascii="휴먼명조" w:eastAsia="휴먼명조" w:hAnsi="휴먼명조" w:cs="휴먼명조"/>
                <w:b w:val="0"/>
                <w:sz w:val="18"/>
                <w:w w:val="97"/>
              </w:rPr>
              <w:t>.1289 (n.s.)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effect of fine-tuning is heterogeneous across models. </w:t>
      </w:r>
      <w:r>
        <w:rPr>
          <w:rFonts w:ascii="휴먼명조" w:eastAsia="휴먼명조" w:hAnsi="휴먼명조" w:cs="휴먼명조"/>
          <w:b/>
          <w:sz w:val="22"/>
          <w:w w:val="97"/>
        </w:rPr>
        <w:t>Qwen2.5-VL-3B and Qwen3-VL-2B improved significantly</w:t>
      </w:r>
      <w:r>
        <w:rPr>
          <w:rFonts w:ascii="휴먼명조" w:eastAsia="휴먼명조" w:hAnsi="휴먼명조" w:cs="휴먼명조"/>
          <w:b w:val="0"/>
          <w:sz w:val="22"/>
          <w:w w:val="97"/>
        </w:rPr>
        <w:t xml:space="preserve"> (p &lt; .01, large effect size), whereas </w:t>
      </w:r>
      <w:r>
        <w:rPr>
          <w:rFonts w:ascii="휴먼명조" w:eastAsia="휴먼명조" w:hAnsi="휴먼명조" w:cs="휴먼명조"/>
          <w:b/>
          <w:sz w:val="22"/>
          <w:w w:val="97"/>
        </w:rPr>
        <w:t>SmolVLM2-2.2B significantly deteriorated</w:t>
      </w:r>
      <w:r>
        <w:rPr>
          <w:rFonts w:ascii="휴먼명조" w:eastAsia="휴먼명조" w:hAnsi="휴먼명조" w:cs="휴먼명조"/>
          <w:b w:val="0"/>
          <w:sz w:val="22"/>
          <w:w w:val="97"/>
        </w:rPr>
        <w:t>, and Gemma4-E2B moved in a negative direction without reaching statistical significance. All three tests (paired t-test, BCa bootstrap Cohen's d, and Wilcoxon) reached consistent conclusions for each model, supporting the robustness of the result.</w:t>
      </w:r>
    </w:p>
    <w:p>
      <w:pPr>
        <w:spacing w:line="384" w:lineRule="auto" w:after="0"/>
        <w:ind w:firstLine="220"/>
        <w:jc w:val="both"/>
      </w:pPr>
      <w:r>
        <w:rPr>
          <w:rFonts w:ascii="휴먼명조" w:eastAsia="휴먼명조" w:hAnsi="휴먼명조" w:cs="휴먼명조"/>
          <w:b w:val="0"/>
          <w:sz w:val="22"/>
          <w:w w:val="97"/>
        </w:rPr>
        <w:t xml:space="preserve">A Mixed-Effects Model estimated by pooling the four models without distinguishing them (accuracy ~ condition + dataset, group = seed) found no significant fixed effect (coefficient = 0.0268, p = .3629, ICC(seed) = 0.0, n = 72). This is not a computational error but a consequence of </w:t>
      </w:r>
      <w:r>
        <w:rPr>
          <w:rFonts w:ascii="휴먼명조" w:eastAsia="휴먼명조" w:hAnsi="휴먼명조" w:cs="휴먼명조"/>
          <w:b/>
          <w:sz w:val="22"/>
          <w:w w:val="97"/>
        </w:rPr>
        <w:t>heterogeneous effects across models cancelling in the pooled mean</w:t>
      </w:r>
      <w:r>
        <w:rPr>
          <w:rFonts w:ascii="휴먼명조" w:eastAsia="휴먼명조" w:hAnsi="휴먼명조" w:cs="휴먼명조"/>
          <w:b w:val="0"/>
          <w:sz w:val="22"/>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pPr>
        <w:spacing w:line="384" w:lineRule="auto" w:after="0"/>
        <w:jc w:val="left"/>
        <w:outlineLvl w:val="2"/>
      </w:pPr>
      <w:r>
        <w:rPr>
          <w:rFonts w:ascii="휴먼명조" w:eastAsia="휴먼명조" w:hAnsi="휴먼명조" w:cs="휴먼명조"/>
          <w:b/>
          <w:sz w:val="22"/>
          <w:w w:val="97"/>
        </w:rPr>
        <w:t>4.2.2 Effect of Data Size (Ablation A)</w:t>
      </w:r>
    </w:p>
    <w:p>
      <w:pPr>
        <w:pStyle w:val="표캡션"/>
        <w:spacing w:line="384" w:lineRule="auto" w:after="0"/>
        <w:jc w:val="center"/>
      </w:pPr>
      <w:r>
        <w:rPr>
          <w:rFonts w:ascii="휴먼명조" w:eastAsia="휴먼명조" w:hAnsi="휴먼명조" w:cs="휴먼명조"/>
          <w:b/>
          <w:sz w:val="22"/>
          <w:w w:val="97"/>
        </w:rPr>
        <w:t>Table 4.2a. Performance by training-data ratio (Qwen3-VL-2B, PathVQA, mean of 3 seeds)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subset_ratio</w:t>
            </w:r>
          </w:p>
        </w:tc>
        <w:tc>
          <w:tcPr>
            <w:tcW w:type="dxa" w:w="2479"/>
          </w:tcPr>
          <w:p>
            <w:pPr>
              <w:spacing w:line="240" w:lineRule="auto"/>
              <w:jc w:val="center"/>
            </w:pPr>
            <w:r/>
            <w:r>
              <w:rPr>
                <w:rFonts w:ascii="휴먼명조" w:eastAsia="휴먼명조" w:hAnsi="휴먼명조" w:cs="휴먼명조"/>
                <w:b/>
                <w:sz w:val="18"/>
                <w:w w:val="97"/>
              </w:rPr>
              <w:t>Training samples</w:t>
            </w:r>
          </w:p>
        </w:tc>
        <w:tc>
          <w:tcPr>
            <w:tcW w:type="dxa" w:w="2479"/>
          </w:tcPr>
          <w:p>
            <w:pPr>
              <w:spacing w:line="240" w:lineRule="auto"/>
              <w:jc w:val="center"/>
            </w:pPr>
            <w:r/>
            <w:r>
              <w:rPr>
                <w:rFonts w:ascii="휴먼명조" w:eastAsia="휴먼명조" w:hAnsi="휴먼명조" w:cs="휴먼명조"/>
                <w:b/>
                <w:sz w:val="18"/>
                <w:w w:val="97"/>
              </w:rPr>
              <w:t>Overall Acc (mean)</w:t>
            </w:r>
          </w:p>
        </w:tc>
      </w:tr>
      <w:tr>
        <w:tc>
          <w:tcPr>
            <w:tcW w:type="dxa" w:w="2479"/>
          </w:tcPr>
          <w:p>
            <w:pPr>
              <w:spacing w:line="240" w:lineRule="auto"/>
              <w:jc w:val="center"/>
            </w:pPr>
            <w:r/>
            <w:r>
              <w:rPr>
                <w:rFonts w:ascii="휴먼명조" w:eastAsia="휴먼명조" w:hAnsi="휴먼명조" w:cs="휴먼명조"/>
                <w:b w:val="0"/>
                <w:sz w:val="18"/>
                <w:w w:val="97"/>
              </w:rPr>
              <w:t>0.05</w:t>
            </w:r>
          </w:p>
        </w:tc>
        <w:tc>
          <w:tcPr>
            <w:tcW w:type="dxa" w:w="2479"/>
          </w:tcPr>
          <w:p>
            <w:pPr>
              <w:spacing w:line="240" w:lineRule="auto"/>
              <w:jc w:val="center"/>
            </w:pPr>
            <w:r/>
            <w:r>
              <w:rPr>
                <w:rFonts w:ascii="휴먼명조" w:eastAsia="휴먼명조" w:hAnsi="휴먼명조" w:cs="휴먼명조"/>
                <w:b w:val="0"/>
                <w:sz w:val="18"/>
                <w:w w:val="97"/>
              </w:rPr>
              <w:t>982</w:t>
            </w:r>
          </w:p>
        </w:tc>
        <w:tc>
          <w:tcPr>
            <w:tcW w:type="dxa" w:w="2479"/>
          </w:tcPr>
          <w:p>
            <w:pPr>
              <w:spacing w:line="240" w:lineRule="auto"/>
              <w:jc w:val="center"/>
            </w:pPr>
            <w:r/>
            <w:r>
              <w:rPr>
                <w:rFonts w:ascii="휴먼명조" w:eastAsia="휴먼명조" w:hAnsi="휴먼명조" w:cs="휴먼명조"/>
                <w:b w:val="0"/>
                <w:sz w:val="18"/>
                <w:w w:val="97"/>
              </w:rPr>
              <w:t>0.4150</w:t>
            </w:r>
          </w:p>
        </w:tc>
      </w:tr>
      <w:tr>
        <w:tc>
          <w:tcPr>
            <w:tcW w:type="dxa" w:w="2479"/>
          </w:tcPr>
          <w:p>
            <w:pPr>
              <w:spacing w:line="240" w:lineRule="auto"/>
              <w:jc w:val="center"/>
            </w:pPr>
            <w:r/>
            <w:r>
              <w:rPr>
                <w:rFonts w:ascii="휴먼명조" w:eastAsia="휴먼명조" w:hAnsi="휴먼명조" w:cs="휴먼명조"/>
                <w:b w:val="0"/>
                <w:sz w:val="18"/>
                <w:w w:val="97"/>
              </w:rPr>
              <w:t>0.10</w:t>
            </w:r>
          </w:p>
        </w:tc>
        <w:tc>
          <w:tcPr>
            <w:tcW w:type="dxa" w:w="2479"/>
          </w:tcPr>
          <w:p>
            <w:pPr>
              <w:spacing w:line="240" w:lineRule="auto"/>
              <w:jc w:val="center"/>
            </w:pPr>
            <w:r/>
            <w:r>
              <w:rPr>
                <w:rFonts w:ascii="휴먼명조" w:eastAsia="휴먼명조" w:hAnsi="휴먼명조" w:cs="휴먼명조"/>
                <w:b w:val="0"/>
                <w:sz w:val="18"/>
                <w:w w:val="97"/>
              </w:rPr>
              <w:t>1,965</w:t>
            </w:r>
          </w:p>
        </w:tc>
        <w:tc>
          <w:tcPr>
            <w:tcW w:type="dxa" w:w="2479"/>
          </w:tcPr>
          <w:p>
            <w:pPr>
              <w:spacing w:line="240" w:lineRule="auto"/>
              <w:jc w:val="center"/>
            </w:pPr>
            <w:r/>
            <w:r>
              <w:rPr>
                <w:rFonts w:ascii="휴먼명조" w:eastAsia="휴먼명조" w:hAnsi="휴먼명조" w:cs="휴먼명조"/>
                <w:b w:val="0"/>
                <w:sz w:val="18"/>
                <w:w w:val="97"/>
              </w:rPr>
              <w:t>0.4309</w:t>
            </w:r>
          </w:p>
        </w:tc>
      </w:tr>
      <w:tr>
        <w:tc>
          <w:tcPr>
            <w:tcW w:type="dxa" w:w="2479"/>
          </w:tcPr>
          <w:p>
            <w:pPr>
              <w:spacing w:line="240" w:lineRule="auto"/>
              <w:jc w:val="center"/>
            </w:pPr>
            <w:r/>
            <w:r>
              <w:rPr>
                <w:rFonts w:ascii="휴먼명조" w:eastAsia="휴먼명조" w:hAnsi="휴먼명조" w:cs="휴먼명조"/>
                <w:b w:val="0"/>
                <w:sz w:val="18"/>
                <w:w w:val="97"/>
              </w:rPr>
              <w:t>0.25</w:t>
            </w:r>
          </w:p>
        </w:tc>
        <w:tc>
          <w:tcPr>
            <w:tcW w:type="dxa" w:w="2479"/>
          </w:tcPr>
          <w:p>
            <w:pPr>
              <w:spacing w:line="240" w:lineRule="auto"/>
              <w:jc w:val="center"/>
            </w:pPr>
            <w:r/>
            <w:r>
              <w:rPr>
                <w:rFonts w:ascii="휴먼명조" w:eastAsia="휴먼명조" w:hAnsi="휴먼명조" w:cs="휴먼명조"/>
                <w:b w:val="0"/>
                <w:sz w:val="18"/>
                <w:w w:val="97"/>
              </w:rPr>
              <w:t>4,913</w:t>
            </w:r>
          </w:p>
        </w:tc>
        <w:tc>
          <w:tcPr>
            <w:tcW w:type="dxa" w:w="2479"/>
          </w:tcPr>
          <w:p>
            <w:pPr>
              <w:spacing w:line="240" w:lineRule="auto"/>
              <w:jc w:val="center"/>
            </w:pPr>
            <w:r/>
            <w:r>
              <w:rPr>
                <w:rFonts w:ascii="휴먼명조" w:eastAsia="휴먼명조" w:hAnsi="휴먼명조" w:cs="휴먼명조"/>
                <w:b w:val="0"/>
                <w:sz w:val="18"/>
                <w:w w:val="97"/>
              </w:rPr>
              <w:t>0.4357</w:t>
            </w:r>
          </w:p>
        </w:tc>
      </w:tr>
      <w:tr>
        <w:tc>
          <w:tcPr>
            <w:tcW w:type="dxa" w:w="2479"/>
          </w:tcPr>
          <w:p>
            <w:pPr>
              <w:spacing w:line="240" w:lineRule="auto"/>
              <w:jc w:val="center"/>
            </w:pPr>
            <w:r/>
            <w:r>
              <w:rPr>
                <w:rFonts w:ascii="휴먼명조" w:eastAsia="휴먼명조" w:hAnsi="휴먼명조" w:cs="휴먼명조"/>
                <w:b w:val="0"/>
                <w:sz w:val="18"/>
                <w:w w:val="97"/>
              </w:rPr>
              <w:t>0.50</w:t>
            </w:r>
          </w:p>
        </w:tc>
        <w:tc>
          <w:tcPr>
            <w:tcW w:type="dxa" w:w="2479"/>
          </w:tcPr>
          <w:p>
            <w:pPr>
              <w:spacing w:line="240" w:lineRule="auto"/>
              <w:jc w:val="center"/>
            </w:pPr>
            <w:r/>
            <w:r>
              <w:rPr>
                <w:rFonts w:ascii="휴먼명조" w:eastAsia="휴먼명조" w:hAnsi="휴먼명조" w:cs="휴먼명조"/>
                <w:b w:val="0"/>
                <w:sz w:val="18"/>
                <w:w w:val="97"/>
              </w:rPr>
              <w:t>9,827</w:t>
            </w:r>
          </w:p>
        </w:tc>
        <w:tc>
          <w:tcPr>
            <w:tcW w:type="dxa" w:w="2479"/>
          </w:tcPr>
          <w:p>
            <w:pPr>
              <w:spacing w:line="240" w:lineRule="auto"/>
              <w:jc w:val="center"/>
            </w:pPr>
            <w:r/>
            <w:r>
              <w:rPr>
                <w:rFonts w:ascii="휴먼명조" w:eastAsia="휴먼명조" w:hAnsi="휴먼명조" w:cs="휴먼명조"/>
                <w:b w:val="0"/>
                <w:sz w:val="18"/>
                <w:w w:val="97"/>
              </w:rPr>
              <w:t>0.4628</w:t>
            </w:r>
          </w:p>
        </w:tc>
      </w:tr>
      <w:tr>
        <w:tc>
          <w:tcPr>
            <w:tcW w:type="dxa" w:w="2479"/>
          </w:tcPr>
          <w:p>
            <w:pPr>
              <w:spacing w:line="240" w:lineRule="auto"/>
              <w:jc w:val="center"/>
            </w:pPr>
            <w:r/>
            <w:r>
              <w:rPr>
                <w:rFonts w:ascii="휴먼명조" w:eastAsia="휴먼명조" w:hAnsi="휴먼명조" w:cs="휴먼명조"/>
                <w:b w:val="0"/>
                <w:sz w:val="18"/>
                <w:w w:val="97"/>
              </w:rPr>
              <w:t>1.00</w:t>
            </w:r>
          </w:p>
        </w:tc>
        <w:tc>
          <w:tcPr>
            <w:tcW w:type="dxa" w:w="2479"/>
          </w:tcPr>
          <w:p>
            <w:pPr>
              <w:spacing w:line="240" w:lineRule="auto"/>
              <w:jc w:val="center"/>
            </w:pPr>
            <w:r/>
            <w:r>
              <w:rPr>
                <w:rFonts w:ascii="휴먼명조" w:eastAsia="휴먼명조" w:hAnsi="휴먼명조" w:cs="휴먼명조"/>
                <w:b w:val="0"/>
                <w:sz w:val="18"/>
                <w:w w:val="97"/>
              </w:rPr>
              <w:t>19,654</w:t>
            </w:r>
          </w:p>
        </w:tc>
        <w:tc>
          <w:tcPr>
            <w:tcW w:type="dxa" w:w="2479"/>
          </w:tcPr>
          <w:p>
            <w:pPr>
              <w:spacing w:line="240" w:lineRule="auto"/>
              <w:jc w:val="center"/>
            </w:pPr>
            <w:r/>
            <w:r>
              <w:rPr>
                <w:rFonts w:ascii="휴먼명조" w:eastAsia="휴먼명조" w:hAnsi="휴먼명조" w:cs="휴먼명조"/>
                <w:b/>
                <w:sz w:val="18"/>
                <w:w w:val="97"/>
              </w:rPr>
              <w:t>0.5019</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sz w:val="22"/>
          <w:w w:val="97"/>
        </w:rPr>
        <w:t>using the full dataset (ratio = 1.0) is optimal</w:t>
      </w:r>
      <w:r>
        <w:rPr>
          <w:rFonts w:ascii="휴먼명조" w:eastAsia="휴먼명조" w:hAnsi="휴먼명조" w:cs="휴먼명조"/>
          <w:b w:val="0"/>
          <w:sz w:val="22"/>
          <w:w w:val="97"/>
        </w:rPr>
        <w:t>.</w:t>
      </w:r>
    </w:p>
    <w:p>
      <w:pPr>
        <w:spacing w:line="384" w:lineRule="auto" w:after="0"/>
        <w:jc w:val="left"/>
      </w:pPr>
      <w:r>
        <w:rPr>
          <w:rFonts w:ascii="휴먼명조" w:eastAsia="휴먼명조" w:hAnsi="휴먼명조" w:cs="휴먼명조"/>
          <w:b/>
          <w:sz w:val="20"/>
          <w:w w:val="97"/>
        </w:rPr>
        <w:t>Bug in the train_time_min field (cause identified)</w:t>
      </w:r>
      <w:r>
        <w:rPr>
          <w:rFonts w:ascii="휴먼명조" w:eastAsia="휴먼명조" w:hAnsi="휴먼명조" w:cs="휴먼명조"/>
          <w:b w:val="0"/>
          <w:sz w:val="20"/>
          <w:w w:val="97"/>
        </w:rPr>
        <w:t xml:space="preserve">: Although not included in the table above, the train_time_min column of phase2_summary.csv is unusually large for seed 42 alone under identical conditions (for example, at ratio = 1.0, seed 42 = 369.6 minutes versus about 28 minutes for seeds 123 and 456). Direct comparison against each condition's train_result.json showed that train_runtime_sec, measured internally by the Trainer, was </w:t>
      </w:r>
      <w:r>
        <w:rPr>
          <w:rFonts w:ascii="휴먼명조" w:eastAsia="휴먼명조" w:hAnsi="휴먼명조" w:cs="휴먼명조"/>
          <w:b/>
          <w:sz w:val="20"/>
          <w:w w:val="97"/>
        </w:rPr>
        <w:t>consistently normal at 27-29 minutes across all seeds</w:t>
      </w:r>
      <w:r>
        <w:rPr>
          <w:rFonts w:ascii="휴먼명조" w:eastAsia="휴먼명조" w:hAnsi="휴먼명조" w:cs="휴먼명조"/>
          <w:b w:val="0"/>
          <w:sz w:val="20"/>
          <w:w w:val="97"/>
        </w:rPr>
        <w:t xml:space="preserve">; the problem lay only in train_time_min, which the wrapping script measures by wall clock. The bug appears only in the condition that </w:t>
      </w:r>
      <w:r>
        <w:rPr>
          <w:rFonts w:ascii="휴먼명조" w:eastAsia="휴먼명조" w:hAnsi="휴먼명조" w:cs="휴먼명조"/>
          <w:b/>
          <w:sz w:val="20"/>
          <w:w w:val="97"/>
        </w:rPr>
        <w:t>first creates</w:t>
      </w:r>
      <w:r>
        <w:rPr>
          <w:rFonts w:ascii="휴먼명조" w:eastAsia="휴먼명조" w:hAnsi="휴먼명조" w:cs="휴먼명조"/>
          <w:b w:val="0"/>
          <w:sz w:val="20"/>
          <w:w w:val="97"/>
        </w:rPr>
        <w:t xml:space="preserve"> the preprocessing cache for a (model, dataset) combination, where the one-off cost of cache creation is added to wall-clock time; the same pattern was confirmed in an exhaustive check of the 36 main conditions (for example, qwen25-vl-3b/pathvqa/seed42 at 395.4 minutes versus 44.9 minutes actual). </w:t>
      </w:r>
      <w:r>
        <w:rPr>
          <w:rFonts w:ascii="휴먼명조" w:eastAsia="휴먼명조" w:hAnsi="휴먼명조" w:cs="휴먼명조"/>
          <w:b/>
          <w:sz w:val="20"/>
          <w:w w:val="97"/>
        </w:rPr>
        <w:t>Training-outcome metrics such as accuracy and loss are unaffected by this bug, and the accuracy-based conclusions of this section are unchanged.</w:t>
      </w:r>
      <w:r>
        <w:rPr>
          <w:rFonts w:ascii="휴먼명조" w:eastAsia="휴먼명조" w:hAnsi="휴먼명조" w:cs="휴먼명조"/>
          <w:b w:val="0"/>
          <w:sz w:val="20"/>
          <w:w w:val="97"/>
        </w:rPr>
        <w:t xml:space="preserve"> Future analyses requiring time comparisons (such as Phase 3 cost estimation) should use train_runtime_sec rather than train_time_min.</w:t>
      </w:r>
    </w:p>
    <w:p>
      <w:pPr>
        <w:spacing w:line="384" w:lineRule="auto" w:after="0"/>
        <w:jc w:val="left"/>
        <w:outlineLvl w:val="2"/>
      </w:pPr>
      <w:r>
        <w:rPr>
          <w:rFonts w:ascii="휴먼명조" w:eastAsia="휴먼명조" w:hAnsi="휴먼명조" w:cs="휴먼명조"/>
          <w:b/>
          <w:sz w:val="22"/>
          <w:w w:val="97"/>
        </w:rPr>
        <w:t>4.2.3 Effect of LoRA Rank (Ablation B)</w:t>
      </w:r>
    </w:p>
    <w:p>
      <w:pPr>
        <w:pStyle w:val="표캡션"/>
        <w:spacing w:line="384" w:lineRule="auto" w:after="0"/>
        <w:jc w:val="center"/>
      </w:pPr>
      <w:r>
        <w:rPr>
          <w:rFonts w:ascii="휴먼명조" w:eastAsia="휴먼명조" w:hAnsi="휴먼명조" w:cs="휴먼명조"/>
          <w:b/>
          <w:sz w:val="22"/>
          <w:w w:val="97"/>
        </w:rPr>
        <w:t>Table 4.2b. Performance by LoRA rank (Qwen3-VL-2B, PathVQA, mean of 3 seeds)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LoRA rank</w:t>
            </w:r>
          </w:p>
        </w:tc>
        <w:tc>
          <w:tcPr>
            <w:tcW w:type="dxa" w:w="2479"/>
          </w:tcPr>
          <w:p>
            <w:pPr>
              <w:spacing w:line="240" w:lineRule="auto"/>
              <w:jc w:val="center"/>
            </w:pPr>
            <w:r/>
            <w:r>
              <w:rPr>
                <w:rFonts w:ascii="휴먼명조" w:eastAsia="휴먼명조" w:hAnsi="휴먼명조" w:cs="휴먼명조"/>
                <w:b/>
                <w:sz w:val="18"/>
                <w:w w:val="97"/>
              </w:rPr>
              <w:t>Peak VRAM (MB)</w:t>
            </w:r>
          </w:p>
        </w:tc>
        <w:tc>
          <w:tcPr>
            <w:tcW w:type="dxa" w:w="2479"/>
          </w:tcPr>
          <w:p>
            <w:pPr>
              <w:spacing w:line="240" w:lineRule="auto"/>
              <w:jc w:val="center"/>
            </w:pPr>
            <w:r/>
            <w:r>
              <w:rPr>
                <w:rFonts w:ascii="휴먼명조" w:eastAsia="휴먼명조" w:hAnsi="휴먼명조" w:cs="휴먼명조"/>
                <w:b/>
                <w:sz w:val="18"/>
                <w:w w:val="97"/>
              </w:rPr>
              <w:t>Overall Acc (mean)</w:t>
            </w:r>
          </w:p>
        </w:tc>
      </w:tr>
      <w:tr>
        <w:tc>
          <w:tcPr>
            <w:tcW w:type="dxa" w:w="2479"/>
          </w:tcPr>
          <w:p>
            <w:pPr>
              <w:spacing w:line="240" w:lineRule="auto"/>
              <w:jc w:val="center"/>
            </w:pPr>
            <w:r/>
            <w:r>
              <w:rPr>
                <w:rFonts w:ascii="휴먼명조" w:eastAsia="휴먼명조" w:hAnsi="휴먼명조" w:cs="휴먼명조"/>
                <w:b w:val="0"/>
                <w:sz w:val="18"/>
                <w:w w:val="97"/>
              </w:rPr>
              <w:t>4</w:t>
            </w:r>
          </w:p>
        </w:tc>
        <w:tc>
          <w:tcPr>
            <w:tcW w:type="dxa" w:w="2479"/>
          </w:tcPr>
          <w:p>
            <w:pPr>
              <w:spacing w:line="240" w:lineRule="auto"/>
              <w:jc w:val="center"/>
            </w:pPr>
            <w:r/>
            <w:r>
              <w:rPr>
                <w:rFonts w:ascii="휴먼명조" w:eastAsia="휴먼명조" w:hAnsi="휴먼명조" w:cs="휴먼명조"/>
                <w:b w:val="0"/>
                <w:sz w:val="18"/>
                <w:w w:val="97"/>
              </w:rPr>
              <w:t>3,870.6</w:t>
            </w:r>
          </w:p>
        </w:tc>
        <w:tc>
          <w:tcPr>
            <w:tcW w:type="dxa" w:w="2479"/>
          </w:tcPr>
          <w:p>
            <w:pPr>
              <w:spacing w:line="240" w:lineRule="auto"/>
              <w:jc w:val="center"/>
            </w:pPr>
            <w:r/>
            <w:r>
              <w:rPr>
                <w:rFonts w:ascii="휴먼명조" w:eastAsia="휴먼명조" w:hAnsi="휴먼명조" w:cs="휴먼명조"/>
                <w:b w:val="0"/>
                <w:sz w:val="18"/>
                <w:w w:val="97"/>
              </w:rPr>
              <w:t>0.4733</w:t>
            </w:r>
          </w:p>
        </w:tc>
      </w:tr>
      <w:tr>
        <w:tc>
          <w:tcPr>
            <w:tcW w:type="dxa" w:w="2479"/>
          </w:tcPr>
          <w:p>
            <w:pPr>
              <w:spacing w:line="240" w:lineRule="auto"/>
              <w:jc w:val="center"/>
            </w:pPr>
            <w:r/>
            <w:r>
              <w:rPr>
                <w:rFonts w:ascii="휴먼명조" w:eastAsia="휴먼명조" w:hAnsi="휴먼명조" w:cs="휴먼명조"/>
                <w:b w:val="0"/>
                <w:sz w:val="18"/>
                <w:w w:val="97"/>
              </w:rPr>
              <w:t>8</w:t>
            </w:r>
          </w:p>
        </w:tc>
        <w:tc>
          <w:tcPr>
            <w:tcW w:type="dxa" w:w="2479"/>
          </w:tcPr>
          <w:p>
            <w:pPr>
              <w:spacing w:line="240" w:lineRule="auto"/>
              <w:jc w:val="center"/>
            </w:pPr>
            <w:r/>
            <w:r>
              <w:rPr>
                <w:rFonts w:ascii="휴먼명조" w:eastAsia="휴먼명조" w:hAnsi="휴먼명조" w:cs="휴먼명조"/>
                <w:b w:val="0"/>
                <w:sz w:val="18"/>
                <w:w w:val="97"/>
              </w:rPr>
              <w:t>3,875.2</w:t>
            </w:r>
          </w:p>
        </w:tc>
        <w:tc>
          <w:tcPr>
            <w:tcW w:type="dxa" w:w="2479"/>
          </w:tcPr>
          <w:p>
            <w:pPr>
              <w:spacing w:line="240" w:lineRule="auto"/>
              <w:jc w:val="center"/>
            </w:pPr>
            <w:r/>
            <w:r>
              <w:rPr>
                <w:rFonts w:ascii="휴먼명조" w:eastAsia="휴먼명조" w:hAnsi="휴먼명조" w:cs="휴먼명조"/>
                <w:b w:val="0"/>
                <w:sz w:val="18"/>
                <w:w w:val="97"/>
              </w:rPr>
              <w:t>0.4907</w:t>
            </w:r>
          </w:p>
        </w:tc>
      </w:tr>
      <w:tr>
        <w:tc>
          <w:tcPr>
            <w:tcW w:type="dxa" w:w="2479"/>
          </w:tcPr>
          <w:p>
            <w:pPr>
              <w:spacing w:line="240" w:lineRule="auto"/>
              <w:jc w:val="center"/>
            </w:pPr>
            <w:r/>
            <w:r>
              <w:rPr>
                <w:rFonts w:ascii="휴먼명조" w:eastAsia="휴먼명조" w:hAnsi="휴먼명조" w:cs="휴먼명조"/>
                <w:b w:val="0"/>
                <w:sz w:val="18"/>
                <w:w w:val="97"/>
              </w:rPr>
              <w:t>16</w:t>
            </w:r>
          </w:p>
        </w:tc>
        <w:tc>
          <w:tcPr>
            <w:tcW w:type="dxa" w:w="2479"/>
          </w:tcPr>
          <w:p>
            <w:pPr>
              <w:spacing w:line="240" w:lineRule="auto"/>
              <w:jc w:val="center"/>
            </w:pPr>
            <w:r/>
            <w:r>
              <w:rPr>
                <w:rFonts w:ascii="휴먼명조" w:eastAsia="휴먼명조" w:hAnsi="휴먼명조" w:cs="휴먼명조"/>
                <w:b w:val="0"/>
                <w:sz w:val="18"/>
                <w:w w:val="97"/>
              </w:rPr>
              <w:t>3,884.4</w:t>
            </w:r>
          </w:p>
        </w:tc>
        <w:tc>
          <w:tcPr>
            <w:tcW w:type="dxa" w:w="2479"/>
          </w:tcPr>
          <w:p>
            <w:pPr>
              <w:spacing w:line="240" w:lineRule="auto"/>
              <w:jc w:val="center"/>
            </w:pPr>
            <w:r/>
            <w:r>
              <w:rPr>
                <w:rFonts w:ascii="휴먼명조" w:eastAsia="휴먼명조" w:hAnsi="휴먼명조" w:cs="휴먼명조"/>
                <w:b w:val="0"/>
                <w:sz w:val="18"/>
                <w:w w:val="97"/>
              </w:rPr>
              <w:t>0.5020</w:t>
            </w:r>
          </w:p>
        </w:tc>
      </w:tr>
      <w:tr>
        <w:tc>
          <w:tcPr>
            <w:tcW w:type="dxa" w:w="2479"/>
          </w:tcPr>
          <w:p>
            <w:pPr>
              <w:spacing w:line="240" w:lineRule="auto"/>
              <w:jc w:val="center"/>
            </w:pPr>
            <w:r/>
            <w:r>
              <w:rPr>
                <w:rFonts w:ascii="휴먼명조" w:eastAsia="휴먼명조" w:hAnsi="휴먼명조" w:cs="휴먼명조"/>
                <w:b w:val="0"/>
                <w:sz w:val="18"/>
                <w:w w:val="97"/>
              </w:rPr>
              <w:t>32</w:t>
            </w:r>
          </w:p>
        </w:tc>
        <w:tc>
          <w:tcPr>
            <w:tcW w:type="dxa" w:w="2479"/>
          </w:tcPr>
          <w:p>
            <w:pPr>
              <w:spacing w:line="240" w:lineRule="auto"/>
              <w:jc w:val="center"/>
            </w:pPr>
            <w:r/>
            <w:r>
              <w:rPr>
                <w:rFonts w:ascii="휴먼명조" w:eastAsia="휴먼명조" w:hAnsi="휴먼명조" w:cs="휴먼명조"/>
                <w:b w:val="0"/>
                <w:sz w:val="18"/>
                <w:w w:val="97"/>
              </w:rPr>
              <w:t>3,902.8</w:t>
            </w:r>
          </w:p>
        </w:tc>
        <w:tc>
          <w:tcPr>
            <w:tcW w:type="dxa" w:w="2479"/>
          </w:tcPr>
          <w:p>
            <w:pPr>
              <w:spacing w:line="240" w:lineRule="auto"/>
              <w:jc w:val="center"/>
            </w:pPr>
            <w:r/>
            <w:r>
              <w:rPr>
                <w:rFonts w:ascii="휴먼명조" w:eastAsia="휴먼명조" w:hAnsi="휴먼명조" w:cs="휴먼명조"/>
                <w:b w:val="0"/>
                <w:sz w:val="18"/>
                <w:w w:val="97"/>
              </w:rPr>
              <w:t>0.5172</w:t>
            </w:r>
          </w:p>
        </w:tc>
      </w:tr>
      <w:tr>
        <w:tc>
          <w:tcPr>
            <w:tcW w:type="dxa" w:w="2479"/>
          </w:tcPr>
          <w:p>
            <w:pPr>
              <w:spacing w:line="240" w:lineRule="auto"/>
              <w:jc w:val="center"/>
            </w:pPr>
            <w:r/>
            <w:r>
              <w:rPr>
                <w:rFonts w:ascii="휴먼명조" w:eastAsia="휴먼명조" w:hAnsi="휴먼명조" w:cs="휴먼명조"/>
                <w:b w:val="0"/>
                <w:sz w:val="18"/>
                <w:w w:val="97"/>
              </w:rPr>
              <w:t>64</w:t>
            </w:r>
          </w:p>
        </w:tc>
        <w:tc>
          <w:tcPr>
            <w:tcW w:type="dxa" w:w="2479"/>
          </w:tcPr>
          <w:p>
            <w:pPr>
              <w:spacing w:line="240" w:lineRule="auto"/>
              <w:jc w:val="center"/>
            </w:pPr>
            <w:r/>
            <w:r>
              <w:rPr>
                <w:rFonts w:ascii="휴먼명조" w:eastAsia="휴먼명조" w:hAnsi="휴먼명조" w:cs="휴먼명조"/>
                <w:b w:val="0"/>
                <w:sz w:val="18"/>
                <w:w w:val="97"/>
              </w:rPr>
              <w:t>3,918.8</w:t>
            </w:r>
          </w:p>
        </w:tc>
        <w:tc>
          <w:tcPr>
            <w:tcW w:type="dxa" w:w="2479"/>
          </w:tcPr>
          <w:p>
            <w:pPr>
              <w:spacing w:line="240" w:lineRule="auto"/>
              <w:jc w:val="center"/>
            </w:pPr>
            <w:r/>
            <w:r>
              <w:rPr>
                <w:rFonts w:ascii="휴먼명조" w:eastAsia="휴먼명조" w:hAnsi="휴먼명조" w:cs="휴먼명조"/>
                <w:b/>
                <w:sz w:val="18"/>
                <w:w w:val="97"/>
              </w:rPr>
              <w:t>0.5210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sz w:val="22"/>
          <w:w w:val="97"/>
        </w:rPr>
        <w:t>rank = 64 was adopted</w:t>
      </w:r>
      <w:r>
        <w:rPr>
          <w:rFonts w:ascii="휴먼명조" w:eastAsia="휴먼명조" w:hAnsi="휴먼명조" w:cs="휴먼명조"/>
          <w:b w:val="0"/>
          <w:sz w:val="22"/>
          <w:w w:val="97"/>
        </w:rPr>
        <w:t xml:space="preserve"> (the setting used in the Phase 2 main experiment).</w:t>
      </w:r>
    </w:p>
    <w:p>
      <w:pPr>
        <w:spacing w:line="384" w:lineRule="auto" w:after="0"/>
        <w:jc w:val="left"/>
        <w:outlineLvl w:val="2"/>
      </w:pPr>
      <w:r>
        <w:rPr>
          <w:rFonts w:ascii="휴먼명조" w:eastAsia="휴먼명조" w:hAnsi="휴먼명조" w:cs="휴먼명조"/>
          <w:b/>
          <w:sz w:val="22"/>
          <w:w w:val="97"/>
        </w:rPr>
        <w:t>4.2.4 Effect of Target Modules (Ablation C)</w:t>
      </w:r>
    </w:p>
    <w:p>
      <w:pPr>
        <w:pStyle w:val="표캡션"/>
        <w:spacing w:line="384" w:lineRule="auto" w:after="0"/>
        <w:jc w:val="center"/>
      </w:pPr>
      <w:r>
        <w:rPr>
          <w:rFonts w:ascii="휴먼명조" w:eastAsia="휴먼명조" w:hAnsi="휴먼명조" w:cs="휴먼명조"/>
          <w:b/>
          <w:sz w:val="22"/>
          <w:w w:val="97"/>
        </w:rPr>
        <w:t>Table 4.2c. Performance by target-module scope (Qwen3-VL-2B, PathVQA, mean of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Setting</w:t>
            </w:r>
          </w:p>
        </w:tc>
        <w:tc>
          <w:tcPr>
            <w:tcW w:type="dxa" w:w="1859"/>
          </w:tcPr>
          <w:p>
            <w:pPr>
              <w:spacing w:line="240" w:lineRule="auto"/>
              <w:jc w:val="center"/>
            </w:pPr>
            <w:r/>
            <w:r>
              <w:rPr>
                <w:rFonts w:ascii="휴먼명조" w:eastAsia="휴먼명조" w:hAnsi="휴먼명조" w:cs="휴먼명조"/>
                <w:b/>
                <w:sz w:val="18"/>
                <w:w w:val="97"/>
              </w:rPr>
              <w:t>Target modules</w:t>
            </w:r>
          </w:p>
        </w:tc>
        <w:tc>
          <w:tcPr>
            <w:tcW w:type="dxa" w:w="1859"/>
          </w:tcPr>
          <w:p>
            <w:pPr>
              <w:spacing w:line="240" w:lineRule="auto"/>
              <w:jc w:val="center"/>
            </w:pPr>
            <w:r/>
            <w:r>
              <w:rPr>
                <w:rFonts w:ascii="휴먼명조" w:eastAsia="휴먼명조" w:hAnsi="휴먼명조" w:cs="휴먼명조"/>
                <w:b/>
                <w:sz w:val="18"/>
                <w:w w:val="97"/>
              </w:rPr>
              <w:t>Trainable-parameter ratio</w:t>
            </w:r>
          </w:p>
        </w:tc>
        <w:tc>
          <w:tcPr>
            <w:tcW w:type="dxa" w:w="1859"/>
          </w:tcPr>
          <w:p>
            <w:pPr>
              <w:spacing w:line="240" w:lineRule="auto"/>
              <w:jc w:val="center"/>
            </w:pPr>
            <w:r/>
            <w:r>
              <w:rPr>
                <w:rFonts w:ascii="휴먼명조" w:eastAsia="휴먼명조" w:hAnsi="휴먼명조" w:cs="휴먼명조"/>
                <w:b/>
                <w:sz w:val="18"/>
                <w:w w:val="97"/>
              </w:rPr>
              <w:t>Overall Acc (mean)</w:t>
            </w:r>
          </w:p>
        </w:tc>
      </w:tr>
      <w:tr>
        <w:tc>
          <w:tcPr>
            <w:tcW w:type="dxa" w:w="1859"/>
          </w:tcPr>
          <w:p>
            <w:pPr>
              <w:spacing w:line="240" w:lineRule="auto"/>
              <w:jc w:val="center"/>
            </w:pPr>
            <w:r/>
            <w:r>
              <w:rPr>
                <w:rFonts w:ascii="휴먼명조" w:eastAsia="휴먼명조" w:hAnsi="휴먼명조" w:cs="휴먼명조"/>
                <w:b w:val="0"/>
                <w:sz w:val="18"/>
                <w:w w:val="97"/>
              </w:rPr>
              <w:t>minimal</w:t>
            </w:r>
          </w:p>
        </w:tc>
        <w:tc>
          <w:tcPr>
            <w:tcW w:type="dxa" w:w="1859"/>
          </w:tcPr>
          <w:p>
            <w:pPr>
              <w:spacing w:line="240" w:lineRule="auto"/>
              <w:jc w:val="center"/>
            </w:pPr>
            <w:r/>
            <w:r>
              <w:rPr>
                <w:rFonts w:ascii="휴먼명조" w:eastAsia="휴먼명조" w:hAnsi="휴먼명조" w:cs="휴먼명조"/>
                <w:b w:val="0"/>
                <w:sz w:val="18"/>
                <w:w w:val="97"/>
              </w:rPr>
              <w:t>q_proj, v_proj</w:t>
            </w:r>
          </w:p>
        </w:tc>
        <w:tc>
          <w:tcPr>
            <w:tcW w:type="dxa" w:w="1859"/>
          </w:tcPr>
          <w:p>
            <w:pPr>
              <w:spacing w:line="240" w:lineRule="auto"/>
              <w:jc w:val="center"/>
            </w:pPr>
            <w:r/>
            <w:r>
              <w:rPr>
                <w:rFonts w:ascii="휴먼명조" w:eastAsia="휴먼명조" w:hAnsi="휴먼명조" w:cs="휴먼명조"/>
                <w:b w:val="0"/>
                <w:sz w:val="18"/>
                <w:w w:val="97"/>
              </w:rPr>
              <w:t>0.21%</w:t>
            </w:r>
          </w:p>
        </w:tc>
        <w:tc>
          <w:tcPr>
            <w:tcW w:type="dxa" w:w="1859"/>
          </w:tcPr>
          <w:p>
            <w:pPr>
              <w:spacing w:line="240" w:lineRule="auto"/>
              <w:jc w:val="center"/>
            </w:pPr>
            <w:r/>
            <w:r>
              <w:rPr>
                <w:rFonts w:ascii="휴먼명조" w:eastAsia="휴먼명조" w:hAnsi="휴먼명조" w:cs="휴먼명조"/>
                <w:b w:val="0"/>
                <w:sz w:val="18"/>
                <w:w w:val="97"/>
              </w:rPr>
              <w:t>0.5015</w:t>
            </w:r>
          </w:p>
        </w:tc>
      </w:tr>
      <w:tr>
        <w:tc>
          <w:tcPr>
            <w:tcW w:type="dxa" w:w="1859"/>
          </w:tcPr>
          <w:p>
            <w:pPr>
              <w:spacing w:line="240" w:lineRule="auto"/>
              <w:jc w:val="center"/>
            </w:pPr>
            <w:r/>
            <w:r>
              <w:rPr>
                <w:rFonts w:ascii="휴먼명조" w:eastAsia="휴먼명조" w:hAnsi="휴먼명조" w:cs="휴먼명조"/>
                <w:b w:val="0"/>
                <w:sz w:val="18"/>
                <w:w w:val="97"/>
              </w:rPr>
              <w:t>medium</w:t>
            </w:r>
          </w:p>
        </w:tc>
        <w:tc>
          <w:tcPr>
            <w:tcW w:type="dxa" w:w="1859"/>
          </w:tcPr>
          <w:p>
            <w:pPr>
              <w:spacing w:line="240" w:lineRule="auto"/>
              <w:jc w:val="center"/>
            </w:pPr>
            <w:r/>
            <w:r>
              <w:rPr>
                <w:rFonts w:ascii="휴먼명조" w:eastAsia="휴먼명조" w:hAnsi="휴먼명조" w:cs="휴먼명조"/>
                <w:b w:val="0"/>
                <w:sz w:val="18"/>
                <w:w w:val="97"/>
              </w:rPr>
              <w:t>q/k/v/o_proj</w:t>
            </w:r>
          </w:p>
        </w:tc>
        <w:tc>
          <w:tcPr>
            <w:tcW w:type="dxa" w:w="1859"/>
          </w:tcPr>
          <w:p>
            <w:pPr>
              <w:spacing w:line="240" w:lineRule="auto"/>
              <w:jc w:val="center"/>
            </w:pPr>
            <w:r/>
            <w:r>
              <w:rPr>
                <w:rFonts w:ascii="휴먼명조" w:eastAsia="휴먼명조" w:hAnsi="휴먼명조" w:cs="휴먼명조"/>
                <w:b w:val="0"/>
                <w:sz w:val="18"/>
                <w:w w:val="97"/>
              </w:rPr>
              <w:t>0.43%</w:t>
            </w:r>
          </w:p>
        </w:tc>
        <w:tc>
          <w:tcPr>
            <w:tcW w:type="dxa" w:w="1859"/>
          </w:tcPr>
          <w:p>
            <w:pPr>
              <w:spacing w:line="240" w:lineRule="auto"/>
              <w:jc w:val="center"/>
            </w:pPr>
            <w:r/>
            <w:r>
              <w:rPr>
                <w:rFonts w:ascii="휴먼명조" w:eastAsia="휴먼명조" w:hAnsi="휴먼명조" w:cs="휴먼명조"/>
                <w:b w:val="0"/>
                <w:sz w:val="18"/>
                <w:w w:val="97"/>
              </w:rPr>
              <w:t>0.5155</w:t>
            </w:r>
          </w:p>
        </w:tc>
      </w:tr>
      <w:tr>
        <w:tc>
          <w:tcPr>
            <w:tcW w:type="dxa" w:w="1859"/>
          </w:tcPr>
          <w:p>
            <w:pPr>
              <w:spacing w:line="240" w:lineRule="auto"/>
              <w:jc w:val="center"/>
            </w:pPr>
            <w:r/>
            <w:r>
              <w:rPr>
                <w:rFonts w:ascii="휴먼명조" w:eastAsia="휴먼명조" w:hAnsi="휴먼명조" w:cs="휴먼명조"/>
                <w:b/>
                <w:sz w:val="18"/>
                <w:w w:val="97"/>
              </w:rPr>
              <w:t>full</w:t>
            </w:r>
          </w:p>
        </w:tc>
        <w:tc>
          <w:tcPr>
            <w:tcW w:type="dxa" w:w="1859"/>
          </w:tcPr>
          <w:p>
            <w:pPr>
              <w:spacing w:line="240" w:lineRule="auto"/>
              <w:jc w:val="center"/>
            </w:pPr>
            <w:r/>
            <w:r>
              <w:rPr>
                <w:rFonts w:ascii="휴먼명조" w:eastAsia="휴먼명조" w:hAnsi="휴먼명조" w:cs="휴먼명조"/>
                <w:b w:val="0"/>
                <w:sz w:val="18"/>
                <w:w w:val="97"/>
              </w:rPr>
              <w:t>all-linear</w:t>
            </w:r>
          </w:p>
        </w:tc>
        <w:tc>
          <w:tcPr>
            <w:tcW w:type="dxa" w:w="1859"/>
          </w:tcPr>
          <w:p>
            <w:pPr>
              <w:spacing w:line="240" w:lineRule="auto"/>
              <w:jc w:val="center"/>
            </w:pPr>
            <w:r/>
            <w:r>
              <w:rPr>
                <w:rFonts w:ascii="휴먼명조" w:eastAsia="휴먼명조" w:hAnsi="휴먼명조" w:cs="휴먼명조"/>
                <w:b w:val="0"/>
                <w:sz w:val="18"/>
                <w:w w:val="97"/>
              </w:rPr>
              <w:t>1.55%</w:t>
            </w:r>
          </w:p>
        </w:tc>
        <w:tc>
          <w:tcPr>
            <w:tcW w:type="dxa" w:w="1859"/>
          </w:tcPr>
          <w:p>
            <w:pPr>
              <w:spacing w:line="240" w:lineRule="auto"/>
              <w:jc w:val="center"/>
            </w:pPr>
            <w:r/>
            <w:r>
              <w:rPr>
                <w:rFonts w:ascii="휴먼명조" w:eastAsia="휴먼명조" w:hAnsi="휴먼명조" w:cs="휴먼명조"/>
                <w:b/>
                <w:sz w:val="18"/>
                <w:w w:val="97"/>
              </w:rPr>
              <w:t>0.5400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Performance increases monotonically as the target-module scope widens (LoRA applied to more linear layers). </w:t>
      </w:r>
      <w:r>
        <w:rPr>
          <w:rFonts w:ascii="휴먼명조" w:eastAsia="휴먼명조" w:hAnsi="휴먼명조" w:cs="휴먼명조"/>
          <w:b/>
          <w:sz w:val="22"/>
          <w:w w:val="97"/>
        </w:rPr>
        <w:t>full (all-linear) gives the best performance of the three settings</w:t>
      </w:r>
      <w:r>
        <w:rPr>
          <w:rFonts w:ascii="휴먼명조" w:eastAsia="휴먼명조" w:hAnsi="휴먼명조" w:cs="휴먼명조"/>
          <w:b w:val="0"/>
          <w:sz w:val="22"/>
          <w:w w:val="97"/>
        </w:rPr>
        <w:t xml:space="preserve"> and was adopted as the default configuration of the Phase 2 main experiment (rank = 64, alpha = 128, </w:t>
      </w:r>
      <w:r>
        <w:rPr>
          <w:rFonts w:ascii="휴먼명조" w:eastAsia="휴먼명조" w:hAnsi="휴먼명조" w:cs="휴먼명조"/>
          <w:b/>
          <w:sz w:val="22"/>
          <w:w w:val="97"/>
        </w:rPr>
        <w:t>target = all-linear</w:t>
      </w:r>
      <w:r>
        <w:rPr>
          <w:rFonts w:ascii="휴먼명조" w:eastAsia="휴먼명조" w:hAnsi="휴먼명조" w:cs="휴먼명조"/>
          <w:b w:val="0"/>
          <w:sz w:val="22"/>
          <w:w w:val="97"/>
        </w:rPr>
        <w:t>). It should be noted, however, that these three axes (ratio, rank, target) were each verified independently with the other two held fixed; the combination applying all three optima simultaneously was not itself separately verified (see the limitations in Section 5.3).</w:t>
      </w:r>
    </w:p>
    <w:p>
      <w:pPr>
        <w:spacing w:line="384" w:lineRule="auto" w:after="0"/>
        <w:jc w:val="left"/>
        <w:outlineLvl w:val="2"/>
      </w:pPr>
      <w:r>
        <w:rPr>
          <w:rFonts w:ascii="휴먼명조" w:eastAsia="휴먼명조" w:hAnsi="휴먼명조" w:cs="휴먼명조"/>
          <w:b/>
          <w:sz w:val="22"/>
          <w:w w:val="97"/>
        </w:rPr>
        <w:t>4.2.5 Catastrophic Forgetting Analysis (VQAv2 + cross-dataset)</w:t>
      </w:r>
    </w:p>
    <w:p>
      <w:pPr>
        <w:spacing w:line="384" w:lineRule="auto" w:after="0"/>
        <w:ind w:firstLine="220"/>
        <w:jc w:val="both"/>
      </w:pPr>
      <w:r>
        <w:rPr>
          <w:rFonts w:ascii="휴먼명조" w:eastAsia="휴먼명조" w:hAnsi="휴먼명조" w:cs="휴먼명조"/>
          <w:b/>
          <w:sz w:val="22"/>
          <w:w w:val="97"/>
        </w:rPr>
        <w:t>(A) Loss of general capability — measured on a VQAv2 validation subset (2,000 samples)</w:t>
      </w:r>
    </w:p>
    <w:p>
      <w:pPr>
        <w:pStyle w:val="표캡션"/>
        <w:spacing w:line="384" w:lineRule="auto" w:after="0"/>
        <w:jc w:val="center"/>
      </w:pPr>
      <w:r>
        <w:rPr>
          <w:rFonts w:ascii="휴먼명조" w:eastAsia="휴먼명조" w:hAnsi="휴먼명조" w:cs="휴먼명조"/>
          <w:b/>
          <w:sz w:val="22"/>
          <w:w w:val="97"/>
        </w:rPr>
        <w:t>Table 4.2d. VQAv2 performance degradation rate by model (n = 9 = mean over 3 datasets ×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Mean degradation (%)</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Range</w:t>
            </w:r>
          </w:p>
        </w:tc>
      </w:tr>
      <w:tr>
        <w:tc>
          <w:tcPr>
            <w:tcW w:type="dxa" w:w="1859"/>
          </w:tcPr>
          <w:p>
            <w:pPr>
              <w:spacing w:line="240" w:lineRule="auto"/>
              <w:jc w:val="center"/>
            </w:pPr>
            <w:r/>
            <w:r>
              <w:rPr>
                <w:rFonts w:ascii="휴먼명조" w:eastAsia="휴먼명조" w:hAnsi="휴먼명조" w:cs="휴먼명조"/>
                <w:b/>
                <w:sz w:val="18"/>
                <w:w w:val="97"/>
              </w:rPr>
              <w:t>Gemma4-E2B</w:t>
            </w:r>
          </w:p>
        </w:tc>
        <w:tc>
          <w:tcPr>
            <w:tcW w:type="dxa" w:w="1859"/>
          </w:tcPr>
          <w:p>
            <w:pPr>
              <w:spacing w:line="240" w:lineRule="auto"/>
              <w:jc w:val="center"/>
            </w:pPr>
            <w:r/>
            <w:r>
              <w:rPr>
                <w:rFonts w:ascii="휴먼명조" w:eastAsia="휴먼명조" w:hAnsi="휴먼명조" w:cs="휴먼명조"/>
                <w:b/>
                <w:sz w:val="18"/>
                <w:w w:val="97"/>
              </w:rPr>
              <w:t>51.50</w:t>
            </w:r>
          </w:p>
        </w:tc>
        <w:tc>
          <w:tcPr>
            <w:tcW w:type="dxa" w:w="1859"/>
          </w:tcPr>
          <w:p>
            <w:pPr>
              <w:spacing w:line="240" w:lineRule="auto"/>
              <w:jc w:val="center"/>
            </w:pPr>
            <w:r/>
            <w:r>
              <w:rPr>
                <w:rFonts w:ascii="휴먼명조" w:eastAsia="휴먼명조" w:hAnsi="휴먼명조" w:cs="휴먼명조"/>
                <w:b w:val="0"/>
                <w:sz w:val="18"/>
                <w:w w:val="97"/>
              </w:rPr>
              <w:t>4.74</w:t>
            </w:r>
          </w:p>
        </w:tc>
        <w:tc>
          <w:tcPr>
            <w:tcW w:type="dxa" w:w="1859"/>
          </w:tcPr>
          <w:p>
            <w:pPr>
              <w:spacing w:line="240" w:lineRule="auto"/>
              <w:jc w:val="center"/>
            </w:pPr>
            <w:r/>
            <w:r>
              <w:rPr>
                <w:rFonts w:ascii="휴먼명조" w:eastAsia="휴먼명조" w:hAnsi="휴먼명조" w:cs="휴먼명조"/>
                <w:b w:val="0"/>
                <w:sz w:val="18"/>
                <w:w w:val="97"/>
              </w:rPr>
              <w:t>43.50 - 57.49</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7.23</w:t>
            </w:r>
          </w:p>
        </w:tc>
        <w:tc>
          <w:tcPr>
            <w:tcW w:type="dxa" w:w="1859"/>
          </w:tcPr>
          <w:p>
            <w:pPr>
              <w:spacing w:line="240" w:lineRule="auto"/>
              <w:jc w:val="center"/>
            </w:pPr>
            <w:r/>
            <w:r>
              <w:rPr>
                <w:rFonts w:ascii="휴먼명조" w:eastAsia="휴먼명조" w:hAnsi="휴먼명조" w:cs="휴먼명조"/>
                <w:b w:val="0"/>
                <w:sz w:val="18"/>
                <w:w w:val="97"/>
              </w:rPr>
              <w:t>3.11</w:t>
            </w:r>
          </w:p>
        </w:tc>
        <w:tc>
          <w:tcPr>
            <w:tcW w:type="dxa" w:w="1859"/>
          </w:tcPr>
          <w:p>
            <w:pPr>
              <w:spacing w:line="240" w:lineRule="auto"/>
              <w:jc w:val="center"/>
            </w:pPr>
            <w:r/>
            <w:r>
              <w:rPr>
                <w:rFonts w:ascii="휴먼명조" w:eastAsia="휴먼명조" w:hAnsi="휴먼명조" w:cs="휴먼명조"/>
                <w:b w:val="0"/>
                <w:sz w:val="18"/>
                <w:w w:val="97"/>
              </w:rPr>
              <w:t>3.29 - 10.47</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4.42</w:t>
            </w:r>
          </w:p>
        </w:tc>
        <w:tc>
          <w:tcPr>
            <w:tcW w:type="dxa" w:w="1859"/>
          </w:tcPr>
          <w:p>
            <w:pPr>
              <w:spacing w:line="240" w:lineRule="auto"/>
              <w:jc w:val="center"/>
            </w:pPr>
            <w:r/>
            <w:r>
              <w:rPr>
                <w:rFonts w:ascii="휴먼명조" w:eastAsia="휴먼명조" w:hAnsi="휴먼명조" w:cs="휴먼명조"/>
                <w:b w:val="0"/>
                <w:sz w:val="18"/>
                <w:w w:val="97"/>
              </w:rPr>
              <w:t>3.60</w:t>
            </w:r>
          </w:p>
        </w:tc>
        <w:tc>
          <w:tcPr>
            <w:tcW w:type="dxa" w:w="1859"/>
          </w:tcPr>
          <w:p>
            <w:pPr>
              <w:spacing w:line="240" w:lineRule="auto"/>
              <w:jc w:val="center"/>
            </w:pPr>
            <w:r/>
            <w:r>
              <w:rPr>
                <w:rFonts w:ascii="휴먼명조" w:eastAsia="휴먼명조" w:hAnsi="휴먼명조" w:cs="휴먼명조"/>
                <w:b w:val="0"/>
                <w:sz w:val="18"/>
                <w:w w:val="97"/>
              </w:rPr>
              <w:t>-0.34 - 8.30</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0.49</w:t>
            </w:r>
          </w:p>
        </w:tc>
        <w:tc>
          <w:tcPr>
            <w:tcW w:type="dxa" w:w="1859"/>
          </w:tcPr>
          <w:p>
            <w:pPr>
              <w:spacing w:line="240" w:lineRule="auto"/>
              <w:jc w:val="center"/>
            </w:pPr>
            <w:r/>
            <w:r>
              <w:rPr>
                <w:rFonts w:ascii="휴먼명조" w:eastAsia="휴먼명조" w:hAnsi="휴먼명조" w:cs="휴먼명조"/>
                <w:b w:val="0"/>
                <w:sz w:val="18"/>
                <w:w w:val="97"/>
              </w:rPr>
              <w:t>0.29</w:t>
            </w:r>
          </w:p>
        </w:tc>
        <w:tc>
          <w:tcPr>
            <w:tcW w:type="dxa" w:w="1859"/>
          </w:tcPr>
          <w:p>
            <w:pPr>
              <w:spacing w:line="240" w:lineRule="auto"/>
              <w:jc w:val="center"/>
            </w:pPr>
            <w:r/>
            <w:r>
              <w:rPr>
                <w:rFonts w:ascii="휴먼명조" w:eastAsia="휴먼명조" w:hAnsi="휴먼명조" w:cs="휴먼명조"/>
                <w:b w:val="0"/>
                <w:sz w:val="18"/>
                <w:w w:val="97"/>
              </w:rPr>
              <w:t>0.15 - 0.96</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degree of general-capability loss measured on VQAv2 diverges sharply across models. </w:t>
      </w:r>
      <w:r>
        <w:rPr>
          <w:rFonts w:ascii="휴먼명조" w:eastAsia="휴먼명조" w:hAnsi="휴먼명조" w:cs="휴먼명조"/>
          <w:b/>
          <w:sz w:val="22"/>
          <w:w w:val="97"/>
        </w:rPr>
        <w:t>Gemma4-E2B loses on average 51.5% of its VQAv2 performance after fine-tuning</w:t>
      </w:r>
      <w:r>
        <w:rPr>
          <w:rFonts w:ascii="휴먼명조" w:eastAsia="휴먼명조" w:hAnsi="휴먼명조" w:cs="휴먼명조"/>
          <w:b w:val="0"/>
          <w:sz w:val="22"/>
          <w:w w:val="97"/>
        </w:rPr>
        <w:t xml:space="preserve">, exhibiting clear catastrophic forgetting, whereas </w:t>
      </w:r>
      <w:r>
        <w:rPr>
          <w:rFonts w:ascii="휴먼명조" w:eastAsia="휴먼명조" w:hAnsi="휴먼명조" w:cs="휴먼명조"/>
          <w:b/>
          <w:sz w:val="22"/>
          <w:w w:val="97"/>
        </w:rPr>
        <w:t>SmolVLM2-2.2B shows essentially no degradation (mean 0.49%)</w:t>
      </w:r>
      <w:r>
        <w:rPr>
          <w:rFonts w:ascii="휴먼명조" w:eastAsia="휴먼명조" w:hAnsi="휴먼명조" w:cs="휴먼명조"/>
          <w:b w:val="0"/>
          <w:sz w:val="22"/>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separately verify a causal relationship.</w:t>
      </w:r>
    </w:p>
    <w:p>
      <w:pPr>
        <w:spacing w:line="384" w:lineRule="auto" w:after="0"/>
        <w:ind w:firstLine="220"/>
        <w:jc w:val="both"/>
      </w:pPr>
      <w:r>
        <w:rPr>
          <w:rFonts w:ascii="휴먼명조" w:eastAsia="휴먼명조" w:hAnsi="휴먼명조" w:cs="휴먼명조"/>
          <w:b/>
          <w:sz w:val="22"/>
          <w:w w:val="97"/>
        </w:rPr>
        <w:t>(B) Cross-dataset generalization gap — rate of change when evaluated on a dataset other than the training domain</w:t>
      </w:r>
    </w:p>
    <w:p>
      <w:pPr>
        <w:pStyle w:val="표캡션"/>
        <w:spacing w:line="384" w:lineRule="auto" w:after="0"/>
        <w:jc w:val="center"/>
      </w:pPr>
      <w:r>
        <w:rPr>
          <w:rFonts w:ascii="휴먼명조" w:eastAsia="휴먼명조" w:hAnsi="휴먼명조" w:cs="휴먼명조"/>
          <w:b/>
          <w:sz w:val="22"/>
          <w:w w:val="97"/>
        </w:rPr>
        <w:t>Table 4.2e. Cross-dataset performance change rate by model (n = 18 = 2 eval sets × 3 training sets ×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Mean change (%)</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Share positive</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+73.94</w:t>
            </w:r>
          </w:p>
        </w:tc>
        <w:tc>
          <w:tcPr>
            <w:tcW w:type="dxa" w:w="1859"/>
          </w:tcPr>
          <w:p>
            <w:pPr>
              <w:spacing w:line="240" w:lineRule="auto"/>
              <w:jc w:val="center"/>
            </w:pPr>
            <w:r/>
            <w:r>
              <w:rPr>
                <w:rFonts w:ascii="휴먼명조" w:eastAsia="휴먼명조" w:hAnsi="휴먼명조" w:cs="휴먼명조"/>
                <w:b w:val="0"/>
                <w:sz w:val="18"/>
                <w:w w:val="97"/>
              </w:rPr>
              <w:t>79.97</w:t>
            </w:r>
          </w:p>
        </w:tc>
        <w:tc>
          <w:tcPr>
            <w:tcW w:type="dxa" w:w="1859"/>
          </w:tcPr>
          <w:p>
            <w:pPr>
              <w:spacing w:line="240" w:lineRule="auto"/>
              <w:jc w:val="center"/>
            </w:pPr>
            <w:r/>
            <w:r>
              <w:rPr>
                <w:rFonts w:ascii="휴먼명조" w:eastAsia="휴먼명조" w:hAnsi="휴먼명조" w:cs="휴먼명조"/>
                <w:b w:val="0"/>
                <w:sz w:val="18"/>
                <w:w w:val="97"/>
              </w:rPr>
              <w:t>15/18</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+0.38</w:t>
            </w:r>
          </w:p>
        </w:tc>
        <w:tc>
          <w:tcPr>
            <w:tcW w:type="dxa" w:w="1859"/>
          </w:tcPr>
          <w:p>
            <w:pPr>
              <w:spacing w:line="240" w:lineRule="auto"/>
              <w:jc w:val="center"/>
            </w:pPr>
            <w:r/>
            <w:r>
              <w:rPr>
                <w:rFonts w:ascii="휴먼명조" w:eastAsia="휴먼명조" w:hAnsi="휴먼명조" w:cs="휴먼명조"/>
                <w:b w:val="0"/>
                <w:sz w:val="18"/>
                <w:w w:val="97"/>
              </w:rPr>
              <w:t>4.98</w:t>
            </w:r>
          </w:p>
        </w:tc>
        <w:tc>
          <w:tcPr>
            <w:tcW w:type="dxa" w:w="1859"/>
          </w:tcPr>
          <w:p>
            <w:pPr>
              <w:spacing w:line="240" w:lineRule="auto"/>
              <w:jc w:val="center"/>
            </w:pPr>
            <w:r/>
            <w:r>
              <w:rPr>
                <w:rFonts w:ascii="휴먼명조" w:eastAsia="휴먼명조" w:hAnsi="휴먼명조" w:cs="휴먼명조"/>
                <w:b w:val="0"/>
                <w:sz w:val="18"/>
                <w:w w:val="97"/>
              </w:rPr>
              <w:t>9/18</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-9.46</w:t>
            </w:r>
          </w:p>
        </w:tc>
        <w:tc>
          <w:tcPr>
            <w:tcW w:type="dxa" w:w="1859"/>
          </w:tcPr>
          <w:p>
            <w:pPr>
              <w:spacing w:line="240" w:lineRule="auto"/>
              <w:jc w:val="center"/>
            </w:pPr>
            <w:r/>
            <w:r>
              <w:rPr>
                <w:rFonts w:ascii="휴먼명조" w:eastAsia="휴먼명조" w:hAnsi="휴먼명조" w:cs="휴먼명조"/>
                <w:b w:val="0"/>
                <w:sz w:val="18"/>
                <w:w w:val="97"/>
              </w:rPr>
              <w:t>9.23</w:t>
            </w:r>
          </w:p>
        </w:tc>
        <w:tc>
          <w:tcPr>
            <w:tcW w:type="dxa" w:w="1859"/>
          </w:tcPr>
          <w:p>
            <w:pPr>
              <w:spacing w:line="240" w:lineRule="auto"/>
              <w:jc w:val="center"/>
            </w:pPr>
            <w:r/>
            <w:r>
              <w:rPr>
                <w:rFonts w:ascii="휴먼명조" w:eastAsia="휴먼명조" w:hAnsi="휴먼명조" w:cs="휴먼명조"/>
                <w:b w:val="0"/>
                <w:sz w:val="18"/>
                <w:w w:val="97"/>
              </w:rPr>
              <w:t>3/18</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sz w:val="18"/>
                <w:w w:val="97"/>
              </w:rPr>
              <w:t>-31.53</w:t>
            </w:r>
          </w:p>
        </w:tc>
        <w:tc>
          <w:tcPr>
            <w:tcW w:type="dxa" w:w="1859"/>
          </w:tcPr>
          <w:p>
            <w:pPr>
              <w:spacing w:line="240" w:lineRule="auto"/>
              <w:jc w:val="center"/>
            </w:pPr>
            <w:r/>
            <w:r>
              <w:rPr>
                <w:rFonts w:ascii="휴먼명조" w:eastAsia="휴먼명조" w:hAnsi="휴먼명조" w:cs="휴먼명조"/>
                <w:b w:val="0"/>
                <w:sz w:val="18"/>
                <w:w w:val="97"/>
              </w:rPr>
              <w:t>17.49</w:t>
            </w:r>
          </w:p>
        </w:tc>
        <w:tc>
          <w:tcPr>
            <w:tcW w:type="dxa" w:w="1859"/>
          </w:tcPr>
          <w:p>
            <w:pPr>
              <w:spacing w:line="240" w:lineRule="auto"/>
              <w:jc w:val="center"/>
            </w:pPr>
            <w:r/>
            <w:r>
              <w:rPr>
                <w:rFonts w:ascii="휴먼명조" w:eastAsia="휴먼명조" w:hAnsi="휴먼명조" w:cs="휴먼명조"/>
                <w:b w:val="0"/>
                <w:sz w:val="18"/>
                <w:w w:val="97"/>
              </w:rPr>
              <w:t>0/18</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sz w:val="22"/>
          <w:w w:val="97"/>
        </w:rPr>
        <w:t>domain-generalization gap</w:t>
      </w:r>
      <w:r>
        <w:rPr>
          <w:rFonts w:ascii="휴먼명조" w:eastAsia="휴먼명조" w:hAnsi="휴먼명조" w:cs="휴먼명조"/>
          <w:b w:val="0"/>
          <w:sz w:val="22"/>
          <w:w w:val="97"/>
        </w:rPr>
        <w:t xml:space="preserve"> rather than catastrophic forgetting in the strict sense. SmolVLM2-2.2B shows a clear 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base accuracy is very low, relative change rates are easily exaggerated in either direction. For all 72 conditions in detail, see results/phase2_finetune/cross_dataset_cf_summary.md.</w:t>
      </w:r>
    </w:p>
    <w:p>
      <w:pPr>
        <w:spacing w:line="384" w:lineRule="auto" w:after="0"/>
        <w:jc w:val="left"/>
        <w:outlineLvl w:val="1"/>
      </w:pPr>
      <w:r>
        <w:rPr>
          <w:rFonts w:ascii="휴먼명조" w:eastAsia="휴먼명조" w:hAnsi="휴먼명조" w:cs="휴먼명조"/>
          <w:b/>
          <w:sz w:val="28"/>
          <w:w w:val="97"/>
        </w:rPr>
        <w:t>4.3 Phase 3: Autonomous Hyperparameter Optimization Results</w:t>
      </w:r>
    </w:p>
    <w:p>
      <w:pPr>
        <w:spacing w:line="384" w:lineRule="auto" w:after="0"/>
        <w:ind w:firstLine="220"/>
        <w:jc w:val="both"/>
      </w:pPr>
      <w:r>
        <w:rPr>
          <w:rFonts w:ascii="휴먼명조" w:eastAsia="휴먼명조" w:hAnsi="휴먼명조" w:cs="휴먼명조"/>
          <w:b w:val="0"/>
          <w:sz w:val="22"/>
          <w:w w:val="97"/>
        </w:rPr>
        <w:t>Phase 3 fixed Qwen3-VL-2B — the best performer in Phase 2 — on PathVQA and compared four hyperparameter search strategies (Manual, Random Search, Optuna (TPE), and Autoresearch (LLM agent)) under identical conditions, answering RQ3 ("does an LLM agent's autonomous search reach performance competitive with existing HPO techniques?"). Training volume was controlled at max_steps=200 for all trials, and the final execution scale was Manual 10 + Random 200 + Optuna 200 + Autoresearch 200 = 610 trials in total (20 trials per strategy × 10 independent repeats; Manual has one trial per repeat).</w:t>
      </w:r>
    </w:p>
    <w:p>
      <w:pPr>
        <w:spacing w:line="384" w:lineRule="auto" w:after="0"/>
        <w:ind w:firstLine="220"/>
        <w:jc w:val="both"/>
      </w:pPr>
      <w:r>
        <w:rPr>
          <w:rFonts w:ascii="휴먼명조" w:eastAsia="휴먼명조" w:hAnsi="휴먼명조" w:cs="휴먼명조"/>
          <w:b w:val="0"/>
          <w:sz w:val="22"/>
          <w:w w:val="97"/>
        </w:rPr>
        <w:t xml:space="preserve">As described in Section 3.7, </w:t>
      </w:r>
      <w:r>
        <w:rPr>
          <w:rFonts w:ascii="휴먼명조" w:eastAsia="휴먼명조" w:hAnsi="휴먼명조" w:cs="휴먼명조"/>
          <w:b/>
          <w:sz w:val="22"/>
          <w:w w:val="97"/>
        </w:rPr>
        <w:t>statistical testing is performed only at the run level, not at the trial level</w:t>
      </w:r>
      <w:r>
        <w:rPr>
          <w:rFonts w:ascii="휴먼명조" w:eastAsia="휴먼명조" w:hAnsi="휴먼명조" w:cs="휴먼명조"/>
          <w:b w:val="0"/>
          <w:sz w:val="22"/>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sz w:val="22"/>
          <w:w w:val="97"/>
        </w:rPr>
        <w:t>10 per-repeat best val_accuracy values</w:t>
      </w:r>
      <w:r>
        <w:rPr>
          <w:rFonts w:ascii="휴먼명조" w:eastAsia="휴먼명조" w:hAnsi="휴먼명조" w:cs="휴먼명조"/>
          <w:b w:val="0"/>
          <w:sz w:val="22"/>
          <w:w w:val="97"/>
        </w:rPr>
        <w:t xml:space="preserve"> obtained from the 10 independent repeats of each strategy (for Manual, which has one trial per repeat, that value is itself the run-level value); trial-level data are used only for describing the search process in Sections 4.3.3-4.3.4.</w:t>
      </w:r>
    </w:p>
    <w:p>
      <w:pPr>
        <w:spacing w:line="384" w:lineRule="auto" w:after="0"/>
        <w:jc w:val="left"/>
        <w:outlineLvl w:val="2"/>
      </w:pPr>
      <w:r>
        <w:rPr>
          <w:rFonts w:ascii="휴먼명조" w:eastAsia="휴먼명조" w:hAnsi="휴먼명조" w:cs="휴먼명조"/>
          <w:b/>
          <w:sz w:val="22"/>
          <w:w w:val="97"/>
        </w:rPr>
        <w:t>4.3.1 Final Performance Comparison by Strategy (run level)</w:t>
      </w:r>
    </w:p>
    <w:p>
      <w:pPr>
        <w:pStyle w:val="표캡션"/>
        <w:spacing w:line="384" w:lineRule="auto" w:after="0"/>
        <w:jc w:val="center"/>
      </w:pPr>
      <w:r>
        <w:rPr>
          <w:rFonts w:ascii="휴먼명조" w:eastAsia="휴먼명조" w:hAnsi="휴먼명조" w:cs="휴먼명조"/>
          <w:b/>
          <w:sz w:val="22"/>
          <w:w w:val="97"/>
        </w:rPr>
        <w:t>Table 4.3. Run-level performance by HPO strategy (n = 10 = per-repeat best val_accuracy over 10 independent repeats)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n</w:t>
            </w:r>
          </w:p>
        </w:tc>
        <w:tc>
          <w:tcPr>
            <w:tcW w:type="dxa" w:w="1859"/>
          </w:tcPr>
          <w:p>
            <w:pPr>
              <w:spacing w:line="240" w:lineRule="auto"/>
              <w:jc w:val="center"/>
            </w:pPr>
            <w:r/>
            <w:r>
              <w:rPr>
                <w:rFonts w:ascii="휴먼명조" w:eastAsia="휴먼명조" w:hAnsi="휴먼명조" w:cs="휴먼명조"/>
                <w:b/>
                <w:sz w:val="18"/>
                <w:w w:val="97"/>
              </w:rPr>
              <w:t>Mean val_accuracy</w:t>
            </w:r>
          </w:p>
        </w:tc>
        <w:tc>
          <w:tcPr>
            <w:tcW w:type="dxa" w:w="1859"/>
          </w:tcPr>
          <w:p>
            <w:pPr>
              <w:spacing w:line="240" w:lineRule="auto"/>
              <w:jc w:val="center"/>
            </w:pPr>
            <w:r/>
            <w:r>
              <w:rPr>
                <w:rFonts w:ascii="휴먼명조" w:eastAsia="휴먼명조" w:hAnsi="휴먼명조" w:cs="휴먼명조"/>
                <w:b/>
                <w:sz w:val="18"/>
                <w:w w:val="97"/>
              </w:rPr>
              <w:t>95% CI (bootstrap)</w:t>
            </w:r>
          </w:p>
        </w:tc>
      </w:tr>
      <w:tr>
        <w:tc>
          <w:tcPr>
            <w:tcW w:type="dxa" w:w="1859"/>
          </w:tcPr>
          <w:p>
            <w:pPr>
              <w:spacing w:line="240" w:lineRule="auto"/>
              <w:jc w:val="center"/>
            </w:pPr>
            <w:r/>
            <w:r>
              <w:rPr>
                <w:rFonts w:ascii="휴먼명조" w:eastAsia="휴먼명조" w:hAnsi="휴먼명조" w:cs="휴먼명조"/>
                <w:b/>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sz w:val="18"/>
                <w:w w:val="97"/>
              </w:rPr>
              <w:t>0.4490</w:t>
            </w:r>
          </w:p>
        </w:tc>
        <w:tc>
          <w:tcPr>
            <w:tcW w:type="dxa" w:w="1859"/>
          </w:tcPr>
          <w:p>
            <w:pPr>
              <w:spacing w:line="240" w:lineRule="auto"/>
              <w:jc w:val="center"/>
            </w:pPr>
            <w:r/>
            <w:r>
              <w:rPr>
                <w:rFonts w:ascii="휴먼명조" w:eastAsia="휴먼명조" w:hAnsi="휴먼명조" w:cs="휴먼명조"/>
                <w:b w:val="0"/>
                <w:sz w:val="18"/>
                <w:w w:val="97"/>
              </w:rPr>
              <w:t>[0.4368, 0.4594]</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0.4186</w:t>
            </w:r>
          </w:p>
        </w:tc>
        <w:tc>
          <w:tcPr>
            <w:tcW w:type="dxa" w:w="1859"/>
          </w:tcPr>
          <w:p>
            <w:pPr>
              <w:spacing w:line="240" w:lineRule="auto"/>
              <w:jc w:val="center"/>
            </w:pPr>
            <w:r/>
            <w:r>
              <w:rPr>
                <w:rFonts w:ascii="휴먼명조" w:eastAsia="휴먼명조" w:hAnsi="휴먼명조" w:cs="휴먼명조"/>
                <w:b w:val="0"/>
                <w:sz w:val="18"/>
                <w:w w:val="97"/>
              </w:rPr>
              <w:t>[0.4106, 0.4274]</w:t>
            </w:r>
          </w:p>
        </w:tc>
      </w:tr>
      <w:tr>
        <w:tc>
          <w:tcPr>
            <w:tcW w:type="dxa" w:w="1859"/>
          </w:tcPr>
          <w:p>
            <w:pPr>
              <w:spacing w:line="240" w:lineRule="auto"/>
              <w:jc w:val="center"/>
            </w:pPr>
            <w:r/>
            <w:r>
              <w:rPr>
                <w:rFonts w:ascii="휴먼명조" w:eastAsia="휴먼명조" w:hAnsi="휴먼명조" w:cs="휴먼명조"/>
                <w:b w:val="0"/>
                <w:sz w:val="18"/>
                <w:w w:val="97"/>
              </w:rPr>
              <w:t>Autoresearch (LLM)</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0.4184</w:t>
            </w:r>
          </w:p>
        </w:tc>
        <w:tc>
          <w:tcPr>
            <w:tcW w:type="dxa" w:w="1859"/>
          </w:tcPr>
          <w:p>
            <w:pPr>
              <w:spacing w:line="240" w:lineRule="auto"/>
              <w:jc w:val="center"/>
            </w:pPr>
            <w:r/>
            <w:r>
              <w:rPr>
                <w:rFonts w:ascii="휴먼명조" w:eastAsia="휴먼명조" w:hAnsi="휴먼명조" w:cs="휴먼명조"/>
                <w:b w:val="0"/>
                <w:sz w:val="18"/>
                <w:w w:val="97"/>
              </w:rPr>
              <w:t>[0.4064, 0.4328]</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0.3776</w:t>
            </w:r>
          </w:p>
        </w:tc>
        <w:tc>
          <w:tcPr>
            <w:tcW w:type="dxa" w:w="1859"/>
          </w:tcPr>
          <w:p>
            <w:pPr>
              <w:spacing w:line="240" w:lineRule="auto"/>
              <w:jc w:val="center"/>
            </w:pPr>
            <w:r/>
            <w:r>
              <w:rPr>
                <w:rFonts w:ascii="휴먼명조" w:eastAsia="휴먼명조" w:hAnsi="휴먼명조" w:cs="휴먼명조"/>
                <w:b w:val="0"/>
                <w:sz w:val="18"/>
                <w:w w:val="97"/>
              </w:rPr>
              <w:t>[0.3760, 0.3794]</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A run-level value is the highest val_accuracy among the completed trials of 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pPr>
        <w:spacing w:line="384" w:lineRule="auto" w:after="0"/>
        <w:ind w:firstLine="220"/>
        <w:jc w:val="both"/>
      </w:pPr>
      <w:r>
        <w:rPr>
          <w:rFonts w:ascii="휴먼명조" w:eastAsia="휴먼명조" w:hAnsi="휴먼명조" w:cs="휴먼명조"/>
          <w:b w:val="0"/>
          <w:sz w:val="22"/>
          <w:w w:val="97"/>
        </w:rPr>
        <w:t xml:space="preserve">The difference in run-level performance among the four strategies was </w:t>
      </w:r>
      <w:r>
        <w:rPr>
          <w:rFonts w:ascii="휴먼명조" w:eastAsia="휴먼명조" w:hAnsi="휴먼명조" w:cs="휴먼명조"/>
          <w:b/>
          <w:sz w:val="22"/>
          <w:w w:val="97"/>
        </w:rPr>
        <w:t>statistically significant under the Kruskal-Wallis test</w:t>
      </w:r>
      <w:r>
        <w:rPr>
          <w:rFonts w:ascii="휴먼명조" w:eastAsia="휴먼명조" w:hAnsi="휴먼명조" w:cs="휴먼명조"/>
          <w:b w:val="0"/>
          <w:sz w:val="22"/>
          <w:w w:val="97"/>
        </w:rPr>
        <w:t xml:space="preserve"> (H = 27.92, df = 3, p &lt; .001).</w:t>
      </w:r>
    </w:p>
    <w:p>
      <w:pPr>
        <w:spacing w:line="384" w:lineRule="auto" w:after="0"/>
        <w:ind w:firstLine="220"/>
        <w:jc w:val="both"/>
      </w:pPr>
      <w:r>
        <w:rPr>
          <w:rFonts w:ascii="휴먼명조" w:eastAsia="휴먼명조" w:hAnsi="휴먼명조" w:cs="휴먼명조"/>
          <w:b w:val="0"/>
          <w:sz w:val="22"/>
          <w:w w:val="97"/>
        </w:rPr>
        <w:t xml:space="preserve">The Mann-Whitney U test for the pairwise comparison central to RQ3, </w:t>
      </w:r>
      <w:r>
        <w:rPr>
          <w:rFonts w:ascii="휴먼명조" w:eastAsia="휴먼명조" w:hAnsi="휴먼명조" w:cs="휴먼명조"/>
          <w:b/>
          <w:sz w:val="22"/>
          <w:w w:val="97"/>
        </w:rPr>
        <w:t>Autoresearch vs Optuna</w:t>
      </w:r>
      <w:r>
        <w:rPr>
          <w:rFonts w:ascii="휴먼명조" w:eastAsia="휴먼명조" w:hAnsi="휴먼명조" w:cs="휴먼명조"/>
          <w:b w:val="0"/>
          <w:sz w:val="22"/>
          <w:w w:val="97"/>
        </w:rPr>
        <w:t xml:space="preserve">, was significant at U = 16.00, p = .0112, rank-biserial r = </w:t>
      </w:r>
      <w:r>
        <w:rPr>
          <w:rFonts w:ascii="휴먼명조" w:eastAsia="휴먼명조" w:hAnsi="휴먼명조" w:cs="휴먼명조"/>
          <w:b/>
          <w:sz w:val="22"/>
          <w:w w:val="97"/>
        </w:rPr>
        <w:t>-0.68</w:t>
      </w:r>
      <w:r>
        <w:rPr>
          <w:rFonts w:ascii="휴먼명조" w:eastAsia="휴먼명조" w:hAnsi="휴먼명조" w:cs="휴먼명조"/>
          <w:b w:val="0"/>
          <w:sz w:val="22"/>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sz w:val="22"/>
          <w:w w:val="97"/>
        </w:rPr>
        <w:t>a negative r therefore means Optuna is significantly superior to Autoresearch</w:t>
      </w:r>
      <w:r>
        <w:rPr>
          <w:rFonts w:ascii="휴먼명조" w:eastAsia="휴먼명조" w:hAnsi="휴먼명조" w:cs="휴먼명조"/>
          <w:b w:val="0"/>
          <w:sz w:val="22"/>
          <w:w w:val="97"/>
        </w:rPr>
        <w:t>.</w:t>
      </w:r>
    </w:p>
    <w:p>
      <w:pPr>
        <w:spacing w:line="384" w:lineRule="auto" w:after="0"/>
        <w:ind w:firstLine="220"/>
        <w:jc w:val="both"/>
      </w:pPr>
      <w:r>
        <w:rPr>
          <w:rFonts w:ascii="휴먼명조" w:eastAsia="휴먼명조" w:hAnsi="휴먼명조" w:cs="휴먼명조"/>
          <w:b w:val="0"/>
          <w:sz w:val="22"/>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sz w:val="22"/>
          <w:w w:val="97"/>
        </w:rPr>
        <w:t>the two intervals do not overlap</w:t>
      </w:r>
      <w:r>
        <w:rPr>
          <w:rFonts w:ascii="휴먼명조" w:eastAsia="휴먼명조" w:hAnsi="휴먼명조" w:cs="휴먼명조"/>
          <w:b w:val="0"/>
          <w:sz w:val="22"/>
          <w:w w:val="97"/>
        </w:rPr>
        <w:t>. By contrast, Autoresearch (0.4184) and Random Search (0.4186) have practically identical means with largely overlapping intervals, so the two strategies are not statistically distinguishable.</w:t>
      </w:r>
    </w:p>
    <w:p>
      <w:pPr>
        <w:spacing w:line="384" w:lineRule="auto" w:after="0"/>
        <w:ind w:firstLine="220"/>
        <w:jc w:val="both"/>
      </w:pPr>
      <w:r>
        <w:rPr>
          <w:rFonts w:ascii="휴먼명조" w:eastAsia="휴먼명조" w:hAnsi="휴먼명조" w:cs="휴먼명조"/>
          <w:b w:val="0"/>
          <w:sz w:val="22"/>
          <w:w w:val="97"/>
        </w:rPr>
        <w:t xml:space="preserve">In sum, the ordering among strategies under these experimental conditions is </w:t>
      </w:r>
      <w:r>
        <w:rPr>
          <w:rFonts w:ascii="휴먼명조" w:eastAsia="휴먼명조" w:hAnsi="휴먼명조" w:cs="휴먼명조"/>
          <w:b/>
          <w:sz w:val="22"/>
          <w:w w:val="97"/>
        </w:rPr>
        <w:t>Optuna &gt; (Random ≈ Autoresearch) &gt; Manual</w:t>
      </w:r>
      <w:r>
        <w:rPr>
          <w:rFonts w:ascii="휴먼명조" w:eastAsia="휴먼명조" w:hAnsi="휴먼명조" w:cs="휴먼명조"/>
          <w:b w:val="0"/>
          <w:sz w:val="22"/>
          <w:w w:val="97"/>
        </w:rPr>
        <w:t xml:space="preserve">. That is, </w:t>
      </w:r>
      <w:r>
        <w:rPr>
          <w:rFonts w:ascii="휴먼명조" w:eastAsia="휴먼명조" w:hAnsi="휴먼명조" w:cs="휴먼명조"/>
          <w:b/>
          <w:sz w:val="22"/>
          <w:w w:val="97"/>
        </w:rPr>
        <w:t>the LLM agent's autonomous search fell significantly short of established Bayesian optimization (TPE) and showed no advantage even over random search.</w:t>
      </w:r>
      <w:r>
        <w:rPr>
          <w:rFonts w:ascii="휴먼명조" w:eastAsia="휴먼명조" w:hAnsi="휴먼명조" w:cs="휴먼명조"/>
          <w:b w:val="0"/>
          <w:sz w:val="22"/>
          <w:w w:val="97"/>
        </w:rPr>
        <w:t xml:space="preserve"> All three automated strategies including Autoresearch nevertheless exceeded the researcher's manual configuration (Manual, 0.3776), confirming the validity of automated hyperparameter search as such.</w:t>
      </w:r>
    </w:p>
    <w:p>
      <w:pPr>
        <w:spacing w:line="384" w:lineRule="auto" w:after="0"/>
        <w:jc w:val="left"/>
        <w:outlineLvl w:val="2"/>
      </w:pPr>
      <w:r>
        <w:rPr>
          <w:rFonts w:ascii="휴먼명조" w:eastAsia="휴먼명조" w:hAnsi="휴먼명조" w:cs="휴먼명조"/>
          <w:b/>
          <w:sz w:val="22"/>
          <w:w w:val="97"/>
        </w:rPr>
        <w:t>4.3.2 Hyperparameters Found by Each Strategy</w:t>
      </w:r>
    </w:p>
    <w:p>
      <w:pPr>
        <w:pStyle w:val="표캡션"/>
        <w:spacing w:line="384" w:lineRule="auto" w:after="0"/>
        <w:jc w:val="center"/>
      </w:pPr>
      <w:r>
        <w:rPr>
          <w:rFonts w:ascii="휴먼명조" w:eastAsia="휴먼명조" w:hAnsi="휴먼명조" w:cs="휴먼명조"/>
          <w:b/>
          <w:sz w:val="22"/>
          <w:w w:val="97"/>
        </w:rPr>
        <w:t>Table 4.3a. Hyperparameter configuration of the best-performing trial per strategy</w:t>
      </w:r>
    </w:p>
    <w:tbl>
      <w:tblPr>
        <w:tblW w:type="auto" w:w="0"/>
        <w:tblLook w:firstColumn="1" w:firstRow="1" w:lastColumn="0" w:lastRow="0" w:noHBand="0" w:noVBand="1" w:val="04A0"/>
      </w:tblPr>
      <w:tblGrid>
        <w:gridCol w:w="620"/>
        <w:gridCol w:w="620"/>
        <w:gridCol w:w="620"/>
        <w:gridCol w:w="620"/>
        <w:gridCol w:w="620"/>
        <w:gridCol w:w="620"/>
        <w:gridCol w:w="620"/>
        <w:gridCol w:w="620"/>
        <w:gridCol w:w="620"/>
        <w:gridCol w:w="620"/>
        <w:gridCol w:w="620"/>
        <w:gridCol w:w="620"/>
      </w:tblGrid>
      <w:tr>
        <w:tc>
          <w:tcPr>
            <w:tcW w:type="dxa" w:w="620"/>
          </w:tcPr>
          <w:p>
            <w:pPr>
              <w:spacing w:line="240" w:lineRule="auto"/>
              <w:jc w:val="center"/>
            </w:pPr>
            <w:r/>
            <w:r>
              <w:rPr>
                <w:rFonts w:ascii="휴먼명조" w:eastAsia="휴먼명조" w:hAnsi="휴먼명조" w:cs="휴먼명조"/>
                <w:b/>
                <w:sz w:val="18"/>
                <w:w w:val="97"/>
              </w:rPr>
              <w:t>Strategy</w:t>
            </w:r>
          </w:p>
        </w:tc>
        <w:tc>
          <w:tcPr>
            <w:tcW w:type="dxa" w:w="620"/>
          </w:tcPr>
          <w:p>
            <w:pPr>
              <w:spacing w:line="240" w:lineRule="auto"/>
              <w:jc w:val="center"/>
            </w:pPr>
            <w:r/>
            <w:r>
              <w:rPr>
                <w:rFonts w:ascii="휴먼명조" w:eastAsia="휴먼명조" w:hAnsi="휴먼명조" w:cs="휴먼명조"/>
                <w:b/>
                <w:sz w:val="18"/>
                <w:w w:val="97"/>
              </w:rPr>
              <w:t>rank</w:t>
            </w:r>
          </w:p>
        </w:tc>
        <w:tc>
          <w:tcPr>
            <w:tcW w:type="dxa" w:w="620"/>
          </w:tcPr>
          <w:p>
            <w:pPr>
              <w:spacing w:line="240" w:lineRule="auto"/>
              <w:jc w:val="center"/>
            </w:pPr>
            <w:r/>
            <w:r>
              <w:rPr>
                <w:rFonts w:ascii="휴먼명조" w:eastAsia="휴먼명조" w:hAnsi="휴먼명조" w:cs="휴먼명조"/>
                <w:b/>
                <w:sz w:val="18"/>
                <w:w w:val="97"/>
              </w:rPr>
              <w:t>alpha</w:t>
            </w:r>
          </w:p>
        </w:tc>
        <w:tc>
          <w:tcPr>
            <w:tcW w:type="dxa" w:w="620"/>
          </w:tcPr>
          <w:p>
            <w:pPr>
              <w:spacing w:line="240" w:lineRule="auto"/>
              <w:jc w:val="center"/>
            </w:pPr>
            <w:r/>
            <w:r>
              <w:rPr>
                <w:rFonts w:ascii="휴먼명조" w:eastAsia="휴먼명조" w:hAnsi="휴먼명조" w:cs="휴먼명조"/>
                <w:b/>
                <w:sz w:val="18"/>
                <w:w w:val="97"/>
              </w:rPr>
              <w:t>learning_rate</w:t>
            </w:r>
          </w:p>
        </w:tc>
        <w:tc>
          <w:tcPr>
            <w:tcW w:type="dxa" w:w="620"/>
          </w:tcPr>
          <w:p>
            <w:pPr>
              <w:spacing w:line="240" w:lineRule="auto"/>
              <w:jc w:val="center"/>
            </w:pPr>
            <w:r/>
            <w:r>
              <w:rPr>
                <w:rFonts w:ascii="휴먼명조" w:eastAsia="휴먼명조" w:hAnsi="휴먼명조" w:cs="휴먼명조"/>
                <w:b/>
                <w:sz w:val="18"/>
                <w:w w:val="97"/>
              </w:rPr>
              <w:t>batch</w:t>
            </w:r>
          </w:p>
        </w:tc>
        <w:tc>
          <w:tcPr>
            <w:tcW w:type="dxa" w:w="620"/>
          </w:tcPr>
          <w:p>
            <w:pPr>
              <w:spacing w:line="240" w:lineRule="auto"/>
              <w:jc w:val="center"/>
            </w:pPr>
            <w:r/>
            <w:r>
              <w:rPr>
                <w:rFonts w:ascii="휴먼명조" w:eastAsia="휴먼명조" w:hAnsi="휴먼명조" w:cs="휴먼명조"/>
                <w:b/>
                <w:sz w:val="18"/>
                <w:w w:val="97"/>
              </w:rPr>
              <w:t>grad_accum</w:t>
            </w:r>
          </w:p>
        </w:tc>
        <w:tc>
          <w:tcPr>
            <w:tcW w:type="dxa" w:w="620"/>
          </w:tcPr>
          <w:p>
            <w:pPr>
              <w:spacing w:line="240" w:lineRule="auto"/>
              <w:jc w:val="center"/>
            </w:pPr>
            <w:r/>
            <w:r>
              <w:rPr>
                <w:rFonts w:ascii="휴먼명조" w:eastAsia="휴먼명조" w:hAnsi="휴먼명조" w:cs="휴먼명조"/>
                <w:b/>
                <w:sz w:val="18"/>
                <w:w w:val="97"/>
              </w:rPr>
              <w:t>warmup</w:t>
            </w:r>
          </w:p>
        </w:tc>
        <w:tc>
          <w:tcPr>
            <w:tcW w:type="dxa" w:w="620"/>
          </w:tcPr>
          <w:p>
            <w:pPr>
              <w:spacing w:line="240" w:lineRule="auto"/>
              <w:jc w:val="center"/>
            </w:pPr>
            <w:r/>
            <w:r>
              <w:rPr>
                <w:rFonts w:ascii="휴먼명조" w:eastAsia="휴먼명조" w:hAnsi="휴먼명조" w:cs="휴먼명조"/>
                <w:b/>
                <w:sz w:val="18"/>
                <w:w w:val="97"/>
              </w:rPr>
              <w:t>weight_decay</w:t>
            </w:r>
          </w:p>
        </w:tc>
        <w:tc>
          <w:tcPr>
            <w:tcW w:type="dxa" w:w="620"/>
          </w:tcPr>
          <w:p>
            <w:pPr>
              <w:spacing w:line="240" w:lineRule="auto"/>
              <w:jc w:val="center"/>
            </w:pPr>
            <w:r/>
            <w:r>
              <w:rPr>
                <w:rFonts w:ascii="휴먼명조" w:eastAsia="휴먼명조" w:hAnsi="휴먼명조" w:cs="휴먼명조"/>
                <w:b/>
                <w:sz w:val="18"/>
                <w:w w:val="97"/>
              </w:rPr>
              <w:t>targets</w:t>
            </w:r>
          </w:p>
        </w:tc>
        <w:tc>
          <w:tcPr>
            <w:tcW w:type="dxa" w:w="620"/>
          </w:tcPr>
          <w:p>
            <w:pPr>
              <w:spacing w:line="240" w:lineRule="auto"/>
              <w:jc w:val="center"/>
            </w:pPr>
            <w:r/>
            <w:r>
              <w:rPr>
                <w:rFonts w:ascii="휴먼명조" w:eastAsia="휴먼명조" w:hAnsi="휴먼명조" w:cs="휴먼명조"/>
                <w:b/>
                <w:sz w:val="18"/>
                <w:w w:val="97"/>
              </w:rPr>
              <w:t>val_acc</w:t>
            </w:r>
          </w:p>
        </w:tc>
        <w:tc>
          <w:tcPr>
            <w:tcW w:type="dxa" w:w="620"/>
          </w:tcPr>
          <w:p>
            <w:pPr>
              <w:spacing w:line="240" w:lineRule="auto"/>
              <w:jc w:val="center"/>
            </w:pPr>
            <w:r/>
            <w:r>
              <w:rPr>
                <w:rFonts w:ascii="휴먼명조" w:eastAsia="휴먼명조" w:hAnsi="휴먼명조" w:cs="휴먼명조"/>
                <w:b/>
                <w:sz w:val="18"/>
                <w:w w:val="97"/>
              </w:rPr>
              <w:t>closed</w:t>
            </w:r>
          </w:p>
        </w:tc>
        <w:tc>
          <w:tcPr>
            <w:tcW w:type="dxa" w:w="620"/>
          </w:tcPr>
          <w:p>
            <w:pPr>
              <w:spacing w:line="240" w:lineRule="auto"/>
              <w:jc w:val="center"/>
            </w:pPr>
            <w:r/>
            <w:r>
              <w:rPr>
                <w:rFonts w:ascii="휴먼명조" w:eastAsia="휴먼명조" w:hAnsi="휴먼명조" w:cs="휴먼명조"/>
                <w:b/>
                <w:sz w:val="18"/>
                <w:w w:val="97"/>
              </w:rPr>
              <w:t>open</w:t>
            </w:r>
          </w:p>
        </w:tc>
      </w:tr>
      <w:tr>
        <w:tc>
          <w:tcPr>
            <w:tcW w:type="dxa" w:w="620"/>
          </w:tcPr>
          <w:p>
            <w:pPr>
              <w:spacing w:line="240" w:lineRule="auto"/>
              <w:jc w:val="center"/>
            </w:pPr>
            <w:r/>
            <w:r>
              <w:rPr>
                <w:rFonts w:ascii="휴먼명조" w:eastAsia="휴먼명조" w:hAnsi="휴먼명조" w:cs="휴먼명조"/>
                <w:b w:val="0"/>
                <w:sz w:val="18"/>
                <w:w w:val="97"/>
              </w:rPr>
              <w:t>Manual</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32</w:t>
            </w:r>
          </w:p>
        </w:tc>
        <w:tc>
          <w:tcPr>
            <w:tcW w:type="dxa" w:w="620"/>
          </w:tcPr>
          <w:p>
            <w:pPr>
              <w:spacing w:line="240" w:lineRule="auto"/>
              <w:jc w:val="center"/>
            </w:pPr>
            <w:r/>
            <w:r>
              <w:rPr>
                <w:rFonts w:ascii="휴먼명조" w:eastAsia="휴먼명조" w:hAnsi="휴먼명조" w:cs="휴먼명조"/>
                <w:b w:val="0"/>
                <w:sz w:val="18"/>
                <w:w w:val="97"/>
              </w:rPr>
              <w:t>2.00e-4</w:t>
            </w:r>
          </w:p>
        </w:tc>
        <w:tc>
          <w:tcPr>
            <w:tcW w:type="dxa" w:w="620"/>
          </w:tcPr>
          <w:p>
            <w:pPr>
              <w:spacing w:line="240" w:lineRule="auto"/>
              <w:jc w:val="center"/>
            </w:pPr>
            <w:r/>
            <w:r>
              <w:rPr>
                <w:rFonts w:ascii="휴먼명조" w:eastAsia="휴먼명조" w:hAnsi="휴먼명조" w:cs="휴먼명조"/>
                <w:b w:val="0"/>
                <w:sz w:val="18"/>
                <w:w w:val="97"/>
              </w:rPr>
              <w:t>1</w:t>
            </w:r>
          </w:p>
        </w:tc>
        <w:tc>
          <w:tcPr>
            <w:tcW w:type="dxa" w:w="620"/>
          </w:tcPr>
          <w:p>
            <w:pPr>
              <w:spacing w:line="240" w:lineRule="auto"/>
              <w:jc w:val="center"/>
            </w:pPr>
            <w:r/>
            <w:r>
              <w:rPr>
                <w:rFonts w:ascii="휴먼명조" w:eastAsia="휴먼명조" w:hAnsi="휴먼명조" w:cs="휴먼명조"/>
                <w:b w:val="0"/>
                <w:sz w:val="18"/>
                <w:w w:val="97"/>
              </w:rPr>
              <w:t>8</w:t>
            </w:r>
          </w:p>
        </w:tc>
        <w:tc>
          <w:tcPr>
            <w:tcW w:type="dxa" w:w="620"/>
          </w:tcPr>
          <w:p>
            <w:pPr>
              <w:spacing w:line="240" w:lineRule="auto"/>
              <w:jc w:val="center"/>
            </w:pPr>
            <w:r/>
            <w:r>
              <w:rPr>
                <w:rFonts w:ascii="휴먼명조" w:eastAsia="휴먼명조" w:hAnsi="휴먼명조" w:cs="휴먼명조"/>
                <w:b w:val="0"/>
                <w:sz w:val="18"/>
                <w:w w:val="97"/>
              </w:rPr>
              <w:t>0.030</w:t>
            </w:r>
          </w:p>
        </w:tc>
        <w:tc>
          <w:tcPr>
            <w:tcW w:type="dxa" w:w="620"/>
          </w:tcPr>
          <w:p>
            <w:pPr>
              <w:spacing w:line="240" w:lineRule="auto"/>
              <w:jc w:val="center"/>
            </w:pPr>
            <w:r/>
            <w:r>
              <w:rPr>
                <w:rFonts w:ascii="휴먼명조" w:eastAsia="휴먼명조" w:hAnsi="휴먼명조" w:cs="휴먼명조"/>
                <w:b w:val="0"/>
                <w:sz w:val="18"/>
                <w:w w:val="97"/>
              </w:rPr>
              <w:t>0.010</w:t>
            </w:r>
          </w:p>
        </w:tc>
        <w:tc>
          <w:tcPr>
            <w:tcW w:type="dxa" w:w="620"/>
          </w:tcPr>
          <w:p>
            <w:pPr>
              <w:spacing w:line="240" w:lineRule="auto"/>
              <w:jc w:val="center"/>
            </w:pPr>
            <w:r/>
            <w:r>
              <w:rPr>
                <w:rFonts w:ascii="휴먼명조" w:eastAsia="휴먼명조" w:hAnsi="휴먼명조" w:cs="휴먼명조"/>
                <w:b w:val="0"/>
                <w:sz w:val="18"/>
                <w:w w:val="97"/>
              </w:rPr>
              <w:t>minimal</w:t>
            </w:r>
          </w:p>
        </w:tc>
        <w:tc>
          <w:tcPr>
            <w:tcW w:type="dxa" w:w="620"/>
          </w:tcPr>
          <w:p>
            <w:pPr>
              <w:spacing w:line="240" w:lineRule="auto"/>
              <w:jc w:val="center"/>
            </w:pPr>
            <w:r/>
            <w:r>
              <w:rPr>
                <w:rFonts w:ascii="휴먼명조" w:eastAsia="휴먼명조" w:hAnsi="휴먼명조" w:cs="휴먼명조"/>
                <w:b w:val="0"/>
                <w:sz w:val="18"/>
                <w:w w:val="97"/>
              </w:rPr>
              <w:t>0.3840</w:t>
            </w:r>
          </w:p>
        </w:tc>
        <w:tc>
          <w:tcPr>
            <w:tcW w:type="dxa" w:w="620"/>
          </w:tcPr>
          <w:p>
            <w:pPr>
              <w:spacing w:line="240" w:lineRule="auto"/>
              <w:jc w:val="center"/>
            </w:pPr>
            <w:r/>
            <w:r>
              <w:rPr>
                <w:rFonts w:ascii="휴먼명조" w:eastAsia="휴먼명조" w:hAnsi="휴먼명조" w:cs="휴먼명조"/>
                <w:b w:val="0"/>
                <w:sz w:val="18"/>
                <w:w w:val="97"/>
              </w:rPr>
              <w:t>0.7213</w:t>
            </w:r>
          </w:p>
        </w:tc>
        <w:tc>
          <w:tcPr>
            <w:tcW w:type="dxa" w:w="620"/>
          </w:tcPr>
          <w:p>
            <w:pPr>
              <w:spacing w:line="240" w:lineRule="auto"/>
              <w:jc w:val="center"/>
            </w:pPr>
            <w:r/>
            <w:r>
              <w:rPr>
                <w:rFonts w:ascii="휴먼명조" w:eastAsia="휴먼명조" w:hAnsi="휴먼명조" w:cs="휴먼명조"/>
                <w:b w:val="0"/>
                <w:sz w:val="18"/>
                <w:w w:val="97"/>
              </w:rPr>
              <w:t>0.0625</w:t>
            </w:r>
          </w:p>
        </w:tc>
      </w:tr>
      <w:tr>
        <w:tc>
          <w:tcPr>
            <w:tcW w:type="dxa" w:w="620"/>
          </w:tcPr>
          <w:p>
            <w:pPr>
              <w:spacing w:line="240" w:lineRule="auto"/>
              <w:jc w:val="center"/>
            </w:pPr>
            <w:r/>
            <w:r>
              <w:rPr>
                <w:rFonts w:ascii="휴먼명조" w:eastAsia="휴먼명조" w:hAnsi="휴먼명조" w:cs="휴먼명조"/>
                <w:b w:val="0"/>
                <w:sz w:val="18"/>
                <w:w w:val="97"/>
              </w:rPr>
              <w:t>Random</w:t>
            </w:r>
          </w:p>
        </w:tc>
        <w:tc>
          <w:tcPr>
            <w:tcW w:type="dxa" w:w="620"/>
          </w:tcPr>
          <w:p>
            <w:pPr>
              <w:spacing w:line="240" w:lineRule="auto"/>
              <w:jc w:val="center"/>
            </w:pPr>
            <w:r/>
            <w:r>
              <w:rPr>
                <w:rFonts w:ascii="휴먼명조" w:eastAsia="휴먼명조" w:hAnsi="휴먼명조" w:cs="휴먼명조"/>
                <w:b w:val="0"/>
                <w:sz w:val="18"/>
                <w:w w:val="97"/>
              </w:rPr>
              <w:t>64</w:t>
            </w:r>
          </w:p>
        </w:tc>
        <w:tc>
          <w:tcPr>
            <w:tcW w:type="dxa" w:w="620"/>
          </w:tcPr>
          <w:p>
            <w:pPr>
              <w:spacing w:line="240" w:lineRule="auto"/>
              <w:jc w:val="center"/>
            </w:pPr>
            <w:r/>
            <w:r>
              <w:rPr>
                <w:rFonts w:ascii="휴먼명조" w:eastAsia="휴먼명조" w:hAnsi="휴먼명조" w:cs="휴먼명조"/>
                <w:b w:val="0"/>
                <w:sz w:val="18"/>
                <w:w w:val="97"/>
              </w:rPr>
              <w:t>256</w:t>
            </w:r>
          </w:p>
        </w:tc>
        <w:tc>
          <w:tcPr>
            <w:tcW w:type="dxa" w:w="620"/>
          </w:tcPr>
          <w:p>
            <w:pPr>
              <w:spacing w:line="240" w:lineRule="auto"/>
              <w:jc w:val="center"/>
            </w:pPr>
            <w:r/>
            <w:r>
              <w:rPr>
                <w:rFonts w:ascii="휴먼명조" w:eastAsia="휴먼명조" w:hAnsi="휴먼명조" w:cs="휴먼명조"/>
                <w:b w:val="0"/>
                <w:sz w:val="18"/>
                <w:w w:val="97"/>
              </w:rPr>
              <w:t>2.08e-4</w:t>
            </w:r>
          </w:p>
        </w:tc>
        <w:tc>
          <w:tcPr>
            <w:tcW w:type="dxa" w:w="620"/>
          </w:tcPr>
          <w:p>
            <w:pPr>
              <w:spacing w:line="240" w:lineRule="auto"/>
              <w:jc w:val="center"/>
            </w:pPr>
            <w:r/>
            <w:r>
              <w:rPr>
                <w:rFonts w:ascii="휴먼명조" w:eastAsia="휴먼명조" w:hAnsi="휴먼명조" w:cs="휴먼명조"/>
                <w:b w:val="0"/>
                <w:sz w:val="18"/>
                <w:w w:val="97"/>
              </w:rPr>
              <w:t>2</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0.072</w:t>
            </w:r>
          </w:p>
        </w:tc>
        <w:tc>
          <w:tcPr>
            <w:tcW w:type="dxa" w:w="620"/>
          </w:tcPr>
          <w:p>
            <w:pPr>
              <w:spacing w:line="240" w:lineRule="auto"/>
              <w:jc w:val="center"/>
            </w:pPr>
            <w:r/>
            <w:r>
              <w:rPr>
                <w:rFonts w:ascii="휴먼명조" w:eastAsia="휴먼명조" w:hAnsi="휴먼명조" w:cs="휴먼명조"/>
                <w:b w:val="0"/>
                <w:sz w:val="18"/>
                <w:w w:val="97"/>
              </w:rPr>
              <w:t>0.013</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val="0"/>
                <w:sz w:val="18"/>
                <w:w w:val="97"/>
              </w:rPr>
              <w:t>0.4440</w:t>
            </w:r>
          </w:p>
        </w:tc>
        <w:tc>
          <w:tcPr>
            <w:tcW w:type="dxa" w:w="620"/>
          </w:tcPr>
          <w:p>
            <w:pPr>
              <w:spacing w:line="240" w:lineRule="auto"/>
              <w:jc w:val="center"/>
            </w:pPr>
            <w:r/>
            <w:r>
              <w:rPr>
                <w:rFonts w:ascii="휴먼명조" w:eastAsia="휴먼명조" w:hAnsi="휴먼명조" w:cs="휴먼명조"/>
                <w:b w:val="0"/>
                <w:sz w:val="18"/>
                <w:w w:val="97"/>
              </w:rPr>
              <w:t>0.7951</w:t>
            </w:r>
          </w:p>
        </w:tc>
        <w:tc>
          <w:tcPr>
            <w:tcW w:type="dxa" w:w="620"/>
          </w:tcPr>
          <w:p>
            <w:pPr>
              <w:spacing w:line="240" w:lineRule="auto"/>
              <w:jc w:val="center"/>
            </w:pPr>
            <w:r/>
            <w:r>
              <w:rPr>
                <w:rFonts w:ascii="휴먼명조" w:eastAsia="휴먼명조" w:hAnsi="휴먼명조" w:cs="휴먼명조"/>
                <w:b w:val="0"/>
                <w:sz w:val="18"/>
                <w:w w:val="97"/>
              </w:rPr>
              <w:t>0.1094</w:t>
            </w:r>
          </w:p>
        </w:tc>
      </w:tr>
      <w:tr>
        <w:tc>
          <w:tcPr>
            <w:tcW w:type="dxa" w:w="620"/>
          </w:tcPr>
          <w:p>
            <w:pPr>
              <w:spacing w:line="240" w:lineRule="auto"/>
              <w:jc w:val="center"/>
            </w:pPr>
            <w:r/>
            <w:r>
              <w:rPr>
                <w:rFonts w:ascii="휴먼명조" w:eastAsia="휴먼명조" w:hAnsi="휴먼명조" w:cs="휴먼명조"/>
                <w:b/>
                <w:sz w:val="18"/>
                <w:w w:val="97"/>
              </w:rPr>
              <w:t>Optuna</w:t>
            </w:r>
          </w:p>
        </w:tc>
        <w:tc>
          <w:tcPr>
            <w:tcW w:type="dxa" w:w="620"/>
          </w:tcPr>
          <w:p>
            <w:pPr>
              <w:spacing w:line="240" w:lineRule="auto"/>
              <w:jc w:val="center"/>
            </w:pPr>
            <w:r/>
            <w:r>
              <w:rPr>
                <w:rFonts w:ascii="휴먼명조" w:eastAsia="휴먼명조" w:hAnsi="휴먼명조" w:cs="휴먼명조"/>
                <w:b w:val="0"/>
                <w:sz w:val="18"/>
                <w:w w:val="97"/>
              </w:rPr>
              <w:t>32</w:t>
            </w:r>
          </w:p>
        </w:tc>
        <w:tc>
          <w:tcPr>
            <w:tcW w:type="dxa" w:w="620"/>
          </w:tcPr>
          <w:p>
            <w:pPr>
              <w:spacing w:line="240" w:lineRule="auto"/>
              <w:jc w:val="center"/>
            </w:pPr>
            <w:r/>
            <w:r>
              <w:rPr>
                <w:rFonts w:ascii="휴먼명조" w:eastAsia="휴먼명조" w:hAnsi="휴먼명조" w:cs="휴먼명조"/>
                <w:b w:val="0"/>
                <w:sz w:val="18"/>
                <w:w w:val="97"/>
              </w:rPr>
              <w:t>128</w:t>
            </w:r>
          </w:p>
        </w:tc>
        <w:tc>
          <w:tcPr>
            <w:tcW w:type="dxa" w:w="620"/>
          </w:tcPr>
          <w:p>
            <w:pPr>
              <w:spacing w:line="240" w:lineRule="auto"/>
              <w:jc w:val="center"/>
            </w:pPr>
            <w:r/>
            <w:r>
              <w:rPr>
                <w:rFonts w:ascii="휴먼명조" w:eastAsia="휴먼명조" w:hAnsi="휴먼명조" w:cs="휴먼명조"/>
                <w:b w:val="0"/>
                <w:sz w:val="18"/>
                <w:w w:val="97"/>
              </w:rPr>
              <w:t>4.91e-4</w:t>
            </w:r>
          </w:p>
        </w:tc>
        <w:tc>
          <w:tcPr>
            <w:tcW w:type="dxa" w:w="620"/>
          </w:tcPr>
          <w:p>
            <w:pPr>
              <w:spacing w:line="240" w:lineRule="auto"/>
              <w:jc w:val="center"/>
            </w:pPr>
            <w:r/>
            <w:r>
              <w:rPr>
                <w:rFonts w:ascii="휴먼명조" w:eastAsia="휴먼명조" w:hAnsi="휴먼명조" w:cs="휴먼명조"/>
                <w:b w:val="0"/>
                <w:sz w:val="18"/>
                <w:w w:val="97"/>
              </w:rPr>
              <w:t>4</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0.089</w:t>
            </w:r>
          </w:p>
        </w:tc>
        <w:tc>
          <w:tcPr>
            <w:tcW w:type="dxa" w:w="620"/>
          </w:tcPr>
          <w:p>
            <w:pPr>
              <w:spacing w:line="240" w:lineRule="auto"/>
              <w:jc w:val="center"/>
            </w:pPr>
            <w:r/>
            <w:r>
              <w:rPr>
                <w:rFonts w:ascii="휴먼명조" w:eastAsia="휴먼명조" w:hAnsi="휴먼명조" w:cs="휴먼명조"/>
                <w:b w:val="0"/>
                <w:sz w:val="18"/>
                <w:w w:val="97"/>
              </w:rPr>
              <w:t>0.054</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sz w:val="18"/>
                <w:w w:val="97"/>
              </w:rPr>
              <w:t>0.4700</w:t>
            </w:r>
          </w:p>
        </w:tc>
        <w:tc>
          <w:tcPr>
            <w:tcW w:type="dxa" w:w="620"/>
          </w:tcPr>
          <w:p>
            <w:pPr>
              <w:spacing w:line="240" w:lineRule="auto"/>
              <w:jc w:val="center"/>
            </w:pPr>
            <w:r/>
            <w:r>
              <w:rPr>
                <w:rFonts w:ascii="휴먼명조" w:eastAsia="휴먼명조" w:hAnsi="휴먼명조" w:cs="휴먼명조"/>
                <w:b w:val="0"/>
                <w:sz w:val="18"/>
                <w:w w:val="97"/>
              </w:rPr>
              <w:t>0.8115</w:t>
            </w:r>
          </w:p>
        </w:tc>
        <w:tc>
          <w:tcPr>
            <w:tcW w:type="dxa" w:w="620"/>
          </w:tcPr>
          <w:p>
            <w:pPr>
              <w:spacing w:line="240" w:lineRule="auto"/>
              <w:jc w:val="center"/>
            </w:pPr>
            <w:r/>
            <w:r>
              <w:rPr>
                <w:rFonts w:ascii="휴먼명조" w:eastAsia="휴먼명조" w:hAnsi="휴먼명조" w:cs="휴먼명조"/>
                <w:b w:val="0"/>
                <w:sz w:val="18"/>
                <w:w w:val="97"/>
              </w:rPr>
              <w:t>0.1445</w:t>
            </w:r>
          </w:p>
        </w:tc>
      </w:tr>
      <w:tr>
        <w:tc>
          <w:tcPr>
            <w:tcW w:type="dxa" w:w="620"/>
          </w:tcPr>
          <w:p>
            <w:pPr>
              <w:spacing w:line="240" w:lineRule="auto"/>
              <w:jc w:val="center"/>
            </w:pPr>
            <w:r/>
            <w:r>
              <w:rPr>
                <w:rFonts w:ascii="휴먼명조" w:eastAsia="휴먼명조" w:hAnsi="휴먼명조" w:cs="휴먼명조"/>
                <w:b w:val="0"/>
                <w:sz w:val="18"/>
                <w:w w:val="97"/>
              </w:rPr>
              <w:t>Autoresearch</w:t>
            </w:r>
          </w:p>
        </w:tc>
        <w:tc>
          <w:tcPr>
            <w:tcW w:type="dxa" w:w="620"/>
          </w:tcPr>
          <w:p>
            <w:pPr>
              <w:spacing w:line="240" w:lineRule="auto"/>
              <w:jc w:val="center"/>
            </w:pPr>
            <w:r/>
            <w:r>
              <w:rPr>
                <w:rFonts w:ascii="휴먼명조" w:eastAsia="휴먼명조" w:hAnsi="휴먼명조" w:cs="휴먼명조"/>
                <w:b w:val="0"/>
                <w:sz w:val="18"/>
                <w:w w:val="97"/>
              </w:rPr>
              <w:t>64</w:t>
            </w:r>
          </w:p>
        </w:tc>
        <w:tc>
          <w:tcPr>
            <w:tcW w:type="dxa" w:w="620"/>
          </w:tcPr>
          <w:p>
            <w:pPr>
              <w:spacing w:line="240" w:lineRule="auto"/>
              <w:jc w:val="center"/>
            </w:pPr>
            <w:r/>
            <w:r>
              <w:rPr>
                <w:rFonts w:ascii="휴먼명조" w:eastAsia="휴먼명조" w:hAnsi="휴먼명조" w:cs="휴먼명조"/>
                <w:b w:val="0"/>
                <w:sz w:val="18"/>
                <w:w w:val="97"/>
              </w:rPr>
              <w:t>256</w:t>
            </w:r>
          </w:p>
        </w:tc>
        <w:tc>
          <w:tcPr>
            <w:tcW w:type="dxa" w:w="620"/>
          </w:tcPr>
          <w:p>
            <w:pPr>
              <w:spacing w:line="240" w:lineRule="auto"/>
              <w:jc w:val="center"/>
            </w:pPr>
            <w:r/>
            <w:r>
              <w:rPr>
                <w:rFonts w:ascii="휴먼명조" w:eastAsia="휴먼명조" w:hAnsi="휴먼명조" w:cs="휴먼명조"/>
                <w:b w:val="0"/>
                <w:sz w:val="18"/>
                <w:w w:val="97"/>
              </w:rPr>
              <w:t>2.00e-4</w:t>
            </w:r>
          </w:p>
        </w:tc>
        <w:tc>
          <w:tcPr>
            <w:tcW w:type="dxa" w:w="620"/>
          </w:tcPr>
          <w:p>
            <w:pPr>
              <w:spacing w:line="240" w:lineRule="auto"/>
              <w:jc w:val="center"/>
            </w:pPr>
            <w:r/>
            <w:r>
              <w:rPr>
                <w:rFonts w:ascii="휴먼명조" w:eastAsia="휴먼명조" w:hAnsi="휴먼명조" w:cs="휴먼명조"/>
                <w:b w:val="0"/>
                <w:sz w:val="18"/>
                <w:w w:val="97"/>
              </w:rPr>
              <w:t>4</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0.050</w:t>
            </w:r>
          </w:p>
        </w:tc>
        <w:tc>
          <w:tcPr>
            <w:tcW w:type="dxa" w:w="620"/>
          </w:tcPr>
          <w:p>
            <w:pPr>
              <w:spacing w:line="240" w:lineRule="auto"/>
              <w:jc w:val="center"/>
            </w:pPr>
            <w:r/>
            <w:r>
              <w:rPr>
                <w:rFonts w:ascii="휴먼명조" w:eastAsia="휴먼명조" w:hAnsi="휴먼명조" w:cs="휴먼명조"/>
                <w:b w:val="0"/>
                <w:sz w:val="18"/>
                <w:w w:val="97"/>
              </w:rPr>
              <w:t>0.010</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val="0"/>
                <w:sz w:val="18"/>
                <w:w w:val="97"/>
              </w:rPr>
              <w:t>0.4640</w:t>
            </w:r>
          </w:p>
        </w:tc>
        <w:tc>
          <w:tcPr>
            <w:tcW w:type="dxa" w:w="620"/>
          </w:tcPr>
          <w:p>
            <w:pPr>
              <w:spacing w:line="240" w:lineRule="auto"/>
              <w:jc w:val="center"/>
            </w:pPr>
            <w:r/>
            <w:r>
              <w:rPr>
                <w:rFonts w:ascii="휴먼명조" w:eastAsia="휴먼명조" w:hAnsi="휴먼명조" w:cs="휴먼명조"/>
                <w:b w:val="0"/>
                <w:sz w:val="18"/>
                <w:w w:val="97"/>
              </w:rPr>
              <w:t>0.7992</w:t>
            </w:r>
          </w:p>
        </w:tc>
        <w:tc>
          <w:tcPr>
            <w:tcW w:type="dxa" w:w="620"/>
          </w:tcPr>
          <w:p>
            <w:pPr>
              <w:spacing w:line="240" w:lineRule="auto"/>
              <w:jc w:val="center"/>
            </w:pPr>
            <w:r/>
            <w:r>
              <w:rPr>
                <w:rFonts w:ascii="휴먼명조" w:eastAsia="휴먼명조" w:hAnsi="휴먼명조" w:cs="휴먼명조"/>
                <w:b w:val="0"/>
                <w:sz w:val="18"/>
                <w:w w:val="97"/>
              </w:rPr>
              <w:t>0.1445</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pPr>
        <w:spacing w:line="384" w:lineRule="auto" w:after="0"/>
        <w:ind w:firstLine="220"/>
        <w:jc w:val="both"/>
      </w:pPr>
      <w:r>
        <w:rPr>
          <w:rFonts w:ascii="휴먼명조" w:eastAsia="휴먼명조" w:hAnsi="휴먼명조" w:cs="휴먼명조"/>
          <w:b w:val="0"/>
          <w:sz w:val="22"/>
          <w:w w:val="97"/>
        </w:rPr>
        <w:t xml:space="preserve">In all four strategies, </w:t>
      </w:r>
      <w:r>
        <w:rPr>
          <w:rFonts w:ascii="휴먼명조" w:eastAsia="휴먼명조" w:hAnsi="휴먼명조" w:cs="휴먼명조"/>
          <w:b/>
          <w:sz w:val="22"/>
          <w:w w:val="97"/>
        </w:rPr>
        <w:t>the gap between closed accuracy (0.72-0.81) and open accuracy (0.06-0.14) persists</w:t>
      </w:r>
      <w:r>
        <w:rPr>
          <w:rFonts w:ascii="휴먼명조" w:eastAsia="휴먼명조" w:hAnsi="휴먼명조" w:cs="휴먼명조"/>
          <w:b w:val="0"/>
          <w:sz w:val="22"/>
          <w:w w:val="97"/>
        </w:rPr>
        <w:t>. The overall accuracy gain achieved by search (Manual 0.3840 → Optuna 0.4700) arose mainly on closed items, while open accuracy remains at 0.1445 even under the best configuration. This gap shows that the weakness in open-ended responses observed in Phase 1 (Sections 4.1.2, 4.1.3) was not resolved by hyperparameter optimization; the three phases are consolidated on this point in Section 4.4.4.</w:t>
      </w:r>
    </w:p>
    <w:p>
      <w:pPr>
        <w:spacing w:line="384" w:lineRule="auto" w:after="0"/>
        <w:ind w:firstLine="220"/>
        <w:jc w:val="both"/>
      </w:pPr>
      <w:r>
        <w:rPr>
          <w:rFonts w:ascii="휴먼명조" w:eastAsia="휴먼명조" w:hAnsi="휴먼명조" w:cs="휴먼명조"/>
          <w:b w:val="0"/>
          <w:sz w:val="22"/>
          <w:w w:val="97"/>
        </w:rPr>
        <w:t xml:space="preserve">The three strategies that explored the search space freely (Random, Optuna, Autoresearch) all </w:t>
      </w:r>
      <w:r>
        <w:rPr>
          <w:rFonts w:ascii="휴먼명조" w:eastAsia="휴먼명조" w:hAnsi="휴먼명조" w:cs="휴먼명조"/>
          <w:b/>
          <w:sz w:val="22"/>
          <w:w w:val="97"/>
        </w:rPr>
        <w:t>converged on lora_targets=full (all-linear) with rank in the 32-64 region</w:t>
      </w:r>
      <w:r>
        <w:rPr>
          <w:rFonts w:ascii="휴먼명조" w:eastAsia="휴먼명조" w:hAnsi="휴먼명조" w:cs="휴먼명조"/>
          <w:b w:val="0"/>
          <w:sz w:val="22"/>
          <w:w w:val="97"/>
        </w:rPr>
        <w:t>. This coincides independently with the finding of Ablations B and C in Phase 2 that rank = 64 and target = all-linear are 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pPr>
        <w:spacing w:line="384" w:lineRule="auto" w:after="0"/>
        <w:jc w:val="left"/>
        <w:outlineLvl w:val="2"/>
      </w:pPr>
      <w:r>
        <w:rPr>
          <w:rFonts w:ascii="휴먼명조" w:eastAsia="휴먼명조" w:hAnsi="휴먼명조" w:cs="휴먼명조"/>
          <w:b/>
          <w:sz w:val="22"/>
          <w:w w:val="97"/>
        </w:rPr>
        <w:t>4.3.3 Search Trajectory Analysis (trial level, descriptive only)</w:t>
      </w:r>
    </w:p>
    <w:p>
      <w:pPr>
        <w:pStyle w:val="표캡션"/>
        <w:spacing w:line="384" w:lineRule="auto" w:after="0"/>
        <w:jc w:val="center"/>
      </w:pPr>
      <w:r>
        <w:rPr>
          <w:rFonts w:ascii="휴먼명조" w:eastAsia="휴먼명조" w:hAnsi="휴먼명조" w:cs="휴먼명조"/>
          <w:b/>
          <w:sz w:val="22"/>
          <w:w w:val="97"/>
        </w:rPr>
        <w:t>Table 4.3b. Trial at which the best performance was reached, by strategy (over 10 repeats)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Final best (median)</w:t>
            </w:r>
          </w:p>
        </w:tc>
        <w:tc>
          <w:tcPr>
            <w:tcW w:type="dxa" w:w="1859"/>
          </w:tcPr>
          <w:p>
            <w:pPr>
              <w:spacing w:line="240" w:lineRule="auto"/>
              <w:jc w:val="center"/>
            </w:pPr>
            <w:r/>
            <w:r>
              <w:rPr>
                <w:rFonts w:ascii="휴먼명조" w:eastAsia="휴먼명조" w:hAnsi="휴먼명조" w:cs="휴먼명조"/>
                <w:b/>
                <w:sz w:val="18"/>
                <w:w w:val="97"/>
              </w:rPr>
              <w:t>Trial of best (median)</w:t>
            </w:r>
          </w:p>
        </w:tc>
        <w:tc>
          <w:tcPr>
            <w:tcW w:type="dxa" w:w="1859"/>
          </w:tcPr>
          <w:p>
            <w:pPr>
              <w:spacing w:line="240" w:lineRule="auto"/>
              <w:jc w:val="center"/>
            </w:pPr>
            <w:r/>
            <w:r>
              <w:rPr>
                <w:rFonts w:ascii="휴먼명조" w:eastAsia="휴먼명조" w:hAnsi="휴먼명조" w:cs="휴먼명조"/>
                <w:b/>
                <w:sz w:val="18"/>
                <w:w w:val="97"/>
              </w:rPr>
              <w:t>IQR of that trial</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0.3770</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0.4150</w:t>
            </w:r>
          </w:p>
        </w:tc>
        <w:tc>
          <w:tcPr>
            <w:tcW w:type="dxa" w:w="1859"/>
          </w:tcPr>
          <w:p>
            <w:pPr>
              <w:spacing w:line="240" w:lineRule="auto"/>
              <w:jc w:val="center"/>
            </w:pPr>
            <w:r/>
            <w:r>
              <w:rPr>
                <w:rFonts w:ascii="휴먼명조" w:eastAsia="휴먼명조" w:hAnsi="휴먼명조" w:cs="휴먼명조"/>
                <w:b w:val="0"/>
                <w:sz w:val="18"/>
                <w:w w:val="97"/>
              </w:rPr>
              <w:t>15.0</w:t>
            </w:r>
          </w:p>
        </w:tc>
        <w:tc>
          <w:tcPr>
            <w:tcW w:type="dxa" w:w="1859"/>
          </w:tcPr>
          <w:p>
            <w:pPr>
              <w:spacing w:line="240" w:lineRule="auto"/>
              <w:jc w:val="center"/>
            </w:pPr>
            <w:r/>
            <w:r>
              <w:rPr>
                <w:rFonts w:ascii="휴먼명조" w:eastAsia="휴먼명조" w:hAnsi="휴먼명조" w:cs="휴먼명조"/>
                <w:b w:val="0"/>
                <w:sz w:val="18"/>
                <w:w w:val="97"/>
              </w:rPr>
              <w:t>[12.2, 17.0]</w:t>
            </w:r>
          </w:p>
        </w:tc>
      </w:tr>
      <w:tr>
        <w:tc>
          <w:tcPr>
            <w:tcW w:type="dxa" w:w="1859"/>
          </w:tcPr>
          <w:p>
            <w:pPr>
              <w:spacing w:line="240" w:lineRule="auto"/>
              <w:jc w:val="center"/>
            </w:pPr>
            <w:r/>
            <w:r>
              <w:rPr>
                <w:rFonts w:ascii="휴먼명조" w:eastAsia="휴먼명조" w:hAnsi="휴먼명조" w:cs="휴먼명조"/>
                <w:b w:val="0"/>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0.4550</w:t>
            </w:r>
          </w:p>
        </w:tc>
        <w:tc>
          <w:tcPr>
            <w:tcW w:type="dxa" w:w="1859"/>
          </w:tcPr>
          <w:p>
            <w:pPr>
              <w:spacing w:line="240" w:lineRule="auto"/>
              <w:jc w:val="center"/>
            </w:pPr>
            <w:r/>
            <w:r>
              <w:rPr>
                <w:rFonts w:ascii="휴먼명조" w:eastAsia="휴먼명조" w:hAnsi="휴먼명조" w:cs="휴먼명조"/>
                <w:b w:val="0"/>
                <w:sz w:val="18"/>
                <w:w w:val="97"/>
              </w:rPr>
              <w:t>15.0</w:t>
            </w:r>
          </w:p>
        </w:tc>
        <w:tc>
          <w:tcPr>
            <w:tcW w:type="dxa" w:w="1859"/>
          </w:tcPr>
          <w:p>
            <w:pPr>
              <w:spacing w:line="240" w:lineRule="auto"/>
              <w:jc w:val="center"/>
            </w:pPr>
            <w:r/>
            <w:r>
              <w:rPr>
                <w:rFonts w:ascii="휴먼명조" w:eastAsia="휴먼명조" w:hAnsi="휴먼명조" w:cs="휴먼명조"/>
                <w:b w:val="0"/>
                <w:sz w:val="18"/>
                <w:w w:val="97"/>
              </w:rPr>
              <w:t>[13.5, 18.0]</w:t>
            </w:r>
          </w:p>
        </w:tc>
      </w:tr>
      <w:tr>
        <w:tc>
          <w:tcPr>
            <w:tcW w:type="dxa" w:w="1859"/>
          </w:tcPr>
          <w:p>
            <w:pPr>
              <w:spacing w:line="240" w:lineRule="auto"/>
              <w:jc w:val="center"/>
            </w:pPr>
            <w:r/>
            <w:r>
              <w:rPr>
                <w:rFonts w:ascii="휴먼명조" w:eastAsia="휴먼명조" w:hAnsi="휴먼명조" w:cs="휴먼명조"/>
                <w:b w:val="0"/>
                <w:sz w:val="18"/>
                <w:w w:val="97"/>
              </w:rPr>
              <w:t>Autoresearch</w:t>
            </w:r>
          </w:p>
        </w:tc>
        <w:tc>
          <w:tcPr>
            <w:tcW w:type="dxa" w:w="1859"/>
          </w:tcPr>
          <w:p>
            <w:pPr>
              <w:spacing w:line="240" w:lineRule="auto"/>
              <w:jc w:val="center"/>
            </w:pPr>
            <w:r/>
            <w:r>
              <w:rPr>
                <w:rFonts w:ascii="휴먼명조" w:eastAsia="휴먼명조" w:hAnsi="휴먼명조" w:cs="휴먼명조"/>
                <w:b w:val="0"/>
                <w:sz w:val="18"/>
                <w:w w:val="97"/>
              </w:rPr>
              <w:t>0.4060</w:t>
            </w:r>
          </w:p>
        </w:tc>
        <w:tc>
          <w:tcPr>
            <w:tcW w:type="dxa" w:w="1859"/>
          </w:tcPr>
          <w:p>
            <w:pPr>
              <w:spacing w:line="240" w:lineRule="auto"/>
              <w:jc w:val="center"/>
            </w:pPr>
            <w:r/>
            <w:r>
              <w:rPr>
                <w:rFonts w:ascii="휴먼명조" w:eastAsia="휴먼명조" w:hAnsi="휴먼명조" w:cs="휴먼명조"/>
                <w:b w:val="0"/>
                <w:sz w:val="18"/>
                <w:w w:val="97"/>
              </w:rPr>
              <w:t>17.5</w:t>
            </w:r>
          </w:p>
        </w:tc>
        <w:tc>
          <w:tcPr>
            <w:tcW w:type="dxa" w:w="1859"/>
          </w:tcPr>
          <w:p>
            <w:pPr>
              <w:spacing w:line="240" w:lineRule="auto"/>
              <w:jc w:val="center"/>
            </w:pPr>
            <w:r/>
            <w:r>
              <w:rPr>
                <w:rFonts w:ascii="휴먼명조" w:eastAsia="휴먼명조" w:hAnsi="휴먼명조" w:cs="휴먼명조"/>
                <w:b w:val="0"/>
                <w:sz w:val="18"/>
                <w:w w:val="97"/>
              </w:rPr>
              <w:t>[11.5, 20.0]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Autoresearch reaches its best performance latest, with a median trial of 17.5, and </w:t>
      </w:r>
      <w:r>
        <w:rPr>
          <w:rFonts w:ascii="휴먼명조" w:eastAsia="휴먼명조" w:hAnsi="휴먼명조" w:cs="휴먼명조"/>
          <w:b/>
          <w:sz w:val="22"/>
          <w:w w:val="97"/>
        </w:rPr>
        <w:t>the upper bound of its IQR touches 20.0, the ceiling of the search budget</w:t>
      </w:r>
      <w:r>
        <w:rPr>
          <w:rFonts w:ascii="휴먼명조" w:eastAsia="휴먼명조" w:hAnsi="휴먼명조" w:cs="휴먼명조"/>
          <w:b w:val="0"/>
          <w:sz w:val="22"/>
          <w:w w:val="97"/>
        </w:rPr>
        <w:t>. This means that nearly half of the runs were still improving at the point the budget was exhausted, suggesting that a budget of 20 trials may have been insufficient for this strategy — a point directly connected to the reduction from 40 to 20 described in Section 3.7 and discussed as a limitation in Section 5.3. This is, however, observed circumstantial evidence; whether the strategy would actually catch up with Optuna under a larger budget was not verified in this study.</w:t>
      </w:r>
    </w:p>
    <w:p>
      <w:pPr>
        <w:pStyle w:val="표캡션"/>
        <w:spacing w:line="384" w:lineRule="auto" w:after="0"/>
        <w:jc w:val="center"/>
      </w:pPr>
      <w:r>
        <w:rPr>
          <w:rFonts w:ascii="휴먼명조" w:eastAsia="휴먼명조" w:hAnsi="휴먼명조" w:cs="휴먼명조"/>
          <w:b/>
          <w:sz w:val="22"/>
          <w:w w:val="97"/>
        </w:rPr>
        <w:t>Table 4.3c. Trial-level performance distribution by strategy (all 200 trials, descriptive statistics)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Trial-level mean</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Total training time (min)</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0.3776</w:t>
            </w:r>
          </w:p>
        </w:tc>
        <w:tc>
          <w:tcPr>
            <w:tcW w:type="dxa" w:w="1859"/>
          </w:tcPr>
          <w:p>
            <w:pPr>
              <w:spacing w:line="240" w:lineRule="auto"/>
              <w:jc w:val="center"/>
            </w:pPr>
            <w:r/>
            <w:r>
              <w:rPr>
                <w:rFonts w:ascii="휴먼명조" w:eastAsia="휴먼명조" w:hAnsi="휴먼명조" w:cs="휴먼명조"/>
                <w:b w:val="0"/>
                <w:sz w:val="18"/>
                <w:w w:val="97"/>
              </w:rPr>
              <w:t>0.0031</w:t>
            </w:r>
          </w:p>
        </w:tc>
        <w:tc>
          <w:tcPr>
            <w:tcW w:type="dxa" w:w="1859"/>
          </w:tcPr>
          <w:p>
            <w:pPr>
              <w:spacing w:line="240" w:lineRule="auto"/>
              <w:jc w:val="center"/>
            </w:pPr>
            <w:r/>
            <w:r>
              <w:rPr>
                <w:rFonts w:ascii="휴먼명조" w:eastAsia="휴먼명조" w:hAnsi="휴먼명조" w:cs="휴먼명조"/>
                <w:b w:val="0"/>
                <w:sz w:val="18"/>
                <w:w w:val="97"/>
              </w:rPr>
              <w:t>228.3</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0.3672</w:t>
            </w:r>
          </w:p>
        </w:tc>
        <w:tc>
          <w:tcPr>
            <w:tcW w:type="dxa" w:w="1859"/>
          </w:tcPr>
          <w:p>
            <w:pPr>
              <w:spacing w:line="240" w:lineRule="auto"/>
              <w:jc w:val="center"/>
            </w:pPr>
            <w:r/>
            <w:r>
              <w:rPr>
                <w:rFonts w:ascii="휴먼명조" w:eastAsia="휴먼명조" w:hAnsi="휴먼명조" w:cs="휴먼명조"/>
                <w:b w:val="0"/>
                <w:sz w:val="18"/>
                <w:w w:val="97"/>
              </w:rPr>
              <w:t>0.0321</w:t>
            </w:r>
          </w:p>
        </w:tc>
        <w:tc>
          <w:tcPr>
            <w:tcW w:type="dxa" w:w="1859"/>
          </w:tcPr>
          <w:p>
            <w:pPr>
              <w:spacing w:line="240" w:lineRule="auto"/>
              <w:jc w:val="center"/>
            </w:pPr>
            <w:r/>
            <w:r>
              <w:rPr>
                <w:rFonts w:ascii="휴먼명조" w:eastAsia="휴먼명조" w:hAnsi="휴먼명조" w:cs="휴먼명조"/>
                <w:b w:val="0"/>
                <w:sz w:val="18"/>
                <w:w w:val="97"/>
              </w:rPr>
              <w:t>5,078.6</w:t>
            </w:r>
          </w:p>
        </w:tc>
      </w:tr>
      <w:tr>
        <w:tc>
          <w:tcPr>
            <w:tcW w:type="dxa" w:w="1859"/>
          </w:tcPr>
          <w:p>
            <w:pPr>
              <w:spacing w:line="240" w:lineRule="auto"/>
              <w:jc w:val="center"/>
            </w:pPr>
            <w:r/>
            <w:r>
              <w:rPr>
                <w:rFonts w:ascii="휴먼명조" w:eastAsia="휴먼명조" w:hAnsi="휴먼명조" w:cs="휴먼명조"/>
                <w:b w:val="0"/>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0.3905</w:t>
            </w:r>
          </w:p>
        </w:tc>
        <w:tc>
          <w:tcPr>
            <w:tcW w:type="dxa" w:w="1859"/>
          </w:tcPr>
          <w:p>
            <w:pPr>
              <w:spacing w:line="240" w:lineRule="auto"/>
              <w:jc w:val="center"/>
            </w:pPr>
            <w:r/>
            <w:r>
              <w:rPr>
                <w:rFonts w:ascii="휴먼명조" w:eastAsia="휴먼명조" w:hAnsi="휴먼명조" w:cs="휴먼명조"/>
                <w:b w:val="0"/>
                <w:sz w:val="18"/>
                <w:w w:val="97"/>
              </w:rPr>
              <w:t>0.0374</w:t>
            </w:r>
          </w:p>
        </w:tc>
        <w:tc>
          <w:tcPr>
            <w:tcW w:type="dxa" w:w="1859"/>
          </w:tcPr>
          <w:p>
            <w:pPr>
              <w:spacing w:line="240" w:lineRule="auto"/>
              <w:jc w:val="center"/>
            </w:pPr>
            <w:r/>
            <w:r>
              <w:rPr>
                <w:rFonts w:ascii="휴먼명조" w:eastAsia="휴먼명조" w:hAnsi="휴먼명조" w:cs="휴먼명조"/>
                <w:b w:val="0"/>
                <w:sz w:val="18"/>
                <w:w w:val="97"/>
              </w:rPr>
              <w:t>5,967.3</w:t>
            </w:r>
          </w:p>
        </w:tc>
      </w:tr>
      <w:tr>
        <w:tc>
          <w:tcPr>
            <w:tcW w:type="dxa" w:w="1859"/>
          </w:tcPr>
          <w:p>
            <w:pPr>
              <w:spacing w:line="240" w:lineRule="auto"/>
              <w:jc w:val="center"/>
            </w:pPr>
            <w:r/>
            <w:r>
              <w:rPr>
                <w:rFonts w:ascii="휴먼명조" w:eastAsia="휴먼명조" w:hAnsi="휴먼명조" w:cs="휴먼명조"/>
                <w:b w:val="0"/>
                <w:sz w:val="18"/>
                <w:w w:val="97"/>
              </w:rPr>
              <w:t>Autoresearch</w:t>
            </w:r>
          </w:p>
        </w:tc>
        <w:tc>
          <w:tcPr>
            <w:tcW w:type="dxa" w:w="1859"/>
          </w:tcPr>
          <w:p>
            <w:pPr>
              <w:spacing w:line="240" w:lineRule="auto"/>
              <w:jc w:val="center"/>
            </w:pPr>
            <w:r/>
            <w:r>
              <w:rPr>
                <w:rFonts w:ascii="휴먼명조" w:eastAsia="휴먼명조" w:hAnsi="휴먼명조" w:cs="휴먼명조"/>
                <w:b w:val="0"/>
                <w:sz w:val="18"/>
                <w:w w:val="97"/>
              </w:rPr>
              <w:t>0.3980</w:t>
            </w:r>
          </w:p>
        </w:tc>
        <w:tc>
          <w:tcPr>
            <w:tcW w:type="dxa" w:w="1859"/>
          </w:tcPr>
          <w:p>
            <w:pPr>
              <w:spacing w:line="240" w:lineRule="auto"/>
              <w:jc w:val="center"/>
            </w:pPr>
            <w:r/>
            <w:r>
              <w:rPr>
                <w:rFonts w:ascii="휴먼명조" w:eastAsia="휴먼명조" w:hAnsi="휴먼명조" w:cs="휴먼명조"/>
                <w:b/>
                <w:sz w:val="18"/>
                <w:w w:val="97"/>
              </w:rPr>
              <w:t>0.0145</w:t>
            </w:r>
          </w:p>
        </w:tc>
        <w:tc>
          <w:tcPr>
            <w:tcW w:type="dxa" w:w="1859"/>
          </w:tcPr>
          <w:p>
            <w:pPr>
              <w:spacing w:line="240" w:lineRule="auto"/>
              <w:jc w:val="center"/>
            </w:pPr>
            <w:r/>
            <w:r>
              <w:rPr>
                <w:rFonts w:ascii="휴먼명조" w:eastAsia="휴먼명조" w:hAnsi="휴먼명조" w:cs="휴먼명조"/>
                <w:b w:val="0"/>
                <w:sz w:val="18"/>
                <w:w w:val="97"/>
              </w:rPr>
              <w:t>5,450.0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Notably, </w:t>
      </w:r>
      <w:r>
        <w:rPr>
          <w:rFonts w:ascii="휴먼명조" w:eastAsia="휴먼명조" w:hAnsi="휴먼명조" w:cs="휴먼명조"/>
          <w:b/>
          <w:sz w:val="22"/>
          <w:w w:val="97"/>
        </w:rPr>
        <w:t>Autoresearch has the highest trial-level mean (0.3980) while also having the lowest standard deviation (0.0145)</w:t>
      </w:r>
      <w:r>
        <w:rPr>
          <w:rFonts w:ascii="휴먼명조" w:eastAsia="휴먼명조" w:hAnsi="휴먼명조" w:cs="휴먼명조"/>
          <w:b w:val="0"/>
          <w:sz w:val="22"/>
          <w:w w:val="97"/>
        </w:rPr>
        <w:t>.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 is explained by this difference in variance.</w:t>
      </w:r>
    </w:p>
    <w:p>
      <w:pPr>
        <w:spacing w:line="384" w:lineRule="auto" w:after="0"/>
        <w:ind w:firstLine="220"/>
        <w:jc w:val="both"/>
      </w:pPr>
      <w:r>
        <w:rPr>
          <w:rFonts w:ascii="휴먼명조" w:eastAsia="휴먼명조" w:hAnsi="휴먼명조" w:cs="휴먼명조"/>
          <w:b w:val="0"/>
          <w:sz w:val="22"/>
          <w:w w:val="97"/>
        </w:rPr>
        <w:t>The anytime performance curve (median and IQR of cumulative best performance as trials progress) is in results/phase3_autoresearch/phase3_anytime.png, with the underlying figures in phase3_anytime_curve.csv.</w:t>
      </w:r>
    </w:p>
    <w:p>
      <w:pPr>
        <w:spacing w:line="384" w:lineRule="auto" w:after="0"/>
        <w:jc w:val="left"/>
        <w:outlineLvl w:val="2"/>
      </w:pPr>
      <w:r>
        <w:rPr>
          <w:rFonts w:ascii="휴먼명조" w:eastAsia="휴먼명조" w:hAnsi="휴먼명조" w:cs="휴먼명조"/>
          <w:b/>
          <w:sz w:val="22"/>
          <w:w w:val="97"/>
        </w:rPr>
        <w:t>4.3.4 Search Behaviour of the Autoresearch Agent</w:t>
      </w:r>
    </w:p>
    <w:p>
      <w:pPr>
        <w:spacing w:line="384" w:lineRule="auto" w:after="0"/>
        <w:ind w:firstLine="220"/>
        <w:jc w:val="both"/>
      </w:pPr>
      <w:r>
        <w:rPr>
          <w:rFonts w:ascii="휴먼명조" w:eastAsia="휴먼명조" w:hAnsi="휴먼명조" w:cs="휴먼명조"/>
          <w:b w:val="0"/>
          <w:sz w:val="22"/>
          <w:w w:val="97"/>
        </w:rPr>
        <w:t xml:space="preserve">To identify the cause of the low variance observed in Section 4.3.3, the number of </w:t>
      </w:r>
      <w:r>
        <w:rPr>
          <w:rFonts w:ascii="휴먼명조" w:eastAsia="휴먼명조" w:hAnsi="휴먼명조" w:cs="휴먼명조"/>
          <w:b/>
          <w:sz w:val="22"/>
          <w:w w:val="97"/>
        </w:rPr>
        <w:t>unique hyperparameter combinations</w:t>
      </w:r>
      <w:r>
        <w:rPr>
          <w:rFonts w:ascii="휴먼명조" w:eastAsia="휴먼명조" w:hAnsi="휴먼명조" w:cs="휴먼명조"/>
          <w:b w:val="0"/>
          <w:sz w:val="22"/>
          <w:w w:val="97"/>
        </w:rPr>
        <w:t xml:space="preserve"> proposed by the agent in each repeat was counted.</w:t>
      </w:r>
    </w:p>
    <w:p>
      <w:pPr>
        <w:pStyle w:val="표캡션"/>
        <w:spacing w:line="384" w:lineRule="auto" w:after="0"/>
        <w:jc w:val="center"/>
      </w:pPr>
      <w:r>
        <w:rPr>
          <w:rFonts w:ascii="휴먼명조" w:eastAsia="휴먼명조" w:hAnsi="휴먼명조" w:cs="휴먼명조"/>
          <w:b/>
          <w:sz w:val="22"/>
          <w:w w:val="97"/>
        </w:rPr>
        <w:t>Table 4.3d. Unique hyperparameter combinations per repeat (out of 20 trials)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Strategy</w:t>
            </w:r>
          </w:p>
        </w:tc>
        <w:tc>
          <w:tcPr>
            <w:tcW w:type="dxa" w:w="2479"/>
          </w:tcPr>
          <w:p>
            <w:pPr>
              <w:spacing w:line="240" w:lineRule="auto"/>
              <w:jc w:val="center"/>
            </w:pPr>
            <w:r/>
            <w:r>
              <w:rPr>
                <w:rFonts w:ascii="휴먼명조" w:eastAsia="휴먼명조" w:hAnsi="휴먼명조" w:cs="휴먼명조"/>
                <w:b/>
                <w:sz w:val="18"/>
                <w:w w:val="97"/>
              </w:rPr>
              <w:t>Unique combinations per repeat (mean)</w:t>
            </w:r>
          </w:p>
        </w:tc>
        <w:tc>
          <w:tcPr>
            <w:tcW w:type="dxa" w:w="2479"/>
          </w:tcPr>
          <w:p>
            <w:pPr>
              <w:spacing w:line="240" w:lineRule="auto"/>
              <w:jc w:val="center"/>
            </w:pPr>
            <w:r/>
            <w:r>
              <w:rPr>
                <w:rFonts w:ascii="휴먼명조" w:eastAsia="휴먼명조" w:hAnsi="휴먼명조" w:cs="휴먼명조"/>
                <w:b/>
                <w:sz w:val="18"/>
                <w:w w:val="97"/>
              </w:rPr>
              <w:t>Range</w:t>
            </w:r>
          </w:p>
        </w:tc>
      </w:tr>
      <w:tr>
        <w:tc>
          <w:tcPr>
            <w:tcW w:type="dxa" w:w="2479"/>
          </w:tcPr>
          <w:p>
            <w:pPr>
              <w:spacing w:line="240" w:lineRule="auto"/>
              <w:jc w:val="center"/>
            </w:pPr>
            <w:r/>
            <w:r>
              <w:rPr>
                <w:rFonts w:ascii="휴먼명조" w:eastAsia="휴먼명조" w:hAnsi="휴먼명조" w:cs="휴먼명조"/>
                <w:b w:val="0"/>
                <w:sz w:val="18"/>
                <w:w w:val="97"/>
              </w:rPr>
              <w:t>Random Search</w:t>
            </w:r>
          </w:p>
        </w:tc>
        <w:tc>
          <w:tcPr>
            <w:tcW w:type="dxa" w:w="2479"/>
          </w:tcPr>
          <w:p>
            <w:pPr>
              <w:spacing w:line="240" w:lineRule="auto"/>
              <w:jc w:val="center"/>
            </w:pPr>
            <w:r/>
            <w:r>
              <w:rPr>
                <w:rFonts w:ascii="휴먼명조" w:eastAsia="휴먼명조" w:hAnsi="휴먼명조" w:cs="휴먼명조"/>
                <w:b w:val="0"/>
                <w:sz w:val="18"/>
                <w:w w:val="97"/>
              </w:rPr>
              <w:t>20.0 / 20</w:t>
            </w:r>
          </w:p>
        </w:tc>
        <w:tc>
          <w:tcPr>
            <w:tcW w:type="dxa" w:w="2479"/>
          </w:tcPr>
          <w:p>
            <w:pPr>
              <w:spacing w:line="240" w:lineRule="auto"/>
              <w:jc w:val="center"/>
            </w:pPr>
            <w:r/>
            <w:r>
              <w:rPr>
                <w:rFonts w:ascii="휴먼명조" w:eastAsia="휴먼명조" w:hAnsi="휴먼명조" w:cs="휴먼명조"/>
                <w:b w:val="0"/>
                <w:sz w:val="18"/>
                <w:w w:val="97"/>
              </w:rPr>
              <w:t>20 - 20</w:t>
            </w:r>
          </w:p>
        </w:tc>
      </w:tr>
      <w:tr>
        <w:tc>
          <w:tcPr>
            <w:tcW w:type="dxa" w:w="2479"/>
          </w:tcPr>
          <w:p>
            <w:pPr>
              <w:spacing w:line="240" w:lineRule="auto"/>
              <w:jc w:val="center"/>
            </w:pPr>
            <w:r/>
            <w:r>
              <w:rPr>
                <w:rFonts w:ascii="휴먼명조" w:eastAsia="휴먼명조" w:hAnsi="휴먼명조" w:cs="휴먼명조"/>
                <w:b w:val="0"/>
                <w:sz w:val="18"/>
                <w:w w:val="97"/>
              </w:rPr>
              <w:t>Optuna (TPE)</w:t>
            </w:r>
          </w:p>
        </w:tc>
        <w:tc>
          <w:tcPr>
            <w:tcW w:type="dxa" w:w="2479"/>
          </w:tcPr>
          <w:p>
            <w:pPr>
              <w:spacing w:line="240" w:lineRule="auto"/>
              <w:jc w:val="center"/>
            </w:pPr>
            <w:r/>
            <w:r>
              <w:rPr>
                <w:rFonts w:ascii="휴먼명조" w:eastAsia="휴먼명조" w:hAnsi="휴먼명조" w:cs="휴먼명조"/>
                <w:b w:val="0"/>
                <w:sz w:val="18"/>
                <w:w w:val="97"/>
              </w:rPr>
              <w:t>20.0 / 20</w:t>
            </w:r>
          </w:p>
        </w:tc>
        <w:tc>
          <w:tcPr>
            <w:tcW w:type="dxa" w:w="2479"/>
          </w:tcPr>
          <w:p>
            <w:pPr>
              <w:spacing w:line="240" w:lineRule="auto"/>
              <w:jc w:val="center"/>
            </w:pPr>
            <w:r/>
            <w:r>
              <w:rPr>
                <w:rFonts w:ascii="휴먼명조" w:eastAsia="휴먼명조" w:hAnsi="휴먼명조" w:cs="휴먼명조"/>
                <w:b w:val="0"/>
                <w:sz w:val="18"/>
                <w:w w:val="97"/>
              </w:rPr>
              <w:t>20 - 20</w:t>
            </w:r>
          </w:p>
        </w:tc>
      </w:tr>
      <w:tr>
        <w:tc>
          <w:tcPr>
            <w:tcW w:type="dxa" w:w="2479"/>
          </w:tcPr>
          <w:p>
            <w:pPr>
              <w:spacing w:line="240" w:lineRule="auto"/>
              <w:jc w:val="center"/>
            </w:pPr>
            <w:r/>
            <w:r>
              <w:rPr>
                <w:rFonts w:ascii="휴먼명조" w:eastAsia="휴먼명조" w:hAnsi="휴먼명조" w:cs="휴먼명조"/>
                <w:b/>
                <w:sz w:val="18"/>
                <w:w w:val="97"/>
              </w:rPr>
              <w:t>Autoresearch</w:t>
            </w:r>
          </w:p>
        </w:tc>
        <w:tc>
          <w:tcPr>
            <w:tcW w:type="dxa" w:w="2479"/>
          </w:tcPr>
          <w:p>
            <w:pPr>
              <w:spacing w:line="240" w:lineRule="auto"/>
              <w:jc w:val="center"/>
            </w:pPr>
            <w:r/>
            <w:r>
              <w:rPr>
                <w:rFonts w:ascii="휴먼명조" w:eastAsia="휴먼명조" w:hAnsi="휴먼명조" w:cs="휴먼명조"/>
                <w:b/>
                <w:sz w:val="18"/>
                <w:w w:val="97"/>
              </w:rPr>
              <w:t>12.5 / 20</w:t>
            </w:r>
          </w:p>
        </w:tc>
        <w:tc>
          <w:tcPr>
            <w:tcW w:type="dxa" w:w="2479"/>
          </w:tcPr>
          <w:p>
            <w:pPr>
              <w:spacing w:line="240" w:lineRule="auto"/>
              <w:jc w:val="center"/>
            </w:pPr>
            <w:r/>
            <w:r>
              <w:rPr>
                <w:rFonts w:ascii="휴먼명조" w:eastAsia="휴먼명조" w:hAnsi="휴먼명조" w:cs="휴먼명조"/>
                <w:b w:val="0"/>
                <w:sz w:val="18"/>
                <w:w w:val="97"/>
              </w:rPr>
              <w:t>10 - 17</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Random and Optuna produced 20 mutually distinct configurations in all 10 repeats, whereas </w:t>
      </w:r>
      <w:r>
        <w:rPr>
          <w:rFonts w:ascii="휴먼명조" w:eastAsia="휴먼명조" w:hAnsi="휴먼명조" w:cs="휴먼명조"/>
          <w:b/>
          <w:sz w:val="22"/>
          <w:w w:val="97"/>
        </w:rPr>
        <w:t>Autoresearch attempted only 12.5 unique configurations on average.</w:t>
      </w:r>
      <w:r>
        <w:rPr>
          <w:rFonts w:ascii="휴먼명조" w:eastAsia="휴먼명조" w:hAnsi="휴먼명조" w:cs="휴먼명조"/>
          <w:b w:val="0"/>
          <w:sz w:val="22"/>
          <w:w w:val="97"/>
        </w:rPr>
        <w:t xml:space="preserve"> Roughly 37% of the search budget was thus consumed re-running configurations already tried, and this phenomenon was not confined to particular repeats but was observed consistently across all 10 (minimum 10, maximum 17).</w:t>
      </w:r>
    </w:p>
    <w:p>
      <w:pPr>
        <w:spacing w:line="384" w:lineRule="auto" w:after="0"/>
        <w:ind w:firstLine="220"/>
        <w:jc w:val="both"/>
      </w:pPr>
      <w:r>
        <w:rPr>
          <w:rFonts w:ascii="휴먼명조" w:eastAsia="휴먼명조" w:hAnsi="휴먼명조" w:cs="휴먼명조"/>
          <w:b w:val="0"/>
          <w:sz w:val="22"/>
          <w:w w:val="97"/>
        </w:rPr>
        <w:t xml:space="preserve">The pattern emerges more clearly in the proposal trajectory of individual repeats. In repeat 8, for example, the agent explored by varying rank 16 → 64 → 32 → 8 → 32 → 64 over the first six trials, then became fixed after the seventh trial on the combination rank=64, alpha=256, lr=2.0e-4, batch=2, targets=full, proposing it 11 times consecutively. Notably, </w:t>
      </w:r>
      <w:r>
        <w:rPr>
          <w:rFonts w:ascii="휴먼명조" w:eastAsia="휴먼명조" w:hAnsi="휴먼명조" w:cs="휴먼명조"/>
          <w:b/>
          <w:sz w:val="22"/>
          <w:w w:val="97"/>
        </w:rPr>
        <w:t>val_accuracy fluctuated between 0.388 and 0.444 while the identical configuration was being re-run</w:t>
      </w:r>
      <w:r>
        <w:rPr>
          <w:rFonts w:ascii="휴먼명조" w:eastAsia="휴먼명조" w:hAnsi="휴먼명조" w:cs="휴먼명조"/>
          <w:b w:val="0"/>
          <w:sz w:val="22"/>
          <w:w w:val="97"/>
        </w:rPr>
        <w:t xml:space="preserve"> — this variation reflects the stochastic behaviour of training and evaluation rather than any difference in configuration, suggesting that the agent may have interpreted this noise as a performance signal. In that repeat, the agent broke out of the fixation by changing batch_size to 4 only on the final trial, and that configuration recorded the repeat's best performance (0.4640).</w:t>
      </w:r>
    </w:p>
    <w:p>
      <w:pPr>
        <w:spacing w:line="384" w:lineRule="auto" w:after="0"/>
        <w:ind w:firstLine="220"/>
        <w:jc w:val="both"/>
      </w:pPr>
      <w:r>
        <w:rPr>
          <w:rFonts w:ascii="휴먼명조" w:eastAsia="휴먼명조" w:hAnsi="휴먼명조" w:cs="휴먼명조"/>
          <w:b w:val="0"/>
          <w:sz w:val="22"/>
          <w:w w:val="97"/>
        </w:rPr>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sz w:val="22"/>
          <w:w w:val="97"/>
        </w:rPr>
        <w:t>a reduced effective search budget caused by repeatedly proposing identical configurations</w:t>
      </w:r>
      <w:r>
        <w:rPr>
          <w:rFonts w:ascii="휴먼명조" w:eastAsia="휴먼명조" w:hAnsi="휴먼명조" w:cs="휴먼명조"/>
          <w:b w:val="0"/>
          <w:sz w:val="22"/>
          <w:w w:val="97"/>
        </w:rPr>
        <w:t>. This section is, however, a post-hoc observation of result logs and does not directly verify the agent's internal reasoning. The original rationale texts are reproduced in Appendix B.</w:t>
      </w:r>
    </w:p>
    <w:p>
      <w:pPr>
        <w:spacing w:line="384" w:lineRule="auto" w:after="0"/>
        <w:jc w:val="left"/>
        <w:outlineLvl w:val="2"/>
      </w:pPr>
      <w:r>
        <w:rPr>
          <w:rFonts w:ascii="휴먼명조" w:eastAsia="휴먼명조" w:hAnsi="휴먼명조" w:cs="휴먼명조"/>
          <w:b/>
          <w:sz w:val="22"/>
          <w:w w:val="97"/>
        </w:rPr>
        <w:t>4.3.5 Summary</w:t>
      </w:r>
    </w:p>
    <w:p>
      <w:pPr>
        <w:spacing w:line="384" w:lineRule="auto" w:after="0"/>
        <w:ind w:firstLine="220"/>
        <w:jc w:val="both"/>
      </w:pPr>
      <w:r>
        <w:rPr>
          <w:rFonts w:ascii="휴먼명조" w:eastAsia="휴먼명조" w:hAnsi="휴먼명조" w:cs="휴먼명조"/>
          <w:b w:val="0"/>
          <w:sz w:val="22"/>
          <w:w w:val="97"/>
        </w:rPr>
        <w:t xml:space="preserve">This study's answer to RQ3 is </w:t>
      </w:r>
      <w:r>
        <w:rPr>
          <w:rFonts w:ascii="휴먼명조" w:eastAsia="휴먼명조" w:hAnsi="휴먼명조" w:cs="휴먼명조"/>
          <w:b/>
          <w:sz w:val="22"/>
          <w:w w:val="97"/>
        </w:rPr>
        <w:t>negative</w:t>
      </w:r>
      <w:r>
        <w:rPr>
          <w:rFonts w:ascii="휴먼명조" w:eastAsia="휴먼명조" w:hAnsi="휴먼명조" w:cs="휴먼명조"/>
          <w:b w:val="0"/>
          <w:sz w:val="22"/>
          <w:w w:val="97"/>
        </w:rPr>
        <w:t xml:space="preserve">. Under an identical search space and an identical budget of 20 trials, the LLM agent's autonomous search (Autoresearch) </w:t>
      </w:r>
      <w:r>
        <w:rPr>
          <w:rFonts w:ascii="휴먼명조" w:eastAsia="휴먼명조" w:hAnsi="휴먼명조" w:cs="휴먼명조"/>
          <w:b/>
          <w:sz w:val="22"/>
          <w:w w:val="97"/>
        </w:rPr>
        <w:t>fell significantly short of Optuna (TPE)</w:t>
      </w:r>
      <w:r>
        <w:rPr>
          <w:rFonts w:ascii="휴먼명조" w:eastAsia="휴먼명조" w:hAnsi="휴먼명조" w:cs="휴먼명조"/>
          <w:b w:val="0"/>
          <w:sz w:val="22"/>
          <w:w w:val="97"/>
        </w:rPr>
        <w:t xml:space="preserve"> (p = .0112, r = -0.68) and was </w:t>
      </w:r>
      <w:r>
        <w:rPr>
          <w:rFonts w:ascii="휴먼명조" w:eastAsia="휴먼명조" w:hAnsi="휴먼명조" w:cs="휴먼명조"/>
          <w:b/>
          <w:sz w:val="22"/>
          <w:w w:val="97"/>
        </w:rPr>
        <w:t>statistically indistinguishable from random search</w:t>
      </w:r>
      <w:r>
        <w:rPr>
          <w:rFonts w:ascii="휴먼명조" w:eastAsia="휴먼명조" w:hAnsi="휴먼명조" w:cs="휴먼명조"/>
          <w:b w:val="0"/>
          <w:sz w:val="22"/>
          <w:w w:val="97"/>
        </w:rPr>
        <w:t xml:space="preserve"> (0.4184 vs 0.4186). That all three automated strategies exceeded the manual configuration nevertheless confirms both the validity of automated search itself and the superiority of the established technique (TPE) within it.</w:t>
      </w:r>
    </w:p>
    <w:p>
      <w:pPr>
        <w:spacing w:line="384" w:lineRule="auto" w:after="0"/>
        <w:ind w:firstLine="220"/>
        <w:jc w:val="both"/>
      </w:pPr>
      <w:r>
        <w:rPr>
          <w:rFonts w:ascii="휴먼명조" w:eastAsia="휴먼명조" w:hAnsi="휴먼명조" w:cs="휴먼명조"/>
          <w:b w:val="0"/>
          <w:sz w:val="22"/>
          <w:w w:val="97"/>
        </w:rPr>
        <w:t xml:space="preserve">As the underlying cause, Section 4.3.4 points to </w:t>
      </w:r>
      <w:r>
        <w:rPr>
          <w:rFonts w:ascii="휴먼명조" w:eastAsia="휴먼명조" w:hAnsi="휴먼명조" w:cs="휴먼명조"/>
          <w:b/>
          <w:sz w:val="22"/>
          <w:w w:val="97"/>
        </w:rPr>
        <w:t>a reduced effective search budget caused by duplicate proposals</w:t>
      </w:r>
      <w:r>
        <w:rPr>
          <w:rFonts w:ascii="휴먼명조" w:eastAsia="휴먼명조" w:hAnsi="휴먼명조" w:cs="휴먼명조"/>
          <w:b w:val="0"/>
          <w:sz w:val="22"/>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pPr>
        <w:spacing w:line="384" w:lineRule="auto" w:after="0"/>
        <w:ind w:firstLine="220"/>
        <w:jc w:val="both"/>
      </w:pPr>
      <w:r>
        <w:rPr>
          <w:rFonts w:ascii="휴먼명조" w:eastAsia="휴먼명조" w:hAnsi="휴먼명조" w:cs="휴먼명조"/>
          <w:b w:val="0"/>
          <w:sz w:val="22"/>
          <w:w w:val="97"/>
        </w:rPr>
        <w:t>This conclusion is limited to the following conditions: a single model (Qwen3-VL-2B), a single dataset (PathVQA), a budget of 20 trials per strategy, and the control condition max_steps=200. In particular, as confirmed in Section 4.3.3, a substantial number of Autoresearch runs were still improving when the budget was exhausted, so results under a larger search budget could differ (Section 5.3).</w:t>
      </w:r>
    </w:p>
    <w:p>
      <w:pPr>
        <w:spacing w:line="384" w:lineRule="auto" w:after="0"/>
        <w:ind w:firstLine="220"/>
        <w:jc w:val="both"/>
      </w:pPr>
      <w:r>
        <w:rPr>
          <w:rFonts w:ascii="휴먼명조" w:eastAsia="휴먼명조" w:hAnsi="휴먼명조" w:cs="휴먼명조"/>
          <w:b w:val="0"/>
          <w:sz w:val="22"/>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pPr>
        <w:spacing w:line="384" w:lineRule="auto" w:after="0"/>
        <w:jc w:val="left"/>
        <w:outlineLvl w:val="1"/>
      </w:pPr>
      <w:r>
        <w:rPr>
          <w:rFonts w:ascii="휴먼명조" w:eastAsia="휴먼명조" w:hAnsi="휴먼명조" w:cs="휴먼명조"/>
          <w:b/>
          <w:sz w:val="28"/>
          <w:w w:val="97"/>
        </w:rPr>
        <w:t>4.4 Overall Analysis and Discussion</w:t>
      </w:r>
    </w:p>
    <w:p>
      <w:pPr>
        <w:spacing w:line="384" w:lineRule="auto" w:after="0"/>
        <w:ind w:firstLine="220"/>
        <w:jc w:val="both"/>
      </w:pPr>
      <w:r>
        <w:rPr>
          <w:rFonts w:ascii="휴먼명조" w:eastAsia="휴먼명조" w:hAnsi="휴먼명조" w:cs="휴먼명조"/>
          <w:b w:val="0"/>
          <w:sz w:val="22"/>
          <w:w w:val="97"/>
        </w:rPr>
        <w:t>Sections 4.1 to 4.3 reported the results of each experimental phase separately. This section consolidates the issues that cut across all three.</w:t>
      </w:r>
    </w:p>
    <w:p>
      <w:pPr>
        <w:spacing w:line="384" w:lineRule="auto" w:after="0"/>
        <w:jc w:val="left"/>
        <w:outlineLvl w:val="2"/>
      </w:pPr>
      <w:r>
        <w:rPr>
          <w:rFonts w:ascii="휴먼명조" w:eastAsia="휴먼명조" w:hAnsi="휴먼명조" w:cs="휴먼명조"/>
          <w:b/>
          <w:sz w:val="22"/>
          <w:w w:val="97"/>
        </w:rPr>
        <w:t>4.4.1 Constraints on Cross-Phase Comparison</w:t>
      </w:r>
    </w:p>
    <w:p>
      <w:pPr>
        <w:spacing w:line="384" w:lineRule="auto" w:after="0"/>
        <w:ind w:firstLine="220"/>
        <w:jc w:val="both"/>
      </w:pPr>
      <w:r>
        <w:rPr>
          <w:rFonts w:ascii="휴먼명조" w:eastAsia="휴먼명조" w:hAnsi="휴먼명조" w:cs="휴먼명조"/>
          <w:b w:val="0"/>
          <w:sz w:val="22"/>
          <w:w w:val="97"/>
        </w:rPr>
        <w:t>Before the substantive discussion, the scope of comparability must be made explicit. The three phases differ in their evaluation conditions.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Phase</w:t>
            </w:r>
          </w:p>
        </w:tc>
        <w:tc>
          <w:tcPr>
            <w:tcW w:type="dxa" w:w="1859"/>
          </w:tcPr>
          <w:p>
            <w:pPr>
              <w:spacing w:line="240" w:lineRule="auto"/>
              <w:jc w:val="center"/>
            </w:pPr>
            <w:r/>
            <w:r>
              <w:rPr>
                <w:rFonts w:ascii="휴먼명조" w:eastAsia="휴먼명조" w:hAnsi="휴먼명조" w:cs="휴먼명조"/>
                <w:b/>
                <w:sz w:val="18"/>
                <w:w w:val="97"/>
              </w:rPr>
              <w:t>Training volume</w:t>
            </w:r>
          </w:p>
        </w:tc>
        <w:tc>
          <w:tcPr>
            <w:tcW w:type="dxa" w:w="1859"/>
          </w:tcPr>
          <w:p>
            <w:pPr>
              <w:spacing w:line="240" w:lineRule="auto"/>
              <w:jc w:val="center"/>
            </w:pPr>
            <w:r/>
            <w:r>
              <w:rPr>
                <w:rFonts w:ascii="휴먼명조" w:eastAsia="휴먼명조" w:hAnsi="휴먼명조" w:cs="휴먼명조"/>
                <w:b/>
                <w:sz w:val="18"/>
                <w:w w:val="97"/>
              </w:rPr>
              <w:t>Evaluation target</w:t>
            </w:r>
          </w:p>
        </w:tc>
        <w:tc>
          <w:tcPr>
            <w:tcW w:type="dxa" w:w="1859"/>
          </w:tcPr>
          <w:p>
            <w:pPr>
              <w:spacing w:line="240" w:lineRule="auto"/>
              <w:jc w:val="center"/>
            </w:pPr>
            <w:r/>
            <w:r>
              <w:rPr>
                <w:rFonts w:ascii="휴먼명조" w:eastAsia="휴먼명조" w:hAnsi="휴먼명조" w:cs="휴먼명조"/>
                <w:b/>
                <w:sz w:val="18"/>
                <w:w w:val="97"/>
              </w:rPr>
              <w:t>Evaluation sample</w:t>
            </w:r>
          </w:p>
        </w:tc>
      </w:tr>
      <w:tr>
        <w:tc>
          <w:tcPr>
            <w:tcW w:type="dxa" w:w="1859"/>
          </w:tcPr>
          <w:p>
            <w:pPr>
              <w:spacing w:line="240" w:lineRule="auto"/>
              <w:jc w:val="center"/>
            </w:pPr>
            <w:r/>
            <w:r>
              <w:rPr>
                <w:rFonts w:ascii="휴먼명조" w:eastAsia="휴먼명조" w:hAnsi="휴먼명조" w:cs="휴먼명조"/>
                <w:b w:val="0"/>
                <w:sz w:val="18"/>
                <w:w w:val="97"/>
              </w:rPr>
              <w:t>Phase 1</w:t>
            </w:r>
          </w:p>
        </w:tc>
        <w:tc>
          <w:tcPr>
            <w:tcW w:type="dxa" w:w="1859"/>
          </w:tcPr>
          <w:p>
            <w:pPr>
              <w:spacing w:line="240" w:lineRule="auto"/>
              <w:jc w:val="center"/>
            </w:pPr>
            <w:r/>
            <w:r>
              <w:rPr>
                <w:rFonts w:ascii="휴먼명조" w:eastAsia="휴먼명조" w:hAnsi="휴먼명조" w:cs="휴먼명조"/>
                <w:b w:val="0"/>
                <w:sz w:val="18"/>
                <w:w w:val="97"/>
              </w:rPr>
              <w:t>None (zero-shot)</w:t>
            </w:r>
          </w:p>
        </w:tc>
        <w:tc>
          <w:tcPr>
            <w:tcW w:type="dxa" w:w="1859"/>
          </w:tcPr>
          <w:p>
            <w:pPr>
              <w:spacing w:line="240" w:lineRule="auto"/>
              <w:jc w:val="center"/>
            </w:pPr>
            <w:r/>
            <w:r>
              <w:rPr>
                <w:rFonts w:ascii="휴먼명조" w:eastAsia="휴먼명조" w:hAnsi="휴먼명조" w:cs="휴먼명조"/>
                <w:b w:val="0"/>
                <w:sz w:val="18"/>
                <w:w w:val="97"/>
              </w:rPr>
              <w:t>3 datasets</w:t>
            </w:r>
          </w:p>
        </w:tc>
        <w:tc>
          <w:tcPr>
            <w:tcW w:type="dxa" w:w="1859"/>
          </w:tcPr>
          <w:p>
            <w:pPr>
              <w:spacing w:line="240" w:lineRule="auto"/>
              <w:jc w:val="center"/>
            </w:pPr>
            <w:r/>
            <w:r>
              <w:rPr>
                <w:rFonts w:ascii="휴먼명조" w:eastAsia="휴먼명조" w:hAnsi="휴먼명조" w:cs="휴먼명조"/>
                <w:b w:val="0"/>
                <w:sz w:val="18"/>
                <w:w w:val="97"/>
              </w:rPr>
              <w:t>Full test split (8,231 items)</w:t>
            </w:r>
          </w:p>
        </w:tc>
      </w:tr>
      <w:tr>
        <w:tc>
          <w:tcPr>
            <w:tcW w:type="dxa" w:w="1859"/>
          </w:tcPr>
          <w:p>
            <w:pPr>
              <w:spacing w:line="240" w:lineRule="auto"/>
              <w:jc w:val="center"/>
            </w:pPr>
            <w:r/>
            <w:r>
              <w:rPr>
                <w:rFonts w:ascii="휴먼명조" w:eastAsia="휴먼명조" w:hAnsi="휴먼명조" w:cs="휴먼명조"/>
                <w:b w:val="0"/>
                <w:sz w:val="18"/>
                <w:w w:val="97"/>
              </w:rPr>
              <w:t>Phase 2</w:t>
            </w:r>
          </w:p>
        </w:tc>
        <w:tc>
          <w:tcPr>
            <w:tcW w:type="dxa" w:w="1859"/>
          </w:tcPr>
          <w:p>
            <w:pPr>
              <w:spacing w:line="240" w:lineRule="auto"/>
              <w:jc w:val="center"/>
            </w:pPr>
            <w:r/>
            <w:r>
              <w:rPr>
                <w:rFonts w:ascii="휴먼명조" w:eastAsia="휴먼명조" w:hAnsi="휴먼명조" w:cs="휴먼명조"/>
                <w:b w:val="0"/>
                <w:sz w:val="18"/>
                <w:w w:val="97"/>
              </w:rPr>
              <w:t>max_steps=500</w:t>
            </w:r>
          </w:p>
        </w:tc>
        <w:tc>
          <w:tcPr>
            <w:tcW w:type="dxa" w:w="1859"/>
          </w:tcPr>
          <w:p>
            <w:pPr>
              <w:spacing w:line="240" w:lineRule="auto"/>
              <w:jc w:val="center"/>
            </w:pPr>
            <w:r/>
            <w:r>
              <w:rPr>
                <w:rFonts w:ascii="휴먼명조" w:eastAsia="휴먼명조" w:hAnsi="휴먼명조" w:cs="휴먼명조"/>
                <w:b w:val="0"/>
                <w:sz w:val="18"/>
                <w:w w:val="97"/>
              </w:rPr>
              <w:t>3 datasets × 3 seeds</w:t>
            </w:r>
          </w:p>
        </w:tc>
        <w:tc>
          <w:tcPr>
            <w:tcW w:type="dxa" w:w="1859"/>
          </w:tcPr>
          <w:p>
            <w:pPr>
              <w:spacing w:line="240" w:lineRule="auto"/>
              <w:jc w:val="center"/>
            </w:pPr>
            <w:r/>
            <w:r>
              <w:rPr>
                <w:rFonts w:ascii="휴먼명조" w:eastAsia="휴먼명조" w:hAnsi="휴먼명조" w:cs="휴먼명조"/>
                <w:b w:val="0"/>
                <w:sz w:val="18"/>
                <w:w w:val="97"/>
              </w:rPr>
              <w:t>Full test split</w:t>
            </w:r>
          </w:p>
        </w:tc>
      </w:tr>
      <w:tr>
        <w:tc>
          <w:tcPr>
            <w:tcW w:type="dxa" w:w="1859"/>
          </w:tcPr>
          <w:p>
            <w:pPr>
              <w:spacing w:line="240" w:lineRule="auto"/>
              <w:jc w:val="center"/>
            </w:pPr>
            <w:r/>
            <w:r>
              <w:rPr>
                <w:rFonts w:ascii="휴먼명조" w:eastAsia="휴먼명조" w:hAnsi="휴먼명조" w:cs="휴먼명조"/>
                <w:b w:val="0"/>
                <w:sz w:val="18"/>
                <w:w w:val="97"/>
              </w:rPr>
              <w:t>Phase 3</w:t>
            </w:r>
          </w:p>
        </w:tc>
        <w:tc>
          <w:tcPr>
            <w:tcW w:type="dxa" w:w="1859"/>
          </w:tcPr>
          <w:p>
            <w:pPr>
              <w:spacing w:line="240" w:lineRule="auto"/>
              <w:jc w:val="center"/>
            </w:pPr>
            <w:r/>
            <w:r>
              <w:rPr>
                <w:rFonts w:ascii="휴먼명조" w:eastAsia="휴먼명조" w:hAnsi="휴먼명조" w:cs="휴먼명조"/>
                <w:b w:val="0"/>
                <w:sz w:val="18"/>
                <w:w w:val="97"/>
              </w:rPr>
              <w:t>max_steps=200</w:t>
            </w:r>
          </w:p>
        </w:tc>
        <w:tc>
          <w:tcPr>
            <w:tcW w:type="dxa" w:w="1859"/>
          </w:tcPr>
          <w:p>
            <w:pPr>
              <w:spacing w:line="240" w:lineRule="auto"/>
              <w:jc w:val="center"/>
            </w:pPr>
            <w:r/>
            <w:r>
              <w:rPr>
                <w:rFonts w:ascii="휴먼명조" w:eastAsia="휴먼명조" w:hAnsi="휴먼명조" w:cs="휴먼명조"/>
                <w:b w:val="0"/>
                <w:sz w:val="18"/>
                <w:w w:val="97"/>
              </w:rPr>
              <w:t>PathVQA only</w:t>
            </w:r>
          </w:p>
        </w:tc>
        <w:tc>
          <w:tcPr>
            <w:tcW w:type="dxa" w:w="1859"/>
          </w:tcPr>
          <w:p>
            <w:pPr>
              <w:spacing w:line="240" w:lineRule="auto"/>
              <w:jc w:val="center"/>
            </w:pPr>
            <w:r/>
            <w:r>
              <w:rPr>
                <w:rFonts w:ascii="휴먼명조" w:eastAsia="휴먼명조" w:hAnsi="휴먼명조" w:cs="휴먼명조"/>
                <w:b w:val="0"/>
                <w:sz w:val="18"/>
                <w:w w:val="97"/>
              </w:rPr>
              <w:t>Validation, up to 500 samples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Direct comparison of absolute accuracy across phases is therefore invalid.</w:t>
      </w:r>
      <w:r>
        <w:rPr>
          <w:rFonts w:ascii="휴먼명조" w:eastAsia="휴먼명조" w:hAnsi="휴먼명조" w:cs="휴먼명조"/>
          <w:b w:val="0"/>
          <w:sz w:val="22"/>
          <w:w w:val="97"/>
        </w:rPr>
        <w:t xml:space="preserve"> The difference between the fine-tuned accuracy in Phase 2 (Qwen3-VL-2B, 0.5845) and the best val_accuracy in Phase 3 (0.4700), for example, does not represent a performance drop but arises from differences in training volume (500 vs 200 steps), evaluation dataset (mean of three vs PathVQA alone), and evaluation split. The discussion below cross-references only </w:t>
      </w:r>
      <w:r>
        <w:rPr>
          <w:rFonts w:ascii="휴먼명조" w:eastAsia="휴먼명조" w:hAnsi="휴먼명조" w:cs="휴먼명조"/>
          <w:b/>
          <w:sz w:val="22"/>
          <w:w w:val="97"/>
        </w:rPr>
        <w:t>the rankings, patterns, and directions of gaps observed within each phase</w:t>
      </w:r>
      <w:r>
        <w:rPr>
          <w:rFonts w:ascii="휴먼명조" w:eastAsia="휴먼명조" w:hAnsi="휴먼명조" w:cs="휴먼명조"/>
          <w:b w:val="0"/>
          <w:sz w:val="22"/>
          <w:w w:val="97"/>
        </w:rPr>
        <w:t>, not absolute figures.</w:t>
      </w:r>
    </w:p>
    <w:p>
      <w:pPr>
        <w:spacing w:line="384" w:lineRule="auto" w:after="0"/>
        <w:jc w:val="left"/>
        <w:outlineLvl w:val="2"/>
      </w:pPr>
      <w:r>
        <w:rPr>
          <w:rFonts w:ascii="휴먼명조" w:eastAsia="휴먼명조" w:hAnsi="휴먼명조" w:cs="휴먼명조"/>
          <w:b/>
          <w:sz w:val="22"/>
          <w:w w:val="97"/>
        </w:rPr>
        <w:t>4.4.2 The Non-Monotonic Relationship between Inference Resource Consumption and Performance</w:t>
      </w:r>
    </w:p>
    <w:p>
      <w:pPr>
        <w:spacing w:line="384" w:lineRule="auto" w:after="0"/>
        <w:ind w:firstLine="220"/>
        <w:jc w:val="both"/>
      </w:pPr>
      <w:r>
        <w:rPr>
          <w:rFonts w:ascii="휴먼명조" w:eastAsia="휴먼명조" w:hAnsi="휴먼명조" w:cs="휴먼명조"/>
          <w:b w:val="0"/>
          <w:sz w:val="22"/>
          <w:w w:val="97"/>
        </w:rPr>
        <w:t xml:space="preserve">The most practical implication of Phase 1 is that </w:t>
      </w:r>
      <w:r>
        <w:rPr>
          <w:rFonts w:ascii="휴먼명조" w:eastAsia="휴먼명조" w:hAnsi="휴먼명조" w:cs="휴먼명조"/>
          <w:b/>
          <w:sz w:val="22"/>
          <w:w w:val="97"/>
        </w:rPr>
        <w:t>resource consumption at inference and performance are not monotonically related</w:t>
      </w:r>
      <w:r>
        <w:rPr>
          <w:rFonts w:ascii="휴먼명조" w:eastAsia="휴먼명조" w:hAnsi="휴먼명조" w:cs="휴먼명조"/>
          <w:b w:val="0"/>
          <w:sz w:val="22"/>
          <w:w w:val="97"/>
        </w:rPr>
        <w:t>.</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Pooled Acc (rank)</w:t>
            </w:r>
          </w:p>
        </w:tc>
        <w:tc>
          <w:tcPr>
            <w:tcW w:type="dxa" w:w="1859"/>
          </w:tcPr>
          <w:p>
            <w:pPr>
              <w:spacing w:line="240" w:lineRule="auto"/>
              <w:jc w:val="center"/>
            </w:pPr>
            <w:r/>
            <w:r>
              <w:rPr>
                <w:rFonts w:ascii="휴먼명조" w:eastAsia="휴먼명조" w:hAnsi="휴먼명조" w:cs="휴먼명조"/>
                <w:b/>
                <w:sz w:val="18"/>
                <w:w w:val="97"/>
              </w:rPr>
              <w:t>Active / total parameters</w:t>
            </w:r>
          </w:p>
        </w:tc>
        <w:tc>
          <w:tcPr>
            <w:tcW w:type="dxa" w:w="1859"/>
          </w:tcPr>
          <w:p>
            <w:pPr>
              <w:spacing w:line="240" w:lineRule="auto"/>
              <w:jc w:val="center"/>
            </w:pPr>
            <w:r/>
            <w:r>
              <w:rPr>
                <w:rFonts w:ascii="휴먼명조" w:eastAsia="휴먼명조" w:hAnsi="휴먼명조" w:cs="휴먼명조"/>
                <w:b/>
                <w:sz w:val="18"/>
                <w:w w:val="97"/>
              </w:rPr>
              <w:t>Peak VRAM</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0.3843 (1st)</w:t>
            </w:r>
          </w:p>
        </w:tc>
        <w:tc>
          <w:tcPr>
            <w:tcW w:type="dxa" w:w="1859"/>
          </w:tcPr>
          <w:p>
            <w:pPr>
              <w:spacing w:line="240" w:lineRule="auto"/>
              <w:jc w:val="center"/>
            </w:pPr>
            <w:r/>
            <w:r>
              <w:rPr>
                <w:rFonts w:ascii="휴먼명조" w:eastAsia="휴먼명조" w:hAnsi="휴먼명조" w:cs="휴먼명조"/>
                <w:b w:val="0"/>
                <w:sz w:val="18"/>
                <w:w w:val="97"/>
              </w:rPr>
              <w:t>2B / 2B</w:t>
            </w:r>
          </w:p>
        </w:tc>
        <w:tc>
          <w:tcPr>
            <w:tcW w:type="dxa" w:w="1859"/>
          </w:tcPr>
          <w:p>
            <w:pPr>
              <w:spacing w:line="240" w:lineRule="auto"/>
              <w:jc w:val="center"/>
            </w:pPr>
            <w:r/>
            <w:r>
              <w:rPr>
                <w:rFonts w:ascii="휴먼명조" w:eastAsia="휴먼명조" w:hAnsi="휴먼명조" w:cs="휴먼명조"/>
                <w:b w:val="0"/>
                <w:sz w:val="18"/>
                <w:w w:val="97"/>
              </w:rPr>
              <w:t>~4,500 MB (lowest)</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0.3637 (2nd)</w:t>
            </w:r>
          </w:p>
        </w:tc>
        <w:tc>
          <w:tcPr>
            <w:tcW w:type="dxa" w:w="1859"/>
          </w:tcPr>
          <w:p>
            <w:pPr>
              <w:spacing w:line="240" w:lineRule="auto"/>
              <w:jc w:val="center"/>
            </w:pPr>
            <w:r/>
            <w:r>
              <w:rPr>
                <w:rFonts w:ascii="휴먼명조" w:eastAsia="휴먼명조" w:hAnsi="휴먼명조" w:cs="휴먼명조"/>
                <w:b w:val="0"/>
                <w:sz w:val="18"/>
                <w:w w:val="97"/>
              </w:rPr>
              <w:t>3B / 3B</w:t>
            </w:r>
          </w:p>
        </w:tc>
        <w:tc>
          <w:tcPr>
            <w:tcW w:type="dxa" w:w="1859"/>
          </w:tcPr>
          <w:p>
            <w:pPr>
              <w:spacing w:line="240" w:lineRule="auto"/>
              <w:jc w:val="center"/>
            </w:pPr>
            <w:r/>
            <w:r>
              <w:rPr>
                <w:rFonts w:ascii="휴먼명조" w:eastAsia="휴먼명조" w:hAnsi="휴먼명조" w:cs="휴먼명조"/>
                <w:b w:val="0"/>
                <w:sz w:val="18"/>
                <w:w w:val="97"/>
              </w:rPr>
              <w:t>~7,580 MB</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0.3391 (3rd)</w:t>
            </w:r>
          </w:p>
        </w:tc>
        <w:tc>
          <w:tcPr>
            <w:tcW w:type="dxa" w:w="1859"/>
          </w:tcPr>
          <w:p>
            <w:pPr>
              <w:spacing w:line="240" w:lineRule="auto"/>
              <w:jc w:val="center"/>
            </w:pPr>
            <w:r/>
            <w:r>
              <w:rPr>
                <w:rFonts w:ascii="휴먼명조" w:eastAsia="휴먼명조" w:hAnsi="휴먼명조" w:cs="휴먼명조"/>
                <w:b w:val="0"/>
                <w:sz w:val="18"/>
                <w:w w:val="97"/>
              </w:rPr>
              <w:t>2.2B / 2.2B</w:t>
            </w:r>
          </w:p>
        </w:tc>
        <w:tc>
          <w:tcPr>
            <w:tcW w:type="dxa" w:w="1859"/>
          </w:tcPr>
          <w:p>
            <w:pPr>
              <w:spacing w:line="240" w:lineRule="auto"/>
              <w:jc w:val="center"/>
            </w:pPr>
            <w:r/>
            <w:r>
              <w:rPr>
                <w:rFonts w:ascii="휴먼명조" w:eastAsia="휴먼명조" w:hAnsi="휴먼명조" w:cs="휴먼명조"/>
                <w:b w:val="0"/>
                <w:sz w:val="18"/>
                <w:w w:val="97"/>
              </w:rPr>
              <w:t>~6,000 MB</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0.1708 (4th)</w:t>
            </w:r>
          </w:p>
        </w:tc>
        <w:tc>
          <w:tcPr>
            <w:tcW w:type="dxa" w:w="1859"/>
          </w:tcPr>
          <w:p>
            <w:pPr>
              <w:spacing w:line="240" w:lineRule="auto"/>
              <w:jc w:val="center"/>
            </w:pPr>
            <w:r/>
            <w:r>
              <w:rPr>
                <w:rFonts w:ascii="휴먼명조" w:eastAsia="휴먼명조" w:hAnsi="휴먼명조" w:cs="휴먼명조"/>
                <w:b w:val="0"/>
                <w:sz w:val="18"/>
                <w:w w:val="97"/>
              </w:rPr>
              <w:t xml:space="preserve">2.3B / </w:t>
            </w:r>
            <w:r>
              <w:rPr>
                <w:rFonts w:ascii="휴먼명조" w:eastAsia="휴먼명조" w:hAnsi="휴먼명조" w:cs="휴먼명조"/>
                <w:b/>
                <w:sz w:val="18"/>
                <w:w w:val="97"/>
              </w:rPr>
              <w:t>5.1B (MoE)</w:t>
            </w:r>
          </w:p>
        </w:tc>
        <w:tc>
          <w:tcPr>
            <w:tcW w:type="dxa" w:w="1859"/>
          </w:tcPr>
          <w:p>
            <w:pPr>
              <w:spacing w:line="240" w:lineRule="auto"/>
              <w:jc w:val="center"/>
            </w:pPr>
            <w:r/>
            <w:r>
              <w:rPr>
                <w:rFonts w:ascii="휴먼명조" w:eastAsia="휴먼명조" w:hAnsi="휴먼명조" w:cs="휴먼명조"/>
                <w:b w:val="0"/>
                <w:sz w:val="18"/>
                <w:w w:val="97"/>
              </w:rPr>
              <w:t>~13,930 MB (highest)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The best-performing model (Qwen3-VL-2B) simultaneously uses the least memory and responds fastest</w:t>
      </w:r>
      <w:r>
        <w:rPr>
          <w:rFonts w:ascii="휴먼명조" w:eastAsia="휴먼명조" w:hAnsi="휴먼명조" w:cs="휴먼명조"/>
          <w:b w:val="0"/>
          <w:sz w:val="22"/>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pPr>
        <w:spacing w:line="384" w:lineRule="auto" w:after="0"/>
        <w:ind w:firstLine="220"/>
        <w:jc w:val="both"/>
      </w:pPr>
      <w:r>
        <w:rPr>
          <w:rFonts w:ascii="휴먼명조" w:eastAsia="휴먼명조" w:hAnsi="휴먼명조" w:cs="휴먼명조"/>
          <w:b/>
          <w:sz w:val="22"/>
          <w:w w:val="97"/>
        </w:rPr>
        <w:t>The axis of interpretation must, however, be made explicit.</w:t>
      </w:r>
      <w:r>
        <w:rPr>
          <w:rFonts w:ascii="휴먼명조" w:eastAsia="휴먼명조" w:hAnsi="휴먼명조" w:cs="휴먼명조"/>
          <w:b w:val="0"/>
          <w:sz w:val="22"/>
          <w:w w:val="97"/>
        </w:rPr>
        <w:t xml:space="preserve"> Of the four 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sz w:val="22"/>
          <w:w w:val="97"/>
        </w:rPr>
        <w:t>active parameters</w:t>
      </w:r>
      <w:r>
        <w:rPr>
          <w:rFonts w:ascii="휴먼명조" w:eastAsia="휴먼명조" w:hAnsi="휴먼명조" w:cs="휴먼명조"/>
          <w:b w:val="0"/>
          <w:sz w:val="22"/>
          <w:w w:val="97"/>
        </w:rPr>
        <w:t xml:space="preserve"> as its criterion, in line with the objective of feasibility on consumer GPUs, and the discussion above holds on that criterion. </w:t>
      </w:r>
      <w:r>
        <w:rPr>
          <w:rFonts w:ascii="휴먼명조" w:eastAsia="휴먼명조" w:hAnsi="휴먼명조" w:cs="휴먼명조"/>
          <w:b/>
          <w:sz w:val="22"/>
          <w:w w:val="97"/>
        </w:rPr>
        <w:t>Measured by stored parameters, however, Gemma4-E2B is the largest model</w:t>
      </w:r>
      <w:r>
        <w:rPr>
          <w:rFonts w:ascii="휴먼명조" w:eastAsia="휴먼명조" w:hAnsi="휴먼명조" w:cs="휴먼명조"/>
          <w:b w:val="0"/>
          <w:sz w:val="22"/>
          <w:w w:val="97"/>
        </w:rPr>
        <w:t>, so its last-place performance may equally be read as "the model with the largest stored scale ranked last" rather than "a small model beat a large one." The conclusion of this section therefore concerns *performance relative to inference-time resource consumption* and must not be extended to a general relationship between parameter scale as such and performance (Section 5.3(11)).</w:t>
      </w:r>
    </w:p>
    <w:p>
      <w:pPr>
        <w:spacing w:line="384" w:lineRule="auto" w:after="0"/>
        <w:ind w:firstLine="220"/>
        <w:jc w:val="both"/>
      </w:pPr>
      <w:r>
        <w:rPr>
          <w:rFonts w:ascii="휴먼명조" w:eastAsia="휴먼명조" w:hAnsi="휴먼명조" w:cs="휴먼명조"/>
          <w:b w:val="0"/>
          <w:sz w:val="22"/>
          <w:w w:val="97"/>
        </w:rPr>
        <w:t>Because the ranking was preserved after removing samples suspected of pretraining exposure in the Phase 1.5 contamination-robustness verification (Section 4.1.1), this conclusion is not explained by data contamination.</w:t>
      </w:r>
    </w:p>
    <w:p>
      <w:pPr>
        <w:spacing w:line="384" w:lineRule="auto" w:after="0"/>
        <w:jc w:val="left"/>
        <w:outlineLvl w:val="2"/>
      </w:pPr>
      <w:r>
        <w:rPr>
          <w:rFonts w:ascii="휴먼명조" w:eastAsia="휴먼명조" w:hAnsi="휴먼명조" w:cs="휴먼명조"/>
          <w:b/>
          <w:sz w:val="22"/>
          <w:w w:val="97"/>
        </w:rPr>
        <w:t>4.4.3 Heterogeneity of Fine-Tuning Effects and the Primacy of Model Selection</w:t>
      </w:r>
    </w:p>
    <w:p>
      <w:pPr>
        <w:spacing w:line="384" w:lineRule="auto" w:after="0"/>
        <w:ind w:firstLine="220"/>
        <w:jc w:val="both"/>
      </w:pPr>
      <w:r>
        <w:rPr>
          <w:rFonts w:ascii="휴먼명조" w:eastAsia="휴먼명조" w:hAnsi="휴먼명조" w:cs="휴먼명조"/>
          <w:b w:val="0"/>
          <w:sz w:val="22"/>
          <w:w w:val="97"/>
        </w:rPr>
        <w:t xml:space="preserve">The most important finding of Phase 2 is that </w:t>
      </w:r>
      <w:r>
        <w:rPr>
          <w:rFonts w:ascii="휴먼명조" w:eastAsia="휴먼명조" w:hAnsi="휴먼명조" w:cs="휴먼명조"/>
          <w:b/>
          <w:sz w:val="22"/>
          <w:w w:val="97"/>
        </w:rPr>
        <w:t>the proposition "fine-tuning improves performance" does not hold independently of the model</w:t>
      </w:r>
      <w:r>
        <w:rPr>
          <w:rFonts w:ascii="휴먼명조" w:eastAsia="휴먼명조" w:hAnsi="휴먼명조" w:cs="휴먼명조"/>
          <w:b w:val="0"/>
          <w:sz w:val="22"/>
          <w:w w:val="97"/>
        </w:rPr>
        <w:t xml:space="preserve"> (Section 4.2.1). Notably, its direction coincides with the zero-shot ranking of Phase 1.</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Model</w:t>
            </w:r>
          </w:p>
        </w:tc>
        <w:tc>
          <w:tcPr>
            <w:tcW w:type="dxa" w:w="2479"/>
          </w:tcPr>
          <w:p>
            <w:pPr>
              <w:spacing w:line="240" w:lineRule="auto"/>
              <w:jc w:val="center"/>
            </w:pPr>
            <w:r/>
            <w:r>
              <w:rPr>
                <w:rFonts w:ascii="휴먼명조" w:eastAsia="휴먼명조" w:hAnsi="휴먼명조" w:cs="휴먼명조"/>
                <w:b/>
                <w:sz w:val="18"/>
                <w:w w:val="97"/>
              </w:rPr>
              <w:t>Phase 1 rank</w:t>
            </w:r>
          </w:p>
        </w:tc>
        <w:tc>
          <w:tcPr>
            <w:tcW w:type="dxa" w:w="2479"/>
          </w:tcPr>
          <w:p>
            <w:pPr>
              <w:spacing w:line="240" w:lineRule="auto"/>
              <w:jc w:val="center"/>
            </w:pPr>
            <w:r/>
            <w:r>
              <w:rPr>
                <w:rFonts w:ascii="휴먼명조" w:eastAsia="휴먼명조" w:hAnsi="휴먼명조" w:cs="휴먼명조"/>
                <w:b/>
                <w:sz w:val="18"/>
                <w:w w:val="97"/>
              </w:rPr>
              <w:t>Phase 2 fine-tuning effect (Cohen's d)</w:t>
            </w:r>
          </w:p>
        </w:tc>
      </w:tr>
      <w:tr>
        <w:tc>
          <w:tcPr>
            <w:tcW w:type="dxa" w:w="2479"/>
          </w:tcPr>
          <w:p>
            <w:pPr>
              <w:spacing w:line="240" w:lineRule="auto"/>
              <w:jc w:val="center"/>
            </w:pPr>
            <w:r/>
            <w:r>
              <w:rPr>
                <w:rFonts w:ascii="휴먼명조" w:eastAsia="휴먼명조" w:hAnsi="휴먼명조" w:cs="휴먼명조"/>
                <w:b w:val="0"/>
                <w:sz w:val="18"/>
                <w:w w:val="97"/>
              </w:rPr>
              <w:t>Qwen3-VL-2B</w:t>
            </w:r>
          </w:p>
        </w:tc>
        <w:tc>
          <w:tcPr>
            <w:tcW w:type="dxa" w:w="2479"/>
          </w:tcPr>
          <w:p>
            <w:pPr>
              <w:spacing w:line="240" w:lineRule="auto"/>
              <w:jc w:val="center"/>
            </w:pPr>
            <w:r/>
            <w:r>
              <w:rPr>
                <w:rFonts w:ascii="휴먼명조" w:eastAsia="휴먼명조" w:hAnsi="휴먼명조" w:cs="휴먼명조"/>
                <w:b w:val="0"/>
                <w:sz w:val="18"/>
                <w:w w:val="97"/>
              </w:rPr>
              <w:t>1st</w:t>
            </w:r>
          </w:p>
        </w:tc>
        <w:tc>
          <w:tcPr>
            <w:tcW w:type="dxa" w:w="2479"/>
          </w:tcPr>
          <w:p>
            <w:pPr>
              <w:spacing w:line="240" w:lineRule="auto"/>
              <w:jc w:val="center"/>
            </w:pPr>
            <w:r/>
            <w:r>
              <w:rPr>
                <w:rFonts w:ascii="휴먼명조" w:eastAsia="휴먼명조" w:hAnsi="휴먼명조" w:cs="휴먼명조"/>
                <w:b w:val="0"/>
                <w:sz w:val="18"/>
                <w:w w:val="97"/>
              </w:rPr>
              <w:t>+1.620 (significant)</w:t>
            </w:r>
          </w:p>
        </w:tc>
      </w:tr>
      <w:tr>
        <w:tc>
          <w:tcPr>
            <w:tcW w:type="dxa" w:w="2479"/>
          </w:tcPr>
          <w:p>
            <w:pPr>
              <w:spacing w:line="240" w:lineRule="auto"/>
              <w:jc w:val="center"/>
            </w:pPr>
            <w:r/>
            <w:r>
              <w:rPr>
                <w:rFonts w:ascii="휴먼명조" w:eastAsia="휴먼명조" w:hAnsi="휴먼명조" w:cs="휴먼명조"/>
                <w:b w:val="0"/>
                <w:sz w:val="18"/>
                <w:w w:val="97"/>
              </w:rPr>
              <w:t>Qwen2.5-VL-3B</w:t>
            </w:r>
          </w:p>
        </w:tc>
        <w:tc>
          <w:tcPr>
            <w:tcW w:type="dxa" w:w="2479"/>
          </w:tcPr>
          <w:p>
            <w:pPr>
              <w:spacing w:line="240" w:lineRule="auto"/>
              <w:jc w:val="center"/>
            </w:pPr>
            <w:r/>
            <w:r>
              <w:rPr>
                <w:rFonts w:ascii="휴먼명조" w:eastAsia="휴먼명조" w:hAnsi="휴먼명조" w:cs="휴먼명조"/>
                <w:b w:val="0"/>
                <w:sz w:val="18"/>
                <w:w w:val="97"/>
              </w:rPr>
              <w:t>2nd</w:t>
            </w:r>
          </w:p>
        </w:tc>
        <w:tc>
          <w:tcPr>
            <w:tcW w:type="dxa" w:w="2479"/>
          </w:tcPr>
          <w:p>
            <w:pPr>
              <w:spacing w:line="240" w:lineRule="auto"/>
              <w:jc w:val="center"/>
            </w:pPr>
            <w:r/>
            <w:r>
              <w:rPr>
                <w:rFonts w:ascii="휴먼명조" w:eastAsia="휴먼명조" w:hAnsi="휴먼명조" w:cs="휴먼명조"/>
                <w:b w:val="0"/>
                <w:sz w:val="18"/>
                <w:w w:val="97"/>
              </w:rPr>
              <w:t>+2.646 (significant)</w:t>
            </w:r>
          </w:p>
        </w:tc>
      </w:tr>
      <w:tr>
        <w:tc>
          <w:tcPr>
            <w:tcW w:type="dxa" w:w="2479"/>
          </w:tcPr>
          <w:p>
            <w:pPr>
              <w:spacing w:line="240" w:lineRule="auto"/>
              <w:jc w:val="center"/>
            </w:pPr>
            <w:r/>
            <w:r>
              <w:rPr>
                <w:rFonts w:ascii="휴먼명조" w:eastAsia="휴먼명조" w:hAnsi="휴먼명조" w:cs="휴먼명조"/>
                <w:b w:val="0"/>
                <w:sz w:val="18"/>
                <w:w w:val="97"/>
              </w:rPr>
              <w:t>SmolVLM2-2.2B</w:t>
            </w:r>
          </w:p>
        </w:tc>
        <w:tc>
          <w:tcPr>
            <w:tcW w:type="dxa" w:w="2479"/>
          </w:tcPr>
          <w:p>
            <w:pPr>
              <w:spacing w:line="240" w:lineRule="auto"/>
              <w:jc w:val="center"/>
            </w:pPr>
            <w:r/>
            <w:r>
              <w:rPr>
                <w:rFonts w:ascii="휴먼명조" w:eastAsia="휴먼명조" w:hAnsi="휴먼명조" w:cs="휴먼명조"/>
                <w:b w:val="0"/>
                <w:sz w:val="18"/>
                <w:w w:val="97"/>
              </w:rPr>
              <w:t>3rd</w:t>
            </w:r>
          </w:p>
        </w:tc>
        <w:tc>
          <w:tcPr>
            <w:tcW w:type="dxa" w:w="2479"/>
          </w:tcPr>
          <w:p>
            <w:pPr>
              <w:spacing w:line="240" w:lineRule="auto"/>
              <w:jc w:val="center"/>
            </w:pPr>
            <w:r/>
            <w:r>
              <w:rPr>
                <w:rFonts w:ascii="휴먼명조" w:eastAsia="휴먼명조" w:hAnsi="휴먼명조" w:cs="휴먼명조"/>
                <w:b w:val="0"/>
                <w:sz w:val="18"/>
                <w:w w:val="97"/>
              </w:rPr>
              <w:t>-2.284 (significant, deterioration)</w:t>
            </w:r>
          </w:p>
        </w:tc>
      </w:tr>
      <w:tr>
        <w:tc>
          <w:tcPr>
            <w:tcW w:type="dxa" w:w="2479"/>
          </w:tcPr>
          <w:p>
            <w:pPr>
              <w:spacing w:line="240" w:lineRule="auto"/>
              <w:jc w:val="center"/>
            </w:pPr>
            <w:r/>
            <w:r>
              <w:rPr>
                <w:rFonts w:ascii="휴먼명조" w:eastAsia="휴먼명조" w:hAnsi="휴먼명조" w:cs="휴먼명조"/>
                <w:b w:val="0"/>
                <w:sz w:val="18"/>
                <w:w w:val="97"/>
              </w:rPr>
              <w:t>Gemma4-E2B</w:t>
            </w:r>
          </w:p>
        </w:tc>
        <w:tc>
          <w:tcPr>
            <w:tcW w:type="dxa" w:w="2479"/>
          </w:tcPr>
          <w:p>
            <w:pPr>
              <w:spacing w:line="240" w:lineRule="auto"/>
              <w:jc w:val="center"/>
            </w:pPr>
            <w:r/>
            <w:r>
              <w:rPr>
                <w:rFonts w:ascii="휴먼명조" w:eastAsia="휴먼명조" w:hAnsi="휴먼명조" w:cs="휴먼명조"/>
                <w:b w:val="0"/>
                <w:sz w:val="18"/>
                <w:w w:val="97"/>
              </w:rPr>
              <w:t>4th</w:t>
            </w:r>
          </w:p>
        </w:tc>
        <w:tc>
          <w:tcPr>
            <w:tcW w:type="dxa" w:w="2479"/>
          </w:tcPr>
          <w:p>
            <w:pPr>
              <w:spacing w:line="240" w:lineRule="auto"/>
              <w:jc w:val="center"/>
            </w:pPr>
            <w:r/>
            <w:r>
              <w:rPr>
                <w:rFonts w:ascii="휴먼명조" w:eastAsia="휴먼명조" w:hAnsi="휴먼명조" w:cs="휴먼명조"/>
                <w:b w:val="0"/>
                <w:sz w:val="18"/>
                <w:w w:val="97"/>
              </w:rPr>
              <w:t>-0.652 (not significant)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top two models in zero-shot terms improved significantly under fine-tuning, whereas </w:t>
      </w:r>
      <w:r>
        <w:rPr>
          <w:rFonts w:ascii="휴먼명조" w:eastAsia="휴먼명조" w:hAnsi="휴먼명조" w:cs="휴먼명조"/>
          <w:b/>
          <w:sz w:val="22"/>
          <w:w w:val="97"/>
        </w:rPr>
        <w:t>the bottom two either failed to improve or deteriorated</w:t>
      </w:r>
      <w:r>
        <w:rPr>
          <w:rFonts w:ascii="휴먼명조" w:eastAsia="휴먼명조" w:hAnsi="휴먼명조" w:cs="휴먼명조"/>
          <w:b w:val="0"/>
          <w:sz w:val="22"/>
          <w:w w:val="97"/>
        </w:rPr>
        <w:t xml:space="preserve">. This means fine-tuning did not function as a means of lifting a weak base model, and in practical terms suggests that </w:t>
      </w:r>
      <w:r>
        <w:rPr>
          <w:rFonts w:ascii="휴먼명조" w:eastAsia="휴먼명조" w:hAnsi="휴먼명조" w:cs="휴먼명조"/>
          <w:b/>
          <w:sz w:val="22"/>
          <w:w w:val="97"/>
        </w:rPr>
        <w:t>base-model selection is a decision that precedes fine-tuning design</w:t>
      </w:r>
      <w:r>
        <w:rPr>
          <w:rFonts w:ascii="휴먼명조" w:eastAsia="휴먼명조" w:hAnsi="휴먼명조" w:cs="휴먼명조"/>
          <w:b w:val="0"/>
          <w:sz w:val="22"/>
          <w:w w:val="97"/>
        </w:rPr>
        <w:t>. Since this study covered only four models, however, whether this correspondence is a general law remains unconfirmed.</w:t>
      </w:r>
    </w:p>
    <w:p>
      <w:pPr>
        <w:spacing w:line="384" w:lineRule="auto" w:after="0"/>
        <w:ind w:firstLine="220"/>
        <w:jc w:val="both"/>
      </w:pPr>
      <w:r>
        <w:rPr>
          <w:rFonts w:ascii="휴먼명조" w:eastAsia="휴먼명조" w:hAnsi="휴먼명조" w:cs="휴먼명조"/>
          <w:b w:val="0"/>
          <w:sz w:val="22"/>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sz w:val="22"/>
          <w:w w:val="97"/>
        </w:rPr>
        <w:t>Domain specialization and preservation of general capability were not achieved simultaneously within the scope of this experiment.</w:t>
      </w:r>
      <w:r>
        <w:rPr>
          <w:rFonts w:ascii="휴먼명조" w:eastAsia="휴먼명조" w:hAnsi="휴먼명조" w:cs="휴먼명조"/>
          <w:b w:val="0"/>
          <w:sz w:val="22"/>
          <w:w w:val="97"/>
        </w:rPr>
        <w:t xml:space="preserve"> As already stated in Section 4.2.5, this is an observed correlation and no causal relationship was verified.</w:t>
      </w:r>
    </w:p>
    <w:p>
      <w:pPr>
        <w:spacing w:line="384" w:lineRule="auto" w:after="0"/>
        <w:jc w:val="left"/>
        <w:outlineLvl w:val="2"/>
      </w:pPr>
      <w:r>
        <w:rPr>
          <w:rFonts w:ascii="휴먼명조" w:eastAsia="휴먼명조" w:hAnsi="휴먼명조" w:cs="휴먼명조"/>
          <w:b/>
          <w:sz w:val="22"/>
          <w:w w:val="97"/>
        </w:rPr>
        <w:t>4.4.4 The Closed-Open Gap: A Constraint Unresolved across All Three Phases</w:t>
      </w:r>
    </w:p>
    <w:p>
      <w:pPr>
        <w:spacing w:line="384" w:lineRule="auto" w:after="0"/>
        <w:ind w:firstLine="220"/>
        <w:jc w:val="both"/>
      </w:pPr>
      <w:r>
        <w:rPr>
          <w:rFonts w:ascii="휴먼명조" w:eastAsia="휴먼명조" w:hAnsi="휴먼명조" w:cs="휴먼명조"/>
          <w:b w:val="0"/>
          <w:sz w:val="22"/>
          <w:w w:val="97"/>
        </w:rPr>
        <w:t xml:space="preserve">The most substantive limitation identified by this study concerns </w:t>
      </w:r>
      <w:r>
        <w:rPr>
          <w:rFonts w:ascii="휴먼명조" w:eastAsia="휴먼명조" w:hAnsi="휴먼명조" w:cs="휴먼명조"/>
          <w:b/>
          <w:sz w:val="22"/>
          <w:w w:val="97"/>
        </w:rPr>
        <w:t>open-ended response performance</w:t>
      </w:r>
      <w:r>
        <w:rPr>
          <w:rFonts w:ascii="휴먼명조" w:eastAsia="휴먼명조" w:hAnsi="휴먼명조" w:cs="휴먼명조"/>
          <w:b w:val="0"/>
          <w:sz w:val="22"/>
          <w:w w:val="97"/>
        </w:rPr>
        <w:t>. The gap is observed consistently in all three phases.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1 (zero-shot)</w:t>
      </w:r>
      <w:r>
        <w:rPr>
          <w:rFonts w:ascii="휴먼명조" w:eastAsia="휴먼명조" w:hAnsi="휴먼명조" w:cs="휴먼명조"/>
          <w:b w:val="0"/>
          <w:sz w:val="22"/>
          <w:w w:val="97"/>
        </w:rPr>
        <w:t xml:space="preserve">: PathVQA open accuracy was 0.027-0.061 across all models, more than an order of magnitude below closed accuracy (0.45-0.79). By question type, </w:t>
      </w:r>
      <w:r>
        <w:rPr>
          <w:rFonts w:ascii="휴먼명조" w:eastAsia="휴먼명조" w:hAnsi="휴먼명조" w:cs="휴먼명조"/>
          <w:b/>
          <w:sz w:val="22"/>
          <w:w w:val="97"/>
        </w:rPr>
        <w:t>all four models scored 0.0000 on the diagnosis and temporal types</w:t>
      </w:r>
      <w:r>
        <w:rPr>
          <w:rFonts w:ascii="휴먼명조" w:eastAsia="휴먼명조" w:hAnsi="휴먼명조" w:cs="휴먼명조"/>
          <w:b w:val="0"/>
          <w:sz w:val="22"/>
          <w:w w:val="97"/>
        </w:rPr>
        <w:t xml:space="preserve"> (Section 4.1.3).</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 (fine-tuning + optimal HPO configuration)</w:t>
      </w:r>
      <w:r>
        <w:rPr>
          <w:rFonts w:ascii="휴먼명조" w:eastAsia="휴먼명조" w:hAnsi="휴먼명조" w:cs="휴먼명조"/>
          <w:b w:val="0"/>
          <w:sz w:val="22"/>
          <w:w w:val="97"/>
        </w:rPr>
        <w:t xml:space="preserve">: even the best configuration among 610 trials reached only </w:t>
      </w:r>
      <w:r>
        <w:rPr>
          <w:rFonts w:ascii="휴먼명조" w:eastAsia="휴먼명조" w:hAnsi="휴먼명조" w:cs="휴먼명조"/>
          <w:b/>
          <w:sz w:val="22"/>
          <w:w w:val="97"/>
        </w:rPr>
        <w:t>val_open_acc 0.1445</w:t>
      </w:r>
      <w:r>
        <w:rPr>
          <w:rFonts w:ascii="휴먼명조" w:eastAsia="휴먼명조" w:hAnsi="휴먼명조" w:cs="휴먼명조"/>
          <w:b w:val="0"/>
          <w:sz w:val="22"/>
          <w:w w:val="97"/>
        </w:rPr>
        <w:t xml:space="preserve"> against val_closed_acc 0.8115.</w:t>
      </w:r>
    </w:p>
    <w:p>
      <w:pPr>
        <w:spacing w:line="384" w:lineRule="auto" w:after="0"/>
        <w:ind w:firstLine="220"/>
        <w:jc w:val="both"/>
      </w:pPr>
      <w:r>
        <w:rPr>
          <w:rFonts w:ascii="휴먼명조" w:eastAsia="휴먼명조" w:hAnsi="휴먼명조" w:cs="휴먼명조"/>
          <w:b w:val="0"/>
          <w:sz w:val="22"/>
          <w:w w:val="97"/>
        </w:rPr>
        <w:t xml:space="preserve">As stated in Section 4.4.1, the absolute values of the two phases cannot be compared directly. Yet </w:t>
      </w:r>
      <w:r>
        <w:rPr>
          <w:rFonts w:ascii="휴먼명조" w:eastAsia="휴먼명조" w:hAnsi="휴먼명조" w:cs="휴먼명조"/>
          <w:b/>
          <w:sz w:val="22"/>
          <w:w w:val="97"/>
        </w:rPr>
        <w:t>the ratio relationship — open below 20% of closed — holds in every phase</w:t>
      </w:r>
      <w:r>
        <w:rPr>
          <w:rFonts w:ascii="휴먼명조" w:eastAsia="휴먼명조" w:hAnsi="휴먼명조" w:cs="휴먼명조"/>
          <w:b w:val="0"/>
          <w:sz w:val="22"/>
          <w:w w:val="97"/>
        </w:rPr>
        <w:t xml:space="preserve"> (about 9.5% for Qwen3-VL-2B on PathVQA in Phase 1, about 17.8% for the best configuration in Phase 3). When both fine-tuning and hyperparameter optimization were brought to bear, closed accuracy rose from 0.63 to around 0.81, while open accuracy still did not exceed 0.15.</w:t>
      </w:r>
    </w:p>
    <w:p>
      <w:pPr>
        <w:spacing w:line="384" w:lineRule="auto" w:after="0"/>
        <w:ind w:firstLine="220"/>
        <w:jc w:val="both"/>
      </w:pPr>
      <w:r>
        <w:rPr>
          <w:rFonts w:ascii="휴먼명조" w:eastAsia="휴먼명조" w:hAnsi="휴먼명조" w:cs="휴먼명조"/>
          <w:b w:val="0"/>
          <w:sz w:val="22"/>
          <w:w w:val="97"/>
        </w:rPr>
        <w:t xml:space="preserve">This matters because </w:t>
      </w:r>
      <w:r>
        <w:rPr>
          <w:rFonts w:ascii="휴먼명조" w:eastAsia="휴먼명조" w:hAnsi="휴먼명조" w:cs="휴먼명조"/>
          <w:b/>
          <w:sz w:val="22"/>
          <w:w w:val="97"/>
        </w:rPr>
        <w:t>the clinically important question types are concentrated in the open-ended category</w:t>
      </w:r>
      <w:r>
        <w:rPr>
          <w:rFonts w:ascii="휴먼명조" w:eastAsia="휴먼명조" w:hAnsi="휴먼명조" w:cs="휴먼명조"/>
          <w:b w:val="0"/>
          <w:sz w:val="22"/>
          <w:w w:val="97"/>
        </w:rPr>
        <w:t xml:space="preserve">.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 In other words, </w:t>
      </w:r>
      <w:r>
        <w:rPr>
          <w:rFonts w:ascii="휴먼명조" w:eastAsia="휴먼명조" w:hAnsi="휴먼명조" w:cs="휴먼명조"/>
          <w:b/>
          <w:sz w:val="22"/>
          <w:w w:val="97"/>
        </w:rPr>
        <w:t>a substantial part of the accuracy improvement achieved in this study may have occurred on types of relatively low clinical value</w:t>
      </w:r>
      <w:r>
        <w:rPr>
          <w:rFonts w:ascii="휴먼명조" w:eastAsia="휴먼명조" w:hAnsi="휴먼명조" w:cs="휴먼명조"/>
          <w:b w:val="0"/>
          <w:sz w:val="22"/>
          <w:w w:val="97"/>
        </w:rPr>
        <w:t>. Since Phase 3 used a single PathVQA validation condition and did not perform a type-level decomposition, however, precise verification of this interpretation remains future work (Sections 5.3, 5.4).</w:t>
      </w:r>
    </w:p>
    <w:p>
      <w:pPr>
        <w:spacing w:line="384" w:lineRule="auto" w:after="0"/>
        <w:jc w:val="left"/>
        <w:outlineLvl w:val="2"/>
      </w:pPr>
      <w:r>
        <w:rPr>
          <w:rFonts w:ascii="휴먼명조" w:eastAsia="휴먼명조" w:hAnsi="휴먼명조" w:cs="휴먼명조"/>
          <w:b/>
          <w:sz w:val="22"/>
          <w:w w:val="97"/>
        </w:rPr>
        <w:t>4.4.5 What Automated Search Reached, and the Limits of Autonomous Agents</w:t>
      </w:r>
    </w:p>
    <w:p>
      <w:pPr>
        <w:spacing w:line="384" w:lineRule="auto" w:after="0"/>
        <w:ind w:firstLine="220"/>
        <w:jc w:val="both"/>
      </w:pPr>
      <w:r>
        <w:rPr>
          <w:rFonts w:ascii="휴먼명조" w:eastAsia="휴먼명조" w:hAnsi="휴먼명조" w:cs="휴먼명조"/>
          <w:b w:val="0"/>
          <w:sz w:val="22"/>
          <w:w w:val="97"/>
        </w:rPr>
        <w:t xml:space="preserve">Phases 2 and 3 conducted hyperparameter search in entirely different ways and </w:t>
      </w:r>
      <w:r>
        <w:rPr>
          <w:rFonts w:ascii="휴먼명조" w:eastAsia="휴먼명조" w:hAnsi="휴먼명조" w:cs="휴먼명조"/>
          <w:b/>
          <w:sz w:val="22"/>
          <w:w w:val="97"/>
        </w:rPr>
        <w:t>arrived independently at the same region</w:t>
      </w:r>
      <w:r>
        <w:rPr>
          <w:rFonts w:ascii="휴먼명조" w:eastAsia="휴먼명조" w:hAnsi="휴먼명조" w:cs="휴먼명조"/>
          <w:b w:val="0"/>
          <w:sz w:val="22"/>
          <w:w w:val="97"/>
        </w:rPr>
        <w: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2 (manual ablation)</w:t>
      </w:r>
      <w:r>
        <w:rPr>
          <w:rFonts w:ascii="휴먼명조" w:eastAsia="휴먼명조" w:hAnsi="휴먼명조" w:cs="휴먼명조"/>
          <w:b w:val="0"/>
          <w:sz w:val="22"/>
          <w:w w:val="97"/>
        </w:rPr>
        <w:t>: one axis verified at a time with the others fixed → rank = 64, target = all-linear, ratio = 1.0 (Sections 4.2.2-4.2.4)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 (free search)</w:t>
      </w:r>
      <w:r>
        <w:rPr>
          <w:rFonts w:ascii="휴먼명조" w:eastAsia="휴먼명조" w:hAnsi="휴먼명조" w:cs="휴먼명조"/>
          <w:b w:val="0"/>
          <w:sz w:val="22"/>
          <w:w w:val="97"/>
        </w:rPr>
        <w:t xml:space="preserve">: the best configurations of all three strategies (Random, Optuna, Autoresearch) converged on </w:t>
      </w:r>
      <w:r>
        <w:rPr>
          <w:rFonts w:ascii="휴먼명조" w:eastAsia="휴먼명조" w:hAnsi="휴먼명조" w:cs="휴먼명조"/>
          <w:b/>
          <w:sz w:val="22"/>
          <w:w w:val="97"/>
        </w:rPr>
        <w:t>lora_targets=full with rank in the 32-64 region</w:t>
      </w:r>
      <w:r>
        <w:rPr>
          <w:rFonts w:ascii="휴먼명조" w:eastAsia="휴먼명조" w:hAnsi="휴먼명조" w:cs="휴먼명조"/>
          <w:b w:val="0"/>
          <w:sz w:val="22"/>
          <w:w w:val="97"/>
        </w:rPr>
        <w:t xml:space="preserve"> (Section 4.3.2)</w:t>
      </w:r>
    </w:p>
    <w:p>
      <w:pPr>
        <w:spacing w:line="384" w:lineRule="auto" w:after="0"/>
        <w:ind w:firstLine="220"/>
        <w:jc w:val="both"/>
      </w:pPr>
      <w:r>
        <w:rPr>
          <w:rFonts w:ascii="휴먼명조" w:eastAsia="휴먼명조" w:hAnsi="휴먼명조" w:cs="휴먼명조"/>
          <w:b w:val="0"/>
          <w:sz w:val="22"/>
          <w:w w:val="97"/>
        </w:rPr>
        <w:t>That two approaches with entirely different designs identified the same region raises confidence in the Phase 2 conclusion. In particular, the Phase 2 ablation had the limitation of verifying the three axes only independently, without validating the simultaneous combination of the three optima (Section 4.2.4); Phase 3's free search partially compensates for this limitation by actually exploring that combined region and reaching the same conclusion.</w:t>
      </w:r>
    </w:p>
    <w:p>
      <w:pPr>
        <w:spacing w:line="384" w:lineRule="auto" w:after="0"/>
        <w:ind w:firstLine="220"/>
        <w:jc w:val="both"/>
      </w:pPr>
      <w:r>
        <w:rPr>
          <w:rFonts w:ascii="휴먼명조" w:eastAsia="휴먼명조" w:hAnsi="휴먼명조" w:cs="휴먼명조"/>
          <w:b w:val="0"/>
          <w:sz w:val="22"/>
          <w:w w:val="97"/>
        </w:rPr>
        <w:t xml:space="preserve">There was, however, a clear boundary to the level of automation. </w:t>
      </w:r>
      <w:r>
        <w:rPr>
          <w:rFonts w:ascii="휴먼명조" w:eastAsia="휴먼명조" w:hAnsi="휴먼명조" w:cs="휴먼명조"/>
          <w:b/>
          <w:sz w:val="22"/>
          <w:w w:val="97"/>
        </w:rPr>
        <w:t>Automation of the search algorithm (TPE) surpassed manual configuration by a wide margin</w:t>
      </w:r>
      <w:r>
        <w:rPr>
          <w:rFonts w:ascii="휴먼명조" w:eastAsia="휴먼명조" w:hAnsi="휴먼명조" w:cs="휴먼명조"/>
          <w:b w:val="0"/>
          <w:sz w:val="22"/>
          <w:w w:val="97"/>
        </w:rPr>
        <w:t xml:space="preserve"> (0.4490 vs 0.3776), yet </w:t>
      </w:r>
      <w:r>
        <w:rPr>
          <w:rFonts w:ascii="휴먼명조" w:eastAsia="휴먼명조" w:hAnsi="휴먼명조" w:cs="휴먼명조"/>
          <w:b/>
          <w:sz w:val="22"/>
          <w:w w:val="97"/>
        </w:rPr>
        <w:t>the LLM agent's autonomous judgement fell significantly short of that algorithm</w:t>
      </w:r>
      <w:r>
        <w:rPr>
          <w:rFonts w:ascii="휴먼명조" w:eastAsia="휴먼명조" w:hAnsi="휴먼명조" w:cs="휴먼명조"/>
          <w:b w:val="0"/>
          <w:sz w:val="22"/>
          <w:w w:val="97"/>
        </w:rPr>
        <w:t xml:space="preserve"> (Section 4.3.1). The cause identified in Section 4.3.4 is not an absence of predictive ability but </w:t>
      </w:r>
      <w:r>
        <w:rPr>
          <w:rFonts w:ascii="휴먼명조" w:eastAsia="휴먼명조" w:hAnsi="휴먼명조" w:cs="휴먼명조"/>
          <w:b/>
          <w:sz w:val="22"/>
          <w:w w:val="97"/>
        </w:rPr>
        <w:t>a problem of search behaviour</w:t>
      </w:r>
      <w:r>
        <w:rPr>
          <w:rFonts w:ascii="휴먼명조" w:eastAsia="휴먼명조" w:hAnsi="휴먼명조" w:cs="휴먼명조"/>
          <w:b w:val="0"/>
          <w:sz w:val="22"/>
          <w:w w:val="97"/>
        </w:rPr>
        <w:t xml:space="preserve">: the trial-level mean quality of the agent's proposed configurations was in fact the highest (0.3980), but repeatedly proposing identical configurations meant only 12.5 unique combinations on average out of 20 trials, shrinking the effective budget. In short, within the scope of this study, </w:t>
      </w:r>
      <w:r>
        <w:rPr>
          <w:rFonts w:ascii="휴먼명조" w:eastAsia="휴먼명조" w:hAnsi="휴먼명조" w:cs="휴먼명조"/>
          <w:b/>
          <w:sz w:val="22"/>
          <w:w w:val="97"/>
        </w:rPr>
        <w:t>"automation of search" is mature whereas "autonomous research judgement" is not yet at a level that can replace existing optimization algorithms.</w:t>
      </w:r>
    </w:p>
    <w:p>
      <w:pPr>
        <w:spacing w:line="384" w:lineRule="auto" w:after="0"/>
        <w:jc w:val="left"/>
        <w:outlineLvl w:val="2"/>
      </w:pPr>
      <w:r>
        <w:rPr>
          <w:rFonts w:ascii="휴먼명조" w:eastAsia="휴먼명조" w:hAnsi="휴먼명조" w:cs="휴먼명조"/>
          <w:b/>
          <w:sz w:val="22"/>
          <w:w w:val="97"/>
        </w:rPr>
        <w:t>4.4.6 Indirect Comparison with Prior Work</w:t>
      </w:r>
    </w:p>
    <w:p>
      <w:pPr>
        <w:spacing w:line="384" w:lineRule="auto" w:after="0"/>
        <w:ind w:firstLine="220"/>
        <w:jc w:val="both"/>
      </w:pPr>
      <w:r>
        <w:rPr>
          <w:rFonts w:ascii="휴먼명조" w:eastAsia="휴먼명조" w:hAnsi="휴먼명조" w:cs="휴먼명조"/>
          <w:b w:val="0"/>
          <w:sz w:val="22"/>
          <w:w w:val="97"/>
        </w:rPr>
        <w:t xml:space="preserve">This study did not conduct direct experimental comparison with medical-specialized VLMs (Section 2.5). LLaVA-Med (Li et al., NeurIPS 2023 D&amp;B), however, reports figures on </w:t>
      </w:r>
      <w:r>
        <w:rPr>
          <w:rFonts w:ascii="휴먼명조" w:eastAsia="휴먼명조" w:hAnsi="휴먼명조" w:cs="휴먼명조"/>
          <w:b/>
          <w:sz w:val="22"/>
          <w:w w:val="97"/>
        </w:rPr>
        <w:t>the standard test splits of the same three datasets</w:t>
      </w:r>
      <w:r>
        <w:rPr>
          <w:rFonts w:ascii="휴먼명조" w:eastAsia="휴먼명조" w:hAnsi="휴먼명조" w:cs="휴먼명조"/>
          <w:b w:val="0"/>
          <w:sz w:val="22"/>
          <w:w w:val="97"/>
        </w:rPr>
        <w:t xml:space="preserve">, so indirect comparison is possible within that scope. Before comparing, it is necessary to define </w:t>
      </w:r>
      <w:r>
        <w:rPr>
          <w:rFonts w:ascii="휴먼명조" w:eastAsia="휴먼명조" w:hAnsi="휴먼명조" w:cs="휴먼명조"/>
          <w:b/>
          <w:sz w:val="22"/>
          <w:w w:val="97"/>
        </w:rPr>
        <w:t>which axes are comparable and which are not</w:t>
      </w:r>
      <w:r>
        <w:rPr>
          <w:rFonts w:ascii="휴먼명조" w:eastAsia="휴먼명조" w:hAnsi="휴먼명조" w:cs="휴먼명조"/>
          <w:b w:val="0"/>
          <w:sz w:val="22"/>
          <w:w w:val="97"/>
        </w:rPr>
        <w: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Closed-ended is comparable.</w:t>
      </w:r>
      <w:r>
        <w:rPr>
          <w:rFonts w:ascii="휴먼명조" w:eastAsia="휴먼명조" w:hAnsi="휴먼명조" w:cs="휴먼명조"/>
          <w:b w:val="0"/>
          <w:sz w:val="22"/>
          <w:w w:val="97"/>
        </w:rPr>
        <w:t xml:space="preserve"> Both report simple accuracy based on exact string match against the gold answer, and the evaluation samples are identical at 1,061 items for SLAKE and 451 for VQA-RAD (only PathVQA differs, 6,761 vs 6,719, a gap of 42 items).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Open-ended is not comparable.</w:t>
      </w:r>
      <w:r>
        <w:rPr>
          <w:rFonts w:ascii="휴먼명조" w:eastAsia="휴먼명조" w:hAnsi="휴먼명조" w:cs="휴먼명조"/>
          <w:b w:val="0"/>
          <w:sz w:val="22"/>
          <w:w w:val="97"/>
        </w:rPr>
        <w:t xml:space="preserve"> LLaVA-Med uses as its open metric *the proportion of generated responses containing the gold token (recall)*, whereas this study uses *whether BERTScore F1 ≥ 0.7* (Section 3.8.1). The former is structurally a far more lenient measure, so placing the two figures side by side would itself be misleading. They are noted below for reference with </w:t>
      </w:r>
      <w:r>
        <w:rPr>
          <w:rFonts w:ascii="휴먼명조" w:eastAsia="휴먼명조" w:hAnsi="휴먼명조" w:cs="휴먼명조"/>
          <w:b/>
          <w:sz w:val="22"/>
          <w:w w:val="97"/>
        </w:rPr>
        <w:t>an explicit statement that they are not objects of comparison</w:t>
      </w:r>
      <w:r>
        <w:rPr>
          <w:rFonts w:ascii="휴먼명조" w:eastAsia="휴먼명조" w:hAnsi="휴먼명조" w:cs="휴먼명조"/>
          <w:b w:val="0"/>
          <w:sz w:val="22"/>
          <w:w w:val="97"/>
        </w:rPr>
        <w:t>.</w:t>
      </w:r>
    </w:p>
    <w:p>
      <w:pPr>
        <w:pStyle w:val="표캡션"/>
        <w:spacing w:line="384" w:lineRule="auto" w:after="0"/>
        <w:jc w:val="center"/>
      </w:pPr>
      <w:r>
        <w:rPr>
          <w:rFonts w:ascii="휴먼명조" w:eastAsia="휴먼명조" w:hAnsi="휴먼명조" w:cs="휴먼명조"/>
          <w:b/>
          <w:sz w:val="22"/>
          <w:w w:val="97"/>
        </w:rPr>
        <w:t>Table 4.4. Indirect comparison with figures reported in prior work (closed-ended basis)</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Model</w:t>
            </w:r>
          </w:p>
        </w:tc>
        <w:tc>
          <w:tcPr>
            <w:tcW w:type="dxa" w:w="1240"/>
          </w:tcPr>
          <w:p>
            <w:pPr>
              <w:spacing w:line="240" w:lineRule="auto"/>
              <w:jc w:val="center"/>
            </w:pPr>
            <w:r/>
            <w:r>
              <w:rPr>
                <w:rFonts w:ascii="휴먼명조" w:eastAsia="휴먼명조" w:hAnsi="휴먼명조" w:cs="휴먼명조"/>
                <w:b/>
                <w:sz w:val="18"/>
                <w:w w:val="97"/>
              </w:rPr>
              <w:t>Scale</w:t>
            </w:r>
          </w:p>
        </w:tc>
        <w:tc>
          <w:tcPr>
            <w:tcW w:type="dxa" w:w="1240"/>
          </w:tcPr>
          <w:p>
            <w:pPr>
              <w:spacing w:line="240" w:lineRule="auto"/>
              <w:jc w:val="center"/>
            </w:pPr>
            <w:r/>
            <w:r>
              <w:rPr>
                <w:rFonts w:ascii="휴먼명조" w:eastAsia="휴먼명조" w:hAnsi="휴먼명조" w:cs="휴먼명조"/>
                <w:b/>
                <w:sz w:val="18"/>
                <w:w w:val="97"/>
              </w:rPr>
              <w:t>Training approach</w:t>
            </w:r>
          </w:p>
        </w:tc>
        <w:tc>
          <w:tcPr>
            <w:tcW w:type="dxa" w:w="1240"/>
          </w:tcPr>
          <w:p>
            <w:pPr>
              <w:spacing w:line="240" w:lineRule="auto"/>
              <w:jc w:val="center"/>
            </w:pPr>
            <w:r/>
            <w:r>
              <w:rPr>
                <w:rFonts w:ascii="휴먼명조" w:eastAsia="휴먼명조" w:hAnsi="휴먼명조" w:cs="휴먼명조"/>
                <w:b/>
                <w:sz w:val="18"/>
                <w:w w:val="97"/>
              </w:rPr>
              <w:t>PathVQA</w:t>
            </w:r>
          </w:p>
        </w:tc>
        <w:tc>
          <w:tcPr>
            <w:tcW w:type="dxa" w:w="1240"/>
          </w:tcPr>
          <w:p>
            <w:pPr>
              <w:spacing w:line="240" w:lineRule="auto"/>
              <w:jc w:val="center"/>
            </w:pPr>
            <w:r/>
            <w:r>
              <w:rPr>
                <w:rFonts w:ascii="휴먼명조" w:eastAsia="휴먼명조" w:hAnsi="휴먼명조" w:cs="휴먼명조"/>
                <w:b/>
                <w:sz w:val="18"/>
                <w:w w:val="97"/>
              </w:rPr>
              <w:t>SLAKE</w:t>
            </w:r>
          </w:p>
        </w:tc>
        <w:tc>
          <w:tcPr>
            <w:tcW w:type="dxa" w:w="1240"/>
          </w:tcPr>
          <w:p>
            <w:pPr>
              <w:spacing w:line="240" w:lineRule="auto"/>
              <w:jc w:val="center"/>
            </w:pPr>
            <w:r/>
            <w:r>
              <w:rPr>
                <w:rFonts w:ascii="휴먼명조" w:eastAsia="휴먼명조" w:hAnsi="휴먼명조" w:cs="휴먼명조"/>
                <w:b/>
                <w:sz w:val="18"/>
                <w:w w:val="97"/>
              </w:rPr>
              <w:t>VQA-RAD</w:t>
            </w:r>
          </w:p>
        </w:tc>
      </w:tr>
      <w:tr>
        <w:tc>
          <w:tcPr>
            <w:tcW w:type="dxa" w:w="1240"/>
          </w:tcPr>
          <w:p>
            <w:pPr>
              <w:spacing w:line="240" w:lineRule="auto"/>
              <w:jc w:val="center"/>
            </w:pPr>
            <w:r/>
            <w:r>
              <w:rPr>
                <w:rFonts w:ascii="휴먼명조" w:eastAsia="휴먼명조" w:hAnsi="휴먼명조" w:cs="휴먼명조"/>
                <w:b w:val="0"/>
                <w:sz w:val="18"/>
                <w:w w:val="97"/>
              </w:rPr>
              <w:t>LLaVA (general)</w:t>
            </w:r>
          </w:p>
        </w:tc>
        <w:tc>
          <w:tcPr>
            <w:tcW w:type="dxa" w:w="1240"/>
          </w:tcPr>
          <w:p>
            <w:pPr>
              <w:spacing w:line="240" w:lineRule="auto"/>
              <w:jc w:val="center"/>
            </w:pPr>
            <w:r/>
            <w:r>
              <w:rPr>
                <w:rFonts w:ascii="휴먼명조" w:eastAsia="휴먼명조" w:hAnsi="휴먼명조" w:cs="휴먼명조"/>
                <w:b w:val="0"/>
                <w:sz w:val="18"/>
                <w:w w:val="97"/>
              </w:rPr>
              <w:t>7B</w:t>
            </w:r>
          </w:p>
        </w:tc>
        <w:tc>
          <w:tcPr>
            <w:tcW w:type="dxa" w:w="1240"/>
          </w:tcPr>
          <w:p>
            <w:pPr>
              <w:spacing w:line="240" w:lineRule="auto"/>
              <w:jc w:val="center"/>
            </w:pPr>
            <w:r/>
            <w:r>
              <w:rPr>
                <w:rFonts w:ascii="휴먼명조" w:eastAsia="휴먼명조" w:hAnsi="휴먼명조" w:cs="휴먼명조"/>
                <w:b w:val="0"/>
                <w:sz w:val="18"/>
                <w:w w:val="97"/>
              </w:rPr>
              <w:t>No domain training</w:t>
            </w:r>
          </w:p>
        </w:tc>
        <w:tc>
          <w:tcPr>
            <w:tcW w:type="dxa" w:w="1240"/>
          </w:tcPr>
          <w:p>
            <w:pPr>
              <w:spacing w:line="240" w:lineRule="auto"/>
              <w:jc w:val="center"/>
            </w:pPr>
            <w:r/>
            <w:r>
              <w:rPr>
                <w:rFonts w:ascii="휴먼명조" w:eastAsia="휴먼명조" w:hAnsi="휴먼명조" w:cs="휴먼명조"/>
                <w:b w:val="0"/>
                <w:sz w:val="18"/>
                <w:w w:val="97"/>
              </w:rPr>
              <w:t>63.20</w:t>
            </w:r>
          </w:p>
        </w:tc>
        <w:tc>
          <w:tcPr>
            <w:tcW w:type="dxa" w:w="1240"/>
          </w:tcPr>
          <w:p>
            <w:pPr>
              <w:spacing w:line="240" w:lineRule="auto"/>
              <w:jc w:val="center"/>
            </w:pPr>
            <w:r/>
            <w:r>
              <w:rPr>
                <w:rFonts w:ascii="휴먼명조" w:eastAsia="휴먼명조" w:hAnsi="휴먼명조" w:cs="휴먼명조"/>
                <w:b w:val="0"/>
                <w:sz w:val="18"/>
                <w:w w:val="97"/>
              </w:rPr>
              <w:t>63.22</w:t>
            </w:r>
          </w:p>
        </w:tc>
        <w:tc>
          <w:tcPr>
            <w:tcW w:type="dxa" w:w="1240"/>
          </w:tcPr>
          <w:p>
            <w:pPr>
              <w:spacing w:line="240" w:lineRule="auto"/>
              <w:jc w:val="center"/>
            </w:pPr>
            <w:r/>
            <w:r>
              <w:rPr>
                <w:rFonts w:ascii="휴먼명조" w:eastAsia="휴먼명조" w:hAnsi="휴먼명조" w:cs="휴먼명조"/>
                <w:b w:val="0"/>
                <w:sz w:val="18"/>
                <w:w w:val="97"/>
              </w:rPr>
              <w:t>65.07</w:t>
            </w:r>
          </w:p>
        </w:tc>
      </w:tr>
      <w:tr>
        <w:tc>
          <w:tcPr>
            <w:tcW w:type="dxa" w:w="1240"/>
          </w:tcPr>
          <w:p>
            <w:pPr>
              <w:spacing w:line="240" w:lineRule="auto"/>
              <w:jc w:val="center"/>
            </w:pPr>
            <w:r/>
            <w:r>
              <w:rPr>
                <w:rFonts w:ascii="휴먼명조" w:eastAsia="휴먼명조" w:hAnsi="휴먼명조" w:cs="휴먼명조"/>
                <w:b w:val="0"/>
                <w:sz w:val="18"/>
                <w:w w:val="97"/>
              </w:rPr>
              <w:t>LLaVA-Med</w:t>
            </w:r>
          </w:p>
        </w:tc>
        <w:tc>
          <w:tcPr>
            <w:tcW w:type="dxa" w:w="1240"/>
          </w:tcPr>
          <w:p>
            <w:pPr>
              <w:spacing w:line="240" w:lineRule="auto"/>
              <w:jc w:val="center"/>
            </w:pPr>
            <w:r/>
            <w:r>
              <w:rPr>
                <w:rFonts w:ascii="휴먼명조" w:eastAsia="휴먼명조" w:hAnsi="휴먼명조" w:cs="휴먼명조"/>
                <w:b w:val="0"/>
                <w:sz w:val="18"/>
                <w:w w:val="97"/>
              </w:rPr>
              <w:t>7B</w:t>
            </w:r>
          </w:p>
        </w:tc>
        <w:tc>
          <w:tcPr>
            <w:tcW w:type="dxa" w:w="1240"/>
          </w:tcPr>
          <w:p>
            <w:pPr>
              <w:spacing w:line="240" w:lineRule="auto"/>
              <w:jc w:val="center"/>
            </w:pPr>
            <w:r/>
            <w:r>
              <w:rPr>
                <w:rFonts w:ascii="휴먼명조" w:eastAsia="휴먼명조" w:hAnsi="휴먼명조" w:cs="휴먼명조"/>
                <w:b w:val="0"/>
                <w:sz w:val="18"/>
                <w:w w:val="97"/>
              </w:rPr>
              <w:t>Biomedical corpus pretraining + per-dataset fine-tuning</w:t>
            </w:r>
          </w:p>
        </w:tc>
        <w:tc>
          <w:tcPr>
            <w:tcW w:type="dxa" w:w="1240"/>
          </w:tcPr>
          <w:p>
            <w:pPr>
              <w:spacing w:line="240" w:lineRule="auto"/>
              <w:jc w:val="center"/>
            </w:pPr>
            <w:r/>
            <w:r>
              <w:rPr>
                <w:rFonts w:ascii="휴먼명조" w:eastAsia="휴먼명조" w:hAnsi="휴먼명조" w:cs="휴먼명조"/>
                <w:b/>
                <w:sz w:val="18"/>
                <w:w w:val="97"/>
              </w:rPr>
              <w:t>91.21</w:t>
            </w:r>
          </w:p>
        </w:tc>
        <w:tc>
          <w:tcPr>
            <w:tcW w:type="dxa" w:w="1240"/>
          </w:tcPr>
          <w:p>
            <w:pPr>
              <w:spacing w:line="240" w:lineRule="auto"/>
              <w:jc w:val="center"/>
            </w:pPr>
            <w:r/>
            <w:r>
              <w:rPr>
                <w:rFonts w:ascii="휴먼명조" w:eastAsia="휴먼명조" w:hAnsi="휴먼명조" w:cs="휴먼명조"/>
                <w:b w:val="0"/>
                <w:sz w:val="18"/>
                <w:w w:val="97"/>
              </w:rPr>
              <w:t>85.34</w:t>
            </w:r>
          </w:p>
        </w:tc>
        <w:tc>
          <w:tcPr>
            <w:tcW w:type="dxa" w:w="1240"/>
          </w:tcPr>
          <w:p>
            <w:pPr>
              <w:spacing w:line="240" w:lineRule="auto"/>
              <w:jc w:val="center"/>
            </w:pPr>
            <w:r/>
            <w:r>
              <w:rPr>
                <w:rFonts w:ascii="휴먼명조" w:eastAsia="휴먼명조" w:hAnsi="휴먼명조" w:cs="휴먼명조"/>
                <w:b/>
                <w:sz w:val="18"/>
                <w:w w:val="97"/>
              </w:rPr>
              <w:t>84.19</w:t>
            </w:r>
          </w:p>
        </w:tc>
      </w:tr>
      <w:tr>
        <w:tc>
          <w:tcPr>
            <w:tcW w:type="dxa" w:w="1240"/>
          </w:tcPr>
          <w:p>
            <w:pPr>
              <w:spacing w:line="240" w:lineRule="auto"/>
              <w:jc w:val="center"/>
            </w:pPr>
            <w:r/>
            <w:r>
              <w:rPr>
                <w:rFonts w:ascii="휴먼명조" w:eastAsia="휴먼명조" w:hAnsi="휴먼명조" w:cs="휴먼명조"/>
                <w:b/>
                <w:sz w:val="18"/>
                <w:w w:val="97"/>
              </w:rPr>
              <w:t>This study (Qwen3-VL-2B)</w:t>
            </w:r>
          </w:p>
        </w:tc>
        <w:tc>
          <w:tcPr>
            <w:tcW w:type="dxa" w:w="1240"/>
          </w:tcPr>
          <w:p>
            <w:pPr>
              <w:spacing w:line="240" w:lineRule="auto"/>
              <w:jc w:val="center"/>
            </w:pPr>
            <w:r/>
            <w:r>
              <w:rPr>
                <w:rFonts w:ascii="휴먼명조" w:eastAsia="휴먼명조" w:hAnsi="휴먼명조" w:cs="휴먼명조"/>
                <w:b/>
                <w:sz w:val="18"/>
                <w:w w:val="97"/>
              </w:rPr>
              <w:t>2B</w:t>
            </w:r>
          </w:p>
        </w:tc>
        <w:tc>
          <w:tcPr>
            <w:tcW w:type="dxa" w:w="1240"/>
          </w:tcPr>
          <w:p>
            <w:pPr>
              <w:spacing w:line="240" w:lineRule="auto"/>
              <w:jc w:val="center"/>
            </w:pPr>
            <w:r/>
            <w:r>
              <w:rPr>
                <w:rFonts w:ascii="휴먼명조" w:eastAsia="휴먼명조" w:hAnsi="휴먼명조" w:cs="휴먼명조"/>
                <w:b/>
                <w:sz w:val="18"/>
                <w:w w:val="97"/>
              </w:rPr>
              <w:t>QLoRA fine-tuning only</w:t>
            </w:r>
          </w:p>
        </w:tc>
        <w:tc>
          <w:tcPr>
            <w:tcW w:type="dxa" w:w="1240"/>
          </w:tcPr>
          <w:p>
            <w:pPr>
              <w:spacing w:line="240" w:lineRule="auto"/>
              <w:jc w:val="center"/>
            </w:pPr>
            <w:r/>
            <w:r>
              <w:rPr>
                <w:rFonts w:ascii="휴먼명조" w:eastAsia="휴먼명조" w:hAnsi="휴먼명조" w:cs="휴먼명조"/>
                <w:b w:val="0"/>
                <w:sz w:val="18"/>
                <w:w w:val="97"/>
              </w:rPr>
              <w:t>83.12</w:t>
            </w:r>
          </w:p>
        </w:tc>
        <w:tc>
          <w:tcPr>
            <w:tcW w:type="dxa" w:w="1240"/>
          </w:tcPr>
          <w:p>
            <w:pPr>
              <w:spacing w:line="240" w:lineRule="auto"/>
              <w:jc w:val="center"/>
            </w:pPr>
            <w:r/>
            <w:r>
              <w:rPr>
                <w:rFonts w:ascii="휴먼명조" w:eastAsia="휴먼명조" w:hAnsi="휴먼명조" w:cs="휴먼명조"/>
                <w:b/>
                <w:sz w:val="18"/>
                <w:w w:val="97"/>
              </w:rPr>
              <w:t>85.26</w:t>
            </w:r>
          </w:p>
        </w:tc>
        <w:tc>
          <w:tcPr>
            <w:tcW w:type="dxa" w:w="1240"/>
          </w:tcPr>
          <w:p>
            <w:pPr>
              <w:spacing w:line="240" w:lineRule="auto"/>
              <w:jc w:val="center"/>
            </w:pPr>
            <w:r/>
            <w:r>
              <w:rPr>
                <w:rFonts w:ascii="휴먼명조" w:eastAsia="휴먼명조" w:hAnsi="휴먼명조" w:cs="휴먼명조"/>
                <w:b w:val="0"/>
                <w:sz w:val="18"/>
                <w:w w:val="97"/>
              </w:rPr>
              <w:t>72.91</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 xml:space="preserve">The LLaVA and LLaVA-Med figures are quoted from Table 4(a) of the original paper. The figures for this study are closed_acc for the Phase 2 main conditions (mean of 3 seeds). </w:t>
      </w:r>
      <w:r>
        <w:rPr>
          <w:rFonts w:ascii="휴먼명조" w:eastAsia="휴먼명조" w:hAnsi="휴먼명조" w:cs="휴먼명조"/>
          <w:b/>
          <w:sz w:val="20"/>
          <w:w w:val="97"/>
        </w:rPr>
        <w:t>Open-ended figures are excluded from the table because the measures differ</w:t>
      </w:r>
      <w:r>
        <w:rPr>
          <w:rFonts w:ascii="휴먼명조" w:eastAsia="휴먼명조" w:hAnsi="휴먼명조" w:cs="휴먼명조"/>
          <w:b w:val="0"/>
          <w:sz w:val="20"/>
          <w:w w:val="97"/>
        </w:rPr>
        <w:t xml:space="preserve"> (for reference, LLaVA-Med's open figures are PathVQA 37.95 / SLAKE 83.08 / VQA-RAD 61.52 on a token-recall basis, while this study's are 17.15 / 66.95 / 26.00 on a BERTScore-threshold basis).</w:t>
      </w:r>
    </w:p>
    <w:p>
      <w:pPr>
        <w:spacing w:line="384" w:lineRule="auto" w:after="0"/>
        <w:ind w:firstLine="220"/>
        <w:jc w:val="both"/>
      </w:pPr>
      <w:r>
        <w:rPr>
          <w:rFonts w:ascii="휴먼명조" w:eastAsia="휴먼명조" w:hAnsi="휴먼명조" w:cs="휴먼명조"/>
          <w:b w:val="0"/>
          <w:sz w:val="22"/>
          <w:w w:val="97"/>
        </w:rPr>
        <w:t xml:space="preserve">The most noteworthy result is that </w:t>
      </w:r>
      <w:r>
        <w:rPr>
          <w:rFonts w:ascii="휴먼명조" w:eastAsia="휴먼명조" w:hAnsi="휴먼명조" w:cs="휴먼명조"/>
          <w:b/>
          <w:sz w:val="22"/>
          <w:w w:val="97"/>
        </w:rPr>
        <w:t>on SLAKE a 2B model reached practically the same closed accuracy as a 7B medical-specialized model</w:t>
      </w:r>
      <w:r>
        <w:rPr>
          <w:rFonts w:ascii="휴먼명조" w:eastAsia="휴먼명조" w:hAnsi="휴먼명조" w:cs="휴먼명조"/>
          <w:b w:val="0"/>
          <w:sz w:val="22"/>
          <w:w w:val="97"/>
        </w:rPr>
        <w:t xml:space="preserve"> (85.26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sz w:val="22"/>
          <w:w w:val="97"/>
        </w:rPr>
        <w:t>for tasks at the level of SLAKE, the advantage of large-scale domain pretraining can be substantially offset by QLoRA adaptation alone</w:t>
      </w:r>
      <w:r>
        <w:rPr>
          <w:rFonts w:ascii="휴먼명조" w:eastAsia="휴먼명조" w:hAnsi="휴먼명조" w:cs="휴먼명조"/>
          <w:b w:val="0"/>
          <w:sz w:val="22"/>
          <w:w w:val="97"/>
        </w:rPr>
        <w:t>.</w:t>
      </w:r>
    </w:p>
    <w:p>
      <w:pPr>
        <w:spacing w:line="384" w:lineRule="auto" w:after="0"/>
        <w:ind w:firstLine="220"/>
        <w:jc w:val="both"/>
      </w:pPr>
      <w:r>
        <w:rPr>
          <w:rFonts w:ascii="휴먼명조" w:eastAsia="휴먼명조" w:hAnsi="휴먼명조" w:cs="휴먼명조"/>
          <w:b w:val="0"/>
          <w:sz w:val="22"/>
          <w:w w:val="97"/>
        </w:rPr>
        <w:t xml:space="preserve">On PathVQA (83.12 vs 91.21) and VQA-RAD (72.91 vs 84.19), by contrast, a gap of 8-11%p remains. Given the character of the two datasets this gap is unsurprising: PathVQA is a highly specialized imaging domain of pathology tissue, and VQA-RAD has only 451 items, which disadvantages small-scale fine-tuning. In other words, </w:t>
      </w:r>
      <w:r>
        <w:rPr>
          <w:rFonts w:ascii="휴먼명조" w:eastAsia="휴먼명조" w:hAnsi="휴먼명조" w:cs="휴먼명조"/>
          <w:b/>
          <w:sz w:val="22"/>
          <w:w w:val="97"/>
        </w:rPr>
        <w:t>the advantage of large-scale domain pretraining remains clearly visible in proportion to the specialization of the task.</w:t>
      </w:r>
    </w:p>
    <w:p>
      <w:pPr>
        <w:spacing w:line="384" w:lineRule="auto" w:after="0"/>
        <w:ind w:firstLine="220"/>
        <w:jc w:val="both"/>
      </w:pPr>
      <w:r>
        <w:rPr>
          <w:rFonts w:ascii="휴먼명조" w:eastAsia="휴먼명조" w:hAnsi="휴먼명조" w:cs="휴먼명조"/>
          <w:b w:val="0"/>
          <w:sz w:val="22"/>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Direct reproduction under an identical protocol remains future work (Section 5.3(2)).</w:t>
      </w:r>
    </w:p>
    <w:p>
      <w:pPr>
        <w:spacing w:line="384" w:lineRule="auto" w:after="0"/>
        <w:jc w:val="left"/>
        <w:outlineLvl w:val="2"/>
      </w:pPr>
      <w:r>
        <w:rPr>
          <w:rFonts w:ascii="휴먼명조" w:eastAsia="휴먼명조" w:hAnsi="휴먼명조" w:cs="휴먼명조"/>
          <w:b/>
          <w:sz w:val="22"/>
          <w:w w:val="97"/>
        </w:rPr>
        <w:t>4.4.7 Methodological Discussion: The Unit of Aggregation Changes the Conclusion</w:t>
      </w:r>
    </w:p>
    <w:p>
      <w:pPr>
        <w:spacing w:line="384" w:lineRule="auto" w:after="0"/>
        <w:ind w:firstLine="220"/>
        <w:jc w:val="both"/>
      </w:pPr>
      <w:r>
        <w:rPr>
          <w:rFonts w:ascii="휴먼명조" w:eastAsia="휴먼명조" w:hAnsi="휴먼명조" w:cs="휴먼명조"/>
          <w:b w:val="0"/>
          <w:sz w:val="22"/>
          <w:w w:val="97"/>
        </w:rPr>
        <w:t xml:space="preserve">On two separate occasions in this study, at different junctures, </w:t>
      </w:r>
      <w:r>
        <w:rPr>
          <w:rFonts w:ascii="휴먼명조" w:eastAsia="휴먼명조" w:hAnsi="휴먼명조" w:cs="휴먼명조"/>
          <w:b/>
          <w:sz w:val="22"/>
          <w:w w:val="97"/>
        </w:rPr>
        <w:t>the choice of aggregation unit reversed the conclusion itself</w:t>
      </w:r>
      <w:r>
        <w:rPr>
          <w:rFonts w:ascii="휴먼명조" w:eastAsia="휴먼명조" w:hAnsi="휴먼명조" w:cs="휴먼명조"/>
          <w:b w:val="0"/>
          <w:sz w:val="22"/>
          <w:w w:val="97"/>
        </w:rPr>
        <w:t>. This is not incidental to the interpretation of results but an observation worth recording independently.</w:t>
      </w:r>
    </w:p>
    <w:p>
      <w:pPr>
        <w:spacing w:line="384" w:lineRule="auto" w:after="0"/>
        <w:ind w:firstLine="220"/>
        <w:jc w:val="both"/>
      </w:pPr>
      <w:r>
        <w:rPr>
          <w:rFonts w:ascii="휴먼명조" w:eastAsia="휴먼명조" w:hAnsi="휴먼명조" w:cs="휴먼명조"/>
          <w:b/>
          <w:sz w:val="22"/>
          <w:w w:val="97"/>
        </w:rPr>
        <w:t>(1) Whether to pool models — Phase 2.</w:t>
      </w:r>
      <w:r>
        <w:rPr>
          <w:rFonts w:ascii="휴먼명조" w:eastAsia="휴먼명조" w:hAnsi="휴먼명조" w:cs="휴먼명조"/>
          <w:b w:val="0"/>
          <w:sz w:val="22"/>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sz w:val="22"/>
          <w:w w:val="97"/>
        </w:rPr>
        <w:t>effects in opposite directions across models cancelled in the pooled mean</w:t>
      </w:r>
      <w:r>
        <w:rPr>
          <w:rFonts w:ascii="휴먼명조" w:eastAsia="휴먼명조" w:hAnsi="휴먼명조" w:cs="휴먼명조"/>
          <w:b w:val="0"/>
          <w:sz w:val="22"/>
          <w:w w:val="97"/>
        </w:rPr>
        <w:t xml:space="preserve"> (Section 4.2.1). Decomposed by model, three of the four show significant effects, two of them negative. Where heterogeneous effects are expected, reporting only the pooled estimate leads to the erroneous conclusion of "no effect."</w:t>
      </w:r>
    </w:p>
    <w:p>
      <w:pPr>
        <w:spacing w:line="384" w:lineRule="auto" w:after="0"/>
        <w:ind w:firstLine="220"/>
        <w:jc w:val="both"/>
      </w:pPr>
      <w:r>
        <w:rPr>
          <w:rFonts w:ascii="휴먼명조" w:eastAsia="휴먼명조" w:hAnsi="휴먼명조" w:cs="휴먼명조"/>
          <w:b/>
          <w:sz w:val="22"/>
          <w:w w:val="97"/>
        </w:rPr>
        <w:t>(2) Whether to treat trials as independent observations — Phase 3.</w:t>
      </w:r>
      <w:r>
        <w:rPr>
          <w:rFonts w:ascii="휴먼명조" w:eastAsia="휴먼명조" w:hAnsi="휴먼명조" w:cs="휴먼명조"/>
          <w:b w:val="0"/>
          <w:sz w:val="22"/>
          <w:w w:val="97"/>
        </w:rPr>
        <w:t xml:space="preserve"> Sequential optimization strategies induce dependence among trials within 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pPr>
        <w:spacing w:line="384" w:lineRule="auto" w:after="0"/>
        <w:ind w:firstLine="220"/>
        <w:jc w:val="both"/>
      </w:pPr>
      <w:r>
        <w:rPr>
          <w:rFonts w:ascii="휴먼명조" w:eastAsia="휴먼명조" w:hAnsi="휴먼명조" w:cs="휴먼명조"/>
          <w:b w:val="0"/>
          <w:sz w:val="22"/>
          <w:w w:val="97"/>
        </w:rPr>
        <w:t xml:space="preserve">The observation in Section 4.3.4 further supports </w:t>
      </w:r>
      <w:r>
        <w:rPr>
          <w:rFonts w:ascii="휴먼명조" w:eastAsia="휴먼명조" w:hAnsi="휴먼명조" w:cs="휴먼명조"/>
          <w:b/>
          <w:sz w:val="22"/>
          <w:w w:val="97"/>
        </w:rPr>
        <w:t>the necessity of a repeated design</w:t>
      </w:r>
      <w:r>
        <w:rPr>
          <w:rFonts w:ascii="휴먼명조" w:eastAsia="휴먼명조" w:hAnsi="휴먼명조" w:cs="휴먼명조"/>
          <w:b w:val="0"/>
          <w:sz w:val="22"/>
          <w:w w:val="97"/>
        </w:rPr>
        <w:t xml:space="preserve"> directly. When an identical hyperparameter configuration was re-run, val_accuracy varied between 0.388 and 0.444, and this range (about 0.056) is </w:t>
      </w:r>
      <w:r>
        <w:rPr>
          <w:rFonts w:ascii="휴먼명조" w:eastAsia="휴먼명조" w:hAnsi="휴먼명조" w:cs="휴먼명조"/>
          <w:b/>
          <w:sz w:val="22"/>
          <w:w w:val="97"/>
        </w:rPr>
        <w:t>larger than the mean difference between strategies detected by this study</w:t>
      </w:r>
      <w:r>
        <w:rPr>
          <w:rFonts w:ascii="휴먼명조" w:eastAsia="휴먼명조" w:hAnsi="휴먼명조" w:cs="휴먼명조"/>
          <w:b w:val="0"/>
          <w:sz w:val="22"/>
          <w:w w:val="97"/>
        </w:rPr>
        <w:t xml:space="preserve"> (Optuna 0.4490 - Autoresearch 0.4184 = 0.031). Judging the relative merit of strategies from a single trial result is therefore impossible in principle, and this study's design of using 10 independent repeats as the unit of testing (Section 3.7) can be regarded as the minimum requirement given the scale of this noise.</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V. Conclusion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5.1 Summary of Findings</w:t>
      </w:r>
    </w:p>
    <w:p>
      <w:pPr>
        <w:spacing w:line="384" w:lineRule="auto" w:after="0"/>
        <w:ind w:firstLine="220"/>
        <w:jc w:val="both"/>
      </w:pPr>
      <w:r>
        <w:rPr>
          <w:rFonts w:ascii="휴먼명조" w:eastAsia="휴먼명조" w:hAnsi="휴먼명조" w:cs="휴먼명조"/>
          <w:b w:val="0"/>
          <w:sz w:val="22"/>
          <w:w w:val="97"/>
        </w:rPr>
        <w:t>This study verified, through a three-stage experiment, the full process of adapting lightweight Vision-Language Models (2-3B) to the medical imaging VQA domain on consumer-grade GPUs. Zero-shot baselines (Phase 1), 75 QLoRA fine-tuning conditions (Phase 2), and a 610-trial comparison of hyperparameter search strategies (Phase 3) were conducted on four models (Qwen3-VL-2B, Qwen2.5-VL-3B, SmolVLM2-2.2B, Gemma4-E2B) and three public datasets (PathVQA, SLAKE, VQA-RAD). The results by research question are as follows.</w:t>
      </w:r>
    </w:p>
    <w:p>
      <w:pPr>
        <w:spacing w:line="384" w:lineRule="auto" w:after="0"/>
        <w:ind w:firstLine="220"/>
        <w:jc w:val="both"/>
      </w:pPr>
      <w:r>
        <w:rPr>
          <w:rFonts w:ascii="휴먼명조" w:eastAsia="휴먼명조" w:hAnsi="휴먼명조" w:cs="휴먼명조"/>
          <w:b/>
          <w:sz w:val="22"/>
          <w:w w:val="97"/>
        </w:rPr>
        <w:t>RQ1 — Do lightweight VLMs differ significantly across models in zero-shot performance?</w:t>
      </w:r>
    </w:p>
    <w:p>
      <w:pPr>
        <w:spacing w:line="384" w:lineRule="auto" w:after="0"/>
        <w:ind w:firstLine="220"/>
        <w:jc w:val="both"/>
      </w:pPr>
      <w:r>
        <w:rPr>
          <w:rFonts w:ascii="휴먼명조" w:eastAsia="휴먼명조" w:hAnsi="휴먼명조" w:cs="휴먼명조"/>
          <w:b w:val="0"/>
          <w:sz w:val="22"/>
          <w:w w:val="97"/>
        </w:rPr>
        <w:t>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 pretraining exposure by Min-K% Probability, making it robust to data contamination (Section 4.1.1).</w:t>
      </w:r>
    </w:p>
    <w:p>
      <w:pPr>
        <w:spacing w:line="384" w:lineRule="auto" w:after="0"/>
        <w:ind w:firstLine="220"/>
        <w:jc w:val="both"/>
      </w:pPr>
      <w:r>
        <w:rPr>
          <w:rFonts w:ascii="휴먼명조" w:eastAsia="휴먼명조" w:hAnsi="휴먼명조" w:cs="휴먼명조"/>
          <w:b/>
          <w:sz w:val="22"/>
          <w:w w:val="97"/>
        </w:rPr>
        <w:t>RQ2 — Does QLoRA fine-tuning significantly improve performance?</w:t>
      </w:r>
    </w:p>
    <w:p>
      <w:pPr>
        <w:spacing w:line="384" w:lineRule="auto" w:after="0"/>
        <w:ind w:firstLine="220"/>
        <w:jc w:val="both"/>
      </w:pPr>
      <w:r>
        <w:rPr>
          <w:rFonts w:ascii="휴먼명조" w:eastAsia="휴먼명조" w:hAnsi="휴먼명조" w:cs="휴먼명조"/>
          <w:b w:val="0"/>
          <w:sz w:val="22"/>
          <w:w w:val="97"/>
        </w:rPr>
        <w:t xml:space="preserve">Whether the null hypothesis was rejected </w:t>
      </w:r>
      <w:r>
        <w:rPr>
          <w:rFonts w:ascii="휴먼명조" w:eastAsia="휴먼명조" w:hAnsi="휴먼명조" w:cs="휴먼명조"/>
          <w:b/>
          <w:sz w:val="22"/>
          <w:w w:val="97"/>
        </w:rPr>
        <w:t>depended on the model.</w:t>
      </w:r>
      <w:r>
        <w:rPr>
          <w:rFonts w:ascii="휴먼명조" w:eastAsia="휴먼명조" w:hAnsi="휴먼명조" w:cs="휴먼명조"/>
          <w:b w:val="0"/>
          <w:sz w:val="22"/>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sz w:val="22"/>
          <w:w w:val="97"/>
        </w:rPr>
        <w:t>the cancellation of opposing model-level effects in the pooled mean</w:t>
      </w:r>
      <w:r>
        <w:rPr>
          <w:rFonts w:ascii="휴먼명조" w:eastAsia="휴먼명조" w:hAnsi="휴먼명조" w:cs="휴먼명조"/>
          <w:b w:val="0"/>
          <w:sz w:val="22"/>
          <w:w w:val="97"/>
        </w:rPr>
        <w:t xml:space="preserve"> (Section 4.2.1). The proposition "QLoRA fine-tuning improves medical VQA performance" therefore does not hold independently of the model.</w:t>
      </w:r>
    </w:p>
    <w:p>
      <w:pPr>
        <w:spacing w:line="384" w:lineRule="auto" w:after="0"/>
        <w:ind w:firstLine="220"/>
        <w:jc w:val="both"/>
      </w:pPr>
      <w:r>
        <w:rPr>
          <w:rFonts w:ascii="휴먼명조" w:eastAsia="휴먼명조" w:hAnsi="휴먼명조" w:cs="휴먼명조"/>
          <w:b/>
          <w:sz w:val="22"/>
          <w:w w:val="97"/>
        </w:rPr>
        <w:t>RQ3 — Does an LLM agent's autonomous search achieve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sz w:val="22"/>
          <w:w w:val="97"/>
        </w:rPr>
        <w:t xml:space="preserve">The null hypothesis (Autoresearch = Optuna) was rejected, but </w:t>
      </w:r>
      <w:r>
        <w:rPr>
          <w:rFonts w:ascii="휴먼명조" w:eastAsia="휴먼명조" w:hAnsi="휴먼명조" w:cs="휴먼명조"/>
          <w:b/>
          <w:sz w:val="22"/>
          <w:w w:val="97"/>
        </w:rPr>
        <w:t>in the direction opposite to the one the hypothesis anticipated.</w:t>
      </w:r>
      <w:r>
        <w:rPr>
          <w:rFonts w:ascii="휴먼명조" w:eastAsia="휴먼명조" w:hAnsi="휴먼명조" w:cs="휴먼명조"/>
          <w:b w:val="0"/>
          <w:sz w:val="22"/>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pPr>
        <w:spacing w:line="384" w:lineRule="auto" w:after="0"/>
        <w:ind w:firstLine="220"/>
        <w:jc w:val="both"/>
      </w:pPr>
      <w:r>
        <w:rPr>
          <w:rFonts w:ascii="휴먼명조" w:eastAsia="휴먼명조" w:hAnsi="휴먼명조" w:cs="휴먼명조"/>
          <w:b w:val="0"/>
          <w:sz w:val="22"/>
          <w:w w:val="97"/>
        </w:rPr>
        <w:t xml:space="preserve">The second requirement of RQ3, </w:t>
      </w:r>
      <w:r>
        <w:rPr>
          <w:rFonts w:ascii="휴먼명조" w:eastAsia="휴먼명조" w:hAnsi="휴먼명조" w:cs="휴먼명조"/>
          <w:b/>
          <w:sz w:val="22"/>
          <w:w w:val="97"/>
        </w:rPr>
        <w:t>interpretable search rationales</w:t>
      </w:r>
      <w:r>
        <w:rPr>
          <w:rFonts w:ascii="휴먼명조" w:eastAsia="휴먼명조" w:hAnsi="휴먼명조" w:cs="휴먼명조"/>
          <w:b w:val="0"/>
          <w:sz w:val="22"/>
          <w:w w:val="97"/>
        </w:rPr>
        <w:t xml:space="preserve">, </w:t>
      </w:r>
      <w:r>
        <w:rPr>
          <w:rFonts w:ascii="휴먼명조" w:eastAsia="휴먼명조" w:hAnsi="휴먼명조" w:cs="휴먼명조"/>
          <w:b/>
          <w:sz w:val="22"/>
          <w:w w:val="97"/>
        </w:rPr>
        <w:t>was not adequately tested by this experimental design.</w:t>
      </w:r>
      <w:r>
        <w:rPr>
          <w:rFonts w:ascii="휴먼명조" w:eastAsia="휴먼명조" w:hAnsi="휴먼명조" w:cs="휴먼명조"/>
          <w:b w:val="0"/>
          <w:sz w:val="22"/>
          <w:w w:val="97"/>
        </w:rPr>
        <w:t xml:space="preserve"> Because the system prompt given to the agent (Appendix A) explicitly instructed it to "respond with only a JSON object, without explanation or other text," the production of natural-language rationales was never required in the first place. In practice, </w:t>
      </w:r>
      <w:r>
        <w:rPr>
          <w:rFonts w:ascii="휴먼명조" w:eastAsia="휴먼명조" w:hAnsi="휴먼명조" w:cs="휴먼명조"/>
          <w:b/>
          <w:sz w:val="22"/>
          <w:w w:val="97"/>
        </w:rPr>
        <w:t>147 of 200 trials (73.5%) returned only the hyperparameter JSON, and only 53 (26.5%) included any natural-language narrative.</w:t>
      </w:r>
      <w:r>
        <w:rPr>
          <w:rFonts w:ascii="휴먼명조" w:eastAsia="휴먼명조" w:hAnsi="휴먼명조" w:cs="휴먼명조"/>
          <w:b w:val="0"/>
          <w:sz w:val="22"/>
          <w:w w:val="97"/>
        </w:rPr>
        <w:t xml:space="preserve"> This study can therefore neither affirm nor deny the question of whether an LLM agent provides interpretable search rationales; this is </w:t>
      </w:r>
      <w:r>
        <w:rPr>
          <w:rFonts w:ascii="휴먼명조" w:eastAsia="휴먼명조" w:hAnsi="휴먼명조" w:cs="휴먼명조"/>
          <w:b/>
          <w:sz w:val="22"/>
          <w:w w:val="97"/>
        </w:rPr>
        <w:t>a design flaw rather than a result</w:t>
      </w:r>
      <w:r>
        <w:rPr>
          <w:rFonts w:ascii="휴먼명조" w:eastAsia="휴먼명조" w:hAnsi="휴먼명조" w:cs="휴먼명조"/>
          <w:b w:val="0"/>
          <w:sz w:val="22"/>
          <w:w w:val="97"/>
        </w:rPr>
        <w:t xml:space="preserve"> (Section 5.3(8)).</w:t>
      </w:r>
    </w:p>
    <w:p>
      <w:pPr>
        <w:spacing w:line="384" w:lineRule="auto" w:after="0"/>
        <w:ind w:firstLine="220"/>
        <w:jc w:val="both"/>
      </w:pPr>
      <w:r>
        <w:rPr>
          <w:rFonts w:ascii="휴먼명조" w:eastAsia="휴먼명조" w:hAnsi="휴먼명조" w:cs="휴먼명조"/>
          <w:b w:val="0"/>
          <w:sz w:val="22"/>
          <w:w w:val="97"/>
        </w:rPr>
        <w:t>Search quality itself was meanwhile poor. The agent attempted on average only 12.5 unique configurations out of 20 trials (Random and Optuna both achieved 20/20), and a pattern of early fixation with repeated proposal of identical configurations was observed across all 10 repeats (Section 4.3.4).</w:t>
      </w:r>
    </w:p>
    <w:p>
      <w:pPr>
        <w:spacing w:line="384" w:lineRule="auto" w:after="0"/>
        <w:jc w:val="left"/>
        <w:outlineLvl w:val="1"/>
      </w:pPr>
      <w:r>
        <w:rPr>
          <w:rFonts w:ascii="휴먼명조" w:eastAsia="휴먼명조" w:hAnsi="휴먼명조" w:cs="휴먼명조"/>
          <w:b/>
          <w:sz w:val="28"/>
          <w:w w:val="97"/>
        </w:rPr>
        <w:t>5.2 Contributions</w:t>
      </w:r>
    </w:p>
    <w:p>
      <w:pPr>
        <w:spacing w:line="384" w:lineRule="auto" w:after="0"/>
        <w:ind w:firstLine="220"/>
        <w:jc w:val="both"/>
      </w:pPr>
      <w:r>
        <w:rPr>
          <w:rFonts w:ascii="휴먼명조" w:eastAsia="휴먼명조" w:hAnsi="휴먼명조" w:cs="휴먼명조"/>
          <w:b w:val="0"/>
          <w:sz w:val="22"/>
          <w:w w:val="97"/>
        </w:rPr>
        <w:t>The contributions of this study are fourfold.</w:t>
      </w:r>
    </w:p>
    <w:p>
      <w:pPr>
        <w:spacing w:line="384" w:lineRule="auto" w:after="0"/>
        <w:ind w:firstLine="220"/>
        <w:jc w:val="both"/>
      </w:pPr>
      <w:r>
        <w:rPr>
          <w:rFonts w:ascii="휴먼명조" w:eastAsia="휴먼명조" w:hAnsi="휴먼명조" w:cs="휴먼명조"/>
          <w:b/>
          <w:sz w:val="22"/>
          <w:w w:val="97"/>
        </w:rPr>
        <w:t>First, it provides three-stage empirical data on medical-domain adaptation of lightweight VLMs.</w:t>
      </w:r>
      <w:r>
        <w:rPr>
          <w:rFonts w:ascii="휴먼명조" w:eastAsia="휴먼명조" w:hAnsi="휴먼명조" w:cs="휴먼명조"/>
          <w:b w:val="0"/>
          <w:sz w:val="22"/>
          <w:w w:val="97"/>
        </w:rPr>
        <w:t xml:space="preserve"> The full results of 12 zero-shot conditions, 75 fine-tuning conditions, and 610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further shows that </w:t>
      </w:r>
      <w:r>
        <w:rPr>
          <w:rFonts w:ascii="휴먼명조" w:eastAsia="휴먼명조" w:hAnsi="휴먼명조" w:cs="휴먼명조"/>
          <w:b/>
          <w:sz w:val="22"/>
          <w:w w:val="97"/>
        </w:rPr>
        <w:t>on SLAKE closed-ended accuracy, QLoRA adaptation of a 2B model can reach parity with a 7B medical-specialized model (85.26 vs 85.34)</w:t>
      </w:r>
      <w:r>
        <w:rPr>
          <w:rFonts w:ascii="휴먼명조" w:eastAsia="휴먼명조" w:hAnsi="휴먼명조" w:cs="휴먼명조"/>
          <w:b w:val="0"/>
          <w:sz w:val="22"/>
          <w:w w:val="97"/>
        </w:rPr>
        <w:t>, while a gap of 8-11%p remains on PathVQA and VQA-RAD, confirming that the advantage of large-scale domain pretraining varies with the specialization of the task.</w:t>
      </w:r>
    </w:p>
    <w:p>
      <w:pPr>
        <w:spacing w:line="384" w:lineRule="auto" w:after="0"/>
        <w:ind w:firstLine="220"/>
        <w:jc w:val="both"/>
      </w:pPr>
      <w:r>
        <w:rPr>
          <w:rFonts w:ascii="휴먼명조" w:eastAsia="휴먼명조" w:hAnsi="휴먼명조" w:cs="휴먼명조"/>
          <w:b/>
          <w:sz w:val="22"/>
          <w:w w:val="97"/>
        </w:rPr>
        <w:t>Second, it quantifies the model-level heterogeneity of fine-tuning effects and demonstrates the pitfall of pooled analysis.</w:t>
      </w:r>
      <w:r>
        <w:rPr>
          <w:rFonts w:ascii="휴먼명조" w:eastAsia="휴먼명조" w:hAnsi="휴먼명조" w:cs="휴먼명조"/>
          <w:b w:val="0"/>
          <w:sz w:val="22"/>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pPr>
        <w:spacing w:line="384" w:lineRule="auto" w:after="0"/>
        <w:ind w:firstLine="220"/>
        <w:jc w:val="both"/>
      </w:pPr>
      <w:r>
        <w:rPr>
          <w:rFonts w:ascii="휴먼명조" w:eastAsia="휴먼명조" w:hAnsi="휴먼명조" w:cs="휴먼명조"/>
          <w:b/>
          <w:sz w:val="22"/>
          <w:w w:val="97"/>
        </w:rPr>
        <w:t>Third, it reports a negative result for LLM-based autonomous HPO together with its failure mechanism.</w:t>
      </w:r>
      <w:r>
        <w:rPr>
          <w:rFonts w:ascii="휴먼명조" w:eastAsia="휴먼명조" w:hAnsi="휴먼명조" w:cs="휴먼명조"/>
          <w:b w:val="0"/>
          <w:sz w:val="22"/>
          <w:w w:val="97"/>
        </w:rPr>
        <w:t xml:space="preserve"> More useful for subsequent design than the result that the autonomous agent fell short of existing techniques is the diagnosis that the cause was not inferior proposal quality but </w:t>
      </w:r>
      <w:r>
        <w:rPr>
          <w:rFonts w:ascii="휴먼명조" w:eastAsia="휴먼명조" w:hAnsi="휴먼명조" w:cs="휴먼명조"/>
          <w:b/>
          <w:sz w:val="22"/>
          <w:w w:val="97"/>
        </w:rPr>
        <w:t>a reduced effective search budget caused by duplicate proposals</w:t>
      </w:r>
      <w:r>
        <w:rPr>
          <w:rFonts w:ascii="휴먼명조" w:eastAsia="휴먼명조" w:hAnsi="휴먼명조" w:cs="휴먼명조"/>
          <w:b w:val="0"/>
          <w:sz w:val="22"/>
          <w:w w:val="97"/>
        </w:rPr>
        <w:t xml:space="preserve"> (12.5 of 20 unique configurations). The agent's trial-level mean performance was in fact the highest of the four strategies (Sections 4.3.3, 4.3.4).</w:t>
      </w:r>
    </w:p>
    <w:p>
      <w:pPr>
        <w:spacing w:line="384" w:lineRule="auto" w:after="0"/>
        <w:ind w:firstLine="220"/>
        <w:jc w:val="both"/>
      </w:pPr>
      <w:r>
        <w:rPr>
          <w:rFonts w:ascii="휴먼명조" w:eastAsia="휴먼명조" w:hAnsi="휴먼명조" w:cs="휴먼명조"/>
          <w:b/>
          <w:sz w:val="22"/>
          <w:w w:val="97"/>
        </w:rPr>
        <w:t>Fourth, it records two cases in which the choice of aggregation unit reversed the conclusion, together with the grounds for the judgement.</w:t>
      </w:r>
      <w:r>
        <w:rPr>
          <w:rFonts w:ascii="휴먼명조" w:eastAsia="휴먼명조" w:hAnsi="휴먼명조" w:cs="휴먼명조"/>
          <w:b w:val="0"/>
          <w:sz w:val="22"/>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0.056) exceeds the mean difference between strategies detected here (0.031) constitutes a quantitative counterexample to the practice of comparing techniques from single-run results (Section 4.4.7).</w:t>
      </w:r>
    </w:p>
    <w:p>
      <w:pPr>
        <w:spacing w:line="384" w:lineRule="auto" w:after="0"/>
        <w:jc w:val="left"/>
        <w:outlineLvl w:val="1"/>
      </w:pPr>
      <w:r>
        <w:rPr>
          <w:rFonts w:ascii="휴먼명조" w:eastAsia="휴먼명조" w:hAnsi="휴먼명조" w:cs="휴먼명조"/>
          <w:b/>
          <w:sz w:val="28"/>
          <w:w w:val="97"/>
        </w:rPr>
        <w:t>5.3 Limitations</w:t>
      </w:r>
    </w:p>
    <w:p>
      <w:pPr>
        <w:spacing w:line="384" w:lineRule="auto" w:after="0"/>
        <w:ind w:firstLine="220"/>
        <w:jc w:val="both"/>
      </w:pPr>
      <w:r>
        <w:rPr>
          <w:rFonts w:ascii="휴먼명조" w:eastAsia="휴먼명조" w:hAnsi="휴먼명조" w:cs="휴먼명조"/>
          <w:b/>
          <w:sz w:val="22"/>
          <w:w w:val="97"/>
        </w:rPr>
        <w:t>(1) Limits of contamination control.</w:t>
      </w:r>
      <w:r>
        <w:rPr>
          <w:rFonts w:ascii="휴먼명조" w:eastAsia="휴먼명조" w:hAnsi="휴먼명조" w:cs="휴먼명조"/>
          <w:b w:val="0"/>
          <w:sz w:val="22"/>
          <w:w w:val="97"/>
        </w:rPr>
        <w:t xml:space="preserve"> Because the target datasets were released before the pretraining cut-off of the models, pretraining data contamination is possible. This study identified samples suspected of exposure using Min-K% Probability (Shi et al., ICLR 2024) and confirmed the robustness of its conclusions on a reduced set with those samples removed (Section 4.1.1); Min-K% is, however, only an indirect indicator, and complete control or precise quantification of contamination is not possible.</w:t>
      </w:r>
    </w:p>
    <w:p>
      <w:pPr>
        <w:spacing w:line="384" w:lineRule="auto" w:after="0"/>
        <w:ind w:firstLine="220"/>
        <w:jc w:val="both"/>
      </w:pPr>
      <w:r>
        <w:rPr>
          <w:rFonts w:ascii="휴먼명조" w:eastAsia="휴먼명조" w:hAnsi="휴먼명조" w:cs="휴먼명조"/>
          <w:b/>
          <w:sz w:val="22"/>
          <w:w w:val="97"/>
        </w:rPr>
        <w:t>(2) Absence of direct comparison with medical-specialized VLMs.</w:t>
      </w:r>
      <w:r>
        <w:rPr>
          <w:rFonts w:ascii="휴먼명조" w:eastAsia="휴먼명조" w:hAnsi="휴먼명조" w:cs="휴먼명조"/>
          <w:b w:val="0"/>
          <w:sz w:val="22"/>
          <w:w w:val="97"/>
        </w:rPr>
        <w:t xml:space="preserve"> Medical-specialized VLMs such as LLaVA-Med, Med-Flamingo, and CheXagent were not reproduced and compared directly in this study's environment (Section 2.5). Table 4.4 in Section 4.4.6 is an indirect comparison quoting figures that LLaVA-Med reports on </w:t>
      </w:r>
      <w:r>
        <w:rPr>
          <w:rFonts w:ascii="휴먼명조" w:eastAsia="휴먼명조" w:hAnsi="휴먼명조" w:cs="휴먼명조"/>
          <w:b/>
          <w:sz w:val="22"/>
          <w:w w:val="97"/>
        </w:rPr>
        <w:t>the standard test splits of the same three datasets</w:t>
      </w:r>
      <w:r>
        <w:rPr>
          <w:rFonts w:ascii="휴먼명조" w:eastAsia="휴먼명조" w:hAnsi="휴먼명조" w:cs="휴먼명조"/>
          <w:b w:val="0"/>
          <w:sz w:val="22"/>
          <w:w w:val="97"/>
        </w:rPr>
        <w:t xml:space="preserve">, and it carries three constraints. First, </w:t>
      </w:r>
      <w:r>
        <w:rPr>
          <w:rFonts w:ascii="휴먼명조" w:eastAsia="휴먼명조" w:hAnsi="휴먼명조" w:cs="휴먼명조"/>
          <w:b/>
          <w:sz w:val="22"/>
          <w:w w:val="97"/>
        </w:rPr>
        <w:t>comparison holds only for closed-ended metrics, where the scoring criteria coincide</w:t>
      </w:r>
      <w:r>
        <w:rPr>
          <w:rFonts w:ascii="휴먼명조" w:eastAsia="휴먼명조" w:hAnsi="휴먼명조" w:cs="휴먼명조"/>
          <w:b w:val="0"/>
          <w:sz w:val="22"/>
          <w:w w:val="97"/>
        </w:rPr>
        <w:t xml:space="preserve"> — for open-ended metrics LLaVA-Med uses the proportion of responses containing the gold token (recall) while this study uses a BERTScore F1 threshold, so the measures differ fundamentally. Second, this study's figures are means over three seeds whereas the quoted figures are single-run reports, and the training budgets differ greatly. Third, because the figures were not reproduced with identical code in an identical environment, unreported differences in preprocessing, prompting, and so on remain. Med-Flamingo and CheXagent were excluded from the table because they do not provide figures on these three datasets under the same protocol. Direct reproduction under an identical protocol remains future work.</w:t>
      </w:r>
    </w:p>
    <w:p>
      <w:pPr>
        <w:spacing w:line="384" w:lineRule="auto" w:after="0"/>
        <w:ind w:firstLine="220"/>
        <w:jc w:val="both"/>
      </w:pPr>
      <w:r>
        <w:rPr>
          <w:rFonts w:ascii="휴먼명조" w:eastAsia="휴먼명조" w:hAnsi="휴먼명조" w:cs="휴먼명조"/>
          <w:b/>
          <w:sz w:val="22"/>
          <w:w w:val="97"/>
        </w:rPr>
        <w:t>(3) Confounding of effective training volume in Phase 3.</w:t>
      </w:r>
      <w:r>
        <w:rPr>
          <w:rFonts w:ascii="휴먼명조" w:eastAsia="휴먼명조" w:hAnsi="휴먼명조" w:cs="휴먼명조"/>
          <w:b w:val="0"/>
          <w:sz w:val="22"/>
          <w:w w:val="97"/>
        </w:rPr>
        <w:t xml:space="preserve"> Phase 3 sought to control training volume by fixing max_steps=200 for all trials, but </w:t>
      </w:r>
      <w:r>
        <w:rPr>
          <w:rFonts w:ascii="휴먼명조" w:eastAsia="휴먼명조" w:hAnsi="휴먼명조" w:cs="휴먼명조"/>
          <w:b/>
          <w:sz w:val="22"/>
          <w:w w:val="97"/>
        </w:rPr>
        <w:t>fixing the number of steps did not fix the number of training samples actually seen.</w:t>
      </w:r>
      <w:r>
        <w:rPr>
          <w:rFonts w:ascii="휴먼명조" w:eastAsia="휴먼명조" w:hAnsi="휴먼명조" w:cs="휴먼명조"/>
          <w:b w:val="0"/>
          <w:sz w:val="22"/>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sz w:val="22"/>
          <w:w w:val="97"/>
        </w:rPr>
        <w:t>a factor of about 16</w:t>
      </w:r>
      <w:r>
        <w:rPr>
          <w:rFonts w:ascii="휴먼명조" w:eastAsia="휴먼명조" w:hAnsi="휴먼명조" w:cs="휴먼명조"/>
          <w:b w:val="0"/>
          <w:sz w:val="22"/>
          <w:w w:val="97"/>
        </w:rPr>
        <w:t>.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Autoresearch were, however, both batch 4 × grad_accum 16 (12,800 samples), so the difference between these two strategies — the comparison central to RQ3 — is not explained by this confound. Since results.tsv records batch_size, grad_accum_steps, and max_steps for every trial, effective training volume can be computed post hoc, though the value itself was not reported as a column.</w:t>
      </w:r>
    </w:p>
    <w:p>
      <w:pPr>
        <w:spacing w:line="384" w:lineRule="auto" w:after="0"/>
        <w:ind w:firstLine="220"/>
        <w:jc w:val="both"/>
      </w:pPr>
      <w:r>
        <w:rPr>
          <w:rFonts w:ascii="휴먼명조" w:eastAsia="휴먼명조" w:hAnsi="휴먼명조" w:cs="휴먼명조"/>
          <w:b/>
          <w:sz w:val="22"/>
          <w:w w:val="97"/>
        </w:rPr>
        <w:t>(4) Non-determinism of the LLM agent.</w:t>
      </w:r>
      <w:r>
        <w:rPr>
          <w:rFonts w:ascii="휴먼명조" w:eastAsia="휴먼명조" w:hAnsi="휴먼명조" w:cs="휴먼명조"/>
          <w:b w:val="0"/>
          <w:sz w:val="22"/>
          <w:w w:val="97"/>
        </w:rPr>
        <w:t xml:space="preserve"> Because Autoresearch depends on an external LLM API, complete reproducibility is not guaranteed. This study fixed temperature = 0 (verified in the records of all trials) and absorbed variability through 10 independent repeats, but the possibility of results changing due to model updates on the API side lies outside its control.</w:t>
      </w:r>
    </w:p>
    <w:p>
      <w:pPr>
        <w:spacing w:line="384" w:lineRule="auto" w:after="0"/>
        <w:ind w:firstLine="220"/>
        <w:jc w:val="both"/>
      </w:pPr>
      <w:r>
        <w:rPr>
          <w:rFonts w:ascii="휴먼명조" w:eastAsia="휴먼명조" w:hAnsi="휴먼명조" w:cs="휴먼명조"/>
          <w:b/>
          <w:sz w:val="22"/>
          <w:w w:val="97"/>
        </w:rPr>
        <w:t>(5) Limited generalizability of the ablation results.</w:t>
      </w:r>
      <w:r>
        <w:rPr>
          <w:rFonts w:ascii="휴먼명조" w:eastAsia="휴먼명조" w:hAnsi="휴먼명조" w:cs="휴먼명조"/>
          <w:b w:val="0"/>
          <w:sz w:val="22"/>
          <w:w w:val="97"/>
        </w:rPr>
        <w:t xml:space="preserve"> Ablations A, B, and C in Phase 2 were all conducted under the single condition of PathVQA and Qwen3-VL-2B (Sections 4.2.2-4.2.4). The supplementary rank verification on SLAKE planned at the design stage </w:t>
      </w:r>
      <w:r>
        <w:rPr>
          <w:rFonts w:ascii="휴먼명조" w:eastAsia="휴먼명조" w:hAnsi="휴먼명조" w:cs="휴먼명조"/>
          <w:b/>
          <w:sz w:val="22"/>
          <w:w w:val="97"/>
        </w:rPr>
        <w:t>could not be carried out</w:t>
      </w:r>
      <w:r>
        <w:rPr>
          <w:rFonts w:ascii="휴먼명조" w:eastAsia="휴먼명조" w:hAnsi="휴먼명조" w:cs="휴먼명조"/>
          <w:b w:val="0"/>
          <w:sz w:val="22"/>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pPr>
        <w:spacing w:line="384" w:lineRule="auto" w:after="0"/>
        <w:ind w:firstLine="220"/>
        <w:jc w:val="both"/>
      </w:pPr>
      <w:r>
        <w:rPr>
          <w:rFonts w:ascii="휴먼명조" w:eastAsia="휴먼명조" w:hAnsi="휴먼명조" w:cs="휴먼명조"/>
          <w:b/>
          <w:sz w:val="22"/>
          <w:w w:val="97"/>
        </w:rPr>
        <w:t>(6) Limits of statistical power.</w:t>
      </w:r>
      <w:r>
        <w:rPr>
          <w:rFonts w:ascii="휴먼명조" w:eastAsia="휴먼명조" w:hAnsi="휴먼명조" w:cs="휴먼명조"/>
          <w:b w:val="0"/>
          <w:sz w:val="22"/>
          <w:w w:val="97"/>
        </w:rPr>
        <w:t xml:space="preserve"> The test of the fine-tuning effect in Phase 2 has n = 9 (3 datasets × 3 seeds), and the run-level test in Phase 3 has n = 10 per strategy. Robustness was secured through triple verification (BCa bootstrap, mixed-effects, Wilcoxon) and a repeated run-level design, but the sample sizes themselves make the confidence intervals for effect sizes wide (for example, a Cohen's d 95% CI spanning [0.932, 3.153] in Section 4.2.1).</w:t>
      </w:r>
    </w:p>
    <w:p>
      <w:pPr>
        <w:spacing w:line="384" w:lineRule="auto" w:after="0"/>
        <w:ind w:firstLine="220"/>
        <w:jc w:val="both"/>
      </w:pPr>
      <w:r>
        <w:rPr>
          <w:rFonts w:ascii="휴먼명조" w:eastAsia="휴먼명조" w:hAnsi="휴먼명조" w:cs="휴먼명조"/>
          <w:b/>
          <w:sz w:val="22"/>
          <w:w w:val="97"/>
        </w:rPr>
        <w:t>(7) Indirectness of the clinical significance evaluation.</w:t>
      </w:r>
      <w:r>
        <w:rPr>
          <w:rFonts w:ascii="휴먼명조" w:eastAsia="휴먼명조" w:hAnsi="휴먼명조" w:cs="휴먼명조"/>
          <w:b w:val="0"/>
          <w:sz w:val="22"/>
          <w:w w:val="97"/>
        </w:rPr>
        <w:t xml:space="preserve"> The per-question-type weights of Weighted Clinical Accuracy (WCA) are a provisional scale assigned by the researcher without external clinical literature or expert consensus (Section 3.8.3) and cannot be interpreted as an absolute scale of clinical importance. Expected Calibration Error (ECE) could not be computed because the current evaluation pipeline does not store per-sample confidence. Moreover, since Phase 3 did not perform a decomposition by question type, the possibility raised in Section 4.4.4 — that accuracy gains were concentrated in types of low clinical value — remains an unverified interpretation.</w:t>
      </w:r>
    </w:p>
    <w:p>
      <w:pPr>
        <w:spacing w:line="384" w:lineRule="auto" w:after="0"/>
        <w:ind w:firstLine="220"/>
        <w:jc w:val="both"/>
      </w:pPr>
      <w:r>
        <w:rPr>
          <w:rFonts w:ascii="휴먼명조" w:eastAsia="휴먼명조" w:hAnsi="휴먼명조" w:cs="휴먼명조"/>
          <w:b/>
          <w:sz w:val="22"/>
          <w:w w:val="97"/>
        </w:rPr>
        <w:t>(8) Internal inconsistencies in the autonomous agent's configuration.</w:t>
      </w:r>
      <w:r>
        <w:rPr>
          <w:rFonts w:ascii="휴먼명조" w:eastAsia="휴먼명조" w:hAnsi="휴먼명조" w:cs="휴먼명조"/>
          <w:b w:val="0"/>
          <w:sz w:val="22"/>
          <w:w w:val="97"/>
        </w:rPr>
        <w:t xml:space="preserve"> The most serious limitation identified post hoc is that the Autoresearch condition contains the following three configuration inconsistencies. These are stated explicitly because they prevent the negative result of Section 4.3 from being generalized as an "intrinsic limitation of LLM agents."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The prompt forbade the production of search rationales.</w:t>
      </w:r>
      <w:r>
        <w:rPr>
          <w:rFonts w:ascii="휴먼명조" w:eastAsia="휴먼명조" w:hAnsi="휴먼명조" w:cs="휴먼명조"/>
          <w:b w:val="0"/>
          <w:sz w:val="22"/>
          <w:w w:val="97"/>
        </w:rPr>
        <w:t xml:space="preserve"> The system prompt (Appendix A)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The search schedule conflicts with the actual budget.</w:t>
      </w:r>
      <w:r>
        <w:rPr>
          <w:rFonts w:ascii="휴먼명조" w:eastAsia="휴먼명조" w:hAnsi="휴먼명조" w:cs="휴먼명조"/>
          <w:b w:val="0"/>
          <w:sz w:val="22"/>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sz w:val="22"/>
          <w:w w:val="97"/>
        </w:rPr>
        <w:t>the late refinement stage never triggered and roughly 75% of the budget was spent in the interval instructed to "vary only around the best configuration."</w:t>
      </w:r>
      <w:r>
        <w:rPr>
          <w:rFonts w:ascii="휴먼명조" w:eastAsia="휴먼명조" w:hAnsi="휴먼명조" w:cs="휴먼명조"/>
          <w:b w:val="0"/>
          <w:sz w:val="22"/>
          <w:w w:val="97"/>
        </w:rPr>
        <w:t xml:space="preserve"> The duplicate proposals observed in Section 4.3.4 (12.5 of 20 unique configurations) may therefore be the result of faithfully following this instruction rather than a failure of the agent's judgement. The stage-transition logic on the code side (src/autoresearch/agent.py) is based on progress ratios (0.25/0.75) and so adapts to the budget, but the prompt text does not, and the two diverge.</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Ineffective parameters were presented as search targets.</w:t>
      </w:r>
      <w:r>
        <w:rPr>
          <w:rFonts w:ascii="휴먼명조" w:eastAsia="휴먼명조" w:hAnsi="휴먼명조" w:cs="휴먼명조"/>
          <w:b w:val="0"/>
          <w:sz w:val="22"/>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B); these were accurate diagnoses, but the corresponding adjustment lever never worked in the first place.</w:t>
      </w:r>
    </w:p>
    <w:p>
      <w:pPr>
        <w:spacing w:line="384" w:lineRule="auto" w:after="0"/>
        <w:ind w:firstLine="220"/>
        <w:jc w:val="both"/>
      </w:pPr>
      <w:r>
        <w:rPr>
          <w:rFonts w:ascii="휴먼명조" w:eastAsia="휴먼명조" w:hAnsi="휴먼명조" w:cs="휴먼명조"/>
          <w:b w:val="0"/>
          <w:sz w:val="22"/>
          <w:w w:val="97"/>
        </w:rPr>
        <w:t xml:space="preserve">All three items apply only to the Autoresearch condition and not to the Random or Optuna conditions. The comparison in Section 4.3.1 must therefore be interpreted narrowly as </w:t>
      </w:r>
      <w:r>
        <w:rPr>
          <w:rFonts w:ascii="휴먼명조" w:eastAsia="휴먼명조" w:hAnsi="휴먼명조" w:cs="휴먼명조"/>
          <w:b/>
          <w:sz w:val="22"/>
          <w:w w:val="97"/>
        </w:rPr>
        <w:t>"a comparison between an agent operated with this prompt configuration and existing algorithms"</w:t>
      </w:r>
      <w:r>
        <w:rPr>
          <w:rFonts w:ascii="휴먼명조" w:eastAsia="휴먼명조" w:hAnsi="휴먼명조" w:cs="휴먼명조"/>
          <w:b w:val="0"/>
          <w:sz w:val="22"/>
          <w:w w:val="97"/>
        </w:rPr>
        <w:t xml:space="preserve"> rather than as "an algorithm comparison over an identical search space."</w:t>
      </w:r>
    </w:p>
    <w:p>
      <w:pPr>
        <w:spacing w:line="384" w:lineRule="auto" w:after="0"/>
        <w:ind w:firstLine="220"/>
        <w:jc w:val="both"/>
      </w:pPr>
      <w:r>
        <w:rPr>
          <w:rFonts w:ascii="휴먼명조" w:eastAsia="휴먼명조" w:hAnsi="휴먼명조" w:cs="휴먼명조"/>
          <w:b/>
          <w:sz w:val="22"/>
          <w:w w:val="97"/>
        </w:rPr>
        <w:t>(9) Absence of multiple-comparison correction.</w:t>
      </w:r>
      <w:r>
        <w:rPr>
          <w:rFonts w:ascii="휴먼명조" w:eastAsia="휴먼명조" w:hAnsi="휴먼명조" w:cs="휴먼명조"/>
          <w:b w:val="0"/>
          <w:sz w:val="22"/>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sz w:val="22"/>
          <w:w w:val="97"/>
        </w:rPr>
        <w:t>Bonferroni correction was applied only to the McNemar post-hoc tests in Phase 1; no integrated multiple-comparison correction spanning the whole pipeline was applied.</w:t>
      </w:r>
      <w:r>
        <w:rPr>
          <w:rFonts w:ascii="휴먼명조" w:eastAsia="휴먼명조" w:hAnsi="휴먼명조" w:cs="휴먼명조"/>
          <w:b w:val="0"/>
          <w:sz w:val="22"/>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however, supported not by single p-values but by triple verification (Phase 2) or non-overlapping confidence intervals (Phase 3, Section 4.3.1), so the possibility that the absence of correction reverses a conclusion is limited. Pipeline-level FDR correction is left as future analytical work.</w:t>
      </w:r>
    </w:p>
    <w:p>
      <w:pPr>
        <w:spacing w:line="384" w:lineRule="auto" w:after="0"/>
        <w:ind w:firstLine="220"/>
        <w:jc w:val="both"/>
      </w:pPr>
      <w:r>
        <w:rPr>
          <w:rFonts w:ascii="휴먼명조" w:eastAsia="휴먼명조" w:hAnsi="휴먼명조" w:cs="휴먼명조"/>
          <w:b/>
          <w:sz w:val="22"/>
          <w:w w:val="97"/>
        </w:rPr>
        <w:t>(10) The nature of the cross-dataset results.</w:t>
      </w:r>
      <w:r>
        <w:rPr>
          <w:rFonts w:ascii="휴먼명조" w:eastAsia="휴먼명조" w:hAnsi="휴먼명조" w:cs="휴먼명조"/>
          <w:b w:val="0"/>
          <w:sz w:val="22"/>
          <w:w w:val="97"/>
        </w:rPr>
        <w:t xml:space="preserve"> The cross-dataset performance change in Section 4.2.5(B) is not catastrophic forgetting in the strict sense (the phenomenon of losing an ability possessed before fine-tuning). Because PathVQA (pathology tissue) and SLAKE/VQA-RAD (radiology) differ in image domain itself, this metric is closer to </w:t>
      </w:r>
      <w:r>
        <w:rPr>
          <w:rFonts w:ascii="휴먼명조" w:eastAsia="휴먼명조" w:hAnsi="휴먼명조" w:cs="휴먼명조"/>
          <w:b/>
          <w:sz w:val="22"/>
          <w:w w:val="97"/>
        </w:rPr>
        <w:t>a domain generalization gap predictable from domain specialization</w:t>
      </w:r>
      <w:r>
        <w:rPr>
          <w:rFonts w:ascii="휴먼명조" w:eastAsia="휴먼명조" w:hAnsi="휴먼명조" w:cs="휴먼명조"/>
          <w:b w:val="0"/>
          <w:sz w:val="22"/>
          <w:w w:val="97"/>
        </w:rPr>
        <w:t>. The thesis states this explicitly in Section 4.2.5, and strict determination of catastrophic forgetting is confined to interpretation of the (A) VQAv2 metric.</w:t>
      </w:r>
    </w:p>
    <w:p>
      <w:pPr>
        <w:spacing w:line="384" w:lineRule="auto" w:after="0"/>
        <w:ind w:firstLine="220"/>
        <w:jc w:val="both"/>
      </w:pPr>
      <w:r>
        <w:rPr>
          <w:rFonts w:ascii="휴먼명조" w:eastAsia="휴먼명조" w:hAnsi="휴먼명조" w:cs="휴먼명조"/>
          <w:b/>
          <w:sz w:val="22"/>
          <w:w w:val="97"/>
        </w:rPr>
        <w:t>(11) Architectural heterogeneity of Gemma4-E2B.</w:t>
      </w:r>
      <w:r>
        <w:rPr>
          <w:rFonts w:ascii="휴먼명조" w:eastAsia="휴먼명조" w:hAnsi="휴먼명조" w:cs="휴먼명조"/>
          <w:b w:val="0"/>
          <w:sz w:val="22"/>
          <w:w w:val="97"/>
        </w:rPr>
        <w:t xml:space="preserve"> Of the four models evaluated, </w:t>
      </w:r>
      <w:r>
        <w:rPr>
          <w:rFonts w:ascii="휴먼명조" w:eastAsia="휴먼명조" w:hAnsi="휴먼명조" w:cs="휴먼명조"/>
          <w:b/>
          <w:sz w:val="22"/>
          <w:w w:val="97"/>
        </w:rPr>
        <w:t>only Gemma4-E2B has a Mixture-of-Experts (MoE) structure</w:t>
      </w:r>
      <w:r>
        <w:rPr>
          <w:rFonts w:ascii="휴먼명조" w:eastAsia="휴먼명조" w:hAnsi="휴먼명조" w:cs="휴먼명조"/>
          <w:b w:val="0"/>
          <w:sz w:val="22"/>
          <w:w w:val="97"/>
        </w:rPr>
        <w:t xml:space="preserve">, activating 2.3B at inference while its stored parameters reach 5.1B (Section 3.3). The other three are dense structures whose active and total parameters coincide. Since this study's "lightweight VLM" selection criterion took </w:t>
      </w:r>
      <w:r>
        <w:rPr>
          <w:rFonts w:ascii="휴먼명조" w:eastAsia="휴먼명조" w:hAnsi="휴먼명조" w:cs="휴먼명조"/>
          <w:b/>
          <w:sz w:val="22"/>
          <w:w w:val="97"/>
        </w:rPr>
        <w:t>active parameters</w:t>
      </w:r>
      <w:r>
        <w:rPr>
          <w:rFonts w:ascii="휴먼명조" w:eastAsia="휴먼명조" w:hAnsi="휴먼명조" w:cs="휴먼명조"/>
          <w:b w:val="0"/>
          <w:sz w:val="22"/>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sz w:val="22"/>
          <w:w w:val="97"/>
        </w:rPr>
        <w:t>must not be extended into a scale comparison on a stored-parameter basis</w:t>
      </w:r>
      <w:r>
        <w:rPr>
          <w:rFonts w:ascii="휴먼명조" w:eastAsia="휴먼명조" w:hAnsi="휴먼명조" w:cs="휴먼명조"/>
          <w:b w:val="0"/>
          <w:sz w:val="22"/>
          <w:w w:val="97"/>
        </w:rPr>
        <w:t xml:space="preserve"> — by stored parameters Gemma4-E2B is the largest model, so its last-place performance may equally be read as "the largest stored scale ranked last." The conclusion of Section 4.4.2 (non-monotonicity with respect to active parameters and VRAM) holds, but the axis of interpretation must be stated.</w:t>
      </w:r>
    </w:p>
    <w:p>
      <w:pPr>
        <w:spacing w:line="384" w:lineRule="auto" w:after="0"/>
        <w:ind w:firstLine="220"/>
        <w:jc w:val="both"/>
      </w:pPr>
      <w:r>
        <w:rPr>
          <w:rFonts w:ascii="휴먼명조" w:eastAsia="휴먼명조" w:hAnsi="휴먼명조" w:cs="휴먼명조"/>
          <w:b/>
          <w:sz w:val="22"/>
          <w:w w:val="97"/>
        </w:rPr>
        <w:t>(12) Structural constraint of the training-budget ceiling (max_steps cap).</w:t>
      </w:r>
      <w:r>
        <w:rPr>
          <w:rFonts w:ascii="휴먼명조" w:eastAsia="휴먼명조" w:hAnsi="휴먼명조" w:cs="휴먼명조"/>
          <w:b w:val="0"/>
          <w:sz w:val="22"/>
          <w:w w:val="97"/>
        </w:rPr>
        <w:t xml:space="preserve"> Phase 2 applied a ceiling of max_steps=500 because of GPU time constraints (Section 3.6), which </w:t>
      </w:r>
      <w:r>
        <w:rPr>
          <w:rFonts w:ascii="휴먼명조" w:eastAsia="휴먼명조" w:hAnsi="휴먼명조" w:cs="휴먼명조"/>
          <w:b/>
          <w:sz w:val="22"/>
          <w:w w:val="97"/>
        </w:rPr>
        <w:t>fixes training volume regardless of dataset size</w:t>
      </w:r>
      <w:r>
        <w:rPr>
          <w:rFonts w:ascii="휴먼명조" w:eastAsia="휴먼명조" w:hAnsi="휴먼명조" w:cs="휴먼명조"/>
          <w:b w:val="0"/>
          <w:sz w:val="22"/>
          <w:w w:val="97"/>
        </w:rPr>
        <w:t>. Consequently the small VQA-RAD is trained for roughly 2 epochs or more while the large PathVQA does not reach 1 epoch. The dataset-level performance gaps observed in Sections 4.2 and 4.4.6 may therefore partly reflect this difference in effective training volume; in particular, the interpretation in Section 4.4.6 of the PathVQA and VQA-RAD gap in terms of "task specialization" cannot exclude the alternative explanation of differing training budgets. Full-epoch retraining per dataset is left as follow-up work.</w:t>
      </w:r>
    </w:p>
    <w:p>
      <w:pPr>
        <w:spacing w:line="384" w:lineRule="auto" w:after="0"/>
        <w:ind w:firstLine="220"/>
        <w:jc w:val="both"/>
      </w:pPr>
      <w:r>
        <w:rPr>
          <w:rFonts w:ascii="휴먼명조" w:eastAsia="휴먼명조" w:hAnsi="휴먼명조" w:cs="휴먼명조"/>
          <w:b/>
          <w:sz w:val="22"/>
          <w:w w:val="97"/>
        </w:rPr>
        <w:t>(13) Impact of the reduced Phase 3 search budget.</w:t>
      </w:r>
      <w:r>
        <w:rPr>
          <w:rFonts w:ascii="휴먼명조" w:eastAsia="휴먼명조" w:hAnsi="휴먼명조" w:cs="휴먼명조"/>
          <w:b w:val="0"/>
          <w:sz w:val="22"/>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sz w:val="22"/>
          <w:w w:val="97"/>
        </w:rPr>
        <w:t>halving the number of hyperparameter combinations each strategy could explore may have led to an underestimate of attainable performance relative to the original design</w:t>
      </w:r>
      <w:r>
        <w:rPr>
          <w:rFonts w:ascii="휴먼명조" w:eastAsia="휴먼명조" w:hAnsi="휴먼명조" w:cs="휴먼명조"/>
          <w:b w:val="0"/>
          <w:sz w:val="22"/>
          <w:w w:val="97"/>
        </w:rPr>
        <w:t>. This impact is expected to be larger for sequential optimization strategies (Optuna, Autoresearch), and indeed a substantial number of Autoresearch runs were still improving when the budget was exhausted (Section 4.3.3).</w:t>
      </w:r>
    </w:p>
    <w:p>
      <w:pPr>
        <w:spacing w:line="384" w:lineRule="auto" w:after="0"/>
        <w:ind w:firstLine="220"/>
        <w:jc w:val="both"/>
      </w:pPr>
      <w:r>
        <w:rPr>
          <w:rFonts w:ascii="휴먼명조" w:eastAsia="휴먼명조" w:hAnsi="휴먼명조" w:cs="휴먼명조"/>
          <w:b/>
          <w:sz w:val="22"/>
          <w:w w:val="97"/>
        </w:rPr>
        <w:t>(14) Absence of verification on actual 16GB hardware.</w:t>
      </w:r>
      <w:r>
        <w:rPr>
          <w:rFonts w:ascii="휴먼명조" w:eastAsia="휴먼명조" w:hAnsi="휴먼명조" w:cs="휴먼명조"/>
          <w:b w:val="0"/>
          <w:sz w:val="22"/>
          <w:w w:val="97"/>
        </w:rPr>
        <w:t xml:space="preserve"> This study set out to demonstrate "domain adaptation on consumer-grade GPUs," yet all execution took place on 24GB cards (RTX 4090 for Phases 1-2, RTX 3090 for Phase 3; Section 3.2.1). Feasibility in the 16GB class was </w:t>
      </w:r>
      <w:r>
        <w:rPr>
          <w:rFonts w:ascii="휴먼명조" w:eastAsia="휴먼명조" w:hAnsi="휴먼명조" w:cs="휴먼명조"/>
          <w:b/>
          <w:sz w:val="22"/>
          <w:w w:val="97"/>
        </w:rPr>
        <w:t>inferred</w:t>
      </w:r>
      <w:r>
        <w:rPr>
          <w:rFonts w:ascii="휴먼명조" w:eastAsia="휴먼명조" w:hAnsi="휴먼명조" w:cs="휴먼명조"/>
          <w:b w:val="0"/>
          <w:sz w:val="22"/>
          <w:w w:val="97"/>
        </w:rPr>
        <w:t xml:space="preserve"> from the fact that measured peak VRAM (at most 14,373MB during Phase 2 training) falls within the 16GB limit; it was not verified by running directly on a 16GB card. In a real 16GB environment, usable VRAM is smaller than the nominal capacity because of the OS and display output, and fragmentation behaves differently, so an out-of-memory risk cannot be excluded for Gemma4-E2B in particular, whose headroom is under 2GB. The other three models (4,015-7,943MB) have ample margin. Reproduction on actual 16GB hardware is left as follow-up work.</w:t>
      </w:r>
    </w:p>
    <w:p>
      <w:pPr>
        <w:spacing w:line="384" w:lineRule="auto" w:after="0"/>
        <w:jc w:val="left"/>
        <w:outlineLvl w:val="1"/>
      </w:pPr>
      <w:r>
        <w:rPr>
          <w:rFonts w:ascii="휴먼명조" w:eastAsia="휴먼명조" w:hAnsi="휴먼명조" w:cs="휴먼명조"/>
          <w:b/>
          <w:sz w:val="28"/>
          <w:w w:val="97"/>
        </w:rPr>
        <w:t>5.4 Directions for Future Research</w:t>
      </w:r>
    </w:p>
    <w:p>
      <w:pPr>
        <w:spacing w:line="384" w:lineRule="auto" w:after="0"/>
        <w:ind w:firstLine="220"/>
        <w:jc w:val="both"/>
      </w:pPr>
      <w:r>
        <w:rPr>
          <w:rFonts w:ascii="휴먼명조" w:eastAsia="휴먼명조" w:hAnsi="휴먼명조" w:cs="휴먼명조"/>
          <w:b/>
          <w:sz w:val="22"/>
          <w:w w:val="97"/>
        </w:rPr>
        <w:t>First, autonomous HPO should be re-verified with an expanded search budget.</w:t>
      </w:r>
      <w:r>
        <w:rPr>
          <w:rFonts w:ascii="휴먼명조" w:eastAsia="휴먼명조" w:hAnsi="휴먼명조" w:cs="휴먼명조"/>
          <w:b w:val="0"/>
          <w:sz w:val="22"/>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reverses at a scale of 40-100 trials is a question this study cannot answer.</w:t>
      </w:r>
    </w:p>
    <w:p>
      <w:pPr>
        <w:spacing w:line="384" w:lineRule="auto" w:after="0"/>
        <w:ind w:firstLine="220"/>
        <w:jc w:val="both"/>
      </w:pPr>
      <w:r>
        <w:rPr>
          <w:rFonts w:ascii="휴먼명조" w:eastAsia="휴먼명조" w:hAnsi="휴먼명조" w:cs="휴먼명조"/>
          <w:b/>
          <w:sz w:val="22"/>
          <w:w w:val="97"/>
        </w:rPr>
        <w:t>Second, autonomous HPO should be re-evaluated with the configuration inconsistencies removed.</w:t>
      </w:r>
      <w:r>
        <w:rPr>
          <w:rFonts w:ascii="휴먼명조" w:eastAsia="휴먼명조" w:hAnsi="휴먼명조" w:cs="휴먼명조"/>
          <w:b w:val="0"/>
          <w:sz w:val="22"/>
          <w:w w:val="97"/>
        </w:rPr>
        <w:t xml:space="preserve"> The three inconsistencies identified in Section 5.3(8) — prohibition of rationale production, a search schedule keyed to absolute trial numbers, and exposure of an ineffective parameter (epochs) — are all matters of consistency between prompt and implementation and are therefore correctable. Only after they are corrected can a fair answer be obtained to the question of whether an LLM agent can compete with Bayesian optimization. It is also worth examining the introduction of an explicit constraint that avoids configurations already tried, together with a decision criterion that distinguishes stochastic variation across re-runs from genuine improvement (see the noise scale in Section 4.4.7). This study proposes such improvements without verifying them.</w:t>
      </w:r>
    </w:p>
    <w:p>
      <w:pPr>
        <w:spacing w:line="384" w:lineRule="auto" w:after="0"/>
        <w:ind w:firstLine="220"/>
        <w:jc w:val="both"/>
      </w:pPr>
      <w:r>
        <w:rPr>
          <w:rFonts w:ascii="휴먼명조" w:eastAsia="휴먼명조" w:hAnsi="휴먼명조" w:cs="휴먼명조"/>
          <w:b/>
          <w:sz w:val="22"/>
          <w:w w:val="97"/>
        </w:rPr>
        <w:t>Third, improving open-ended response performance is the most urgent task.</w:t>
      </w:r>
      <w:r>
        <w:rPr>
          <w:rFonts w:ascii="휴먼명조" w:eastAsia="휴먼명조" w:hAnsi="휴먼명조" w:cs="휴먼명조"/>
          <w:b w:val="0"/>
          <w:sz w:val="22"/>
          <w:w w:val="97"/>
        </w:rPr>
        <w:t xml:space="preserve"> Even with both fine-tuning and hyperparameter optimization applied, open accuracy did not exceed 20% of closed accuracy (Section 4.4.4), and the clinically important diagnosis and description types are concentrated there. Redesign of the training objective or evaluation metric to target generative responses themselves is required.</w:t>
      </w:r>
    </w:p>
    <w:p>
      <w:pPr>
        <w:spacing w:line="384" w:lineRule="auto" w:after="0"/>
        <w:ind w:firstLine="220"/>
        <w:jc w:val="both"/>
      </w:pPr>
      <w:r>
        <w:rPr>
          <w:rFonts w:ascii="휴먼명조" w:eastAsia="휴먼명조" w:hAnsi="휴먼명조" w:cs="휴먼명조"/>
          <w:b/>
          <w:sz w:val="22"/>
          <w:w w:val="97"/>
        </w:rPr>
        <w:t>Fourth, a re-experiment controlling effective training volume is needed.</w:t>
      </w:r>
      <w:r>
        <w:rPr>
          <w:rFonts w:ascii="휴먼명조" w:eastAsia="휴먼명조" w:hAnsi="휴먼명조" w:cs="휴먼명조"/>
          <w:b w:val="0"/>
          <w:sz w:val="22"/>
          <w:w w:val="97"/>
        </w:rPr>
        <w:t xml:space="preserve"> Eliminating the 16-fold difference identified in Section 5.3(3) requires fixing the total number of training samples instead of max_steps, or including effective training volume as a covariate in the analysis.</w:t>
      </w:r>
    </w:p>
    <w:p>
      <w:pPr>
        <w:spacing w:line="384" w:lineRule="auto" w:after="0"/>
        <w:ind w:firstLine="220"/>
        <w:jc w:val="both"/>
      </w:pPr>
      <w:r>
        <w:rPr>
          <w:rFonts w:ascii="휴먼명조" w:eastAsia="휴먼명조" w:hAnsi="휴먼명조" w:cs="휴먼명조"/>
          <w:b/>
          <w:sz w:val="22"/>
          <w:w w:val="97"/>
        </w:rPr>
        <w:t>Fifth, comparison with medical-specialized VLMs under an identical protocol and the establishment of a clinically validated evaluation scheme are needed.</w:t>
      </w:r>
      <w:r>
        <w:rPr>
          <w:rFonts w:ascii="휴먼명조" w:eastAsia="휴먼명조" w:hAnsi="휴먼명조" w:cs="휴먼명조"/>
          <w:b w:val="0"/>
          <w:sz w:val="22"/>
          <w:w w:val="97"/>
        </w:rPr>
        <w:t xml:space="preserve"> The absent comparison in Section 5.3(2) and the provisional WCA weights and uncomputed ECE in Section 5.3(7) are all items to be resolved in follow-up research.</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References</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list contains only works actually cited in the text. The authors, venue, volume, pages, and DOI of each entry were verified in August 2026 against the original sources (arXiv abstract pages, official publisher pages, and PubMed bibliographic records).</w:t>
      </w:r>
    </w:p>
    <w:p>
      <w:pPr>
        <w:spacing w:line="384" w:lineRule="auto" w:after="0"/>
        <w:ind w:firstLine="220"/>
        <w:jc w:val="both"/>
      </w:pPr>
      <w:r>
        <w:rPr>
          <w:rFonts w:ascii="휴먼명조" w:eastAsia="휴먼명조" w:hAnsi="휴먼명조" w:cs="휴먼명조"/>
          <w:b/>
          <w:sz w:val="22"/>
          <w:w w:val="97"/>
        </w:rPr>
        <w:t>Parameter-Efficient Fine-Tuning</w:t>
      </w:r>
    </w:p>
    <w:p>
      <w:pPr>
        <w:spacing w:line="384" w:lineRule="auto" w:after="0"/>
        <w:ind w:firstLine="220"/>
        <w:jc w:val="both"/>
      </w:pPr>
      <w:r>
        <w:rPr>
          <w:rFonts w:ascii="휴먼명조" w:eastAsia="휴먼명조" w:hAnsi="휴먼명조" w:cs="휴먼명조"/>
          <w:b w:val="0"/>
          <w:sz w:val="22"/>
          <w:w w:val="97"/>
        </w:rPr>
        <w:t>1. Hu, E. J., Shen, Y., Wallis, P., Allen-Zhu, Z., Li, Y., Wang, S., Wang, L., &amp; Chen, W. "LoRA: Low-Rank Adaptation of Large Language Models." *International Conference on Learning Representations (ICLR)*, 2022. arXiv:2106.09685. (OpenReview: nZeVKeeFYf9)</w:t>
      </w:r>
    </w:p>
    <w:p>
      <w:pPr>
        <w:spacing w:line="384" w:lineRule="auto" w:after="0"/>
        <w:ind w:firstLine="220"/>
        <w:jc w:val="both"/>
      </w:pPr>
      <w:r>
        <w:rPr>
          <w:rFonts w:ascii="휴먼명조" w:eastAsia="휴먼명조" w:hAnsi="휴먼명조" w:cs="휴먼명조"/>
          <w:b w:val="0"/>
          <w:sz w:val="22"/>
          <w:w w:val="97"/>
        </w:rPr>
        <w:t>2. Dettmers, T., Pagnoni, A., Holtzman, A., &amp; Zettlemoyer, L. "QLoRA: Efficient Finetuning of Quantized LLMs." *Advances in Neural Information Processing Systems (NeurIPS)*, 2023 (Oral). arXiv:2305.14314.</w:t>
      </w:r>
    </w:p>
    <w:p>
      <w:pPr>
        <w:spacing w:line="384" w:lineRule="auto" w:after="0"/>
        <w:ind w:firstLine="220"/>
        <w:jc w:val="both"/>
      </w:pPr>
      <w:r>
        <w:rPr>
          <w:rFonts w:ascii="휴먼명조" w:eastAsia="휴먼명조" w:hAnsi="휴먼명조" w:cs="휴먼명조"/>
          <w:b/>
          <w:sz w:val="22"/>
          <w:w w:val="97"/>
        </w:rPr>
        <w:t>Vision-Language Models</w:t>
      </w:r>
    </w:p>
    <w:p>
      <w:pPr>
        <w:spacing w:line="384" w:lineRule="auto" w:after="0"/>
        <w:ind w:firstLine="220"/>
        <w:jc w:val="both"/>
      </w:pPr>
      <w:r>
        <w:rPr>
          <w:rFonts w:ascii="휴먼명조" w:eastAsia="휴먼명조" w:hAnsi="휴먼명조" w:cs="휴먼명조"/>
          <w:b w:val="0"/>
          <w:sz w:val="22"/>
          <w:w w:val="97"/>
        </w:rPr>
        <w:t>3. Liu, H., Li, C., Wu, Q., &amp; Lee, Y. J. "Visual Instruction Tuning." *Advances in Neural Information Processing Systems (NeurIPS)*, 2023 (Oral). arXiv:2304.08485.</w:t>
      </w:r>
    </w:p>
    <w:p>
      <w:pPr>
        <w:spacing w:line="384" w:lineRule="auto" w:after="0"/>
        <w:ind w:firstLine="220"/>
        <w:jc w:val="both"/>
      </w:pPr>
      <w:r>
        <w:rPr>
          <w:rFonts w:ascii="휴먼명조" w:eastAsia="휴먼명조" w:hAnsi="휴먼명조" w:cs="휴먼명조"/>
          <w:b w:val="0"/>
          <w:sz w:val="22"/>
          <w:w w:val="97"/>
        </w:rPr>
        <w:t>4. Bai, S., Chen, K., et al. (Qwen Team, Alibaba Group). "Qwen2.5-VL Technical Report." arXiv:2502.13923, 2025. (27 co-authors; technical report, no conference version)</w:t>
      </w:r>
    </w:p>
    <w:p>
      <w:pPr>
        <w:spacing w:line="384" w:lineRule="auto" w:after="0"/>
        <w:ind w:firstLine="220"/>
        <w:jc w:val="both"/>
      </w:pPr>
      <w:r>
        <w:rPr>
          <w:rFonts w:ascii="휴먼명조" w:eastAsia="휴먼명조" w:hAnsi="휴먼명조" w:cs="휴먼명조"/>
          <w:b w:val="0"/>
          <w:sz w:val="22"/>
          <w:w w:val="97"/>
        </w:rPr>
        <w:t>5. Marafioti, A., Zohar, O., Farré, M., Noyan, M., Bakouch, E., et al. "SmolVLM: Redefining small and efficient multimodal models." arXiv:2504.05299, 2025. (17 co-authors; preprint)</w:t>
      </w:r>
    </w:p>
    <w:p>
      <w:pPr>
        <w:spacing w:line="384" w:lineRule="auto" w:after="0"/>
        <w:ind w:firstLine="220"/>
        <w:jc w:val="both"/>
      </w:pPr>
      <w:r>
        <w:rPr>
          <w:rFonts w:ascii="휴먼명조" w:eastAsia="휴먼명조" w:hAnsi="휴먼명조" w:cs="휴먼명조"/>
          <w:b/>
          <w:sz w:val="22"/>
          <w:w w:val="97"/>
        </w:rPr>
        <w:t>Medical-Specialized VLMs</w:t>
      </w:r>
    </w:p>
    <w:p>
      <w:pPr>
        <w:spacing w:line="384" w:lineRule="auto" w:after="0"/>
        <w:ind w:firstLine="220"/>
        <w:jc w:val="both"/>
      </w:pPr>
      <w:r>
        <w:rPr>
          <w:rFonts w:ascii="휴먼명조" w:eastAsia="휴먼명조" w:hAnsi="휴먼명조" w:cs="휴먼명조"/>
          <w:b w:val="0"/>
          <w:sz w:val="22"/>
          <w:w w:val="97"/>
        </w:rPr>
        <w:t>6. Li, C., Wong, C., Zhang, S., Usuyama, N., Liu, H., Yang, J., Naumann, T., Poon, H., &amp; Gao, J. "LLaVA-Med: Training a Large Language-and-Vision Assistant for Biomedicine in One Day." *NeurIPS 2023 Datasets and Benchmarks Track*, 2023 (Spotlight). arXiv:2306.00890.</w:t>
      </w:r>
    </w:p>
    <w:p>
      <w:pPr>
        <w:spacing w:line="384" w:lineRule="auto" w:after="0"/>
        <w:ind w:firstLine="220"/>
        <w:jc w:val="both"/>
      </w:pPr>
      <w:r>
        <w:rPr>
          <w:rFonts w:ascii="휴먼명조" w:eastAsia="휴먼명조" w:hAnsi="휴먼명조" w:cs="휴먼명조"/>
          <w:b w:val="0"/>
          <w:sz w:val="22"/>
          <w:w w:val="97"/>
        </w:rPr>
        <w:t>7. Moor, M., Huang, Q., Wu, S., Yasunaga, M., Dalmia, Y., Leskovec, J., Zakka, C., Reis, E. P., &amp; Rajpurkar, P. "Med-Flamingo: a Multimodal Medical Few-shot Learner." *Proceedings of the 3rd Machine Learning for Health Symposium (ML4H)*, PMLR 225:353-367, 2023. arXiv:2307.15189.</w:t>
      </w:r>
    </w:p>
    <w:p>
      <w:pPr>
        <w:spacing w:line="384" w:lineRule="auto" w:after="0"/>
        <w:ind w:firstLine="220"/>
        <w:jc w:val="both"/>
      </w:pPr>
      <w:r>
        <w:rPr>
          <w:rFonts w:ascii="휴먼명조" w:eastAsia="휴먼명조" w:hAnsi="휴먼명조" w:cs="휴먼명조"/>
          <w:b w:val="0"/>
          <w:sz w:val="22"/>
          <w:w w:val="97"/>
        </w:rPr>
        <w:t>8. Chen, Z., Varma, M., Xu, J., Paschali, M., Van Veen, D., et al. "A Vision-Language Foundation Model to Enhance Efficiency of Chest X-ray Interpretation." arXiv:2401.12208, 2024. (23 co-authors. The first version was titled "CheXagent: Towards a Foundation Model for Chest X-Ray Interpretation" and was renamed in the December 2024 revision. CheXagent in Section 2.5 refers to this work.)</w:t>
      </w:r>
    </w:p>
    <w:p>
      <w:pPr>
        <w:spacing w:line="384" w:lineRule="auto" w:after="0"/>
        <w:ind w:firstLine="220"/>
        <w:jc w:val="both"/>
      </w:pPr>
      <w:r>
        <w:rPr>
          <w:rFonts w:ascii="휴먼명조" w:eastAsia="휴먼명조" w:hAnsi="휴먼명조" w:cs="휴먼명조"/>
          <w:b/>
          <w:sz w:val="22"/>
          <w:w w:val="97"/>
        </w:rPr>
        <w:t>Medical VQA Datasets</w:t>
      </w:r>
    </w:p>
    <w:p>
      <w:pPr>
        <w:spacing w:line="384" w:lineRule="auto" w:after="0"/>
        <w:ind w:firstLine="220"/>
        <w:jc w:val="both"/>
      </w:pPr>
      <w:r>
        <w:rPr>
          <w:rFonts w:ascii="휴먼명조" w:eastAsia="휴먼명조" w:hAnsi="휴먼명조" w:cs="휴먼명조"/>
          <w:b w:val="0"/>
          <w:sz w:val="22"/>
          <w:w w:val="97"/>
        </w:rPr>
        <w:t>9. He, X., Zhang, Y., Mou, L., Xing, E., &amp; Xie, P. "PathVQA: 30000+ Questions for Medical Visual Question Answering." arXiv:2003.10286, 2020. (Preprint; no conference version)</w:t>
      </w:r>
    </w:p>
    <w:p>
      <w:pPr>
        <w:spacing w:line="384" w:lineRule="auto" w:after="0"/>
        <w:ind w:firstLine="220"/>
        <w:jc w:val="both"/>
      </w:pPr>
      <w:r>
        <w:rPr>
          <w:rFonts w:ascii="휴먼명조" w:eastAsia="휴먼명조" w:hAnsi="휴먼명조" w:cs="휴먼명조"/>
          <w:b w:val="0"/>
          <w:sz w:val="22"/>
          <w:w w:val="97"/>
        </w:rPr>
        <w:t>10. Liu, B., Zhan, L.-M., Xu, L., Ma, L., Yang, Y., &amp; Wu, X.-M. "SLAKE: A Semantically-Labeled Knowledge-Enhanced Dataset for Medical Visual Question Answering." *2021 IEEE 18th International Symposium on Biomedical Imaging (ISBI)*, pp. 1650-1654, 2021. DOI: 10.1109/ISBI48211.2021.9434010.</w:t>
      </w:r>
    </w:p>
    <w:p>
      <w:pPr>
        <w:spacing w:line="384" w:lineRule="auto" w:after="0"/>
        <w:ind w:firstLine="220"/>
        <w:jc w:val="both"/>
      </w:pPr>
      <w:r>
        <w:rPr>
          <w:rFonts w:ascii="휴먼명조" w:eastAsia="휴먼명조" w:hAnsi="휴먼명조" w:cs="휴먼명조"/>
          <w:b w:val="0"/>
          <w:sz w:val="22"/>
          <w:w w:val="97"/>
        </w:rPr>
        <w:t>11. Lau, J. J., Gayen, S., Ben Abacha, A., &amp; Demner-Fushman, D. "A dataset of clinically generated visual questions and answers about radiology images." *Scientific Data*, 5, 180251, 2018. DOI: 10.1038/sdata.2018.251.</w:t>
      </w:r>
    </w:p>
    <w:p>
      <w:pPr>
        <w:spacing w:line="384" w:lineRule="auto" w:after="0"/>
        <w:ind w:firstLine="220"/>
        <w:jc w:val="both"/>
      </w:pPr>
      <w:r>
        <w:rPr>
          <w:rFonts w:ascii="휴먼명조" w:eastAsia="휴먼명조" w:hAnsi="휴먼명조" w:cs="휴먼명조"/>
          <w:b/>
          <w:sz w:val="22"/>
          <w:w w:val="97"/>
        </w:rPr>
        <w:t>Hyperparameter Optimization</w:t>
      </w:r>
    </w:p>
    <w:p>
      <w:pPr>
        <w:spacing w:line="384" w:lineRule="auto" w:after="0"/>
        <w:ind w:firstLine="220"/>
        <w:jc w:val="both"/>
      </w:pPr>
      <w:r>
        <w:rPr>
          <w:rFonts w:ascii="휴먼명조" w:eastAsia="휴먼명조" w:hAnsi="휴먼명조" w:cs="휴먼명조"/>
          <w:b w:val="0"/>
          <w:sz w:val="22"/>
          <w:w w:val="97"/>
        </w:rPr>
        <w:t>12. Akiba, T., Sano, S., Yanase, T., Ohta, T., &amp; Koyama, M. "Optuna: A Next-generation Hyperparameter Optimization Framework." *Proceedings of the 25th ACM SIGKDD International Conference on Knowledge Discovery &amp; Data Mining (KDD)*, pp. 2623-2631, 2019. DOI: 10.1145/3292500.3330701.</w:t>
      </w:r>
    </w:p>
    <w:p>
      <w:pPr>
        <w:spacing w:line="384" w:lineRule="auto" w:after="0"/>
        <w:ind w:firstLine="220"/>
        <w:jc w:val="both"/>
      </w:pPr>
      <w:r>
        <w:rPr>
          <w:rFonts w:ascii="휴먼명조" w:eastAsia="휴먼명조" w:hAnsi="휴먼명조" w:cs="휴먼명조"/>
          <w:b w:val="0"/>
          <w:sz w:val="22"/>
          <w:w w:val="97"/>
        </w:rPr>
        <w:t>13. Li, L., Jamieson, K., DeSalvo, G., Rostamizadeh, A., &amp; Talwalkar, A. "Hyperband: A Novel Bandit-Based Approach to Hyperparameter Optimization." *Journal of Machine Learning Research*, 18(185), pp. 1-52, 2018.</w:t>
      </w:r>
    </w:p>
    <w:p>
      <w:pPr>
        <w:spacing w:line="384" w:lineRule="auto" w:after="0"/>
        <w:ind w:firstLine="220"/>
        <w:jc w:val="both"/>
      </w:pPr>
      <w:r>
        <w:rPr>
          <w:rFonts w:ascii="휴먼명조" w:eastAsia="휴먼명조" w:hAnsi="휴먼명조" w:cs="휴먼명조"/>
          <w:b/>
          <w:sz w:val="22"/>
          <w:w w:val="97"/>
        </w:rPr>
        <w:t>Evaluation Methodology</w:t>
      </w:r>
    </w:p>
    <w:p>
      <w:pPr>
        <w:spacing w:line="384" w:lineRule="auto" w:after="0"/>
        <w:ind w:firstLine="220"/>
        <w:jc w:val="both"/>
      </w:pPr>
      <w:r>
        <w:rPr>
          <w:rFonts w:ascii="휴먼명조" w:eastAsia="휴먼명조" w:hAnsi="휴먼명조" w:cs="휴먼명조"/>
          <w:b w:val="0"/>
          <w:sz w:val="22"/>
          <w:w w:val="97"/>
        </w:rPr>
        <w:t>14. Shi, W., Ajith, A., Xia, M., Huang, Y., Liu, D., Blevins, T., Chen, D., &amp; Zettlemoyer, L. "Detecting Pretraining Data from Large Language Models." *The Twelfth International Conference on Learning Representations (ICLR)*, 2024. arXiv:2310.16789. (OpenReview: zWqr3MQuNs. The Min-K% Probability technique used in the text)</w:t>
      </w:r>
    </w:p>
    <w:p>
      <w:pPr>
        <w:spacing w:line="384" w:lineRule="auto" w:after="0"/>
        <w:ind w:firstLine="220"/>
        <w:jc w:val="both"/>
      </w:pPr>
      <w:r>
        <w:rPr>
          <w:rFonts w:ascii="휴먼명조" w:eastAsia="휴먼명조" w:hAnsi="휴먼명조" w:cs="휴먼명조"/>
          <w:b w:val="0"/>
          <w:sz w:val="22"/>
          <w:w w:val="97"/>
        </w:rPr>
        <w:t>15. Guo, C., Pleiss, G., Sun, Y., &amp; Weinberger, K. Q. "On Calibration of Modern Neural Networks." *Proceedings of the 34th International Conference on Machine Learning (ICML)*, PMLR 70, pp. 1321-1330, 2017.</w:t>
      </w:r>
    </w:p>
    <w:p>
      <w:pPr>
        <w:spacing w:line="384" w:lineRule="auto" w:after="0"/>
        <w:jc w:val="left"/>
      </w:pPr>
      <w:r>
        <w:rPr>
          <w:rFonts w:ascii="휴먼명조" w:eastAsia="휴먼명조" w:hAnsi="휴먼명조" w:cs="휴먼명조"/>
          <w:b/>
          <w:sz w:val="20"/>
          <w:w w:val="97"/>
        </w:rPr>
        <w:t>Citation convention</w:t>
      </w:r>
      <w:r>
        <w:rPr>
          <w:rFonts w:ascii="휴먼명조" w:eastAsia="휴먼명조" w:hAnsi="휴먼명조" w:cs="휴먼명조"/>
          <w:b w:val="0"/>
          <w:sz w:val="20"/>
          <w:w w:val="97"/>
        </w:rPr>
        <w:t>: For works with more than 20 authors (entries 4, 5, 8), the first five authors are listed together with the total count. For entries 3, 7, 10, 11, 12, 13, and 15, all co-authors indicated in the original are listed. For entries 1, 2, 6, and 14, the co-author lists verified on arXiv and publisher pages are given.</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Appendix</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Appendix A. System Prompt of the Autoresearch Agent</w:t>
      </w:r>
    </w:p>
    <w:p>
      <w:pPr>
        <w:spacing w:line="384" w:lineRule="auto" w:after="0"/>
        <w:ind w:firstLine="220"/>
        <w:jc w:val="both"/>
      </w:pPr>
      <w:r>
        <w:rPr>
          <w:rFonts w:ascii="휴먼명조" w:eastAsia="휴먼명조" w:hAnsi="휴먼명조" w:cs="휴먼명조"/>
          <w:b w:val="0"/>
          <w:sz w:val="22"/>
          <w:w w:val="97"/>
        </w:rPr>
        <w:t xml:space="preserve">The following is the full text of configs/autoresearch/program.md. It is reproduced verbatim because it is the evidence for the three configuration inconsistencies identified in Section 5.3(8). </w:t>
      </w:r>
      <w:r>
        <w:rPr>
          <w:rFonts w:ascii="휴먼명조" w:eastAsia="휴먼명조" w:hAnsi="휴먼명조" w:cs="휴먼명조"/>
          <w:b/>
          <w:sz w:val="22"/>
          <w:w w:val="97"/>
        </w:rPr>
        <w:t>The annotated points are where the problems arise.</w:t>
      </w:r>
    </w:p>
    <w:p>
      <w:pPr>
        <w:spacing w:line="384" w:lineRule="auto" w:after="0"/>
        <w:jc w:val="left"/>
      </w:pPr>
      <w:r>
        <w:rPr>
          <w:rFonts w:ascii="굴림체" w:eastAsia="굴림체" w:hAnsi="굴림체" w:cs="굴림체"/>
          <w:b w:val="0"/>
          <w:sz w:val="18"/>
          <w:w w:val="97"/>
        </w:rPr>
        <w:t># Autonomous HPO Agent - System Prompt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You are an autonomous hyperparameter optimization agent for medical VQA</w:t>
      </w:r>
    </w:p>
    <w:p>
      <w:pPr>
        <w:spacing w:line="384" w:lineRule="auto" w:after="0"/>
        <w:jc w:val="left"/>
      </w:pPr>
      <w:r>
        <w:rPr>
          <w:rFonts w:ascii="굴림체" w:eastAsia="굴림체" w:hAnsi="굴림체" w:cs="굴림체"/>
          <w:b w:val="0"/>
          <w:sz w:val="18"/>
          <w:w w:val="97"/>
        </w:rPr>
        <w:t>fine-tuning research.</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Task</w:t>
      </w:r>
    </w:p>
    <w:p>
      <w:pPr>
        <w:spacing w:line="384" w:lineRule="auto" w:after="0"/>
        <w:jc w:val="left"/>
      </w:pPr>
      <w:r>
        <w:rPr>
          <w:rFonts w:ascii="굴림체" w:eastAsia="굴림체" w:hAnsi="굴림체" w:cs="굴림체"/>
          <w:b w:val="0"/>
          <w:sz w:val="18"/>
          <w:w w:val="97"/>
        </w:rPr>
        <w:t>Given the history of previous QLoRA fine-tuning experiments, suggest the NEXT</w:t>
      </w:r>
    </w:p>
    <w:p>
      <w:pPr>
        <w:spacing w:line="384" w:lineRule="auto" w:after="0"/>
        <w:jc w:val="left"/>
      </w:pPr>
      <w:r>
        <w:rPr>
          <w:rFonts w:ascii="굴림체" w:eastAsia="굴림체" w:hAnsi="굴림체" w:cs="굴림체"/>
          <w:b w:val="0"/>
          <w:sz w:val="18"/>
          <w:w w:val="97"/>
        </w:rPr>
        <w:t>hyperparameter configuration that is most likely to improve validation accuracy</w:t>
      </w:r>
    </w:p>
    <w:p>
      <w:pPr>
        <w:spacing w:line="384" w:lineRule="auto" w:after="0"/>
        <w:jc w:val="left"/>
      </w:pPr>
      <w:r>
        <w:rPr>
          <w:rFonts w:ascii="굴림체" w:eastAsia="굴림체" w:hAnsi="굴림체" w:cs="굴림체"/>
          <w:b w:val="0"/>
          <w:sz w:val="18"/>
          <w:w w:val="97"/>
        </w:rPr>
        <w:t>on the PathVQA medical VQA dataset.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Search Space</w:t>
      </w:r>
    </w:p>
    <w:p>
      <w:pPr>
        <w:spacing w:line="384" w:lineRule="auto" w:after="0"/>
        <w:jc w:val="left"/>
      </w:pPr>
      <w:r>
        <w:rPr>
          <w:rFonts w:ascii="굴림체" w:eastAsia="굴림체" w:hAnsi="굴림체" w:cs="굴림체"/>
          <w:b w:val="0"/>
          <w:sz w:val="18"/>
          <w:w w:val="97"/>
        </w:rPr>
        <w:t>| Parameter        | Range                       | Type                     |</w:t>
      </w:r>
    </w:p>
    <w:p>
      <w:pPr>
        <w:spacing w:line="384" w:lineRule="auto" w:after="0"/>
        <w:jc w:val="left"/>
      </w:pPr>
      <w:r>
        <w:rPr>
          <w:rFonts w:ascii="굴림체" w:eastAsia="굴림체" w:hAnsi="굴림체" w:cs="굴림체"/>
          <w:b w:val="0"/>
          <w:sz w:val="18"/>
          <w:w w:val="97"/>
        </w:rPr>
        <w:t>|------------------|-----------------------------|--------------------------|</w:t>
      </w:r>
    </w:p>
    <w:p>
      <w:pPr>
        <w:spacing w:line="384" w:lineRule="auto" w:after="0"/>
        <w:jc w:val="left"/>
      </w:pPr>
      <w:r>
        <w:rPr>
          <w:rFonts w:ascii="굴림체" w:eastAsia="굴림체" w:hAnsi="굴림체" w:cs="굴림체"/>
          <w:b w:val="0"/>
          <w:sz w:val="18"/>
          <w:w w:val="97"/>
        </w:rPr>
        <w:t>| lora_rank        | {4, 8, 16, 32, 64}          | discrete                 |</w:t>
      </w:r>
    </w:p>
    <w:p>
      <w:pPr>
        <w:spacing w:line="384" w:lineRule="auto" w:after="0"/>
        <w:jc w:val="left"/>
      </w:pPr>
      <w:r>
        <w:rPr>
          <w:rFonts w:ascii="굴림체" w:eastAsia="굴림체" w:hAnsi="굴림체" w:cs="굴림체"/>
          <w:b w:val="0"/>
          <w:sz w:val="18"/>
          <w:w w:val="97"/>
        </w:rPr>
        <w:t>| lora_alpha       | rank x {1, 2, 4}            | discrete                 |</w:t>
      </w:r>
    </w:p>
    <w:p>
      <w:pPr>
        <w:spacing w:line="384" w:lineRule="auto" w:after="0"/>
        <w:jc w:val="left"/>
      </w:pPr>
      <w:r>
        <w:rPr>
          <w:rFonts w:ascii="굴림체" w:eastAsia="굴림체" w:hAnsi="굴림체" w:cs="굴림체"/>
          <w:b w:val="0"/>
          <w:sz w:val="18"/>
          <w:w w:val="97"/>
        </w:rPr>
        <w:t>| learning_rate    | [1e-5, 5e-4]                | continuous (log-scale)   |</w:t>
      </w:r>
    </w:p>
    <w:p>
      <w:pPr>
        <w:spacing w:line="384" w:lineRule="auto" w:after="0"/>
        <w:jc w:val="left"/>
      </w:pPr>
      <w:r>
        <w:rPr>
          <w:rFonts w:ascii="굴림체" w:eastAsia="굴림체" w:hAnsi="굴림체" w:cs="굴림체"/>
          <w:b w:val="0"/>
          <w:sz w:val="18"/>
          <w:w w:val="97"/>
        </w:rPr>
        <w:t>| batch_size       | {1, 2, 4}                   | discrete                 |</w:t>
      </w:r>
    </w:p>
    <w:p>
      <w:pPr>
        <w:spacing w:line="384" w:lineRule="auto" w:after="0"/>
        <w:jc w:val="left"/>
      </w:pPr>
      <w:r>
        <w:rPr>
          <w:rFonts w:ascii="굴림체" w:eastAsia="굴림체" w:hAnsi="굴림체" w:cs="굴림체"/>
          <w:b w:val="0"/>
          <w:sz w:val="18"/>
          <w:w w:val="97"/>
        </w:rPr>
        <w:t>| grad_accum_steps | {4, 8, 16}                  | discrete                 |</w:t>
      </w:r>
    </w:p>
    <w:p>
      <w:pPr>
        <w:spacing w:line="384" w:lineRule="auto" w:after="0"/>
        <w:jc w:val="left"/>
      </w:pPr>
      <w:r>
        <w:rPr>
          <w:rFonts w:ascii="굴림체" w:eastAsia="굴림체" w:hAnsi="굴림체" w:cs="굴림체"/>
          <w:b w:val="0"/>
          <w:sz w:val="18"/>
          <w:w w:val="97"/>
        </w:rPr>
        <w:t>| warmup_ratio     | [0.0, 0.1]                  | continuous               |</w:t>
      </w:r>
    </w:p>
    <w:p>
      <w:pPr>
        <w:spacing w:line="384" w:lineRule="auto" w:after="0"/>
        <w:jc w:val="left"/>
      </w:pPr>
      <w:r>
        <w:rPr>
          <w:rFonts w:ascii="굴림체" w:eastAsia="굴림체" w:hAnsi="굴림체" w:cs="굴림체"/>
          <w:b w:val="0"/>
          <w:sz w:val="18"/>
          <w:w w:val="97"/>
        </w:rPr>
        <w:t>| weight_decay     | [0.0, 0.1]                  | continuous               |</w:t>
      </w:r>
    </w:p>
    <w:p>
      <w:pPr>
        <w:spacing w:line="384" w:lineRule="auto" w:after="0"/>
        <w:jc w:val="left"/>
      </w:pPr>
      <w:r>
        <w:rPr>
          <w:rFonts w:ascii="굴림체" w:eastAsia="굴림체" w:hAnsi="굴림체" w:cs="굴림체"/>
          <w:b w:val="0"/>
          <w:sz w:val="18"/>
          <w:w w:val="97"/>
        </w:rPr>
        <w:t>| lora_targets     | {"minimal","medium","full"} | categorical              |</w:t>
      </w:r>
    </w:p>
    <w:p>
      <w:pPr>
        <w:spacing w:line="384" w:lineRule="auto" w:after="0"/>
        <w:jc w:val="left"/>
      </w:pPr>
      <w:r>
        <w:rPr>
          <w:rFonts w:ascii="굴림체" w:eastAsia="굴림체" w:hAnsi="굴림체" w:cs="굴림체"/>
          <w:b w:val="0"/>
          <w:sz w:val="18"/>
          <w:w w:val="97"/>
        </w:rPr>
        <w:t>| epochs           | {1, 2, 3, 5}                | discrete   &lt;- (i) inert  |</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Where: minimal = [q_proj, v_proj] / medium = [q_proj, k_proj, v_proj, o_proj]</w:t>
      </w:r>
    </w:p>
    <w:p>
      <w:pPr>
        <w:spacing w:line="384" w:lineRule="auto" w:after="0"/>
        <w:jc w:val="left"/>
      </w:pPr>
      <w:r>
        <w:rPr>
          <w:rFonts w:ascii="굴림체" w:eastAsia="굴림체" w:hAnsi="굴림체" w:cs="굴림체"/>
          <w:b w:val="0"/>
          <w:sz w:val="18"/>
          <w:w w:val="97"/>
        </w:rPr>
        <w:t xml:space="preserve">       full = all linear layers</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Strategy Guidelines</w:t>
      </w:r>
    </w:p>
    <w:p>
      <w:pPr>
        <w:spacing w:line="384" w:lineRule="auto" w:after="0"/>
        <w:jc w:val="left"/>
      </w:pPr>
      <w:r>
        <w:rPr>
          <w:rFonts w:ascii="굴림체" w:eastAsia="굴림체" w:hAnsi="굴림체" w:cs="굴림체"/>
          <w:b w:val="0"/>
          <w:sz w:val="18"/>
          <w:w w:val="97"/>
        </w:rPr>
        <w:t>1. Early exploration (trials 0-5): Try diverse configurations to map the</w:t>
      </w:r>
    </w:p>
    <w:p>
      <w:pPr>
        <w:spacing w:line="384" w:lineRule="auto" w:after="0"/>
        <w:jc w:val="left"/>
      </w:pPr>
      <w:r>
        <w:rPr>
          <w:rFonts w:ascii="굴림체" w:eastAsia="굴림체" w:hAnsi="굴림체" w:cs="굴림체"/>
          <w:b w:val="0"/>
          <w:sz w:val="18"/>
          <w:w w:val="97"/>
        </w:rPr>
        <w:t xml:space="preserve">   landscape. Vary multiple parameters at once.</w:t>
      </w:r>
    </w:p>
    <w:p>
      <w:pPr>
        <w:spacing w:line="384" w:lineRule="auto" w:after="0"/>
        <w:jc w:val="left"/>
      </w:pPr>
      <w:r>
        <w:rPr>
          <w:rFonts w:ascii="굴림체" w:eastAsia="굴림체" w:hAnsi="굴림체" w:cs="굴림체"/>
          <w:b w:val="0"/>
          <w:sz w:val="18"/>
          <w:w w:val="97"/>
        </w:rPr>
        <w:t>2. Mid exploitation (trials 5-20): Focus on promising regions. Take the best</w:t>
      </w:r>
    </w:p>
    <w:p>
      <w:pPr>
        <w:spacing w:line="384" w:lineRule="auto" w:after="0"/>
        <w:jc w:val="left"/>
      </w:pPr>
      <w:r>
        <w:rPr>
          <w:rFonts w:ascii="굴림체" w:eastAsia="굴림체" w:hAnsi="굴림체" w:cs="굴림체"/>
          <w:b w:val="0"/>
          <w:sz w:val="18"/>
          <w:w w:val="97"/>
        </w:rPr>
        <w:t xml:space="preserve">   configuration and vary 1-2 parameters at a time.     &lt;- (ii) budget mismatch</w:t>
      </w:r>
    </w:p>
    <w:p>
      <w:pPr>
        <w:spacing w:line="384" w:lineRule="auto" w:after="0"/>
        <w:jc w:val="left"/>
      </w:pPr>
      <w:r>
        <w:rPr>
          <w:rFonts w:ascii="굴림체" w:eastAsia="굴림체" w:hAnsi="굴림체" w:cs="굴림체"/>
          <w:b w:val="0"/>
          <w:sz w:val="18"/>
          <w:w w:val="97"/>
        </w:rPr>
        <w:t>3. Late refinement (trials 20+): Fine-tune around the best configuration with</w:t>
      </w:r>
    </w:p>
    <w:p>
      <w:pPr>
        <w:spacing w:line="384" w:lineRule="auto" w:after="0"/>
        <w:jc w:val="left"/>
      </w:pPr>
      <w:r>
        <w:rPr>
          <w:rFonts w:ascii="굴림체" w:eastAsia="굴림체" w:hAnsi="굴림체" w:cs="굴림체"/>
          <w:b w:val="0"/>
          <w:sz w:val="18"/>
          <w:w w:val="97"/>
        </w:rPr>
        <w:t xml:space="preserve">   small perturbations.                                 &lt;- (ii) never triggered</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Key Insights for Medical VQA</w:t>
      </w:r>
    </w:p>
    <w:p>
      <w:pPr>
        <w:spacing w:line="384" w:lineRule="auto" w:after="0"/>
        <w:jc w:val="left"/>
      </w:pPr>
      <w:r>
        <w:rPr>
          <w:rFonts w:ascii="굴림체" w:eastAsia="굴림체" w:hAnsi="굴림체" w:cs="굴림체"/>
          <w:b w:val="0"/>
          <w:sz w:val="18"/>
          <w:w w:val="97"/>
        </w:rPr>
        <w:t>- Medical images benefit from higher LoRA ranks (16-64).</w:t>
      </w:r>
    </w:p>
    <w:p>
      <w:pPr>
        <w:spacing w:line="384" w:lineRule="auto" w:after="0"/>
        <w:jc w:val="left"/>
      </w:pPr>
      <w:r>
        <w:rPr>
          <w:rFonts w:ascii="굴림체" w:eastAsia="굴림체" w:hAnsi="굴림체" w:cs="굴림체"/>
          <w:b w:val="0"/>
          <w:sz w:val="18"/>
          <w:w w:val="97"/>
        </w:rPr>
        <w:t>- Learning rate is often the most sensitive parameter.</w:t>
      </w:r>
    </w:p>
    <w:p>
      <w:pPr>
        <w:spacing w:line="384" w:lineRule="auto" w:after="0"/>
        <w:jc w:val="left"/>
      </w:pPr>
      <w:r>
        <w:rPr>
          <w:rFonts w:ascii="굴림체" w:eastAsia="굴림체" w:hAnsi="굴림체" w:cs="굴림체"/>
          <w:b w:val="0"/>
          <w:sz w:val="18"/>
          <w:w w:val="97"/>
        </w:rPr>
        <w:t>- medium or full target modules often outperform minimal.</w:t>
      </w:r>
    </w:p>
    <w:p>
      <w:pPr>
        <w:spacing w:line="384" w:lineRule="auto" w:after="0"/>
        <w:jc w:val="left"/>
      </w:pPr>
      <w:r>
        <w:rPr>
          <w:rFonts w:ascii="굴림체" w:eastAsia="굴림체" w:hAnsi="굴림체" w:cs="굴림체"/>
          <w:b w:val="0"/>
          <w:sz w:val="18"/>
          <w:w w:val="97"/>
        </w:rPr>
        <w:t>- Effective batch size = batch_size x grad_accum_steps. Keep in 4-16 range.</w:t>
      </w:r>
    </w:p>
    <w:p>
      <w:pPr>
        <w:spacing w:line="384" w:lineRule="auto" w:after="0"/>
        <w:jc w:val="left"/>
      </w:pPr>
      <w:r>
        <w:rPr>
          <w:rFonts w:ascii="굴림체" w:eastAsia="굴림체" w:hAnsi="굴림체" w:cs="굴림체"/>
          <w:b w:val="0"/>
          <w:sz w:val="18"/>
          <w:w w:val="97"/>
        </w:rPr>
        <w:t>- More epochs (3-5) help when training data is limited.  &lt;- (i) inert parameter</w:t>
      </w:r>
    </w:p>
    <w:p>
      <w:pPr>
        <w:spacing w:line="384" w:lineRule="auto" w:after="0"/>
        <w:jc w:val="left"/>
      </w:pPr>
      <w:r>
        <w:rPr>
          <w:rFonts w:ascii="굴림체" w:eastAsia="굴림체" w:hAnsi="굴림체" w:cs="굴림체"/>
          <w:b w:val="0"/>
          <w:sz w:val="18"/>
          <w:w w:val="97"/>
        </w:rPr>
        <w:t>- Warmup ratio 0.03-0.06 is generally safe.</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Response Format</w:t>
      </w:r>
    </w:p>
    <w:p>
      <w:pPr>
        <w:spacing w:line="384" w:lineRule="auto" w:after="0"/>
        <w:jc w:val="left"/>
      </w:pPr>
      <w:r>
        <w:rPr>
          <w:rFonts w:ascii="굴림체" w:eastAsia="굴림체" w:hAnsi="굴림체" w:cs="굴림체"/>
          <w:b w:val="0"/>
          <w:sz w:val="18"/>
          <w:w w:val="97"/>
        </w:rPr>
        <w:t>Respond with ONLY a valid JSON object. No explanation, no markdown fences,</w:t>
      </w:r>
    </w:p>
    <w:p>
      <w:pPr>
        <w:spacing w:line="384" w:lineRule="auto" w:after="0"/>
        <w:jc w:val="left"/>
      </w:pPr>
      <w:r>
        <w:rPr>
          <w:rFonts w:ascii="굴림체" w:eastAsia="굴림체" w:hAnsi="굴림체" w:cs="굴림체"/>
          <w:b w:val="0"/>
          <w:sz w:val="18"/>
          <w:w w:val="97"/>
        </w:rPr>
        <w:t>no other text.                                    &lt;- (iii) rationale prohibited</w:t>
      </w:r>
    </w:p>
    <w:p>
      <w:pPr>
        <w:spacing w:line="384" w:lineRule="auto" w:after="0"/>
        <w:ind w:firstLine="220"/>
        <w:jc w:val="both"/>
      </w:pPr>
      <w:r>
        <w:rPr>
          <w:rFonts w:ascii="휴먼명조" w:eastAsia="휴먼명조" w:hAnsi="휴먼명조" w:cs="휴먼명조"/>
          <w:b/>
          <w:sz w:val="22"/>
          <w:w w:val="97"/>
        </w:rPr>
        <w:t>(i) Inert parameter</w:t>
      </w:r>
      <w:r>
        <w:rPr>
          <w:rFonts w:ascii="휴먼명조" w:eastAsia="휴먼명조" w:hAnsi="휴먼명조" w:cs="휴먼명조"/>
          <w:b w:val="0"/>
          <w:sz w:val="22"/>
          <w:w w:val="97"/>
        </w:rPr>
        <w:t>: epochs appears in both the search space and the guidance, yet the implementation (src/autoresearch/agent.py) discards the proposed value and fixes max_steps=200.</w:t>
      </w:r>
    </w:p>
    <w:p>
      <w:pPr>
        <w:spacing w:line="384" w:lineRule="auto" w:after="0"/>
        <w:ind w:firstLine="220"/>
        <w:jc w:val="both"/>
      </w:pPr>
      <w:r>
        <w:rPr>
          <w:rFonts w:ascii="휴먼명조" w:eastAsia="휴먼명조" w:hAnsi="휴먼명조" w:cs="휴먼명조"/>
          <w:b/>
          <w:sz w:val="22"/>
          <w:w w:val="97"/>
        </w:rPr>
        <w:t>(ii) Budget mismatch</w:t>
      </w:r>
      <w:r>
        <w:rPr>
          <w:rFonts w:ascii="휴먼명조" w:eastAsia="휴먼명조" w:hAnsi="휴먼명조" w:cs="휴먼명조"/>
          <w:b w:val="0"/>
          <w:sz w:val="22"/>
          <w:w w:val="97"/>
        </w:rPr>
        <w:t>: the actual budget is 20 trials per repeat, so "Late refinement (trials 20+)" never triggers, and about 75% of the budget falls in the interval instructing the agent to "take the best configuration and vary 1-2 parameters."</w:t>
      </w:r>
    </w:p>
    <w:p>
      <w:pPr>
        <w:spacing w:line="384" w:lineRule="auto" w:after="0"/>
        <w:ind w:firstLine="220"/>
        <w:jc w:val="both"/>
      </w:pPr>
      <w:r>
        <w:rPr>
          <w:rFonts w:ascii="휴먼명조" w:eastAsia="휴먼명조" w:hAnsi="휴먼명조" w:cs="휴먼명조"/>
          <w:b/>
          <w:sz w:val="22"/>
          <w:w w:val="97"/>
        </w:rPr>
        <w:t>(iii) Rationale prohibited</w:t>
      </w:r>
      <w:r>
        <w:rPr>
          <w:rFonts w:ascii="휴먼명조" w:eastAsia="휴먼명조" w:hAnsi="휴먼명조" w:cs="휴먼명조"/>
          <w:b w:val="0"/>
          <w:sz w:val="22"/>
          <w:w w:val="97"/>
        </w:rPr>
        <w:t>: the prompt explicitly excludes the "interpretable search rationale" required by RQ3.</w:t>
      </w:r>
    </w:p>
    <w:p>
      <w:pPr>
        <w:spacing w:line="384" w:lineRule="auto" w:after="0"/>
        <w:ind w:firstLine="220"/>
        <w:jc w:val="both"/>
      </w:pPr>
      <w:r>
        <w:rPr>
          <w:rFonts w:ascii="휴먼명조" w:eastAsia="휴먼명조" w:hAnsi="휴먼명조" w:cs="휴먼명조"/>
          <w:b/>
          <w:sz w:val="22"/>
          <w:w w:val="97"/>
        </w:rPr>
        <w:t>Agent execution settings</w:t>
      </w:r>
      <w:r>
        <w:rPr>
          <w:rFonts w:ascii="휴먼명조" w:eastAsia="휴먼명조" w:hAnsi="휴먼명조" w:cs="휴먼명조"/>
          <w:b w:val="0"/>
          <w:sz w:val="22"/>
          <w:w w:val="97"/>
        </w:rPr>
        <w:t>: model claude-sonnet-4-6, max_tokens=512, temperature=0 (verified in the records of all trials). Fixing the temperature and using 10 independent repeats mitigated API non-determinism (Section 5.3(4)).</w:t>
      </w:r>
    </w:p>
    <w:p>
      <w:pPr>
        <w:spacing w:line="384" w:lineRule="auto" w:after="0"/>
        <w:jc w:val="left"/>
        <w:outlineLvl w:val="1"/>
      </w:pPr>
      <w:r>
        <w:rPr>
          <w:rFonts w:ascii="휴먼명조" w:eastAsia="휴먼명조" w:hAnsi="휴먼명조" w:cs="휴먼명조"/>
          <w:b/>
          <w:sz w:val="28"/>
          <w:w w:val="97"/>
        </w:rPr>
        <w:t>Appendix B. Excerpts from the Autoresearch Rationale Logs</w:t>
      </w:r>
    </w:p>
    <w:p>
      <w:pPr>
        <w:spacing w:line="384" w:lineRule="auto" w:after="0"/>
        <w:ind w:firstLine="220"/>
        <w:jc w:val="both"/>
      </w:pPr>
      <w:r>
        <w:rPr>
          <w:rFonts w:ascii="휴먼명조" w:eastAsia="휴먼명조" w:hAnsi="휴먼명조" w:cs="휴먼명조"/>
          <w:b w:val="0"/>
          <w:sz w:val="22"/>
          <w:w w:val="97"/>
        </w:rPr>
        <w:t xml:space="preserve">Excerpted from the original text of the agent_reasoning column of results.tsv. Of the 200 completed trials, </w:t>
      </w:r>
      <w:r>
        <w:rPr>
          <w:rFonts w:ascii="휴먼명조" w:eastAsia="휴먼명조" w:hAnsi="휴먼명조" w:cs="휴먼명조"/>
          <w:b/>
          <w:sz w:val="22"/>
          <w:w w:val="97"/>
        </w:rPr>
        <w:t>147 (73.5%) returned only JSON as in (1) below</w:t>
      </w:r>
      <w:r>
        <w:rPr>
          <w:rFonts w:ascii="휴먼명조" w:eastAsia="휴먼명조" w:hAnsi="휴먼명조" w:cs="휴먼명조"/>
          <w:b w:val="0"/>
          <w:sz w:val="22"/>
          <w:w w:val="97"/>
        </w:rPr>
        <w:t>, while 53 (26.5%) included natural-language narrative (Sections 5.1, 5.3(8)).</w:t>
      </w:r>
    </w:p>
    <w:p>
      <w:pPr>
        <w:spacing w:line="384" w:lineRule="auto" w:after="0"/>
        <w:ind w:firstLine="220"/>
        <w:jc w:val="both"/>
      </w:pPr>
      <w:r>
        <w:rPr>
          <w:rFonts w:ascii="휴먼명조" w:eastAsia="휴먼명조" w:hAnsi="휴먼명조" w:cs="휴먼명조"/>
          <w:b/>
          <w:sz w:val="22"/>
          <w:w w:val="97"/>
        </w:rPr>
        <w:t>(1) Typical response — configuration only, no rationale (73.5% of the total)</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Because the prompt prohibited explanation (Appendix A (iii)), this form is the response consistent with the instruction.</w:t>
      </w:r>
    </w:p>
    <w:p>
      <w:pPr>
        <w:spacing w:line="384" w:lineRule="auto" w:after="0"/>
        <w:ind w:firstLine="220"/>
        <w:jc w:val="both"/>
      </w:pPr>
      <w:r>
        <w:rPr>
          <w:rFonts w:ascii="휴먼명조" w:eastAsia="휴먼명조" w:hAnsi="휴먼명조" w:cs="휴먼명조"/>
          <w:b/>
          <w:sz w:val="22"/>
          <w:w w:val="97"/>
        </w:rPr>
        <w:t>(2) A case including natural-language narrative — accurate diagnosis, but an inoperative lever</w:t>
      </w:r>
    </w:p>
    <w:p>
      <w:pPr>
        <w:spacing w:line="384" w:lineRule="auto" w:after="0"/>
        <w:ind w:firstLine="220"/>
        <w:jc w:val="both"/>
      </w:pPr>
      <w:r>
        <w:rPr>
          <w:rFonts w:ascii="휴먼명조" w:eastAsia="휴먼명조" w:hAnsi="휴먼명조" w:cs="휴먼명조"/>
          <w:b w:val="0"/>
          <w:sz w:val="22"/>
          <w:w w:val="97"/>
        </w:rPr>
        <w:t>The agent diagnosed that "all trials have only 200 steps, so this looks like undertraining" and that "epochs were not changed." The diagnosis was accurate, but as noted in Appendix A (i) the epochs lever it proposed was discarded by the implementation and therefore never took effect.</w:t>
      </w:r>
    </w:p>
    <w:p>
      <w:pPr>
        <w:spacing w:line="384" w:lineRule="auto" w:after="0"/>
        <w:ind w:firstLine="220"/>
        <w:jc w:val="both"/>
      </w:pPr>
      <w:r>
        <w:rPr>
          <w:rFonts w:ascii="휴먼명조" w:eastAsia="휴먼명조" w:hAnsi="휴먼명조" w:cs="휴먼명조"/>
          <w:b/>
          <w:sz w:val="22"/>
          <w:w w:val="97"/>
        </w:rPr>
        <w:t>(3) Repeated proposal of an identical configuration</w:t>
      </w:r>
    </w:p>
    <w:p>
      <w:pPr>
        <w:spacing w:line="384" w:lineRule="auto" w:after="0"/>
        <w:ind w:firstLine="220"/>
        <w:jc w:val="both"/>
      </w:pPr>
      <w:r>
        <w:rPr>
          <w:rFonts w:ascii="휴먼명조" w:eastAsia="휴먼명조" w:hAnsi="휴먼명조" w:cs="휴먼명조"/>
          <w:b w:val="0"/>
          <w:sz w:val="22"/>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pPr>
        <w:spacing w:line="384" w:lineRule="auto" w:after="0"/>
        <w:jc w:val="left"/>
      </w:pPr>
      <w:r>
        <w:rPr>
          <w:rFonts w:ascii="휴먼명조" w:eastAsia="휴먼명조" w:hAnsi="휴먼명조" w:cs="휴먼명조"/>
          <w:b w:val="0"/>
          <w:sz w:val="20"/>
          <w:w w:val="97"/>
        </w:rPr>
        <w:t>The full logs are in the agent_reasoning column of results/phase3_autoresearch/results.tsv and in rationale.md within each trial directory.</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Abstract (in Korean)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경량 멀티모달 모델의 의료 영상 VQA 도메인 적응: QLoRA 파인튜닝과 자율 하이퍼파라미터 최적화</w:t>
      </w:r>
    </w:p>
    <w:p>
      <w:pPr>
        <w:spacing w:line="384" w:lineRule="auto" w:after="0"/>
        <w:ind w:firstLine="220"/>
        <w:jc w:val="both"/>
      </w:pPr>
      <w:r>
        <w:rPr>
          <w:rFonts w:ascii="휴먼명조" w:eastAsia="휴먼명조" w:hAnsi="휴먼명조" w:cs="휴먼명조"/>
          <w:b w:val="0"/>
          <w:sz w:val="22"/>
          <w:w w:val="97"/>
        </w:rPr>
        <w:t>황태욱</w:t>
      </w:r>
    </w:p>
    <w:p>
      <w:pPr>
        <w:spacing w:line="384" w:lineRule="auto" w:after="0"/>
        <w:ind w:firstLine="220"/>
        <w:jc w:val="both"/>
      </w:pPr>
      <w:r>
        <w:rPr>
          <w:rFonts w:ascii="휴먼명조" w:eastAsia="휴먼명조" w:hAnsi="휴먼명조" w:cs="휴먼명조"/>
          <w:b w:val="0"/>
          <w:sz w:val="22"/>
          <w:w w:val="97"/>
        </w:rPr>
        <w:t>융합정보기술학과 인공지능전공</w:t>
      </w:r>
    </w:p>
    <w:p>
      <w:pPr>
        <w:spacing w:line="384" w:lineRule="auto" w:after="0"/>
        <w:ind w:firstLine="220"/>
        <w:jc w:val="both"/>
      </w:pPr>
      <w:r>
        <w:rPr>
          <w:rFonts w:ascii="휴먼명조" w:eastAsia="휴먼명조" w:hAnsi="휴먼명조" w:cs="휴먼명조"/>
          <w:b w:val="0"/>
          <w:sz w:val="22"/>
          <w:w w:val="97"/>
        </w:rPr>
        <w:t>건국대학교 정보통신대학원</w:t>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sz w:val="22"/>
          <w:w w:val="97"/>
        </w:rPr>
        <w:t>주제어 : 의료 영상 질의응답, 시각-언어 모델, QLoRA, 파라미터 효율적 파인튜닝, 하이퍼파라미터 최적화, 대규모 언어모델 에이전트</w:t>
      </w:r>
    </w:p>
    <w:sectPr w:rsidR="00291369" w:rsidRPr="003D198D"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0:17:00Z" w:initials="학">
    <w:p w14:paraId="13A0A18D" w14:textId="283EBE73" w:rsidR="00757438" w:rsidRDefault="007C44C6" w:rsidP="00757438">
      <w:pPr>
        <w:pStyle w:val="afff1"/>
      </w:pPr>
      <w:r>
        <w:rPr>
          <w:rStyle w:val="afff0"/>
        </w:rPr>
        <w:annotationRef/>
      </w:r>
      <w:r w:rsidR="00757438">
        <w:t>Wirte the year and month of your degree conferral date(year in numbers and month in English)</w:t>
      </w:r>
    </w:p>
  </w:comment>
  <w:comment w:id="1" w:author="학위논문실" w:date="2024-03-18T10:19:00Z" w:initials="학">
    <w:p w14:paraId="3579337C" w14:textId="5DEDBFF1" w:rsidR="00197AE1" w:rsidRPr="00A06DE3" w:rsidRDefault="006000CA" w:rsidP="00A06DE3">
      <w:pPr>
        <w:pStyle w:val="afff1"/>
      </w:pPr>
      <w:r w:rsidRPr="0003723A">
        <w:rPr>
          <w:rFonts w:ascii="함초롬돋움" w:eastAsia="함초롬돋움" w:hAnsi="함초롬돋움" w:cs="함초롬돋움" w:hint="eastAsia"/>
          <w:spacing w:val="-10"/>
          <w:kern w:val="0"/>
          <w:sz w:val="18"/>
          <w:szCs w:val="18"/>
        </w:rPr>
        <w:t>Please contact the administration office for your Department English name and enter it correctly.</w:t>
      </w:r>
      <w:r w:rsidR="00846490">
        <w:rPr>
          <w:rStyle w:val="afff0"/>
        </w:rPr>
        <w:annotationRef/>
      </w:r>
    </w:p>
  </w:comment>
  <w:comment w:id="2" w:author="USER" w:date="2024-09-27T10:18:00Z" w:initials="U">
    <w:p w14:paraId="612C4EAB" w14:textId="78A2A26B" w:rsidR="006000CA" w:rsidRPr="001828D0" w:rsidRDefault="006000CA" w:rsidP="00651473">
      <w:pPr>
        <w:pStyle w:val="a3"/>
        <w:rPr>
          <w:rFonts w:ascii="함초롬바탕" w:eastAsia="굴림" w:hAnsi="굴림" w:cs="굴림"/>
          <w:kern w:val="0"/>
          <w:sz w:val="16"/>
          <w:szCs w:val="16"/>
        </w:rPr>
      </w:pPr>
      <w:r>
        <w:rPr>
          <w:rStyle w:val="afff0"/>
        </w:rPr>
        <w:annotationRef/>
      </w:r>
      <w:r w:rsidR="00651473">
        <w:rPr>
          <w:rFonts w:ascii="함초롬바탕" w:eastAsia="굴림" w:hAnsi="굴림" w:cs="굴림" w:hint="eastAsia"/>
          <w:kern w:val="0"/>
          <w:szCs w:val="20"/>
          <w:shd w:val="clear" w:color="auto" w:fill="auto"/>
        </w:rPr>
        <w:t>If you are currently enrolled in a professional graduate school, please enter your graduate school.</w:t>
      </w:r>
    </w:p>
    <w:p w14:paraId="28F0CA19" w14:textId="48DE0ED1" w:rsidR="006000CA" w:rsidRDefault="006000CA" w:rsidP="00651473">
      <w:pPr>
        <w:pBdr>
          <w:top w:val="none" w:sz="0" w:space="0" w:color="auto"/>
          <w:left w:val="none" w:sz="0" w:space="0" w:color="auto"/>
          <w:bottom w:val="none" w:sz="0" w:space="0" w:color="auto"/>
          <w:right w:val="none" w:sz="0" w:space="0" w:color="auto"/>
        </w:pBdr>
        <w:spacing w:line="384" w:lineRule="auto"/>
      </w:pPr>
      <w:r w:rsidRPr="001828D0">
        <w:rPr>
          <w:rFonts w:eastAsia="맑은 고딕" w:hAnsi="맑은 고딕" w:cs="굴림" w:hint="eastAsia"/>
          <w:kern w:val="0"/>
          <w:sz w:val="16"/>
          <w:szCs w:val="16"/>
        </w:rPr>
        <w:t>ex. Graduate School of Education, Konkuk University</w:t>
      </w:r>
    </w:p>
  </w:comment>
  <w:comment w:id="3" w:author="학위논문실" w:date="2024-03-18T10:19:00Z" w:initials="학">
    <w:p w14:paraId="1523D697" w14:textId="06AFA93B" w:rsidR="006469C2" w:rsidRDefault="00846490" w:rsidP="00651473">
      <w:pPr>
        <w:pStyle w:val="a3"/>
      </w:pPr>
      <w:r>
        <w:rPr>
          <w:rStyle w:val="afff0"/>
        </w:rPr>
        <w:annotationRef/>
      </w:r>
      <w:r w:rsidR="00651473" w:rsidRPr="00651473">
        <w:rPr>
          <w:rFonts w:ascii="맑은 고딕" w:eastAsia="맑은 고딕" w:hAnsi="맑은 고딕" w:cs="굴림" w:hint="eastAsia"/>
          <w:kern w:val="0"/>
          <w:szCs w:val="20"/>
          <w:shd w:val="clear" w:color="auto" w:fill="auto"/>
        </w:rPr>
        <w:t>Please enter your degree title. Please contact the Graduate School Office.</w:t>
      </w:r>
    </w:p>
  </w:comment>
  <w:comment w:id="4" w:author="학위논문실" w:date="2024-03-18T10:20:00Z" w:initials="학">
    <w:p w14:paraId="095FA359" w14:textId="593592F3" w:rsidR="006469C2" w:rsidRPr="00651473" w:rsidRDefault="00846490" w:rsidP="00651473">
      <w:pPr>
        <w:pStyle w:val="a3"/>
        <w:rPr>
          <w:rFonts w:ascii="함초롬바탕" w:eastAsia="굴림" w:hAnsi="굴림" w:cs="굴림"/>
          <w:kern w:val="0"/>
          <w:szCs w:val="20"/>
          <w:shd w:val="clear" w:color="auto" w:fill="auto"/>
        </w:rPr>
      </w:pPr>
      <w:r>
        <w:rPr>
          <w:rStyle w:val="afff0"/>
        </w:rPr>
        <w:annotationRef/>
      </w:r>
      <w:r w:rsidR="00651473" w:rsidRPr="00651473">
        <w:rPr>
          <w:rFonts w:ascii="맑은 고딕" w:eastAsia="맑은 고딕" w:hAnsi="맑은 고딕" w:cs="굴림" w:hint="eastAsia"/>
          <w:kern w:val="0"/>
          <w:szCs w:val="20"/>
          <w:shd w:val="clear" w:color="auto" w:fill="auto"/>
        </w:rPr>
        <w:t>Please enter the month in which you applied for thesis review in the academic system.</w:t>
      </w:r>
    </w:p>
  </w:comment>
  <w:comment w:id="5"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 w:id="6" w:author="학위논문실" w:date="2024-03-18T10:23:00Z" w:initials="학">
    <w:p w14:paraId="4AF12C94" w14:textId="77777777" w:rsidR="00197AE1" w:rsidRDefault="00846490" w:rsidP="00197AE1">
      <w:pPr>
        <w:pStyle w:val="afff1"/>
      </w:pPr>
      <w:r>
        <w:rPr>
          <w:rStyle w:val="afff0"/>
        </w:rPr>
        <w:annotationRef/>
      </w:r>
      <w:r w:rsidR="00197AE1">
        <w:t>Write the year and month of your last thesis examnination date for approved page(year in numbers and month in English)</w:t>
      </w:r>
    </w:p>
  </w:comment>
  <w:comment w:id="7" w:author="학위논문실" w:date="2024-03-18T10:25:00Z" w:initials="학">
    <w:p w14:paraId="5C52CC3C" w14:textId="77777777" w:rsidR="00D051DC" w:rsidRDefault="00846490" w:rsidP="00D051DC">
      <w:pPr>
        <w:pStyle w:val="afff1"/>
        <w:numPr>
          <w:ilvl w:val="0"/>
          <w:numId w:val="24"/>
        </w:numPr>
      </w:pPr>
      <w:r>
        <w:rPr>
          <w:rStyle w:val="afff0"/>
        </w:rPr>
        <w:annotationRef/>
      </w:r>
      <w:r w:rsidR="00D051DC">
        <w:t>Use small Roman numeral on pages of Table of Contents, List of Tables, List of Figures Pages.</w:t>
      </w:r>
    </w:p>
    <w:p w14:paraId="6F71F655" w14:textId="77777777" w:rsidR="00D051DC" w:rsidRDefault="00D051DC" w:rsidP="00D051DC">
      <w:pPr>
        <w:pStyle w:val="afff1"/>
        <w:numPr>
          <w:ilvl w:val="0"/>
          <w:numId w:val="24"/>
        </w:numPr>
      </w:pPr>
      <w:r>
        <w:t>Location of Abstract</w:t>
      </w:r>
    </w:p>
    <w:p w14:paraId="2150C3F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① General/Professional/Special Graduate School (Doctoral): Submit one in Korean and one in English.</w:t>
      </w:r>
    </w:p>
    <w:p w14:paraId="327B463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② Professional/Special Graduate School (Master’s): Submit in Korean or English. However, for the Graduate School of Art and Design, an English abstract is mandatory.</w:t>
      </w:r>
    </w:p>
    <w:p w14:paraId="73D85CD3" w14:textId="77777777" w:rsidR="00D051DC" w:rsidRDefault="00D051DC" w:rsidP="00D051DC">
      <w:pPr>
        <w:pStyle w:val="afff1"/>
      </w:pPr>
      <w:r>
        <w:t>3. The Number of Abstracts</w:t>
      </w:r>
    </w:p>
    <w:p w14:paraId="4E6DFFEA" w14:textId="77777777" w:rsidR="00D051DC" w:rsidRDefault="00D051DC" w:rsidP="00D051DC">
      <w:pPr>
        <w:pStyle w:val="afff1"/>
      </w:pPr>
      <w:r>
        <w:t>①The Graduate School(Master, Doctor), Professional Graduate Schools(Doctor): Abstract in Korean &amp; English(Total 2)</w:t>
      </w:r>
    </w:p>
    <w:p w14:paraId="698DCCEA" w14:textId="77777777" w:rsidR="00D051DC" w:rsidRDefault="00D051DC" w:rsidP="00D051DC">
      <w:pPr>
        <w:pStyle w:val="afff1"/>
      </w:pPr>
      <w:r>
        <w:t>②Professional Graduate Schools(Master): Abstract in Korean or Abstract in English(Total 1)</w:t>
      </w:r>
      <w:r>
        <w:br/>
        <w:t xml:space="preserve">※Note: Graduate School of Art &amp; Design must include an Abstract in English. </w:t>
      </w:r>
    </w:p>
  </w:comment>
  <w:comment w:id="8" w:author="학위논문실" w:date="2024-03-18T10:26:00Z" w:initials="학">
    <w:p w14:paraId="2AD8A708" w14:textId="247E3DA9" w:rsidR="00F84C31" w:rsidRDefault="00846490" w:rsidP="00F84C31">
      <w:pPr>
        <w:pStyle w:val="afff1"/>
      </w:pPr>
      <w:r>
        <w:rPr>
          <w:rStyle w:val="afff0"/>
        </w:rPr>
        <w:annotationRef/>
      </w:r>
      <w:r w:rsidR="00F84C31">
        <w:t>Use Arabic numeral from Introduction page to Abstract(back) page.</w:t>
      </w:r>
    </w:p>
  </w:comment>
  <w:comment w:id="9" w:author="학위논문실" w:date="2024-03-18T10:26:00Z" w:initials="학">
    <w:p w14:paraId="1E8DB1C2" w14:textId="77777777" w:rsidR="00F84C31" w:rsidRDefault="00846490" w:rsidP="00F84C31">
      <w:pPr>
        <w:pStyle w:val="afff1"/>
      </w:pPr>
      <w:r>
        <w:rPr>
          <w:rStyle w:val="afff0"/>
        </w:rPr>
        <w:annotationRef/>
      </w:r>
      <w:r w:rsidR="00F84C31">
        <w:t>Write Strapline.</w:t>
      </w:r>
    </w:p>
  </w:comment>
  <w:comment w:id="10" w:author="학위논문실" w:date="2024-09-05T14:14:00Z" w:initials="학">
    <w:p w14:paraId="4C21D83A" w14:textId="77777777" w:rsidR="00330719" w:rsidRDefault="00DF0C18" w:rsidP="00330719">
      <w:pPr>
        <w:pStyle w:val="afff1"/>
      </w:pPr>
      <w:r>
        <w:rPr>
          <w:rStyle w:val="afff0"/>
        </w:rPr>
        <w:annotationRef/>
      </w:r>
      <w:r w:rsidR="00330719">
        <w:t>Write only Graduate school of Education, Real Estate Studies, Art &amp; Design.</w:t>
      </w:r>
    </w:p>
  </w:comment>
  <w:comment w:id="11" w:author="학위논문실" w:date="2024-03-18T10:28:00Z" w:initials="학">
    <w:p w14:paraId="6DCE5D99" w14:textId="77777777" w:rsidR="00330719" w:rsidRDefault="00846490" w:rsidP="00330719">
      <w:pPr>
        <w:pStyle w:val="afff1"/>
      </w:pPr>
      <w:r>
        <w:rPr>
          <w:rStyle w:val="afff0"/>
        </w:rPr>
        <w:annotationRef/>
      </w:r>
      <w:r w:rsidR="00330719">
        <w:t>On the last page of the abstract, write the English keyword on the English version of the abstract(6 Keywords at maximum).</w:t>
      </w:r>
    </w:p>
  </w:comment>
  <w:comment w:id="12" w:author="학위논문실" w:date="2024-03-18T10:29:00Z" w:initials="학">
    <w:p w14:paraId="0AC9B3E7" w14:textId="77777777" w:rsidR="008363E8" w:rsidRDefault="00846490" w:rsidP="008363E8">
      <w:pPr>
        <w:pStyle w:val="afff1"/>
      </w:pPr>
      <w:r>
        <w:rPr>
          <w:rStyle w:val="afff0"/>
        </w:rPr>
        <w:annotationRef/>
      </w:r>
      <w:r w:rsidR="008363E8">
        <w:t xml:space="preserve">Acknowledgments should be deleted before upload. </w:t>
      </w:r>
    </w:p>
    <w:p w14:paraId="77076C2C" w14:textId="77777777" w:rsidR="008363E8" w:rsidRDefault="008363E8" w:rsidP="008363E8">
      <w:pPr>
        <w:pStyle w:val="afff1"/>
      </w:pPr>
    </w:p>
    <w:p w14:paraId="72CDCA38" w14:textId="77777777" w:rsidR="008363E8" w:rsidRDefault="008363E8" w:rsidP="008363E8">
      <w:pPr>
        <w:pStyle w:val="afff1"/>
      </w:pPr>
      <w:r>
        <w:t>Available cases below:</w:t>
      </w:r>
    </w:p>
    <w:p w14:paraId="1C08538F"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Available cases below:</w:t>
      </w:r>
    </w:p>
    <w:p w14:paraId="067A6234"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①Foreign Students who have received 'Global Korea Scholarship' should write this phrase.</w:t>
      </w:r>
    </w:p>
    <w:p w14:paraId="201622C9"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②In the case of necessity to indicate by receiving research funding.</w:t>
      </w:r>
    </w:p>
    <w:p w14:paraId="733B6913" w14:textId="6DA2DD15" w:rsidR="008363E8" w:rsidRPr="001A2A17" w:rsidRDefault="008363E8" w:rsidP="008363E8">
      <w:pPr>
        <w:pStyle w:val="afff1"/>
      </w:pPr>
    </w:p>
  </w:comment>
  <w:comment w:id="13" w:author="학위논문실" w:date="2024-03-18T10:57:00Z" w:initials="학">
    <w:p w14:paraId="069F5A50" w14:textId="77777777" w:rsidR="00323119" w:rsidRDefault="008F2D46" w:rsidP="00323119">
      <w:pPr>
        <w:pStyle w:val="afff1"/>
        <w:numPr>
          <w:ilvl w:val="0"/>
          <w:numId w:val="25"/>
        </w:numPr>
      </w:pPr>
      <w:r>
        <w:rPr>
          <w:rStyle w:val="afff0"/>
        </w:rPr>
        <w:annotationRef/>
      </w:r>
      <w:r w:rsidR="00323119">
        <w:t>Asian languages should be arranged in Korean, Japanese, Chinese in sequence followed by Western language.</w:t>
      </w:r>
    </w:p>
    <w:p w14:paraId="2A58695C" w14:textId="77777777" w:rsidR="00323119" w:rsidRDefault="00323119" w:rsidP="00323119">
      <w:pPr>
        <w:pStyle w:val="afff1"/>
        <w:numPr>
          <w:ilvl w:val="0"/>
          <w:numId w:val="25"/>
        </w:numPr>
      </w:pPr>
      <w:r>
        <w:t>Korean texts should be arranged in Korean alphabetical order and English texts should be arranged in alphabetical order by the author's last name.</w:t>
      </w:r>
    </w:p>
    <w:p w14:paraId="3F82E9DD" w14:textId="77777777" w:rsidR="00323119" w:rsidRDefault="00323119" w:rsidP="00323119">
      <w:pPr>
        <w:pStyle w:val="afff1"/>
        <w:numPr>
          <w:ilvl w:val="0"/>
          <w:numId w:val="25"/>
        </w:numPr>
      </w:pPr>
      <w:r>
        <w:t>When one reference goes over two lines, next line should be indented by six spaces.</w:t>
      </w:r>
    </w:p>
  </w:comment>
  <w:comment w:id="14" w:author="학위논문실" w:date="2024-03-18T10:30:00Z" w:initials="학">
    <w:p w14:paraId="68209135" w14:textId="3FF77147" w:rsidR="008363E8" w:rsidRDefault="003D198D" w:rsidP="008363E8">
      <w:pPr>
        <w:pStyle w:val="afff1"/>
      </w:pPr>
      <w:r>
        <w:rPr>
          <w:rStyle w:val="afff0"/>
        </w:rPr>
        <w:annotationRef/>
      </w:r>
      <w:r w:rsidR="008363E8">
        <w:t>Appendix Example: chronological table, abbreviation etc.</w:t>
      </w:r>
    </w:p>
  </w:comment>
  <w:comment w:id="15" w:author="학위논문실" w:date="2024-03-18T10:30:00Z" w:initials="학">
    <w:p w14:paraId="5138E303" w14:textId="41DEE716" w:rsidR="00330719" w:rsidRDefault="003D198D" w:rsidP="00330719">
      <w:pPr>
        <w:pStyle w:val="afff1"/>
      </w:pPr>
      <w:r>
        <w:rPr>
          <w:rStyle w:val="afff0"/>
        </w:rPr>
        <w:annotationRef/>
      </w:r>
      <w:r w:rsidR="00330719">
        <w:t>Write only Graduate school of Education, Real Estate Studies, Art &amp; Design.</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3A0A18D" w15:done="0"/>
  <w15:commentEx w15:paraId="3579337C" w15:done="0"/>
  <w15:commentEx w15:paraId="28F0CA19" w15:done="0"/>
  <w15:commentEx w15:paraId="1523D697" w15:done="0"/>
  <w15:commentEx w15:paraId="095FA359" w15:done="0"/>
  <w15:commentEx w15:paraId="138BE6D5" w15:done="0"/>
  <w15:commentEx w15:paraId="4AF12C94" w15:done="0"/>
  <w15:commentEx w15:paraId="698DCCEA" w15:done="0"/>
  <w15:commentEx w15:paraId="2AD8A708" w15:done="0"/>
  <w15:commentEx w15:paraId="1E8DB1C2" w15:done="0"/>
  <w15:commentEx w15:paraId="4C21D83A" w15:done="0"/>
  <w15:commentEx w15:paraId="6DCE5D99" w15:done="0"/>
  <w15:commentEx w15:paraId="733B6913" w15:done="0"/>
  <w15:commentEx w15:paraId="3F82E9DD" w15:done="0"/>
  <w15:commentEx w15:paraId="68209135" w15:done="0"/>
  <w15:commentEx w15:paraId="5138E3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3122FD0" w16cex:dateUtc="2024-09-05T02:34:00Z"/>
  <w16cex:commentExtensible w16cex:durableId="3737781F" w16cex:dateUtc="2024-03-18T01:16:00Z"/>
  <w16cex:commentExtensible w16cex:durableId="3B7DCA6E" w16cex:dateUtc="2024-03-18T01:17:00Z"/>
  <w16cex:commentExtensible w16cex:durableId="2C98754C" w16cex:dateUtc="2024-03-18T01:19:00Z"/>
  <w16cex:commentExtensible w16cex:durableId="0EA0B2CE" w16cex:dateUtc="2024-03-18T01:16:00Z"/>
  <w16cex:commentExtensible w16cex:durableId="6342E85C" w16cex:dateUtc="2024-03-18T01:51:00Z"/>
  <w16cex:commentExtensible w16cex:durableId="23FC4940" w16cex:dateUtc="2024-03-18T01:19:00Z"/>
  <w16cex:commentExtensible w16cex:durableId="6CC6E03F" w16cex:dateUtc="2024-03-18T01:20:00Z"/>
  <w16cex:commentExtensible w16cex:durableId="5BA7471A" w16cex:dateUtc="2024-03-18T01:22:00Z"/>
  <w16cex:commentExtensible w16cex:durableId="00F1BA82" w16cex:dateUtc="2024-03-18T01:23:00Z"/>
  <w16cex:commentExtensible w16cex:durableId="4E6A1644" w16cex:dateUtc="2024-03-18T01:25:00Z"/>
  <w16cex:commentExtensible w16cex:durableId="5C0E9FDD" w16cex:dateUtc="2024-03-18T01:26:00Z"/>
  <w16cex:commentExtensible w16cex:durableId="5909418A" w16cex:dateUtc="2024-03-18T01:26:00Z"/>
  <w16cex:commentExtensible w16cex:durableId="6428F9DE" w16cex:dateUtc="2024-09-05T05:06:00Z"/>
  <w16cex:commentExtensible w16cex:durableId="12151F18" w16cex:dateUtc="2024-09-05T05:06:00Z"/>
  <w16cex:commentExtensible w16cex:durableId="1ED48B28" w16cex:dateUtc="2024-09-05T05:12:00Z"/>
  <w16cex:commentExtensible w16cex:durableId="1120E295" w16cex:dateUtc="2024-09-05T05:14:00Z"/>
  <w16cex:commentExtensible w16cex:durableId="10EF19B0" w16cex:dateUtc="2024-03-18T01:28:00Z"/>
  <w16cex:commentExtensible w16cex:durableId="40307D28" w16cex:dateUtc="2024-03-18T01:29:00Z"/>
  <w16cex:commentExtensible w16cex:durableId="32AA118C" w16cex:dateUtc="2024-03-18T01:57:00Z"/>
  <w16cex:commentExtensible w16cex:durableId="09FD897D" w16cex:dateUtc="2024-03-18T01:30:00Z"/>
  <w16cex:commentExtensible w16cex:durableId="0C4FE85A" w16cex:dateUtc="2024-03-18T01:30:00Z"/>
  <w16cex:commentExtensible w16cex:durableId="119AEA18" w16cex:dateUtc="2024-03-18T01: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5427F59" w16cid:durableId="33122FD0"/>
  <w16cid:commentId w16cid:paraId="259484B3" w16cid:durableId="3737781F"/>
  <w16cid:commentId w16cid:paraId="13A0A18D" w16cid:durableId="3B7DCA6E"/>
  <w16cid:commentId w16cid:paraId="3579337C" w16cid:durableId="2C98754C"/>
  <w16cid:commentId w16cid:paraId="28F0CA19" w16cid:durableId="091AABE3"/>
  <w16cid:commentId w16cid:paraId="4FE35D09" w16cid:durableId="0EA0B2CE"/>
  <w16cid:commentId w16cid:paraId="0B2823DE" w16cid:durableId="6342E85C"/>
  <w16cid:commentId w16cid:paraId="1523D697" w16cid:durableId="23FC4940"/>
  <w16cid:commentId w16cid:paraId="095FA359" w16cid:durableId="6CC6E03F"/>
  <w16cid:commentId w16cid:paraId="138BE6D5" w16cid:durableId="5BA7471A"/>
  <w16cid:commentId w16cid:paraId="4AF12C94" w16cid:durableId="00F1BA82"/>
  <w16cid:commentId w16cid:paraId="0B93B9BD" w16cid:durableId="226A635B"/>
  <w16cid:commentId w16cid:paraId="698DCCEA" w16cid:durableId="4E6A1644"/>
  <w16cid:commentId w16cid:paraId="2AD8A708" w16cid:durableId="5C0E9FDD"/>
  <w16cid:commentId w16cid:paraId="1E8DB1C2" w16cid:durableId="5909418A"/>
  <w16cid:commentId w16cid:paraId="69EE888A" w16cid:durableId="6428F9DE"/>
  <w16cid:commentId w16cid:paraId="5C50A593" w16cid:durableId="12151F18"/>
  <w16cid:commentId w16cid:paraId="32C84BE3" w16cid:durableId="1ED48B28"/>
  <w16cid:commentId w16cid:paraId="667133EC" w16cid:durableId="2AB07FB0"/>
  <w16cid:commentId w16cid:paraId="4C21D83A" w16cid:durableId="1120E295"/>
  <w16cid:commentId w16cid:paraId="7E6FFBEA" w16cid:durableId="5E18BD20"/>
  <w16cid:commentId w16cid:paraId="6DCE5D99" w16cid:durableId="10EF19B0"/>
  <w16cid:commentId w16cid:paraId="733B6913" w16cid:durableId="40307D28"/>
  <w16cid:commentId w16cid:paraId="3F82E9DD" w16cid:durableId="32AA118C"/>
  <w16cid:commentId w16cid:paraId="68209135" w16cid:durableId="09FD897D"/>
  <w16cid:commentId w16cid:paraId="5138E303" w16cid:durableId="0C4FE85A"/>
  <w16cid:commentId w16cid:paraId="2B5D39C3" w16cid:durableId="119AEA1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DD9E9D" w14:textId="77777777" w:rsidR="00D05365" w:rsidRDefault="00D05365" w:rsidP="00D26248">
      <w:pPr>
        <w:pBdr>
          <w:top w:val="none" w:sz="2" w:space="0" w:color="000000"/>
        </w:pBdr>
      </w:pPr>
      <w:r>
        <w:separator/>
      </w:r>
    </w:p>
  </w:endnote>
  <w:endnote w:type="continuationSeparator" w:id="0">
    <w:p w14:paraId="624433F7" w14:textId="77777777" w:rsidR="00D05365" w:rsidRDefault="00D05365"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돋움">
    <w:panose1 w:val="020B0604000101010101"/>
    <w:charset w:val="81"/>
    <w:family w:val="modern"/>
    <w:pitch w:val="variable"/>
    <w:sig w:usb0="F7002EFF" w:usb1="19DFFFFF" w:usb2="001BFDD7" w:usb3="00000000" w:csb0="001F007F" w:csb1="00000000"/>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62660730"/>
      <w:docPartObj>
        <w:docPartGallery w:val="Page Numbers (Bottom of Page)"/>
        <w:docPartUnique/>
      </w:docPartObj>
    </w:sdtPr>
    <w:sdtEnd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40BB5A" w14:textId="77777777" w:rsidR="00D05365" w:rsidRDefault="00D05365" w:rsidP="00D26248">
      <w:pPr>
        <w:pBdr>
          <w:top w:val="none" w:sz="2" w:space="0" w:color="000000"/>
        </w:pBdr>
      </w:pPr>
      <w:r>
        <w:separator/>
      </w:r>
    </w:p>
  </w:footnote>
  <w:footnote w:type="continuationSeparator" w:id="0">
    <w:p w14:paraId="311D1238" w14:textId="77777777" w:rsidR="00D05365" w:rsidRDefault="00D05365"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abstractNumId w:val="7"/>
  </w:num>
  <w:num w:numId="2">
    <w:abstractNumId w:val="13"/>
  </w:num>
  <w:num w:numId="3">
    <w:abstractNumId w:val="24"/>
  </w:num>
  <w:num w:numId="4">
    <w:abstractNumId w:val="15"/>
  </w:num>
  <w:num w:numId="5">
    <w:abstractNumId w:val="11"/>
  </w:num>
  <w:num w:numId="6">
    <w:abstractNumId w:val="16"/>
  </w:num>
  <w:num w:numId="7">
    <w:abstractNumId w:val="12"/>
  </w:num>
  <w:num w:numId="8">
    <w:abstractNumId w:val="4"/>
  </w:num>
  <w:num w:numId="9">
    <w:abstractNumId w:val="2"/>
  </w:num>
  <w:num w:numId="10">
    <w:abstractNumId w:val="19"/>
  </w:num>
  <w:num w:numId="11">
    <w:abstractNumId w:val="0"/>
  </w:num>
  <w:num w:numId="12">
    <w:abstractNumId w:val="1"/>
  </w:num>
  <w:num w:numId="13">
    <w:abstractNumId w:val="5"/>
  </w:num>
  <w:num w:numId="14">
    <w:abstractNumId w:val="6"/>
  </w:num>
  <w:num w:numId="15">
    <w:abstractNumId w:val="14"/>
  </w:num>
  <w:num w:numId="16">
    <w:abstractNumId w:val="20"/>
  </w:num>
  <w:num w:numId="17">
    <w:abstractNumId w:val="3"/>
  </w:num>
  <w:num w:numId="18">
    <w:abstractNumId w:val="18"/>
  </w:num>
  <w:num w:numId="19">
    <w:abstractNumId w:val="22"/>
  </w:num>
  <w:num w:numId="20">
    <w:abstractNumId w:val="9"/>
  </w:num>
  <w:num w:numId="21">
    <w:abstractNumId w:val="17"/>
  </w:num>
  <w:num w:numId="22">
    <w:abstractNumId w:val="23"/>
  </w:num>
  <w:num w:numId="23">
    <w:abstractNumId w:val="10"/>
  </w:num>
  <w:num w:numId="24">
    <w:abstractNumId w:val="21"/>
  </w:num>
  <w:num w:numId="25">
    <w:abstractNumId w:val="8"/>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en-US" w:vendorID="64" w:dllVersion="131078" w:nlCheck="1" w:checkStyle="0"/>
  <w:activeWritingStyle w:appName="MSWord" w:lang="ko-KR" w:vendorID="64" w:dllVersion="131077" w:nlCheck="1" w:checkStyle="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updateFields w:val="true"/>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2752D"/>
    <w:rsid w:val="000473DD"/>
    <w:rsid w:val="000B195B"/>
    <w:rsid w:val="001079ED"/>
    <w:rsid w:val="00116A61"/>
    <w:rsid w:val="001238E7"/>
    <w:rsid w:val="00197AE1"/>
    <w:rsid w:val="001A2A17"/>
    <w:rsid w:val="00243B56"/>
    <w:rsid w:val="00254AC5"/>
    <w:rsid w:val="00291369"/>
    <w:rsid w:val="002949DB"/>
    <w:rsid w:val="002A1301"/>
    <w:rsid w:val="002A70E6"/>
    <w:rsid w:val="002E7562"/>
    <w:rsid w:val="003155B7"/>
    <w:rsid w:val="00323119"/>
    <w:rsid w:val="00330719"/>
    <w:rsid w:val="00345205"/>
    <w:rsid w:val="003756A9"/>
    <w:rsid w:val="003D198D"/>
    <w:rsid w:val="003D5F96"/>
    <w:rsid w:val="00431532"/>
    <w:rsid w:val="00452C8C"/>
    <w:rsid w:val="004A7E8A"/>
    <w:rsid w:val="004B63AB"/>
    <w:rsid w:val="004C73C6"/>
    <w:rsid w:val="004E491E"/>
    <w:rsid w:val="00524A69"/>
    <w:rsid w:val="00547FC5"/>
    <w:rsid w:val="005D5380"/>
    <w:rsid w:val="006000CA"/>
    <w:rsid w:val="0060059E"/>
    <w:rsid w:val="006277D8"/>
    <w:rsid w:val="00641178"/>
    <w:rsid w:val="006469C2"/>
    <w:rsid w:val="00651473"/>
    <w:rsid w:val="00663C9B"/>
    <w:rsid w:val="00673B37"/>
    <w:rsid w:val="00684030"/>
    <w:rsid w:val="00697D43"/>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363E8"/>
    <w:rsid w:val="008379AC"/>
    <w:rsid w:val="00846490"/>
    <w:rsid w:val="0089449A"/>
    <w:rsid w:val="008F2D46"/>
    <w:rsid w:val="00902DF4"/>
    <w:rsid w:val="0095151D"/>
    <w:rsid w:val="009535F4"/>
    <w:rsid w:val="00961B8C"/>
    <w:rsid w:val="009628AF"/>
    <w:rsid w:val="00963825"/>
    <w:rsid w:val="00975B46"/>
    <w:rsid w:val="0098035C"/>
    <w:rsid w:val="009967B5"/>
    <w:rsid w:val="009F2382"/>
    <w:rsid w:val="009F72CB"/>
    <w:rsid w:val="00A02BEC"/>
    <w:rsid w:val="00A06DE3"/>
    <w:rsid w:val="00A51196"/>
    <w:rsid w:val="00A803C0"/>
    <w:rsid w:val="00A92785"/>
    <w:rsid w:val="00AB00B6"/>
    <w:rsid w:val="00AD4E59"/>
    <w:rsid w:val="00BE35E5"/>
    <w:rsid w:val="00BF3778"/>
    <w:rsid w:val="00C60A29"/>
    <w:rsid w:val="00C704CD"/>
    <w:rsid w:val="00D04164"/>
    <w:rsid w:val="00D051DC"/>
    <w:rsid w:val="00D05365"/>
    <w:rsid w:val="00D10D89"/>
    <w:rsid w:val="00D26248"/>
    <w:rsid w:val="00D27A16"/>
    <w:rsid w:val="00D44916"/>
    <w:rsid w:val="00D67F45"/>
    <w:rsid w:val="00DA4D4B"/>
    <w:rsid w:val="00DF0C18"/>
    <w:rsid w:val="00E00B04"/>
    <w:rsid w:val="00E033DC"/>
    <w:rsid w:val="00E82FDC"/>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4.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8/08/relationships/commentsExtensible" Target="commentsExtensi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603</Words>
  <Characters>3439</Characters>
  <Application>Microsoft Office Word</Application>
  <DocSecurity>0</DocSecurity>
  <Lines>28</Lines>
  <Paragraphs>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9</cp:revision>
  <cp:lastPrinted>2024-09-05T05:26:00Z</cp:lastPrinted>
  <dcterms:created xsi:type="dcterms:W3CDTF">2025-03-04T08:25:00Z</dcterms:created>
  <dcterms:modified xsi:type="dcterms:W3CDTF">2025-08-27T07:33:00Z</dcterms:modified>
  <cp:version>0501.0100.01</cp:version>
</cp:coreProperties>
</file>