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Dugki Min</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February, 2027</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Telecommunications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Engineering.</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November, 2026</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Telecommunications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r w:rsidRPr="0002752D">
        <w:rPr>
          <w:rFonts w:ascii="Arial" w:hAnsi="Arial" w:cs="Arial"/>
          <w:color w:val="282828"/>
          <w:w w:val="97"/>
          <w:sz w:val="18"/>
        </w:rPr>
        <w:t>Keyword</w:t>
      </w:r>
      <w:r w:rsidRPr="0002752D">
        <w:rPr>
          <w:rFonts w:ascii="Arial" w:hAnsi="Arial" w:cs="Arial"/>
          <w:color w:val="0000FF"/>
          <w:w w:val="97"/>
          <w:sz w:val="18"/>
        </w:rPr>
        <w:t>(9</w:t>
      </w:r>
      <w:r w:rsidR="007D745F">
        <w:rPr>
          <w:rFonts w:ascii="Arial" w:hAnsi="Arial" w:cs="Arial"/>
          <w:color w:val="0000FF"/>
          <w:w w:val="97"/>
          <w:sz w:val="18"/>
        </w:rPr>
        <w:t>pt</w:t>
      </w:r>
      <w:r w:rsidRPr="0002752D">
        <w:rPr>
          <w:rFonts w:ascii="Arial" w:hAnsi="Arial" w:cs="Arial"/>
          <w:color w:val="0000FF"/>
          <w:w w:val="97"/>
          <w:sz w:val="18"/>
        </w:rPr>
        <w:t>)</w:t>
      </w:r>
      <w:r w:rsidRPr="0002752D">
        <w:rPr>
          <w:rFonts w:ascii="Arial" w:eastAsia="휴먼명조" w:hAnsi="Arial" w:cs="Arial"/>
          <w:color w:val="282828"/>
          <w:w w:val="97"/>
          <w:sz w:val="18"/>
        </w:rPr>
        <w:t xml:space="preserve"> : within 6 word(</w:t>
      </w:r>
      <w:r w:rsidRPr="0002752D">
        <w:rPr>
          <w:rFonts w:ascii="Arial" w:eastAsia="휴먼명조" w:hAnsi="Arial" w:cs="Arial"/>
          <w:color w:val="282828"/>
          <w:w w:val="97"/>
          <w:sz w:val="18"/>
        </w:rPr>
        <w:t>여백에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상관없이</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가장하단에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위치</w:t>
      </w:r>
      <w:r w:rsidRPr="0002752D">
        <w:rPr>
          <w:rFonts w:ascii="Arial" w:eastAsia="휴먼명조" w:hAnsi="Arial" w:cs="Arial"/>
          <w:color w:val="282828"/>
          <w:w w:val="97"/>
          <w:sz w:val="18"/>
        </w:rPr>
        <w:t>)</w:t>
      </w:r>
      <w:commentRangeEnd w:id="11"/>
      <w:r w:rsidR="00846490">
        <w:rPr>
          <w:rStyle w:val="afff0"/>
        </w:rPr>
        <w:commentReference w:id="11"/>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sz w:val="22"/>
          <w:w w:val="97"/>
        </w:rPr>
        <w:t xml:space="preserve">Feasibility in the 16GB-class environment targeted by this study was confirmed </w:t>
      </w:r>
      <w:r>
        <w:rPr>
          <w:rFonts w:ascii="휴먼명조" w:eastAsia="휴먼명조" w:hAnsi="휴먼명조" w:cs="휴먼명조"/>
          <w:b/>
          <w:sz w:val="22"/>
          <w:w w:val="97"/>
        </w:rPr>
        <w:t>from measured VRAM usage rather than by execution on such a card</w:t>
      </w:r>
      <w:r>
        <w:rPr>
          <w:rFonts w:ascii="휴먼명조" w:eastAsia="휴먼명조" w:hAnsi="휴먼명조" w:cs="휴먼명조"/>
          <w:b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sz w:val="22"/>
          <w:w w:val="97"/>
        </w:rPr>
        <w:t>preliminary smoke test conducted solely to size the execution</w:t>
      </w:r>
      <w:r>
        <w:rPr>
          <w:rFonts w:ascii="휴먼명조" w:eastAsia="휴먼명조" w:hAnsi="휴먼명조" w:cs="휴먼명조"/>
          <w:b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sz w:val="22"/>
          <w:w w:val="97"/>
        </w:rPr>
        <w:t>(14) Absence of verification on actual 16GB hardware.</w:t>
      </w:r>
      <w:r>
        <w:rPr>
          <w:rFonts w:ascii="휴먼명조" w:eastAsia="휴먼명조" w:hAnsi="휴먼명조" w:cs="휴먼명조"/>
          <w:b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sz w:val="22"/>
          <w:w w:val="97"/>
        </w:rPr>
        <w:t>inferred</w:t>
      </w:r>
      <w:r>
        <w:rPr>
          <w:rFonts w:ascii="휴먼명조" w:eastAsia="휴먼명조" w:hAnsi="휴먼명조" w:cs="휴먼명조"/>
          <w:b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