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predict future pointmaps and images for several cameras but are too slow for closed-loop control: Geo4D needs 25 UNet evaluations and 21.8 s per prediction on an RTX 5090. Few-step distillation is the standard remedy for single-view video diffusion; on a multi-view RGB-D model we identify two failure modes. A training-free three-step sampler keeps depth accuracy and raises PSNR, yet seed diversity drops by 47% and four seeds produce the same image: a collapse toward the conditional mean that pixel metrics hide. Distribution matching distillation in EDM sigma space, with a re-noising three-step sampler and no classifier-free guidance, restores sharpness and diversity, but the student predicts depth about 9% too far, a global per-view scale shift; an affine fit explains 97% of the gap. Since the conditioning pointmap is a model input, we align the predicted first frame to it with a per-view scale at inference, using camera extrinsics for the second view and no ground truth. This reduces the student's AbsRel from 0.175 to 0.082 and also improves the teacher (0.072 to 0.060). In bf16 the student runs in 1.64 s (13.3x faster than the teacher) with teacher-level sharpness (p=0.95) and seed diversity (p=0.84); AbsRel rises by 0.015 and LPIPS by 0.018, both significant. We report ODE-regression initialization and a ground-truth-supervised cross-view depth loss as negative results.</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20 samples (40 view-samples) of the PlaceAppleFromBowlIntoBin task, the three-step student runs in 1.64 s on one RTX 5090, 13.3x faster than the 21.8 s teacher, and meets the 2 s quasi-static budget (1.18 s with torch.compile, timed on 5 samples). Its sharpness (p=0.95) and seed diversity (p=0.84) are statistically indistinguishable from the teacher's, while AbsRel is higher by 0.015 (p&lt;0.001) and LPIPS by 0.018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 A self-anchored training loss that applies the same calibration during training removes most of the raw scale shift (0.175 to 0.102 without inference-time correction) but has not yet recovered teacher sharpness (Section 4.5).</w:t>
      </w:r>
    </w:p>
    <w:p>
      <w:pPr>
        <w:jc w:val="both"/>
      </w:pPr>
      <w:r>
        <w:t>In summary, our contributions are:</w:t>
      </w:r>
    </w:p>
    <w:p>
      <w:pPr>
        <w:jc w:val="both"/>
      </w:pPr>
      <w:r>
        <w:t>(1) We identify what few-step sampling costs a multi-view RGB-D world model and show that pixel metrics hide it. Reducing the Geo4D sampler to three steps without training raises PSNR and keeps AbsRel while seed diversity drops by 47% and four seeds yield the same image; the metrics collapse in a fixed order (diversity, then LPIPS, then geometry, never PSNR); a cross-view chamfer distance rewards two views that are wrong in the same way; and on average 53% of the right-view ground-truth pixels produced by the released dataset transform are transformed invalid pixels that must be masked. We therefore evaluate per-view depth AbsRel, LPIPS, sharpness, seed diversity and cross-view chamfer jointly, with paired Wilcoxon signed-rank tests over 40 view-samples and a training-free few-step teacher as a control row.</w:t>
      </w:r>
    </w:p>
    <w:p>
      <w:pPr>
        <w:jc w:val="both"/>
      </w:pPr>
      <w:r>
        <w:t>(2) A distillation recipe for the Geo4D generator: distribution matching distillation moved to EDM sigma space with DMD2 backward simulation, a three-sigma student sampled by predicting x₀ and re-noising to the next sigma, no classifier-free guidance (halving the cost of each UNet call), and checkpoint selection by the ratio of student to teacher latent standard deviation. In bf16 the student runs in 1.64 s on one RTX 5090, 13.3x faster than the 21.8 s teacher, with sharpness (p=0.95) and seed diversity (p=0.84) statistically indistinguishable from the teacher's and small but significant losses in AbsRel (+0.015) and LPIPS (+0.018). Two negative results are reported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w:t>
      </w:r>
    </w:p>
    <w:p>
      <w:pPr>
        <w:jc w:val="both"/>
      </w:pPr>
      <w:r>
        <w:t>(3) A per-view input-anchored depth calibration that corrects the depth-scale drift of the distilled Geo4D student without ground truth. We identify that the student's residual depth error is a global per-view scale shift of about 9%, of which an affine fit explains 97%; because the conditioning pointmap is an input to the model, a per-view scale that aligns the predicted first frame to it is available at test time, with the camera extrinsics bringing the right view's conditioning pointmap into the reference frame. The anchor reduces the student's AbsRel from 0.175 to 0.082 and also improves the teacher (0.072 to 0.060).</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20 samples, i.e. 40 view-samples, with fixed data seed 1234 and generation seed 0. Differences are tested with a paired Wilcoxon signed-rank test (Wilcoxon, 1945) over the 40 view-samples. Seed diversity is measured on the first 3 samples, each generated with seeds 0 to 3. Early sweeps used 10 samples and are marked as such.</w:t>
      </w:r>
    </w:p>
    <w:p>
      <w:pPr>
        <w:jc w:val="both"/>
      </w:pPr>
      <w:r>
        <w:rPr>
          <w:b/>
        </w:rPr>
        <w:t>Equivalence margins.</w:t>
      </w:r>
      <w:r>
        <w:t xml:space="preserve"> A non-significant Wilcoxon test does not show that two methods are equal, so besides p-values we report the 90% confidence interval of the paired difference and call a metric preserved only if the interval lies inside a pre-set margin </w:t>
      </w:r>
      <w:r>
        <w:rPr>
          <w:i/>
        </w:rPr>
        <w:t>[-δ, +δ]</w:t>
      </w:r>
      <w:r>
        <w:t xml:space="preserve"> (two one-sided tests, TOST). The margins are our choice, grounded as follows: PSNR 0.5 dB (a common significance threshold, about half of one just-noticeable difference); AbsRel 0.005 strict (about one generation of progress on KITTI and NYU in Depth Anything V2; Yang et al., 2024) and 0.010 practical (half of the ±2% specification of a RealSense D435, about 1 cm at 1 m, the depth noise a closed-loop grasp tolerates); LPIPS 0.05 perceptual (a difference below 0.05 gives about 52% human agreement; Hou et al., 2022) and 0.01 strict; sharpness ±5% (half of the 11% loss of the training-free 3-step teacher); diversity ±10%; CV-Chamfer one-sided, not worse; gripper centroid error +1 cm strict (the 3 to 10 mm noise of current 6-DoF pose trackers) and +2 cm practical (a pose error above 2 cm fails a grasp with a 4 cm stroke; Tremblay et al., 2020). With 40 view-samples the minimal detectable paired effects are 0.26 dB PSNR, 0.010 AbsRel, 0.004 LPIPS, 0.0004 sharpness, 0.0042 diversity (n=6 view-samples), and 0.034 CV-Chamfer (n=20 samples). Under these margins the main 3-step student passes PSNR, sharpness, CV-Chamfer, and the perceptual LPIPS margin, fails AbsRel and the strict LPIPS margin, passes diversity only provisionally because its interval is wider than the margin, and is borderline on the practical gripper-centroid margin (Section 4.3, Appendix A.6).</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 The 90% confidence intervals of the paired differences are AbsRel +0.0155 [+0.010, +0.021], LPIPS +0.018 [+0.015, +0.020], PSNR −0.19 dB [−0.34, −0.04], sharpness +0.0002 [−0.0000, +0.0005], and diversity −0.0003 [−0.0027, +0.0021], which under the margins of Section 4.1 means that AbsRel is not preserved, LPIPS is preserved only at the perceptual margin, and PSNR and sharpness are preserved.</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Self-anchored training loss (preliminary).</w:t>
      </w:r>
      <w:r>
        <w:t xml:space="preserve"> The anchor of Section 3.4 can also be applied during training, again without ground truth. In run 6d we add to DMD a log-L1 loss between the decoded depth of predicted frame 0 of each view and the depth of that view's conditioning frame: the left view is matched to its conditioning pointmap directly, and the right view to its conditioning pointmap transformed into the reference frame with </w:t>
      </w:r>
      <w:r>
        <w:rPr>
          <w:i/>
        </w:rPr>
        <w:t>E_L⁻¹ E_R</w:t>
      </w:r>
      <w:r>
        <w:t xml:space="preserve">. The weight is balanced at the </w:t>
      </w:r>
      <w:r>
        <w:rPr>
          <w:i/>
        </w:rPr>
        <w:t>x₀</w:t>
      </w:r>
      <w:r>
        <w:t>-gradient level as for the cross-view loss (</w:t>
      </w:r>
      <w:r>
        <w:rPr>
          <w:i/>
        </w:rPr>
        <w:t>β = 1</w:t>
      </w:r>
      <w:r>
        <w:t>), and the recipe is otherwise that of the main student (v2 initialization, 2000 steps, 1 h, peak 27.3 GB). Predicted frame 0 lies 5 dataset steps after the conditioning frame, so the 2 to 3% of pixels on the moving robot are also pulled toward the conditioning depth; a flag that excludes robot pixels exists but was not used. The training diagnostic rises more slowly than for the main student (0.79 at step 0, 0.889 at 800, 0.951 at 1300, 0.980 at 1600, and 0.998 at 1900, where the main student reached 0.99 at step 1000) and does not overshoot by step 2000; the anchor loss falls from 0.41 to 0.08 and the final anchor scales are 0.987 (left) and 0.966 (right). Table 6 reports the 20-sample evaluation. The loss removes most of the raw scale shift, from 0.175 to 0.102 without any inference-time anchor, and closes the left/right gap after anchoring (0.081/0.082 against 0.076/0.088 for the main student), but at step 2000 sharpness is 18% below the teacher's and LPIPS is 0.030 higher (paired over 40 view-samples: sharpness −0.0024, p&lt;0.001; LPIPS +0.030, p&lt;0.001; AbsRel +0.015, p&lt;0.001; PSNR −0.21 dB, p=0.034; diversity −0.0001, p=1.00). Both sharpness and LPIPS improve from step 1600 to step 2000, so the run is not converged; an extension to 4000 steps is running at the time of writing and is not reported.</w:t>
      </w:r>
    </w:p>
    <w:p>
      <w:pPr>
        <w:jc w:val="both"/>
      </w:pPr>
      <w:r>
        <w:t>Table 6: Self-anchored training loss (run 6d), 20 samples, fake pixels excluded. Raw AbsRel is measured without the inference-time anchor, anchored AbsRel with the per-view anchor; sharpness is given relative to the teacher in parentheses. The loss removes most of the raw scale shift and equalizes the two views, but sharpness and LPIPS have not recovered by step 2000.</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337"/>
            <w:tcBorders>
              <w:top w:val="single" w:sz="8" w:color="000000"/>
              <w:bottom w:val="single" w:sz="4" w:color="000000"/>
            </w:tcBorders>
          </w:tcPr>
          <w:p>
            <w:pPr>
              <w:spacing w:after="0" w:before="0"/>
              <w:jc w:val="left"/>
            </w:pPr>
            <w:r>
              <w:rPr>
                <w:b/>
                <w:sz w:val="17"/>
              </w:rPr>
            </w:r>
            <w:r>
              <w:rPr>
                <w:b/>
                <w:sz w:val="17"/>
              </w:rPr>
              <w:t>ckpt</w:t>
            </w:r>
          </w:p>
        </w:tc>
        <w:tc>
          <w:tcPr>
            <w:tcW w:type="dxa" w:w="1337"/>
            <w:tcBorders>
              <w:top w:val="single" w:sz="8" w:color="000000"/>
              <w:bottom w:val="single" w:sz="4" w:color="000000"/>
            </w:tcBorders>
          </w:tcPr>
          <w:p>
            <w:pPr>
              <w:spacing w:after="0" w:before="0"/>
              <w:jc w:val="center"/>
            </w:pPr>
            <w:r>
              <w:rPr>
                <w:b/>
                <w:sz w:val="17"/>
              </w:rPr>
            </w:r>
            <w:r>
              <w:rPr>
                <w:b/>
                <w:sz w:val="17"/>
              </w:rPr>
              <w:t>raw AbsRel (no anchor)</w:t>
            </w:r>
          </w:p>
        </w:tc>
        <w:tc>
          <w:tcPr>
            <w:tcW w:type="dxa" w:w="1337"/>
            <w:tcBorders>
              <w:top w:val="single" w:sz="8" w:color="000000"/>
              <w:bottom w:val="single" w:sz="4" w:color="000000"/>
            </w:tcBorders>
          </w:tcPr>
          <w:p>
            <w:pPr>
              <w:spacing w:after="0" w:before="0"/>
              <w:jc w:val="center"/>
            </w:pPr>
            <w:r>
              <w:rPr>
                <w:b/>
                <w:sz w:val="17"/>
              </w:rPr>
            </w:r>
            <w:r>
              <w:rPr>
                <w:b/>
                <w:sz w:val="17"/>
              </w:rPr>
              <w:t>anchored AbsRel (L/R)</w:t>
            </w:r>
          </w:p>
        </w:tc>
        <w:tc>
          <w:tcPr>
            <w:tcW w:type="dxa" w:w="1337"/>
            <w:tcBorders>
              <w:top w:val="single" w:sz="8" w:color="000000"/>
              <w:bottom w:val="single" w:sz="4" w:color="000000"/>
            </w:tcBorders>
          </w:tcPr>
          <w:p>
            <w:pPr>
              <w:spacing w:after="0" w:before="0"/>
              <w:jc w:val="center"/>
            </w:pPr>
            <w:r>
              <w:rPr>
                <w:b/>
                <w:sz w:val="17"/>
              </w:rPr>
            </w:r>
            <w:r>
              <w:rPr>
                <w:b/>
                <w:sz w:val="17"/>
              </w:rPr>
              <w:t>LPIPS ↓</w:t>
            </w:r>
          </w:p>
        </w:tc>
        <w:tc>
          <w:tcPr>
            <w:tcW w:type="dxa" w:w="1337"/>
            <w:tcBorders>
              <w:top w:val="single" w:sz="8" w:color="000000"/>
              <w:bottom w:val="single" w:sz="4" w:color="000000"/>
            </w:tcBorders>
          </w:tcPr>
          <w:p>
            <w:pPr>
              <w:spacing w:after="0" w:before="0"/>
              <w:jc w:val="center"/>
            </w:pPr>
            <w:r>
              <w:rPr>
                <w:b/>
                <w:sz w:val="17"/>
              </w:rPr>
            </w:r>
            <w:r>
              <w:rPr>
                <w:b/>
                <w:sz w:val="17"/>
              </w:rPr>
              <w:t>sharpness</w:t>
            </w:r>
          </w:p>
        </w:tc>
        <w:tc>
          <w:tcPr>
            <w:tcW w:type="dxa" w:w="1337"/>
            <w:tcBorders>
              <w:top w:val="single" w:sz="8" w:color="000000"/>
              <w:bottom w:val="single" w:sz="4" w:color="000000"/>
            </w:tcBorders>
          </w:tcPr>
          <w:p>
            <w:pPr>
              <w:spacing w:after="0" w:before="0"/>
              <w:jc w:val="center"/>
            </w:pPr>
            <w:r>
              <w:rPr>
                <w:b/>
                <w:sz w:val="17"/>
              </w:rPr>
            </w:r>
            <w:r>
              <w:rPr>
                <w:b/>
                <w:sz w:val="17"/>
              </w:rPr>
              <w:t>PSNR ↑</w:t>
            </w:r>
          </w:p>
        </w:tc>
        <w:tc>
          <w:tcPr>
            <w:tcW w:type="dxa" w:w="1337"/>
            <w:tcBorders>
              <w:top w:val="single" w:sz="8" w:color="000000"/>
              <w:bottom w:val="single" w:sz="4" w:color="000000"/>
            </w:tcBorders>
          </w:tcPr>
          <w:p>
            <w:pPr>
              <w:spacing w:after="0" w:before="0"/>
              <w:jc w:val="center"/>
            </w:pPr>
            <w:r>
              <w:rPr>
                <w:b/>
                <w:sz w:val="17"/>
              </w:rPr>
            </w:r>
            <w:r>
              <w:rPr>
                <w:b/>
                <w:sz w:val="17"/>
              </w:rPr>
              <w:t>diversity</w:t>
            </w:r>
          </w:p>
        </w:tc>
      </w:tr>
      <w:tr>
        <w:tc>
          <w:tcPr>
            <w:tcW w:type="dxa" w:w="1337"/>
          </w:tcPr>
          <w:p>
            <w:pPr>
              <w:spacing w:after="0" w:before="0"/>
              <w:jc w:val="left"/>
            </w:pPr>
            <w:r>
              <w:rPr>
                <w:sz w:val="17"/>
              </w:rPr>
            </w:r>
            <w:r>
              <w:rPr>
                <w:sz w:val="17"/>
              </w:rPr>
              <w:t>teacher (25 steps)</w:t>
            </w:r>
          </w:p>
        </w:tc>
        <w:tc>
          <w:tcPr>
            <w:tcW w:type="dxa" w:w="1337"/>
          </w:tcPr>
          <w:p>
            <w:pPr>
              <w:spacing w:after="0" w:before="0"/>
              <w:jc w:val="center"/>
            </w:pPr>
            <w:r>
              <w:rPr>
                <w:sz w:val="17"/>
              </w:rPr>
            </w:r>
            <w:r>
              <w:rPr>
                <w:sz w:val="17"/>
              </w:rPr>
              <w:t>0.066 (0.067/0.066)</w:t>
            </w:r>
          </w:p>
        </w:tc>
        <w:tc>
          <w:tcPr>
            <w:tcW w:type="dxa" w:w="1337"/>
          </w:tcPr>
          <w:p>
            <w:pPr>
              <w:spacing w:after="0" w:before="0"/>
              <w:jc w:val="center"/>
            </w:pPr>
            <w:r>
              <w:rPr>
                <w:sz w:val="17"/>
              </w:rPr>
            </w:r>
            <w:r>
              <w:rPr>
                <w:sz w:val="17"/>
              </w:rPr>
              <w:t>—</w:t>
            </w:r>
          </w:p>
        </w:tc>
        <w:tc>
          <w:tcPr>
            <w:tcW w:type="dxa" w:w="1337"/>
          </w:tcPr>
          <w:p>
            <w:pPr>
              <w:spacing w:after="0" w:before="0"/>
              <w:jc w:val="center"/>
            </w:pPr>
            <w:r>
              <w:rPr>
                <w:sz w:val="17"/>
              </w:rPr>
            </w:r>
            <w:r>
              <w:rPr>
                <w:sz w:val="17"/>
              </w:rPr>
              <w:t>0.118</w:t>
            </w:r>
          </w:p>
        </w:tc>
        <w:tc>
          <w:tcPr>
            <w:tcW w:type="dxa" w:w="1337"/>
          </w:tcPr>
          <w:p>
            <w:pPr>
              <w:spacing w:after="0" w:before="0"/>
              <w:jc w:val="center"/>
            </w:pPr>
            <w:r>
              <w:rPr>
                <w:sz w:val="17"/>
              </w:rPr>
            </w:r>
            <w:r>
              <w:rPr>
                <w:sz w:val="17"/>
              </w:rPr>
              <w:t>0.0134</w:t>
            </w:r>
          </w:p>
        </w:tc>
        <w:tc>
          <w:tcPr>
            <w:tcW w:type="dxa" w:w="1337"/>
          </w:tcPr>
          <w:p>
            <w:pPr>
              <w:spacing w:after="0" w:before="0"/>
              <w:jc w:val="center"/>
            </w:pPr>
            <w:r>
              <w:rPr>
                <w:sz w:val="17"/>
              </w:rPr>
            </w:r>
            <w:r>
              <w:rPr>
                <w:sz w:val="17"/>
              </w:rPr>
              <w:t>20.62</w:t>
            </w:r>
          </w:p>
        </w:tc>
        <w:tc>
          <w:tcPr>
            <w:tcW w:type="dxa" w:w="1337"/>
          </w:tcPr>
          <w:p>
            <w:pPr>
              <w:spacing w:after="0" w:before="0"/>
              <w:jc w:val="center"/>
            </w:pPr>
            <w:r>
              <w:rPr>
                <w:sz w:val="17"/>
              </w:rPr>
            </w:r>
            <w:r>
              <w:rPr>
                <w:sz w:val="17"/>
              </w:rPr>
              <w:t>0.0227</w:t>
            </w:r>
          </w:p>
        </w:tc>
      </w:tr>
      <w:tr>
        <w:tc>
          <w:tcPr>
            <w:tcW w:type="dxa" w:w="1337"/>
          </w:tcPr>
          <w:p>
            <w:pPr>
              <w:spacing w:after="0" w:before="0"/>
              <w:jc w:val="left"/>
            </w:pPr>
            <w:r>
              <w:rPr>
                <w:sz w:val="17"/>
              </w:rPr>
            </w:r>
            <w:r>
              <w:rPr>
                <w:sz w:val="17"/>
              </w:rPr>
              <w:t>6a step 1600 (main student)</w:t>
            </w:r>
          </w:p>
        </w:tc>
        <w:tc>
          <w:tcPr>
            <w:tcW w:type="dxa" w:w="1337"/>
          </w:tcPr>
          <w:p>
            <w:pPr>
              <w:spacing w:after="0" w:before="0"/>
              <w:jc w:val="center"/>
            </w:pPr>
            <w:r>
              <w:rPr>
                <w:sz w:val="17"/>
              </w:rPr>
            </w:r>
            <w:r>
              <w:rPr>
                <w:sz w:val="17"/>
              </w:rPr>
              <w:t>0.175</w:t>
            </w:r>
          </w:p>
        </w:tc>
        <w:tc>
          <w:tcPr>
            <w:tcW w:type="dxa" w:w="1337"/>
          </w:tcPr>
          <w:p>
            <w:pPr>
              <w:spacing w:after="0" w:before="0"/>
              <w:jc w:val="center"/>
            </w:pPr>
            <w:r>
              <w:rPr>
                <w:sz w:val="17"/>
              </w:rPr>
            </w:r>
            <w:r>
              <w:rPr>
                <w:sz w:val="17"/>
              </w:rPr>
              <w:t>0.082 (0.076/0.088)</w:t>
            </w:r>
          </w:p>
        </w:tc>
        <w:tc>
          <w:tcPr>
            <w:tcW w:type="dxa" w:w="1337"/>
          </w:tcPr>
          <w:p>
            <w:pPr>
              <w:spacing w:after="0" w:before="0"/>
              <w:jc w:val="center"/>
            </w:pPr>
            <w:r>
              <w:rPr>
                <w:sz w:val="17"/>
              </w:rPr>
            </w:r>
            <w:r>
              <w:rPr>
                <w:sz w:val="17"/>
              </w:rPr>
              <w:t>0.136</w:t>
            </w:r>
          </w:p>
        </w:tc>
        <w:tc>
          <w:tcPr>
            <w:tcW w:type="dxa" w:w="1337"/>
          </w:tcPr>
          <w:p>
            <w:pPr>
              <w:spacing w:after="0" w:before="0"/>
              <w:jc w:val="center"/>
            </w:pPr>
            <w:r>
              <w:rPr>
                <w:sz w:val="17"/>
              </w:rPr>
            </w:r>
            <w:r>
              <w:rPr>
                <w:sz w:val="17"/>
              </w:rPr>
              <w:t>0.0136</w:t>
            </w:r>
          </w:p>
        </w:tc>
        <w:tc>
          <w:tcPr>
            <w:tcW w:type="dxa" w:w="1337"/>
          </w:tcPr>
          <w:p>
            <w:pPr>
              <w:spacing w:after="0" w:before="0"/>
              <w:jc w:val="center"/>
            </w:pPr>
            <w:r>
              <w:rPr>
                <w:sz w:val="17"/>
              </w:rPr>
            </w:r>
            <w:r>
              <w:rPr>
                <w:sz w:val="17"/>
              </w:rPr>
              <w:t>20.43</w:t>
            </w:r>
          </w:p>
        </w:tc>
        <w:tc>
          <w:tcPr>
            <w:tcW w:type="dxa" w:w="1337"/>
          </w:tcPr>
          <w:p>
            <w:pPr>
              <w:spacing w:after="0" w:before="0"/>
              <w:jc w:val="center"/>
            </w:pPr>
            <w:r>
              <w:rPr>
                <w:sz w:val="17"/>
              </w:rPr>
            </w:r>
            <w:r>
              <w:rPr>
                <w:sz w:val="17"/>
              </w:rPr>
              <w:t>0.0224</w:t>
            </w:r>
          </w:p>
        </w:tc>
      </w:tr>
      <w:tr>
        <w:tc>
          <w:tcPr>
            <w:tcW w:type="dxa" w:w="1337"/>
          </w:tcPr>
          <w:p>
            <w:pPr>
              <w:spacing w:after="0" w:before="0"/>
              <w:jc w:val="left"/>
            </w:pPr>
            <w:r>
              <w:rPr>
                <w:sz w:val="17"/>
              </w:rPr>
            </w:r>
            <w:r>
              <w:rPr>
                <w:sz w:val="17"/>
              </w:rPr>
              <w:t>6d step 1600</w:t>
            </w:r>
          </w:p>
        </w:tc>
        <w:tc>
          <w:tcPr>
            <w:tcW w:type="dxa" w:w="1337"/>
          </w:tcPr>
          <w:p>
            <w:pPr>
              <w:spacing w:after="0" w:before="0"/>
              <w:jc w:val="center"/>
            </w:pPr>
            <w:r>
              <w:rPr>
                <w:sz w:val="17"/>
              </w:rPr>
            </w:r>
            <w:r>
              <w:rPr>
                <w:sz w:val="17"/>
              </w:rPr>
              <w:t>0.118 (0.099/0.136)</w:t>
            </w:r>
          </w:p>
        </w:tc>
        <w:tc>
          <w:tcPr>
            <w:tcW w:type="dxa" w:w="1337"/>
          </w:tcPr>
          <w:p>
            <w:pPr>
              <w:spacing w:after="0" w:before="0"/>
              <w:jc w:val="center"/>
            </w:pPr>
            <w:r>
              <w:rPr>
                <w:sz w:val="17"/>
              </w:rPr>
            </w:r>
            <w:r>
              <w:rPr>
                <w:sz w:val="17"/>
              </w:rPr>
              <w:t>0.090 (0.086/0.093)</w:t>
            </w:r>
          </w:p>
        </w:tc>
        <w:tc>
          <w:tcPr>
            <w:tcW w:type="dxa" w:w="1337"/>
          </w:tcPr>
          <w:p>
            <w:pPr>
              <w:spacing w:after="0" w:before="0"/>
              <w:jc w:val="center"/>
            </w:pPr>
            <w:r>
              <w:rPr>
                <w:sz w:val="17"/>
              </w:rPr>
            </w:r>
            <w:r>
              <w:rPr>
                <w:sz w:val="17"/>
              </w:rPr>
              <w:t>0.162</w:t>
            </w:r>
          </w:p>
        </w:tc>
        <w:tc>
          <w:tcPr>
            <w:tcW w:type="dxa" w:w="1337"/>
          </w:tcPr>
          <w:p>
            <w:pPr>
              <w:spacing w:after="0" w:before="0"/>
              <w:jc w:val="center"/>
            </w:pPr>
            <w:r>
              <w:rPr>
                <w:sz w:val="17"/>
              </w:rPr>
            </w:r>
            <w:r>
              <w:rPr>
                <w:sz w:val="17"/>
              </w:rPr>
              <w:t>0.0096 (−28%)</w:t>
            </w:r>
          </w:p>
        </w:tc>
        <w:tc>
          <w:tcPr>
            <w:tcW w:type="dxa" w:w="1337"/>
          </w:tcPr>
          <w:p>
            <w:pPr>
              <w:spacing w:after="0" w:before="0"/>
              <w:jc w:val="center"/>
            </w:pPr>
            <w:r>
              <w:rPr>
                <w:sz w:val="17"/>
              </w:rPr>
            </w:r>
            <w:r>
              <w:rPr>
                <w:sz w:val="17"/>
              </w:rPr>
              <w:t>20.25</w:t>
            </w:r>
          </w:p>
        </w:tc>
        <w:tc>
          <w:tcPr>
            <w:tcW w:type="dxa" w:w="1337"/>
          </w:tcPr>
          <w:p>
            <w:pPr>
              <w:spacing w:after="0" w:before="0"/>
              <w:jc w:val="center"/>
            </w:pPr>
            <w:r>
              <w:rPr>
                <w:sz w:val="17"/>
              </w:rPr>
            </w:r>
            <w:r>
              <w:rPr>
                <w:sz w:val="17"/>
              </w:rPr>
              <w:t>0.0250</w:t>
            </w:r>
          </w:p>
        </w:tc>
      </w:tr>
      <w:tr>
        <w:tc>
          <w:tcPr>
            <w:tcW w:type="dxa" w:w="1337"/>
            <w:tcBorders>
              <w:bottom w:val="single" w:sz="8" w:color="000000"/>
            </w:tcBorders>
          </w:tcPr>
          <w:p>
            <w:pPr>
              <w:spacing w:after="0" w:before="0"/>
              <w:jc w:val="left"/>
            </w:pPr>
            <w:r>
              <w:rPr>
                <w:sz w:val="17"/>
              </w:rPr>
            </w:r>
            <w:r>
              <w:rPr>
                <w:sz w:val="17"/>
              </w:rPr>
              <w:t>6d step 2000</w:t>
            </w:r>
          </w:p>
        </w:tc>
        <w:tc>
          <w:tcPr>
            <w:tcW w:type="dxa" w:w="1337"/>
            <w:tcBorders>
              <w:bottom w:val="single" w:sz="8" w:color="000000"/>
            </w:tcBorders>
          </w:tcPr>
          <w:p>
            <w:pPr>
              <w:spacing w:after="0" w:before="0"/>
              <w:jc w:val="center"/>
            </w:pPr>
            <w:r>
              <w:rPr>
                <w:sz w:val="17"/>
              </w:rPr>
            </w:r>
            <w:r>
              <w:rPr>
                <w:sz w:val="17"/>
              </w:rPr>
              <w:t>0.102 (0.091/0.113)</w:t>
            </w:r>
          </w:p>
        </w:tc>
        <w:tc>
          <w:tcPr>
            <w:tcW w:type="dxa" w:w="1337"/>
            <w:tcBorders>
              <w:bottom w:val="single" w:sz="8" w:color="000000"/>
            </w:tcBorders>
          </w:tcPr>
          <w:p>
            <w:pPr>
              <w:spacing w:after="0" w:before="0"/>
              <w:jc w:val="center"/>
            </w:pPr>
            <w:r>
              <w:rPr>
                <w:sz w:val="17"/>
              </w:rPr>
            </w:r>
            <w:r>
              <w:rPr>
                <w:sz w:val="17"/>
              </w:rPr>
              <w:t>0.081 (0.081/0.082)</w:t>
            </w:r>
          </w:p>
        </w:tc>
        <w:tc>
          <w:tcPr>
            <w:tcW w:type="dxa" w:w="1337"/>
            <w:tcBorders>
              <w:bottom w:val="single" w:sz="8" w:color="000000"/>
            </w:tcBorders>
          </w:tcPr>
          <w:p>
            <w:pPr>
              <w:spacing w:after="0" w:before="0"/>
              <w:jc w:val="center"/>
            </w:pPr>
            <w:r>
              <w:rPr>
                <w:sz w:val="17"/>
              </w:rPr>
            </w:r>
            <w:r>
              <w:rPr>
                <w:sz w:val="17"/>
              </w:rPr>
              <w:t>0.148</w:t>
            </w:r>
          </w:p>
        </w:tc>
        <w:tc>
          <w:tcPr>
            <w:tcW w:type="dxa" w:w="1337"/>
            <w:tcBorders>
              <w:bottom w:val="single" w:sz="8" w:color="000000"/>
            </w:tcBorders>
          </w:tcPr>
          <w:p>
            <w:pPr>
              <w:spacing w:after="0" w:before="0"/>
              <w:jc w:val="center"/>
            </w:pPr>
            <w:r>
              <w:rPr>
                <w:sz w:val="17"/>
              </w:rPr>
            </w:r>
            <w:r>
              <w:rPr>
                <w:sz w:val="17"/>
              </w:rPr>
              <w:t>0.0110 (−18%)</w:t>
            </w:r>
          </w:p>
        </w:tc>
        <w:tc>
          <w:tcPr>
            <w:tcW w:type="dxa" w:w="1337"/>
            <w:tcBorders>
              <w:bottom w:val="single" w:sz="8" w:color="000000"/>
            </w:tcBorders>
          </w:tcPr>
          <w:p>
            <w:pPr>
              <w:spacing w:after="0" w:before="0"/>
              <w:jc w:val="center"/>
            </w:pPr>
            <w:r>
              <w:rPr>
                <w:sz w:val="17"/>
              </w:rPr>
            </w:r>
            <w:r>
              <w:rPr>
                <w:sz w:val="17"/>
              </w:rPr>
              <w:t>20.41</w:t>
            </w:r>
          </w:p>
        </w:tc>
        <w:tc>
          <w:tcPr>
            <w:tcW w:type="dxa" w:w="1337"/>
            <w:tcBorders>
              <w:bottom w:val="single" w:sz="8" w:color="000000"/>
            </w:tcBorders>
          </w:tcPr>
          <w:p>
            <w:pPr>
              <w:spacing w:after="0" w:before="0"/>
              <w:jc w:val="center"/>
            </w:pPr>
            <w:r>
              <w:rPr>
                <w:sz w:val="17"/>
              </w:rPr>
            </w:r>
            <w:r>
              <w:rPr>
                <w:sz w:val="17"/>
              </w:rPr>
              <w:t>0.0226</w:t>
            </w:r>
          </w:p>
        </w:tc>
      </w:tr>
    </w:tbl>
    <w:p>
      <w:pPr>
        <w:spacing w:after="40"/>
      </w:pPr>
    </w:p>
    <w:p>
      <w:pPr>
        <w:jc w:val="both"/>
      </w:pPr>
      <w:r>
        <w:rPr>
          <w:b/>
        </w:rPr>
        <w:t>Longer training.</w:t>
      </w:r>
      <w:r>
        <w:t xml:space="preserve"> To test whether the main student is limited by its 2000-step budget, we trained the 6a recipe for 4000 steps (1.8 s per step, peak 24.1 GB) and evaluated every 800 steps with the per-view anchor in bf16 on the 20-sample protocol (Table 7). Step 1600 of this run closely reproduces the main student (AbsRel 0.082 on both, LPIPS 0.137 against 0.136, PSNR 20.45 against 20.43 dB). Longer training is not monotone: steps 2400 and 3200 are over-sharpened, 25% and 17% above the teacher (p&lt;0.001), with PSNR 0.72 and 0.60 dB lower (p&lt;0.001); step 4000 returns to teacher-level sharpness (+0.0003, p=0.053), improves LPIPS to +0.014 (p&lt;0.001) and the right view to 0.079, but its PSNR is 0.42 dB lower (p&lt;0.001) and its diversity 6% lower (not significant). The training diagnostic tracks this: the std ratio exceeds 1.1 in the middle of the run (1.126 at step 3000) and returns to 1.072 at step 3900 and 1.068 at step 4000, and the checkpoints taken while it was above 1.1 are the over-sharpened ones. No checkpoint passes every criterion of Section 4.1.</w:t>
      </w:r>
    </w:p>
    <w:p>
      <w:pPr>
        <w:jc w:val="both"/>
      </w:pPr>
      <w:r>
        <w:t>Table 7: DMD training length (6a recipe, 4000 steps), 20 samples, per-view anchor, bf16, fake pixels excluded. Step 1600 reproduces the main student; steps 2400 and 3200 are over-sharpened with lower PSNR; step 4000 recovers teacher-level sharpness and improves LPIPS but loses 0.42 dB of PSNR.</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w:t>
            </w:r>
          </w:p>
        </w:tc>
        <w:tc>
          <w:tcPr>
            <w:tcW w:type="dxa" w:w="1560"/>
            <w:tcBorders>
              <w:top w:val="single" w:sz="8" w:color="000000"/>
              <w:bottom w:val="single" w:sz="4" w:color="000000"/>
            </w:tcBorders>
          </w:tcPr>
          <w:p>
            <w:pPr>
              <w:spacing w:after="0" w:before="0"/>
              <w:jc w:val="center"/>
            </w:pPr>
            <w:r>
              <w:rPr>
                <w:b/>
                <w:sz w:val="17"/>
              </w:rPr>
            </w:r>
            <w:r>
              <w:rPr>
                <w:b/>
                <w:sz w:val="17"/>
              </w:rPr>
              <w:t>AbsRel ↓ (L/R)</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sharpness</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teacher (25 steps)</w:t>
            </w:r>
          </w:p>
        </w:tc>
        <w:tc>
          <w:tcPr>
            <w:tcW w:type="dxa" w:w="1560"/>
          </w:tcPr>
          <w:p>
            <w:pPr>
              <w:spacing w:after="0" w:before="0"/>
              <w:jc w:val="center"/>
            </w:pPr>
            <w:r>
              <w:rPr>
                <w:sz w:val="17"/>
              </w:rPr>
            </w:r>
            <w:r>
              <w:rPr>
                <w:sz w:val="17"/>
              </w:rPr>
              <w:t>0.066 (0.067/0.066)</w:t>
            </w:r>
          </w:p>
        </w:tc>
        <w:tc>
          <w:tcPr>
            <w:tcW w:type="dxa" w:w="1560"/>
          </w:tcPr>
          <w:p>
            <w:pPr>
              <w:spacing w:after="0" w:before="0"/>
              <w:jc w:val="center"/>
            </w:pPr>
            <w:r>
              <w:rPr>
                <w:sz w:val="17"/>
              </w:rPr>
            </w:r>
            <w:r>
              <w:rPr>
                <w:sz w:val="17"/>
              </w:rPr>
              <w:t>0.118</w:t>
            </w:r>
          </w:p>
        </w:tc>
        <w:tc>
          <w:tcPr>
            <w:tcW w:type="dxa" w:w="1560"/>
          </w:tcPr>
          <w:p>
            <w:pPr>
              <w:spacing w:after="0" w:before="0"/>
              <w:jc w:val="center"/>
            </w:pPr>
            <w:r>
              <w:rPr>
                <w:sz w:val="17"/>
              </w:rPr>
            </w:r>
            <w:r>
              <w:rPr>
                <w:sz w:val="17"/>
              </w:rPr>
              <w:t>0.0134</w:t>
            </w:r>
          </w:p>
        </w:tc>
        <w:tc>
          <w:tcPr>
            <w:tcW w:type="dxa" w:w="1560"/>
          </w:tcPr>
          <w:p>
            <w:pPr>
              <w:spacing w:after="0" w:before="0"/>
              <w:jc w:val="center"/>
            </w:pPr>
            <w:r>
              <w:rPr>
                <w:sz w:val="17"/>
              </w:rPr>
            </w:r>
            <w:r>
              <w:rPr>
                <w:sz w:val="17"/>
              </w:rPr>
              <w:t>20.62</w:t>
            </w:r>
          </w:p>
        </w:tc>
        <w:tc>
          <w:tcPr>
            <w:tcW w:type="dxa" w:w="1560"/>
          </w:tcPr>
          <w:p>
            <w:pPr>
              <w:spacing w:after="0" w:before="0"/>
              <w:jc w:val="center"/>
            </w:pPr>
            <w:r>
              <w:rPr>
                <w:sz w:val="17"/>
              </w:rPr>
            </w:r>
            <w:r>
              <w:rPr>
                <w:sz w:val="17"/>
              </w:rPr>
              <w:t>0.0227</w:t>
            </w:r>
          </w:p>
        </w:tc>
      </w:tr>
      <w:tr>
        <w:tc>
          <w:tcPr>
            <w:tcW w:type="dxa" w:w="1560"/>
          </w:tcPr>
          <w:p>
            <w:pPr>
              <w:spacing w:after="0" w:before="0"/>
              <w:jc w:val="left"/>
            </w:pPr>
            <w:r>
              <w:rPr>
                <w:sz w:val="17"/>
              </w:rPr>
            </w:r>
            <w:r>
              <w:rPr>
                <w:sz w:val="17"/>
              </w:rPr>
              <w:t>1600</w:t>
            </w:r>
          </w:p>
        </w:tc>
        <w:tc>
          <w:tcPr>
            <w:tcW w:type="dxa" w:w="1560"/>
          </w:tcPr>
          <w:p>
            <w:pPr>
              <w:spacing w:after="0" w:before="0"/>
              <w:jc w:val="center"/>
            </w:pPr>
            <w:r>
              <w:rPr>
                <w:sz w:val="17"/>
              </w:rPr>
            </w:r>
            <w:r>
              <w:rPr>
                <w:sz w:val="17"/>
              </w:rPr>
              <w:t>0.082 (0.076/0.088)</w:t>
            </w:r>
          </w:p>
        </w:tc>
        <w:tc>
          <w:tcPr>
            <w:tcW w:type="dxa" w:w="1560"/>
          </w:tcPr>
          <w:p>
            <w:pPr>
              <w:spacing w:after="0" w:before="0"/>
              <w:jc w:val="center"/>
            </w:pPr>
            <w:r>
              <w:rPr>
                <w:sz w:val="17"/>
              </w:rPr>
            </w:r>
            <w:r>
              <w:rPr>
                <w:sz w:val="17"/>
              </w:rPr>
              <w:t>0.137</w:t>
            </w:r>
          </w:p>
        </w:tc>
        <w:tc>
          <w:tcPr>
            <w:tcW w:type="dxa" w:w="1560"/>
          </w:tcPr>
          <w:p>
            <w:pPr>
              <w:spacing w:after="0" w:before="0"/>
              <w:jc w:val="center"/>
            </w:pPr>
            <w:r>
              <w:rPr>
                <w:sz w:val="17"/>
              </w:rPr>
            </w:r>
            <w:r>
              <w:rPr>
                <w:sz w:val="17"/>
              </w:rPr>
              <w:t>0.0132</w:t>
            </w:r>
          </w:p>
        </w:tc>
        <w:tc>
          <w:tcPr>
            <w:tcW w:type="dxa" w:w="1560"/>
          </w:tcPr>
          <w:p>
            <w:pPr>
              <w:spacing w:after="0" w:before="0"/>
              <w:jc w:val="center"/>
            </w:pPr>
            <w:r>
              <w:rPr>
                <w:sz w:val="17"/>
              </w:rPr>
            </w:r>
            <w:r>
              <w:rPr>
                <w:sz w:val="17"/>
              </w:rPr>
              <w:t>20.45</w:t>
            </w:r>
          </w:p>
        </w:tc>
        <w:tc>
          <w:tcPr>
            <w:tcW w:type="dxa" w:w="1560"/>
          </w:tcPr>
          <w:p>
            <w:pPr>
              <w:spacing w:after="0" w:before="0"/>
              <w:jc w:val="center"/>
            </w:pPr>
            <w:r>
              <w:rPr>
                <w:sz w:val="17"/>
              </w:rPr>
            </w:r>
            <w:r>
              <w:rPr>
                <w:sz w:val="17"/>
              </w:rPr>
              <w:t>0.0228</w:t>
            </w:r>
          </w:p>
        </w:tc>
      </w:tr>
      <w:tr>
        <w:tc>
          <w:tcPr>
            <w:tcW w:type="dxa" w:w="1560"/>
          </w:tcPr>
          <w:p>
            <w:pPr>
              <w:spacing w:after="0" w:before="0"/>
              <w:jc w:val="left"/>
            </w:pPr>
            <w:r>
              <w:rPr>
                <w:sz w:val="17"/>
              </w:rPr>
            </w:r>
            <w:r>
              <w:rPr>
                <w:sz w:val="17"/>
              </w:rPr>
              <w:t>2400</w:t>
            </w:r>
          </w:p>
        </w:tc>
        <w:tc>
          <w:tcPr>
            <w:tcW w:type="dxa" w:w="1560"/>
          </w:tcPr>
          <w:p>
            <w:pPr>
              <w:spacing w:after="0" w:before="0"/>
              <w:jc w:val="center"/>
            </w:pPr>
            <w:r>
              <w:rPr>
                <w:sz w:val="17"/>
              </w:rPr>
            </w:r>
            <w:r>
              <w:rPr>
                <w:sz w:val="17"/>
              </w:rPr>
              <w:t>0.084 (0.067/0.100)</w:t>
            </w:r>
          </w:p>
        </w:tc>
        <w:tc>
          <w:tcPr>
            <w:tcW w:type="dxa" w:w="1560"/>
          </w:tcPr>
          <w:p>
            <w:pPr>
              <w:spacing w:after="0" w:before="0"/>
              <w:jc w:val="center"/>
            </w:pPr>
            <w:r>
              <w:rPr>
                <w:sz w:val="17"/>
              </w:rPr>
            </w:r>
            <w:r>
              <w:rPr>
                <w:sz w:val="17"/>
              </w:rPr>
              <w:t>0.142</w:t>
            </w:r>
          </w:p>
        </w:tc>
        <w:tc>
          <w:tcPr>
            <w:tcW w:type="dxa" w:w="1560"/>
          </w:tcPr>
          <w:p>
            <w:pPr>
              <w:spacing w:after="0" w:before="0"/>
              <w:jc w:val="center"/>
            </w:pPr>
            <w:r>
              <w:rPr>
                <w:sz w:val="17"/>
              </w:rPr>
            </w:r>
            <w:r>
              <w:rPr>
                <w:sz w:val="17"/>
              </w:rPr>
              <w:t>0.0167 (+25%)</w:t>
            </w:r>
          </w:p>
        </w:tc>
        <w:tc>
          <w:tcPr>
            <w:tcW w:type="dxa" w:w="1560"/>
          </w:tcPr>
          <w:p>
            <w:pPr>
              <w:spacing w:after="0" w:before="0"/>
              <w:jc w:val="center"/>
            </w:pPr>
            <w:r>
              <w:rPr>
                <w:sz w:val="17"/>
              </w:rPr>
            </w:r>
            <w:r>
              <w:rPr>
                <w:sz w:val="17"/>
              </w:rPr>
              <w:t>19.90</w:t>
            </w:r>
          </w:p>
        </w:tc>
        <w:tc>
          <w:tcPr>
            <w:tcW w:type="dxa" w:w="1560"/>
          </w:tcPr>
          <w:p>
            <w:pPr>
              <w:spacing w:after="0" w:before="0"/>
              <w:jc w:val="center"/>
            </w:pPr>
            <w:r>
              <w:rPr>
                <w:sz w:val="17"/>
              </w:rPr>
            </w:r>
            <w:r>
              <w:rPr>
                <w:sz w:val="17"/>
              </w:rPr>
              <w:t>0.0242</w:t>
            </w:r>
          </w:p>
        </w:tc>
      </w:tr>
      <w:tr>
        <w:tc>
          <w:tcPr>
            <w:tcW w:type="dxa" w:w="1560"/>
          </w:tcPr>
          <w:p>
            <w:pPr>
              <w:spacing w:after="0" w:before="0"/>
              <w:jc w:val="left"/>
            </w:pPr>
            <w:r>
              <w:rPr>
                <w:sz w:val="17"/>
              </w:rPr>
            </w:r>
            <w:r>
              <w:rPr>
                <w:sz w:val="17"/>
              </w:rPr>
              <w:t>3200</w:t>
            </w:r>
          </w:p>
        </w:tc>
        <w:tc>
          <w:tcPr>
            <w:tcW w:type="dxa" w:w="1560"/>
          </w:tcPr>
          <w:p>
            <w:pPr>
              <w:spacing w:after="0" w:before="0"/>
              <w:jc w:val="center"/>
            </w:pPr>
            <w:r>
              <w:rPr>
                <w:sz w:val="17"/>
              </w:rPr>
            </w:r>
            <w:r>
              <w:rPr>
                <w:sz w:val="17"/>
              </w:rPr>
              <w:t>0.073 (0.065/0.081)</w:t>
            </w:r>
          </w:p>
        </w:tc>
        <w:tc>
          <w:tcPr>
            <w:tcW w:type="dxa" w:w="1560"/>
          </w:tcPr>
          <w:p>
            <w:pPr>
              <w:spacing w:after="0" w:before="0"/>
              <w:jc w:val="center"/>
            </w:pPr>
            <w:r>
              <w:rPr>
                <w:sz w:val="17"/>
              </w:rPr>
            </w:r>
            <w:r>
              <w:rPr>
                <w:sz w:val="17"/>
              </w:rPr>
              <w:t>0.138</w:t>
            </w:r>
          </w:p>
        </w:tc>
        <w:tc>
          <w:tcPr>
            <w:tcW w:type="dxa" w:w="1560"/>
          </w:tcPr>
          <w:p>
            <w:pPr>
              <w:spacing w:after="0" w:before="0"/>
              <w:jc w:val="center"/>
            </w:pPr>
            <w:r>
              <w:rPr>
                <w:sz w:val="17"/>
              </w:rPr>
            </w:r>
            <w:r>
              <w:rPr>
                <w:sz w:val="17"/>
              </w:rPr>
              <w:t>0.0157 (+17%)</w:t>
            </w:r>
          </w:p>
        </w:tc>
        <w:tc>
          <w:tcPr>
            <w:tcW w:type="dxa" w:w="1560"/>
          </w:tcPr>
          <w:p>
            <w:pPr>
              <w:spacing w:after="0" w:before="0"/>
              <w:jc w:val="center"/>
            </w:pPr>
            <w:r>
              <w:rPr>
                <w:sz w:val="17"/>
              </w:rPr>
            </w:r>
            <w:r>
              <w:rPr>
                <w:sz w:val="17"/>
              </w:rPr>
              <w:t>20.01</w:t>
            </w:r>
          </w:p>
        </w:tc>
        <w:tc>
          <w:tcPr>
            <w:tcW w:type="dxa" w:w="1560"/>
          </w:tcPr>
          <w:p>
            <w:pPr>
              <w:spacing w:after="0" w:before="0"/>
              <w:jc w:val="center"/>
            </w:pPr>
            <w:r>
              <w:rPr>
                <w:sz w:val="17"/>
              </w:rPr>
            </w:r>
            <w:r>
              <w:rPr>
                <w:sz w:val="17"/>
              </w:rPr>
              <w:t>0.0230</w:t>
            </w:r>
          </w:p>
        </w:tc>
      </w:tr>
      <w:tr>
        <w:tc>
          <w:tcPr>
            <w:tcW w:type="dxa" w:w="1560"/>
            <w:tcBorders>
              <w:bottom w:val="single" w:sz="8" w:color="000000"/>
            </w:tcBorders>
          </w:tcPr>
          <w:p>
            <w:pPr>
              <w:spacing w:after="0" w:before="0"/>
              <w:jc w:val="left"/>
            </w:pPr>
            <w:r>
              <w:rPr>
                <w:sz w:val="17"/>
              </w:rPr>
            </w:r>
            <w:r>
              <w:rPr>
                <w:sz w:val="17"/>
              </w:rPr>
              <w:t>4000</w:t>
            </w:r>
          </w:p>
        </w:tc>
        <w:tc>
          <w:tcPr>
            <w:tcW w:type="dxa" w:w="1560"/>
            <w:tcBorders>
              <w:bottom w:val="single" w:sz="8" w:color="000000"/>
            </w:tcBorders>
          </w:tcPr>
          <w:p>
            <w:pPr>
              <w:spacing w:after="0" w:before="0"/>
              <w:jc w:val="center"/>
            </w:pPr>
            <w:r>
              <w:rPr>
                <w:sz w:val="17"/>
              </w:rPr>
            </w:r>
            <w:r>
              <w:rPr>
                <w:sz w:val="17"/>
              </w:rPr>
              <w:t>0.078 (0.077/0.079)</w:t>
            </w:r>
          </w:p>
        </w:tc>
        <w:tc>
          <w:tcPr>
            <w:tcW w:type="dxa" w:w="1560"/>
            <w:tcBorders>
              <w:bottom w:val="single" w:sz="8" w:color="000000"/>
            </w:tcBorders>
          </w:tcPr>
          <w:p>
            <w:pPr>
              <w:spacing w:after="0" w:before="0"/>
              <w:jc w:val="center"/>
            </w:pPr>
            <w:r>
              <w:rPr>
                <w:sz w:val="17"/>
              </w:rPr>
            </w:r>
            <w:r>
              <w:rPr>
                <w:sz w:val="17"/>
              </w:rPr>
              <w:t>0.132</w:t>
            </w:r>
          </w:p>
        </w:tc>
        <w:tc>
          <w:tcPr>
            <w:tcW w:type="dxa" w:w="1560"/>
            <w:tcBorders>
              <w:bottom w:val="single" w:sz="8" w:color="000000"/>
            </w:tcBorders>
          </w:tcPr>
          <w:p>
            <w:pPr>
              <w:spacing w:after="0" w:before="0"/>
              <w:jc w:val="center"/>
            </w:pPr>
            <w:r>
              <w:rPr>
                <w:sz w:val="17"/>
              </w:rPr>
            </w:r>
            <w:r>
              <w:rPr>
                <w:sz w:val="17"/>
              </w:rPr>
              <w:t>0.0137</w:t>
            </w:r>
          </w:p>
        </w:tc>
        <w:tc>
          <w:tcPr>
            <w:tcW w:type="dxa" w:w="1560"/>
            <w:tcBorders>
              <w:bottom w:val="single" w:sz="8" w:color="000000"/>
            </w:tcBorders>
          </w:tcPr>
          <w:p>
            <w:pPr>
              <w:spacing w:after="0" w:before="0"/>
              <w:jc w:val="center"/>
            </w:pPr>
            <w:r>
              <w:rPr>
                <w:sz w:val="17"/>
              </w:rPr>
            </w:r>
            <w:r>
              <w:rPr>
                <w:sz w:val="17"/>
              </w:rPr>
              <w:t>20.20</w:t>
            </w:r>
          </w:p>
        </w:tc>
        <w:tc>
          <w:tcPr>
            <w:tcW w:type="dxa" w:w="1560"/>
            <w:tcBorders>
              <w:bottom w:val="single" w:sz="8" w:color="000000"/>
            </w:tcBorders>
          </w:tcPr>
          <w:p>
            <w:pPr>
              <w:spacing w:after="0" w:before="0"/>
              <w:jc w:val="center"/>
            </w:pPr>
            <w:r>
              <w:rPr>
                <w:sz w:val="17"/>
              </w:rPr>
            </w:r>
            <w:r>
              <w:rPr>
                <w:sz w:val="17"/>
              </w:rPr>
              <w:t>0.0214</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1"/>
      </w:pPr>
      <w:r>
        <w:t>5 Limitation</w:t>
      </w:r>
    </w:p>
    <w:p>
      <w:pPr>
        <w:jc w:val="both"/>
      </w:pPr>
      <w:r>
        <w:t>All measurements come from one task (PlaceAppleFromBowlIntoBin), four inference episodes, 20 samples (40 view-samples), and one RTX 5090; the absolute numbers may not transfer to other tasks or to real robot data. The 3-step student is not equal to the teacher: AbsRel is 0.015 higher (p&lt;0.001; 0.022 on the right view) and LPIPS 0.018 higher (p&lt;0.001),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A self-anchored training loss that applies the same calibration during training (run 6d, Section 4.5) removes most of the raw scale shift (0.175 to 0.102 without inference-time correction) and closes the left/right gap after anchoring, but its sharpness has not recovered at 2000 steps (18% below the teacher) and a 4000-step extension is still running. Finally, with 40 view-samples the minimal detectable AbsRel difference is 0.010, so showing equivalence at the strict 0.005 margin of Section 4.1 would need about 60 samples, which we have not run.</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Qiqi Hou, Abhijay Ghildyal, and Feng Liu. A perceptual quality metric for video frame interpolation. In </w:t>
      </w:r>
      <w:r>
        <w:rPr>
          <w:i/>
          <w:sz w:val="19"/>
        </w:rPr>
        <w:t>European Conference on Computer Vision (ECCV)</w:t>
      </w:r>
      <w:r>
        <w:rPr>
          <w:sz w:val="19"/>
        </w:rPr>
        <w:t>, 2022. https://www.ecva.net/papers/eccv_2022/papers_ECCV/papers/136750231.pdf</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Jonathan Tremblay, Stephen Tyree, Terry Mosier, and Stan Birchfield. Indirect object-to-robot pose estimation from an external monocular RGB camera. In </w:t>
      </w:r>
      <w:r>
        <w:rPr>
          <w:i/>
          <w:sz w:val="19"/>
        </w:rPr>
        <w:t>IEEE/RSJ International Conference on Intelligent Robots and Systems (IROS)</w:t>
      </w:r>
      <w:r>
        <w:rPr>
          <w:sz w:val="19"/>
        </w:rPr>
        <w:t>, 2020. arXiv:2008.11822.</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Lihe Yang, Bingyi Kang, Zilong Huang, Zhen Zhao, Xiaogang Xu, Jiashi Feng, and Hengshuang Zhao. Depth Anything V2. In </w:t>
      </w:r>
      <w:r>
        <w:rPr>
          <w:i/>
          <w:sz w:val="19"/>
        </w:rPr>
        <w:t>Advances in Neural Information Processing Systems (NeurIPS)</w:t>
      </w:r>
      <w:r>
        <w:rPr>
          <w:sz w:val="19"/>
        </w:rPr>
        <w:t>, 2024. arXiv:2406.09414.</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jc w:val="both"/>
      </w:pPr>
      <w:r>
        <w:rPr>
          <w:b/>
        </w:rPr>
        <w:t>Runs on a shared GPU.</w:t>
      </w:r>
      <w:r>
        <w:t xml:space="preserve"> The GPU was shared with other users. The first attempt at the 4000-step run of Section 4.5 stopped at step 850 with a CUDA out-of-memory error because another process held 8.87 GB at the time. We added a </w:t>
      </w:r>
      <w:r>
        <w:rPr>
          <w:rFonts w:ascii="Courier New" w:hAnsi="Courier New"/>
          <w:sz w:val="19"/>
        </w:rPr>
        <w:t>--resume</w:t>
      </w:r>
      <w:r>
        <w:t xml:space="preserve"> flag that restarts from the periodic checkpoints written every 200 steps (the optimizer moments restart from zero) and a launcher that retries after an out-of-memory error; the second attempt completed without interruption.</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ran bench_policy_proxy.py on the main student (6a step 1600, per-view anchor), the training-free 3-step re-noising teacher, and the 25-step teacher on the same 20 samples (40 view-samples; the apple is visible in 37). Regions come from the ground-truth label maps: gripper = label ids 29 to 35 (2.35% of pixels), apple = id 44 (0.23%), background = the rest. AbsRel and PSNR are computed inside the masks dilated by 3 pixels, and the 3D centroid error is the distance in cm between the mean predicted pointmap and the mean ground-truth pointmap inside the ground-truth mask, over predicted frames 1 to 10. Table 8 gives the results.</w:t>
      </w:r>
    </w:p>
    <w:p>
      <w:pPr>
        <w:jc w:val="both"/>
      </w:pPr>
      <w:r>
        <w:t>Table 8: Region metrics on the gripper and the apple (20 samples, 40 view-samples, frames 1 to 10). The student's whole-image AbsRel gap comes from the background; on the gripper and the apple it is not distinguishable from the teacher by the Wilcoxon test, but its gripper centroid error is 2.0 cm higher with a 90% confidence interval that excludes zero.</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metric</w:t>
            </w:r>
          </w:p>
        </w:tc>
        <w:tc>
          <w:tcPr>
            <w:tcW w:type="dxa" w:w="1560"/>
            <w:tcBorders>
              <w:top w:val="single" w:sz="8" w:color="000000"/>
              <w:bottom w:val="single" w:sz="4" w:color="000000"/>
            </w:tcBorders>
          </w:tcPr>
          <w:p>
            <w:pPr>
              <w:spacing w:after="0" w:before="0"/>
              <w:jc w:val="center"/>
            </w:pPr>
            <w:r>
              <w:rPr>
                <w:b/>
                <w:sz w:val="17"/>
              </w:rPr>
            </w:r>
            <w:r>
              <w:rPr>
                <w:b/>
                <w:sz w:val="17"/>
              </w:rPr>
              <w:t>teacher</w:t>
            </w:r>
          </w:p>
        </w:tc>
        <w:tc>
          <w:tcPr>
            <w:tcW w:type="dxa" w:w="1560"/>
            <w:tcBorders>
              <w:top w:val="single" w:sz="8" w:color="000000"/>
              <w:bottom w:val="single" w:sz="4" w:color="000000"/>
            </w:tcBorders>
          </w:tcPr>
          <w:p>
            <w:pPr>
              <w:spacing w:after="0" w:before="0"/>
              <w:jc w:val="center"/>
            </w:pPr>
            <w:r>
              <w:rPr>
                <w:b/>
                <w:sz w:val="17"/>
              </w:rPr>
            </w:r>
            <w:r>
              <w:rPr>
                <w:b/>
                <w:sz w:val="17"/>
              </w:rPr>
              <w:t>training-free 3-step</w:t>
            </w:r>
          </w:p>
        </w:tc>
        <w:tc>
          <w:tcPr>
            <w:tcW w:type="dxa" w:w="1560"/>
            <w:tcBorders>
              <w:top w:val="single" w:sz="8" w:color="000000"/>
              <w:bottom w:val="single" w:sz="4" w:color="000000"/>
            </w:tcBorders>
          </w:tcPr>
          <w:p>
            <w:pPr>
              <w:spacing w:after="0" w:before="0"/>
              <w:jc w:val="center"/>
            </w:pPr>
            <w:r>
              <w:rPr>
                <w:b/>
                <w:sz w:val="17"/>
              </w:rPr>
            </w:r>
            <w:r>
              <w:rPr>
                <w:b/>
                <w:sz w:val="17"/>
              </w:rPr>
              <w:t>student 3-step</w:t>
            </w:r>
          </w:p>
        </w:tc>
        <w:tc>
          <w:tcPr>
            <w:tcW w:type="dxa" w:w="1560"/>
            <w:tcBorders>
              <w:top w:val="single" w:sz="8" w:color="000000"/>
              <w:bottom w:val="single" w:sz="4" w:color="000000"/>
            </w:tcBorders>
          </w:tcPr>
          <w:p>
            <w:pPr>
              <w:spacing w:after="0" w:before="0"/>
              <w:jc w:val="center"/>
            </w:pPr>
            <w:r>
              <w:rPr>
                <w:b/>
                <w:sz w:val="17"/>
              </w:rPr>
            </w:r>
            <w:r>
              <w:rPr>
                <w:b/>
                <w:sz w:val="17"/>
              </w:rPr>
              <w:t>student − teacher [90% CI]</w:t>
            </w:r>
          </w:p>
        </w:tc>
        <w:tc>
          <w:tcPr>
            <w:tcW w:type="dxa" w:w="1560"/>
            <w:tcBorders>
              <w:top w:val="single" w:sz="8" w:color="000000"/>
              <w:bottom w:val="single" w:sz="4" w:color="000000"/>
            </w:tcBorders>
          </w:tcPr>
          <w:p>
            <w:pPr>
              <w:spacing w:after="0" w:before="0"/>
              <w:jc w:val="center"/>
            </w:pPr>
            <w:r>
              <w:rPr>
                <w:b/>
                <w:sz w:val="17"/>
              </w:rPr>
            </w:r>
            <w:r>
              <w:rPr>
                <w:b/>
                <w:sz w:val="17"/>
              </w:rPr>
              <w:t>p</w:t>
            </w:r>
          </w:p>
        </w:tc>
      </w:tr>
      <w:tr>
        <w:tc>
          <w:tcPr>
            <w:tcW w:type="dxa" w:w="1560"/>
          </w:tcPr>
          <w:p>
            <w:pPr>
              <w:spacing w:after="0" w:before="0"/>
              <w:jc w:val="left"/>
            </w:pPr>
            <w:r>
              <w:rPr>
                <w:sz w:val="17"/>
              </w:rPr>
            </w:r>
            <w:r>
              <w:rPr>
                <w:sz w:val="17"/>
              </w:rPr>
              <w:t>gripper AbsRel</w:t>
            </w:r>
          </w:p>
        </w:tc>
        <w:tc>
          <w:tcPr>
            <w:tcW w:type="dxa" w:w="1560"/>
          </w:tcPr>
          <w:p>
            <w:pPr>
              <w:spacing w:after="0" w:before="0"/>
              <w:jc w:val="center"/>
            </w:pPr>
            <w:r>
              <w:rPr>
                <w:sz w:val="17"/>
              </w:rPr>
            </w:r>
            <w:r>
              <w:rPr>
                <w:sz w:val="17"/>
              </w:rPr>
              <w:t>0.206</w:t>
            </w:r>
          </w:p>
        </w:tc>
        <w:tc>
          <w:tcPr>
            <w:tcW w:type="dxa" w:w="1560"/>
          </w:tcPr>
          <w:p>
            <w:pPr>
              <w:spacing w:after="0" w:before="0"/>
              <w:jc w:val="center"/>
            </w:pPr>
            <w:r>
              <w:rPr>
                <w:sz w:val="17"/>
              </w:rPr>
            </w:r>
            <w:r>
              <w:rPr>
                <w:sz w:val="17"/>
              </w:rPr>
              <w:t>0.203</w:t>
            </w:r>
          </w:p>
        </w:tc>
        <w:tc>
          <w:tcPr>
            <w:tcW w:type="dxa" w:w="1560"/>
          </w:tcPr>
          <w:p>
            <w:pPr>
              <w:spacing w:after="0" w:before="0"/>
              <w:jc w:val="center"/>
            </w:pPr>
            <w:r>
              <w:rPr>
                <w:sz w:val="17"/>
              </w:rPr>
            </w:r>
            <w:r>
              <w:rPr>
                <w:sz w:val="17"/>
              </w:rPr>
              <w:t>0.225</w:t>
            </w:r>
          </w:p>
        </w:tc>
        <w:tc>
          <w:tcPr>
            <w:tcW w:type="dxa" w:w="1560"/>
          </w:tcPr>
          <w:p>
            <w:pPr>
              <w:spacing w:after="0" w:before="0"/>
              <w:jc w:val="center"/>
            </w:pPr>
            <w:r>
              <w:rPr>
                <w:sz w:val="17"/>
              </w:rPr>
            </w:r>
            <w:r>
              <w:rPr>
                <w:sz w:val="17"/>
              </w:rPr>
              <w:t>+0.019 [−0.004, +0.042]</w:t>
            </w:r>
          </w:p>
        </w:tc>
        <w:tc>
          <w:tcPr>
            <w:tcW w:type="dxa" w:w="1560"/>
          </w:tcPr>
          <w:p>
            <w:pPr>
              <w:spacing w:after="0" w:before="0"/>
              <w:jc w:val="center"/>
            </w:pPr>
            <w:r>
              <w:rPr>
                <w:sz w:val="17"/>
              </w:rPr>
            </w:r>
            <w:r>
              <w:rPr>
                <w:sz w:val="17"/>
              </w:rPr>
              <w:t>0.24</w:t>
            </w:r>
          </w:p>
        </w:tc>
      </w:tr>
      <w:tr>
        <w:tc>
          <w:tcPr>
            <w:tcW w:type="dxa" w:w="1560"/>
          </w:tcPr>
          <w:p>
            <w:pPr>
              <w:spacing w:after="0" w:before="0"/>
              <w:jc w:val="left"/>
            </w:pPr>
            <w:r>
              <w:rPr>
                <w:sz w:val="17"/>
              </w:rPr>
            </w:r>
            <w:r>
              <w:rPr>
                <w:sz w:val="17"/>
              </w:rPr>
              <w:t>gripper centroid error (cm)</w:t>
            </w:r>
          </w:p>
        </w:tc>
        <w:tc>
          <w:tcPr>
            <w:tcW w:type="dxa" w:w="1560"/>
          </w:tcPr>
          <w:p>
            <w:pPr>
              <w:spacing w:after="0" w:before="0"/>
              <w:jc w:val="center"/>
            </w:pPr>
            <w:r>
              <w:rPr>
                <w:sz w:val="17"/>
              </w:rPr>
            </w:r>
            <w:r>
              <w:rPr>
                <w:sz w:val="17"/>
              </w:rPr>
              <w:t>12.3</w:t>
            </w:r>
          </w:p>
        </w:tc>
        <w:tc>
          <w:tcPr>
            <w:tcW w:type="dxa" w:w="1560"/>
          </w:tcPr>
          <w:p>
            <w:pPr>
              <w:spacing w:after="0" w:before="0"/>
              <w:jc w:val="center"/>
            </w:pPr>
            <w:r>
              <w:rPr>
                <w:sz w:val="17"/>
              </w:rPr>
            </w:r>
            <w:r>
              <w:rPr>
                <w:sz w:val="17"/>
              </w:rPr>
              <w:t>12.8</w:t>
            </w:r>
          </w:p>
        </w:tc>
        <w:tc>
          <w:tcPr>
            <w:tcW w:type="dxa" w:w="1560"/>
          </w:tcPr>
          <w:p>
            <w:pPr>
              <w:spacing w:after="0" w:before="0"/>
              <w:jc w:val="center"/>
            </w:pPr>
            <w:r>
              <w:rPr>
                <w:sz w:val="17"/>
              </w:rPr>
            </w:r>
            <w:r>
              <w:rPr>
                <w:sz w:val="17"/>
              </w:rPr>
              <w:t>14.3</w:t>
            </w:r>
          </w:p>
        </w:tc>
        <w:tc>
          <w:tcPr>
            <w:tcW w:type="dxa" w:w="1560"/>
          </w:tcPr>
          <w:p>
            <w:pPr>
              <w:spacing w:after="0" w:before="0"/>
              <w:jc w:val="center"/>
            </w:pPr>
            <w:r>
              <w:rPr>
                <w:sz w:val="17"/>
              </w:rPr>
            </w:r>
            <w:r>
              <w:rPr>
                <w:sz w:val="17"/>
              </w:rPr>
              <w:t>+2.0 [+0.3, +3.7]</w:t>
            </w:r>
          </w:p>
        </w:tc>
        <w:tc>
          <w:tcPr>
            <w:tcW w:type="dxa" w:w="1560"/>
          </w:tcPr>
          <w:p>
            <w:pPr>
              <w:spacing w:after="0" w:before="0"/>
              <w:jc w:val="center"/>
            </w:pPr>
            <w:r>
              <w:rPr>
                <w:sz w:val="17"/>
              </w:rPr>
            </w:r>
            <w:r>
              <w:rPr>
                <w:sz w:val="17"/>
              </w:rPr>
              <w:t>0.11</w:t>
            </w:r>
          </w:p>
        </w:tc>
      </w:tr>
      <w:tr>
        <w:tc>
          <w:tcPr>
            <w:tcW w:type="dxa" w:w="1560"/>
          </w:tcPr>
          <w:p>
            <w:pPr>
              <w:spacing w:after="0" w:before="0"/>
              <w:jc w:val="left"/>
            </w:pPr>
            <w:r>
              <w:rPr>
                <w:sz w:val="17"/>
              </w:rPr>
            </w:r>
            <w:r>
              <w:rPr>
                <w:sz w:val="17"/>
              </w:rPr>
              <w:t>gripper centroid error, last frame (cm)</w:t>
            </w:r>
          </w:p>
        </w:tc>
        <w:tc>
          <w:tcPr>
            <w:tcW w:type="dxa" w:w="1560"/>
          </w:tcPr>
          <w:p>
            <w:pPr>
              <w:spacing w:after="0" w:before="0"/>
              <w:jc w:val="center"/>
            </w:pPr>
            <w:r>
              <w:rPr>
                <w:sz w:val="17"/>
              </w:rPr>
            </w:r>
            <w:r>
              <w:rPr>
                <w:sz w:val="17"/>
              </w:rPr>
              <w:t>12.4</w:t>
            </w:r>
          </w:p>
        </w:tc>
        <w:tc>
          <w:tcPr>
            <w:tcW w:type="dxa" w:w="1560"/>
          </w:tcPr>
          <w:p>
            <w:pPr>
              <w:spacing w:after="0" w:before="0"/>
              <w:jc w:val="center"/>
            </w:pPr>
            <w:r>
              <w:rPr>
                <w:sz w:val="17"/>
              </w:rPr>
            </w:r>
            <w:r>
              <w:rPr>
                <w:sz w:val="17"/>
              </w:rPr>
              <w:t>13.6</w:t>
            </w:r>
          </w:p>
        </w:tc>
        <w:tc>
          <w:tcPr>
            <w:tcW w:type="dxa" w:w="1560"/>
          </w:tcPr>
          <w:p>
            <w:pPr>
              <w:spacing w:after="0" w:before="0"/>
              <w:jc w:val="center"/>
            </w:pPr>
            <w:r>
              <w:rPr>
                <w:sz w:val="17"/>
              </w:rPr>
            </w:r>
            <w:r>
              <w:rPr>
                <w:sz w:val="17"/>
              </w:rPr>
              <w:t>15.4</w:t>
            </w:r>
          </w:p>
        </w:tc>
        <w:tc>
          <w:tcPr>
            <w:tcW w:type="dxa" w:w="1560"/>
          </w:tcPr>
          <w:p>
            <w:pPr>
              <w:spacing w:after="0" w:before="0"/>
              <w:jc w:val="center"/>
            </w:pPr>
            <w:r>
              <w:rPr>
                <w:sz w:val="17"/>
              </w:rPr>
            </w:r>
            <w:r>
              <w:rPr>
                <w:sz w:val="17"/>
              </w:rPr>
              <w:t>+3.0 [+0.2, +5.8]</w:t>
            </w:r>
          </w:p>
        </w:tc>
        <w:tc>
          <w:tcPr>
            <w:tcW w:type="dxa" w:w="1560"/>
          </w:tcPr>
          <w:p>
            <w:pPr>
              <w:spacing w:after="0" w:before="0"/>
              <w:jc w:val="center"/>
            </w:pPr>
            <w:r>
              <w:rPr>
                <w:sz w:val="17"/>
              </w:rPr>
            </w:r>
            <w:r>
              <w:rPr>
                <w:sz w:val="17"/>
              </w:rPr>
              <w:t>0.064</w:t>
            </w:r>
          </w:p>
        </w:tc>
      </w:tr>
      <w:tr>
        <w:tc>
          <w:tcPr>
            <w:tcW w:type="dxa" w:w="1560"/>
          </w:tcPr>
          <w:p>
            <w:pPr>
              <w:spacing w:after="0" w:before="0"/>
              <w:jc w:val="left"/>
            </w:pPr>
            <w:r>
              <w:rPr>
                <w:sz w:val="17"/>
              </w:rPr>
            </w:r>
            <w:r>
              <w:rPr>
                <w:sz w:val="17"/>
              </w:rPr>
              <w:t>apple AbsRel</w:t>
            </w:r>
          </w:p>
        </w:tc>
        <w:tc>
          <w:tcPr>
            <w:tcW w:type="dxa" w:w="1560"/>
          </w:tcPr>
          <w:p>
            <w:pPr>
              <w:spacing w:after="0" w:before="0"/>
              <w:jc w:val="center"/>
            </w:pPr>
            <w:r>
              <w:rPr>
                <w:sz w:val="17"/>
              </w:rPr>
            </w:r>
            <w:r>
              <w:rPr>
                <w:sz w:val="17"/>
              </w:rPr>
              <w:t>0.127</w:t>
            </w:r>
          </w:p>
        </w:tc>
        <w:tc>
          <w:tcPr>
            <w:tcW w:type="dxa" w:w="1560"/>
          </w:tcPr>
          <w:p>
            <w:pPr>
              <w:spacing w:after="0" w:before="0"/>
              <w:jc w:val="center"/>
            </w:pPr>
            <w:r>
              <w:rPr>
                <w:sz w:val="17"/>
              </w:rPr>
            </w:r>
            <w:r>
              <w:rPr>
                <w:sz w:val="17"/>
              </w:rPr>
              <w:t>0.124</w:t>
            </w:r>
          </w:p>
        </w:tc>
        <w:tc>
          <w:tcPr>
            <w:tcW w:type="dxa" w:w="1560"/>
          </w:tcPr>
          <w:p>
            <w:pPr>
              <w:spacing w:after="0" w:before="0"/>
              <w:jc w:val="center"/>
            </w:pPr>
            <w:r>
              <w:rPr>
                <w:sz w:val="17"/>
              </w:rPr>
            </w:r>
            <w:r>
              <w:rPr>
                <w:sz w:val="17"/>
              </w:rPr>
              <w:t>0.115</w:t>
            </w:r>
          </w:p>
        </w:tc>
        <w:tc>
          <w:tcPr>
            <w:tcW w:type="dxa" w:w="1560"/>
          </w:tcPr>
          <w:p>
            <w:pPr>
              <w:spacing w:after="0" w:before="0"/>
              <w:jc w:val="center"/>
            </w:pPr>
            <w:r>
              <w:rPr>
                <w:sz w:val="17"/>
              </w:rPr>
            </w:r>
            <w:r>
              <w:rPr>
                <w:sz w:val="17"/>
              </w:rPr>
              <w:t>−0.012 [−0.025, +0.001]</w:t>
            </w:r>
          </w:p>
        </w:tc>
        <w:tc>
          <w:tcPr>
            <w:tcW w:type="dxa" w:w="1560"/>
          </w:tcPr>
          <w:p>
            <w:pPr>
              <w:spacing w:after="0" w:before="0"/>
              <w:jc w:val="center"/>
            </w:pPr>
            <w:r>
              <w:rPr>
                <w:sz w:val="17"/>
              </w:rPr>
            </w:r>
            <w:r>
              <w:rPr>
                <w:sz w:val="17"/>
              </w:rPr>
              <w:t>0.27</w:t>
            </w:r>
          </w:p>
        </w:tc>
      </w:tr>
      <w:tr>
        <w:tc>
          <w:tcPr>
            <w:tcW w:type="dxa" w:w="1560"/>
          </w:tcPr>
          <w:p>
            <w:pPr>
              <w:spacing w:after="0" w:before="0"/>
              <w:jc w:val="left"/>
            </w:pPr>
            <w:r>
              <w:rPr>
                <w:sz w:val="17"/>
              </w:rPr>
            </w:r>
            <w:r>
              <w:rPr>
                <w:sz w:val="17"/>
              </w:rPr>
              <w:t>apple centroid error (cm)</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11.3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+1.6 [−0.1, +3.2]</w:t>
            </w:r>
          </w:p>
        </w:tc>
        <w:tc>
          <w:tcPr>
            <w:tcW w:type="dxa" w:w="1560"/>
          </w:tcPr>
          <w:p>
            <w:pPr>
              <w:spacing w:after="0" w:before="0"/>
              <w:jc w:val="center"/>
            </w:pPr>
            <w:r>
              <w:rPr>
                <w:sz w:val="17"/>
              </w:rPr>
            </w:r>
            <w:r>
              <w:rPr>
                <w:sz w:val="17"/>
              </w:rPr>
              <w:t>0.13</w:t>
            </w:r>
          </w:p>
        </w:tc>
      </w:tr>
      <w:tr>
        <w:tc>
          <w:tcPr>
            <w:tcW w:type="dxa" w:w="1560"/>
            <w:tcBorders>
              <w:bottom w:val="single" w:sz="8" w:color="000000"/>
            </w:tcBorders>
          </w:tcPr>
          <w:p>
            <w:pPr>
              <w:spacing w:after="0" w:before="0"/>
              <w:jc w:val="left"/>
            </w:pPr>
            <w:r>
              <w:rPr>
                <w:sz w:val="17"/>
              </w:rPr>
            </w:r>
            <w:r>
              <w:rPr>
                <w:sz w:val="17"/>
              </w:rPr>
              <w:t>background AbsRel</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0.078</w:t>
            </w:r>
          </w:p>
        </w:tc>
        <w:tc>
          <w:tcPr>
            <w:tcW w:type="dxa" w:w="1560"/>
            <w:tcBorders>
              <w:bottom w:val="single" w:sz="8" w:color="000000"/>
            </w:tcBorders>
          </w:tcPr>
          <w:p>
            <w:pPr>
              <w:spacing w:after="0" w:before="0"/>
              <w:jc w:val="center"/>
            </w:pPr>
            <w:r>
              <w:rPr>
                <w:sz w:val="17"/>
              </w:rPr>
            </w:r>
            <w:r>
              <w:rPr>
                <w:sz w:val="17"/>
              </w:rPr>
              <w:t>+0.015 [+0.010, +0.021]</w:t>
            </w:r>
          </w:p>
        </w:tc>
        <w:tc>
          <w:tcPr>
            <w:tcW w:type="dxa" w:w="1560"/>
            <w:tcBorders>
              <w:bottom w:val="single" w:sz="8" w:color="000000"/>
            </w:tcBorders>
          </w:tcPr>
          <w:p>
            <w:pPr>
              <w:spacing w:after="0" w:before="0"/>
              <w:jc w:val="center"/>
            </w:pPr>
            <w:r>
              <w:rPr>
                <w:sz w:val="17"/>
              </w:rPr>
            </w:r>
            <w:r>
              <w:rPr>
                <w:sz w:val="17"/>
              </w:rPr>
              <w:t>&lt;0.001</w:t>
            </w:r>
          </w:p>
        </w:tc>
      </w:tr>
    </w:tbl>
    <w:p>
      <w:pPr>
        <w:spacing w:after="40"/>
      </w:pPr>
    </w:p>
    <w:p>
      <w:pPr>
        <w:jc w:val="both"/>
      </w:pPr>
      <w:r>
        <w:t>Per frame, the gripper centroid error in cm over frames 1 to 10 is 11.0, 12.6, 13.7, 13.9, 13.2, 12.8, 11.8, 11.2, 10.8, 12.4 for the teacher and 11.9, 11.7, 16.6, 17.3, 15.4, 14.9, 14.6, 13.2, 12.5, 15.4 for the student. The training-free 3-step teacher has a higher region PSNR than the 25-step teacher (gripper +0.80 dB, p&lt;0.001; apple +0.63 dB, p&lt;0.001), so blur helps PSNR on the moving regions as well (Finding 1).</w:t>
      </w:r>
    </w:p>
    <w:p>
      <w:pPr>
        <w:jc w:val="both"/>
      </w:pPr>
      <w:r>
        <w:t>Two caveats apply. First, the ground-truth mask is applied to the prediction, so when the predicted arm is displaced the mask covers background pixels and the centroid jumps; the teacher's own error of about 12 cm is inflated by this mask mismatch and by the multimodal future, and only differences between methods are interpretable. Second, with 40 view-samples the minimal detectable effects are about 3 cm for the gripper centroid, 2.9 cm for the apple centroid, and 0.039 for gripper AbsRel. With these caveats, the whole-image AbsRel gap of +0.015 (Section 4.3) comes from the static background, where the student's difference is the same +0.015 (p&lt;0.001); on the gripper and apple regions the student is not statistically distinguishable from the teacher by the Wilcoxon test, but its gripper centroid error is 2.0 cm higher with a 90% confidence interval [+0.3, +3.7] that excludes zero, which sits at the practical 2 cm margin of Section 4.1 and should be read as a likely small degradation, not as equality.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