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5C4C"/>
          <w:sz w:val="18"/>
          <w:szCs w:val="18"/>
        </w:rPr>
        <w:t xml:space="preserve">SUNU NATT  ·  Décision produit</w:t>
      </w:r>
    </w:p>
    <w:p>
      <w:pPr>
        <w:pStyle w:val="Heading1"/>
        <w:pBdr>
          <w:bottom w:val="single" w:color="0F5C4C" w:sz="12" w:space="8"/>
        </w:pBdr>
        <w:spacing w:after="160" w:before="280"/>
      </w:pPr>
      <w:r>
        <w:rPr>
          <w:rFonts w:ascii="Calibri" w:cs="Calibri" w:eastAsia="Calibri" w:hAnsi="Calibri"/>
          <w:b/>
          <w:bCs/>
          <w:color w:val="0F5C4C"/>
          <w:sz w:val="32"/>
          <w:szCs w:val="32"/>
        </w:rPr>
        <w:t xml:space="preserve">Tirelire : retrait anticipé autorisé avec pénalité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Décision du 13 septembre 2026. Cette fiche amende la règle R5 du Plan d’alignement API ↔ UX 3.0 (le PDF interdisait tout retrait avant l’échéance).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Règle retenue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Oui : l’utilisateur peut retirer avant la date de fin, uniquement après une confirmation explicite, moyennant une pénalité de 5 % du montant demandé. À l’échéance, le retrait reste possible avec les frais de 1,5 %.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0F5C4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26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0F5C4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Retrait</w:t>
            </w:r>
          </w:p>
        </w:tc>
        <w:tc>
          <w:tcPr>
            <w:tcW w:type="dxa" w:w="18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0F5C4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Prélèvement</w:t>
            </w:r>
          </w:p>
        </w:tc>
        <w:tc>
          <w:tcPr>
            <w:tcW w:type="dxa" w:w="276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0F5C4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Comportement API</w:t>
            </w:r>
          </w:p>
        </w:tc>
      </w:tr>
      <w:tr>
        <w:tc>
          <w:tcPr>
            <w:tcW w:type="dxa" w:w="22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4F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Avant l’échéance</w:t>
            </w:r>
          </w:p>
        </w:tc>
        <w:tc>
          <w:tcPr>
            <w:tcW w:type="dxa" w:w="26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4F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Oui, si accept_penalty=true</w:t>
            </w:r>
          </w:p>
        </w:tc>
        <w:tc>
          <w:tcPr>
            <w:tcW w:type="dxa" w:w="18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4F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5 %</w:t>
            </w:r>
          </w:p>
        </w:tc>
        <w:tc>
          <w:tcPr>
            <w:tcW w:type="dxa" w:w="276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4F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PENALTY_NOT_ACCEPTED (422) sans confirmation</w:t>
            </w:r>
          </w:p>
        </w:tc>
      </w:tr>
      <w:tr>
        <w:tc>
          <w:tcPr>
            <w:tcW w:type="dxa" w:w="22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À / après l’échéance</w:t>
            </w:r>
          </w:p>
        </w:tc>
        <w:tc>
          <w:tcPr>
            <w:tcW w:type="dxa" w:w="26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Oui</w:t>
            </w:r>
          </w:p>
        </w:tc>
        <w:tc>
          <w:tcPr>
            <w:tcW w:type="dxa" w:w="180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1,5 % (frais)</w:t>
            </w:r>
          </w:p>
        </w:tc>
        <w:tc>
          <w:tcPr>
            <w:tcW w:type="dxa" w:w="2760"/>
            <w:tcBorders>
              <w:top w:val="single" w:color="D6DDD9" w:sz="4"/>
              <w:left w:val="single" w:color="D6DDD9" w:sz="4"/>
              <w:bottom w:val="single" w:color="D6DDD9" w:sz="4"/>
              <w:right w:val="single" w:color="D6DDD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Pas de popup pénalité</w:t>
            </w:r>
          </w:p>
        </w:tc>
      </w:tr>
    </w:tbl>
    <w:p>
      <w:pPr>
        <w:spacing w:after="16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Contrats API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334155"/>
          <w:sz w:val="21"/>
          <w:szCs w:val="21"/>
        </w:rPr>
        <w:t xml:space="preserve">GET /api/tirelires/{id}/retrait/preview — devis (early, rate, penalty, net).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334155"/>
          <w:sz w:val="21"/>
          <w:szCs w:val="21"/>
        </w:rPr>
        <w:t xml:space="preserve">POST /api/tirelires/{id}/retrait et /retraits — même règle. Corps : montant, wave_phone?, accept_penalty.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334155"/>
          <w:sz w:val="21"/>
          <w:szCs w:val="21"/>
        </w:rPr>
        <w:t xml:space="preserve">Sans accept_penalty=true avant l’échéance → 422 code PENALTY_NOT_ACCEPTED + quote.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color w:val="334155"/>
          <w:sz w:val="21"/>
          <w:szCs w:val="21"/>
        </w:rPr>
        <w:t xml:space="preserve">Le détail GET /api/tirelires/{id} expose déjà le bloc retrait pour le popup mobile.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B365D"/>
          <w:sz w:val="26"/>
          <w:szCs w:val="26"/>
        </w:rPr>
        <w:t xml:space="preserve">À afficher dans l’app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Popup : « Un retrait avant le [date_fin] entraîne une pénalité de 5 % (soit [penalty] FCFA). Vous recevrez [net] FCFA. » Case + bouton Confirmer, puis accept_penalty=true.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color w:val="64748B"/>
          <w:sz w:val="18"/>
          <w:szCs w:val="18"/>
        </w:rPr>
        <w:t xml:space="preserve">Teknon Group SUARL · Document interne · amende le Plan-Alignement-API-UX-SunuNatt.docx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2026-10-01T12:50:23.367Z</dcterms:created>
  <dcterms:modified xsi:type="dcterms:W3CDTF">2026-10-01T12:50:23.369Z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