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A7F82" w14:textId="3BFB0AF5" w:rsidR="00E65EB2" w:rsidRDefault="00E65EB2" w:rsidP="00E65EB2">
      <w:pPr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 xml:space="preserve">Protocolo nº: </w:t>
      </w:r>
      <w:r w:rsidRPr="00E65EB2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Numero de processo</w:t>
      </w:r>
    </w:p>
    <w:p w14:paraId="4C69A732" w14:textId="77777777" w:rsidR="00E65EB2" w:rsidRPr="00E65EB2" w:rsidRDefault="00E65EB2" w:rsidP="00E65EB2">
      <w:pPr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</w:p>
    <w:p w14:paraId="74CA919D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A4129C0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[</w:t>
      </w:r>
      <w:r w:rsidRPr="00E65EB2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NOME DO CLIENTE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>], já devidamente qualificado(</w:t>
      </w:r>
      <w:r w:rsidRPr="00E65EB2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a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>) nos autos da AÇÃO REVISIONAL DE CONTRATO DE FINANCIAMENTO que move em face de [</w:t>
      </w:r>
      <w:r w:rsidRPr="00E65EB2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NOME DA INSTITUIÇÃO FINANCEIRA/BANCO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>], por intermédio de seu procurador infra-assinado, vem, respeitosamente, requerer a nova citação da parte ré, com a finalidade de impulsionar o regular andamento processual.</w:t>
      </w:r>
    </w:p>
    <w:p w14:paraId="50EB6C03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29B90F2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O processo em epígrafe versa sobre matéria de natureza eminentemente jurídica, inexistindo, portanto, necessidade de dilação probatória. Verifica-se que, tanto na petição inicial quanto na contestação, não houve indicação de necessidade de produção de outras provas pelas partes, circunstância que autoriza o julgamento antecipado do mérito.</w:t>
      </w:r>
    </w:p>
    <w:p w14:paraId="5514764B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D0B081F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Nesse sentido, dispõe o artigo 355 do Código de Processo Civil:</w:t>
      </w:r>
    </w:p>
    <w:p w14:paraId="7B433DD0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5DA74960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Art. 355. O juiz julgará antecipadamente o pedido, proferindo sentença com resolução de mérito, quando:</w:t>
      </w:r>
    </w:p>
    <w:p w14:paraId="75B6C89B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03ACF42" w14:textId="3C16D9A0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 xml:space="preserve">I — 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>Não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 xml:space="preserve"> houver necessidade de produção de outras provas;</w:t>
      </w:r>
    </w:p>
    <w:p w14:paraId="6B2DCEA5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575D8E92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No caso em tela, os pedidos formulados estão amparados em matéria essencialmente jurídica e documental, sendo desnecessária a abertura de fase instrutória ou a produção de novas provas.</w:t>
      </w:r>
    </w:p>
    <w:p w14:paraId="3B335E37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3CB24264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Diante disso, requer-se o julgamento antecipado do mérito, nos termos do artigo 355, inciso I, do Código de Processo Civil.</w:t>
      </w:r>
    </w:p>
    <w:p w14:paraId="1DA9CB13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5E05C17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E65EB2">
        <w:rPr>
          <w:rFonts w:ascii="Times New Roman" w:eastAsia="Times New Roman" w:hAnsi="Times New Roman" w:cs="Times New Roman"/>
          <w:color w:val="000000"/>
          <w:lang w:val="pt-BR"/>
        </w:rPr>
        <w:t>Termos em que,</w:t>
      </w:r>
    </w:p>
    <w:p w14:paraId="5F803AA1" w14:textId="77777777" w:rsidR="00E65EB2" w:rsidRP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56E053F2" w14:textId="62AAB299" w:rsidR="00AA5E37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  <w:r>
        <w:rPr>
          <w:rFonts w:ascii="Times New Roman" w:eastAsia="Times New Roman" w:hAnsi="Times New Roman" w:cs="Times New Roman"/>
          <w:color w:val="000000"/>
          <w:lang w:val="pt-BR"/>
        </w:rPr>
        <w:t>P</w:t>
      </w:r>
      <w:r w:rsidRPr="00E65EB2">
        <w:rPr>
          <w:rFonts w:ascii="Times New Roman" w:eastAsia="Times New Roman" w:hAnsi="Times New Roman" w:cs="Times New Roman"/>
          <w:color w:val="000000"/>
          <w:lang w:val="pt-BR"/>
        </w:rPr>
        <w:t>ede deferimento.</w:t>
      </w:r>
    </w:p>
    <w:p w14:paraId="0F1C0AE6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523191D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F49D5F1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27935907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16CF361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D286FA6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4F5C7E8" w14:textId="5575C0C7" w:rsidR="00E65EB2" w:rsidRP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>São Paulo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1CF26902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A4FF7E4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34F99C4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FA60C51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2C9645A" w14:textId="4E9BA727" w:rsidR="00E65EB2" w:rsidRPr="00E65EB2" w:rsidRDefault="00E65EB2" w:rsidP="00E65EB2">
      <w:pPr>
        <w:spacing w:before="244"/>
        <w:ind w:left="707" w:right="231"/>
        <w:jc w:val="center"/>
        <w:rPr>
          <w:rFonts w:ascii="Arial" w:eastAsia="Arial" w:hAnsi="Arial" w:cs="Arial"/>
          <w:sz w:val="26"/>
          <w:szCs w:val="26"/>
          <w:u w:val="single"/>
        </w:rPr>
      </w:pPr>
      <w:r w:rsidRPr="00E65EB2">
        <w:rPr>
          <w:rFonts w:ascii="Arial" w:eastAsia="Arial" w:hAnsi="Arial" w:cs="Arial"/>
          <w:sz w:val="26"/>
          <w:szCs w:val="26"/>
          <w:u w:val="single"/>
        </w:rPr>
        <w:t>___________________________________</w:t>
      </w:r>
    </w:p>
    <w:p w14:paraId="28E000DF" w14:textId="764DD3F5" w:rsidR="00E65EB2" w:rsidRPr="00290810" w:rsidRDefault="00E65EB2" w:rsidP="00E65EB2">
      <w:pPr>
        <w:spacing w:before="244"/>
        <w:ind w:left="707" w:right="231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290810">
        <w:rPr>
          <w:rFonts w:ascii="Times New Roman" w:eastAsia="Arial" w:hAnsi="Times New Roman" w:cs="Times New Roman"/>
          <w:b/>
          <w:bCs/>
          <w:sz w:val="24"/>
          <w:szCs w:val="24"/>
          <w:highlight w:val="yellow"/>
          <w:u w:val="single"/>
        </w:rPr>
        <w:t>NOME DO CLIENTE</w:t>
      </w:r>
    </w:p>
    <w:p w14:paraId="6F8699C2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B3AD883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2B23650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D274F6E" w14:textId="5D83EB20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Arial" w:eastAsia="Arial" w:hAnsi="Arial" w:cs="Arial"/>
          <w:color w:val="000000"/>
        </w:rPr>
      </w:pPr>
    </w:p>
    <w:p w14:paraId="433A7A0C" w14:textId="7B688CFD" w:rsidR="00E65EB2" w:rsidRPr="00E65EB2" w:rsidRDefault="00E65EB2" w:rsidP="00E65EB2"/>
    <w:sectPr w:rsidR="00E65EB2" w:rsidRPr="00E65EB2" w:rsidSect="00E65EB2">
      <w:headerReference w:type="default" r:id="rId9"/>
      <w:footerReference w:type="default" r:id="rId10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0265D" w14:textId="77777777" w:rsidR="004A5809" w:rsidRDefault="004A5809">
      <w:r>
        <w:separator/>
      </w:r>
    </w:p>
  </w:endnote>
  <w:endnote w:type="continuationSeparator" w:id="0">
    <w:p w14:paraId="2FCFD03D" w14:textId="77777777" w:rsidR="004A5809" w:rsidRDefault="004A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AF48A88-DC68-4806-9AD7-21A7C0E35B58}"/>
    <w:embedBold r:id="rId2" w:fontKey="{D0BF9687-BC3D-407F-8E9F-A1AF4AE926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8CA04A7-A061-4605-92D6-68A14FA56A6C}"/>
    <w:embedItalic r:id="rId4" w:fontKey="{4D61F7CC-FEA1-45B1-AEC8-A610B39691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AE9D8FE-9639-4197-A884-88982A410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4D4B16-D256-432C-8555-535C045CFA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7CB4D" w14:textId="77777777" w:rsidR="004A5809" w:rsidRDefault="004A5809">
      <w:r>
        <w:separator/>
      </w:r>
    </w:p>
  </w:footnote>
  <w:footnote w:type="continuationSeparator" w:id="0">
    <w:p w14:paraId="227017F5" w14:textId="77777777" w:rsidR="004A5809" w:rsidRDefault="004A5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552219ED" w:rsidR="004A7F26" w:rsidRPr="00DF3758" w:rsidRDefault="00E65EB2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 w:rsidRPr="00E65EB2">
      <w:rPr>
        <w:rFonts w:ascii="Georgia" w:eastAsia="Calibri" w:hAnsi="Georgia" w:cs="Calibri"/>
        <w:color w:val="17365D" w:themeColor="text2" w:themeShade="BF"/>
        <w:sz w:val="28"/>
        <w:szCs w:val="28"/>
      </w:rPr>
      <w:t>CITAÇÃO DA PARTE RÉ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356736"/>
    <w:rsid w:val="003B2955"/>
    <w:rsid w:val="004A5809"/>
    <w:rsid w:val="004A7F26"/>
    <w:rsid w:val="005F4BC5"/>
    <w:rsid w:val="00634434"/>
    <w:rsid w:val="008643C4"/>
    <w:rsid w:val="008F7A82"/>
    <w:rsid w:val="00AA5E37"/>
    <w:rsid w:val="00C76CD2"/>
    <w:rsid w:val="00DF3758"/>
    <w:rsid w:val="00E65EB2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User</cp:lastModifiedBy>
  <cp:revision>2</cp:revision>
  <dcterms:created xsi:type="dcterms:W3CDTF">2026-06-14T05:01:00Z</dcterms:created>
  <dcterms:modified xsi:type="dcterms:W3CDTF">2026-06-14T05:01:00Z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