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4123B" w14:textId="24A0F08F" w:rsidR="00A8641B" w:rsidRPr="00A8641B" w:rsidRDefault="00A8641B" w:rsidP="00A8641B">
      <w:pPr>
        <w:jc w:val="both"/>
        <w:rPr>
          <w:rFonts w:ascii="Times New Roman" w:eastAsia="Calibri" w:hAnsi="Times New Roman" w:cs="Times New Roman"/>
          <w:color w:val="17365D" w:themeColor="text2" w:themeShade="BF"/>
          <w:sz w:val="28"/>
          <w:szCs w:val="28"/>
        </w:rPr>
      </w:pPr>
      <w:r w:rsidRPr="00A8641B">
        <w:rPr>
          <w:rFonts w:ascii="Times New Roman" w:eastAsia="Calibri" w:hAnsi="Times New Roman" w:cs="Times New Roman"/>
          <w:color w:val="17365D" w:themeColor="text2" w:themeShade="BF"/>
          <w:sz w:val="28"/>
          <w:szCs w:val="28"/>
        </w:rPr>
        <w:t>INTIMAÇÃO</w:t>
      </w:r>
      <w:r w:rsidRPr="00A8641B">
        <w:rPr>
          <w:rFonts w:ascii="Times New Roman" w:eastAsia="Calibri" w:hAnsi="Times New Roman" w:cs="Times New Roman"/>
          <w:color w:val="17365D" w:themeColor="text2" w:themeShade="BF"/>
          <w:sz w:val="28"/>
          <w:szCs w:val="28"/>
        </w:rPr>
        <w:t xml:space="preserve"> DA PARTE RÉ</w:t>
      </w:r>
    </w:p>
    <w:p w14:paraId="2D51391D" w14:textId="77777777" w:rsidR="00A8641B" w:rsidRPr="00A8641B" w:rsidRDefault="00A8641B" w:rsidP="00A8641B">
      <w:pPr>
        <w:jc w:val="both"/>
        <w:rPr>
          <w:rFonts w:ascii="Times New Roman" w:eastAsia="Times New Roman" w:hAnsi="Times New Roman" w:cs="Times New Roman"/>
          <w:color w:val="000000"/>
          <w:lang w:val="pt-BR"/>
        </w:rPr>
      </w:pPr>
    </w:p>
    <w:p w14:paraId="730A7F82" w14:textId="05B8B5D3" w:rsidR="00E65EB2" w:rsidRPr="00A8641B" w:rsidRDefault="00E65EB2" w:rsidP="00A8641B">
      <w:pPr>
        <w:jc w:val="both"/>
        <w:rPr>
          <w:rFonts w:ascii="Times New Roman" w:eastAsia="Times New Roman" w:hAnsi="Times New Roman" w:cs="Times New Roman"/>
          <w:b/>
          <w:bCs/>
          <w:color w:val="000000"/>
          <w:lang w:val="pt-BR"/>
        </w:rPr>
      </w:pPr>
      <w:r w:rsidRPr="00A8641B">
        <w:rPr>
          <w:rFonts w:ascii="Times New Roman" w:eastAsia="Times New Roman" w:hAnsi="Times New Roman" w:cs="Times New Roman"/>
          <w:color w:val="000000"/>
          <w:lang w:val="pt-BR"/>
        </w:rPr>
        <w:t xml:space="preserve">Protocolo nº: </w:t>
      </w:r>
      <w:r w:rsidRPr="00A8641B">
        <w:rPr>
          <w:rFonts w:ascii="Times New Roman" w:eastAsia="Times New Roman" w:hAnsi="Times New Roman" w:cs="Times New Roman"/>
          <w:b/>
          <w:bCs/>
          <w:color w:val="000000"/>
          <w:highlight w:val="yellow"/>
          <w:lang w:val="pt-BR"/>
        </w:rPr>
        <w:t>Numero de processo</w:t>
      </w:r>
    </w:p>
    <w:p w14:paraId="4C69A732" w14:textId="77777777" w:rsidR="00E65EB2" w:rsidRPr="00A8641B" w:rsidRDefault="00E65EB2" w:rsidP="00A8641B">
      <w:pPr>
        <w:jc w:val="both"/>
        <w:rPr>
          <w:rFonts w:ascii="Times New Roman" w:eastAsia="Times New Roman" w:hAnsi="Times New Roman" w:cs="Times New Roman"/>
          <w:b/>
          <w:bCs/>
          <w:color w:val="000000"/>
          <w:lang w:val="pt-BR"/>
        </w:rPr>
      </w:pPr>
    </w:p>
    <w:p w14:paraId="74CA919D" w14:textId="77777777" w:rsidR="00E65EB2" w:rsidRPr="00A8641B" w:rsidRDefault="00E65EB2" w:rsidP="00A8641B">
      <w:pPr>
        <w:jc w:val="both"/>
        <w:rPr>
          <w:rFonts w:ascii="Times New Roman" w:eastAsia="Times New Roman" w:hAnsi="Times New Roman" w:cs="Times New Roman"/>
          <w:color w:val="000000"/>
          <w:lang w:val="pt-BR"/>
        </w:rPr>
      </w:pPr>
    </w:p>
    <w:p w14:paraId="1A4129C0" w14:textId="77777777" w:rsidR="00E65EB2" w:rsidRPr="00A8641B" w:rsidRDefault="00E65EB2" w:rsidP="00A8641B">
      <w:pPr>
        <w:jc w:val="both"/>
        <w:rPr>
          <w:rFonts w:ascii="Times New Roman" w:eastAsia="Times New Roman" w:hAnsi="Times New Roman" w:cs="Times New Roman"/>
          <w:color w:val="000000"/>
          <w:lang w:val="pt-BR"/>
        </w:rPr>
      </w:pPr>
      <w:r w:rsidRPr="00A8641B">
        <w:rPr>
          <w:rFonts w:ascii="Times New Roman" w:eastAsia="Times New Roman" w:hAnsi="Times New Roman" w:cs="Times New Roman"/>
          <w:color w:val="000000"/>
          <w:lang w:val="pt-BR"/>
        </w:rPr>
        <w:t>[</w:t>
      </w:r>
      <w:r w:rsidRPr="00A8641B">
        <w:rPr>
          <w:rFonts w:ascii="Times New Roman" w:eastAsia="Times New Roman" w:hAnsi="Times New Roman" w:cs="Times New Roman"/>
          <w:color w:val="000000"/>
          <w:highlight w:val="yellow"/>
          <w:lang w:val="pt-BR"/>
        </w:rPr>
        <w:t>NOME DO CLIENTE</w:t>
      </w:r>
      <w:r w:rsidRPr="00A8641B">
        <w:rPr>
          <w:rFonts w:ascii="Times New Roman" w:eastAsia="Times New Roman" w:hAnsi="Times New Roman" w:cs="Times New Roman"/>
          <w:color w:val="000000"/>
          <w:lang w:val="pt-BR"/>
        </w:rPr>
        <w:t>], já devidamente qualificado(</w:t>
      </w:r>
      <w:r w:rsidRPr="00A8641B">
        <w:rPr>
          <w:rFonts w:ascii="Times New Roman" w:eastAsia="Times New Roman" w:hAnsi="Times New Roman" w:cs="Times New Roman"/>
          <w:color w:val="000000"/>
          <w:highlight w:val="yellow"/>
          <w:lang w:val="pt-BR"/>
        </w:rPr>
        <w:t>a</w:t>
      </w:r>
      <w:r w:rsidRPr="00A8641B">
        <w:rPr>
          <w:rFonts w:ascii="Times New Roman" w:eastAsia="Times New Roman" w:hAnsi="Times New Roman" w:cs="Times New Roman"/>
          <w:color w:val="000000"/>
          <w:lang w:val="pt-BR"/>
        </w:rPr>
        <w:t>) nos autos da AÇÃO REVISIONAL DE CONTRATO DE FINANCIAMENTO que move em face de [</w:t>
      </w:r>
      <w:r w:rsidRPr="00A8641B">
        <w:rPr>
          <w:rFonts w:ascii="Times New Roman" w:eastAsia="Times New Roman" w:hAnsi="Times New Roman" w:cs="Times New Roman"/>
          <w:color w:val="000000"/>
          <w:highlight w:val="yellow"/>
          <w:lang w:val="pt-BR"/>
        </w:rPr>
        <w:t>NOME DA INSTITUIÇÃO FINANCEIRA/BANCO</w:t>
      </w:r>
      <w:r w:rsidRPr="00A8641B">
        <w:rPr>
          <w:rFonts w:ascii="Times New Roman" w:eastAsia="Times New Roman" w:hAnsi="Times New Roman" w:cs="Times New Roman"/>
          <w:color w:val="000000"/>
          <w:lang w:val="pt-BR"/>
        </w:rPr>
        <w:t>], por intermédio de seu procurador infra-assinado, vem, respeitosamente, requerer a nova citação da parte ré, com a finalidade de impulsionar o regular andamento processual.</w:t>
      </w:r>
    </w:p>
    <w:p w14:paraId="50EB6C03" w14:textId="77777777" w:rsidR="00E65EB2" w:rsidRPr="00A8641B" w:rsidRDefault="00E65EB2" w:rsidP="00A8641B">
      <w:pPr>
        <w:jc w:val="both"/>
        <w:rPr>
          <w:rFonts w:ascii="Times New Roman" w:eastAsia="Times New Roman" w:hAnsi="Times New Roman" w:cs="Times New Roman"/>
          <w:color w:val="000000"/>
          <w:lang w:val="pt-BR"/>
        </w:rPr>
      </w:pPr>
    </w:p>
    <w:p w14:paraId="729B90F2" w14:textId="77777777" w:rsidR="00E65EB2" w:rsidRPr="00A8641B" w:rsidRDefault="00E65EB2" w:rsidP="00A8641B">
      <w:pPr>
        <w:jc w:val="both"/>
        <w:rPr>
          <w:rFonts w:ascii="Times New Roman" w:eastAsia="Times New Roman" w:hAnsi="Times New Roman" w:cs="Times New Roman"/>
          <w:color w:val="000000"/>
          <w:lang w:val="pt-BR"/>
        </w:rPr>
      </w:pPr>
      <w:r w:rsidRPr="00A8641B">
        <w:rPr>
          <w:rFonts w:ascii="Times New Roman" w:eastAsia="Times New Roman" w:hAnsi="Times New Roman" w:cs="Times New Roman"/>
          <w:color w:val="000000"/>
          <w:lang w:val="pt-BR"/>
        </w:rPr>
        <w:t>O processo em epígrafe versa sobre matéria de natureza eminentemente jurídica, inexistindo, portanto, necessidade de dilação probatória. Verifica-se que, tanto na petição inicial quanto na contestação, não houve indicação de necessidade de produção de outras provas pelas partes, circunstância que autoriza o julgamento antecipado do mérito.</w:t>
      </w:r>
    </w:p>
    <w:p w14:paraId="5514764B" w14:textId="77777777" w:rsidR="00E65EB2" w:rsidRPr="00A8641B" w:rsidRDefault="00E65EB2" w:rsidP="00A8641B">
      <w:pPr>
        <w:jc w:val="both"/>
        <w:rPr>
          <w:rFonts w:ascii="Times New Roman" w:eastAsia="Times New Roman" w:hAnsi="Times New Roman" w:cs="Times New Roman"/>
          <w:color w:val="000000"/>
          <w:lang w:val="pt-BR"/>
        </w:rPr>
      </w:pPr>
    </w:p>
    <w:p w14:paraId="0D0B081F" w14:textId="77777777" w:rsidR="00E65EB2" w:rsidRPr="00A8641B" w:rsidRDefault="00E65EB2" w:rsidP="00A8641B">
      <w:pPr>
        <w:jc w:val="both"/>
        <w:rPr>
          <w:rFonts w:ascii="Times New Roman" w:eastAsia="Times New Roman" w:hAnsi="Times New Roman" w:cs="Times New Roman"/>
          <w:color w:val="000000"/>
          <w:lang w:val="pt-BR"/>
        </w:rPr>
      </w:pPr>
      <w:r w:rsidRPr="00A8641B">
        <w:rPr>
          <w:rFonts w:ascii="Times New Roman" w:eastAsia="Times New Roman" w:hAnsi="Times New Roman" w:cs="Times New Roman"/>
          <w:color w:val="000000"/>
          <w:lang w:val="pt-BR"/>
        </w:rPr>
        <w:t>Nesse sentido, dispõe o artigo 355 do Código de Processo Civil:</w:t>
      </w:r>
    </w:p>
    <w:p w14:paraId="7B433DD0" w14:textId="77777777" w:rsidR="00E65EB2" w:rsidRPr="00A8641B" w:rsidRDefault="00E65EB2" w:rsidP="00A8641B">
      <w:pPr>
        <w:jc w:val="both"/>
        <w:rPr>
          <w:rFonts w:ascii="Times New Roman" w:eastAsia="Times New Roman" w:hAnsi="Times New Roman" w:cs="Times New Roman"/>
          <w:color w:val="000000"/>
          <w:lang w:val="pt-BR"/>
        </w:rPr>
      </w:pPr>
    </w:p>
    <w:p w14:paraId="5DA74960" w14:textId="77777777" w:rsidR="00E65EB2" w:rsidRPr="00A8641B" w:rsidRDefault="00E65EB2" w:rsidP="00A8641B">
      <w:pPr>
        <w:jc w:val="both"/>
        <w:rPr>
          <w:rFonts w:ascii="Times New Roman" w:eastAsia="Times New Roman" w:hAnsi="Times New Roman" w:cs="Times New Roman"/>
          <w:color w:val="000000"/>
          <w:lang w:val="pt-BR"/>
        </w:rPr>
      </w:pPr>
      <w:r w:rsidRPr="00A8641B">
        <w:rPr>
          <w:rFonts w:ascii="Times New Roman" w:eastAsia="Times New Roman" w:hAnsi="Times New Roman" w:cs="Times New Roman"/>
          <w:color w:val="000000"/>
          <w:lang w:val="pt-BR"/>
        </w:rPr>
        <w:t>Art. 355. O juiz julgará antecipadamente o pedido, proferindo sentença com resolução de mérito, quando:</w:t>
      </w:r>
    </w:p>
    <w:p w14:paraId="75B6C89B" w14:textId="77777777" w:rsidR="00E65EB2" w:rsidRPr="00A8641B" w:rsidRDefault="00E65EB2" w:rsidP="00A8641B">
      <w:pPr>
        <w:jc w:val="both"/>
        <w:rPr>
          <w:rFonts w:ascii="Times New Roman" w:eastAsia="Times New Roman" w:hAnsi="Times New Roman" w:cs="Times New Roman"/>
          <w:color w:val="000000"/>
          <w:lang w:val="pt-BR"/>
        </w:rPr>
      </w:pPr>
    </w:p>
    <w:p w14:paraId="003ACF42" w14:textId="3C16D9A0" w:rsidR="00E65EB2" w:rsidRPr="00A8641B" w:rsidRDefault="00E65EB2" w:rsidP="00A8641B">
      <w:pPr>
        <w:jc w:val="both"/>
        <w:rPr>
          <w:rFonts w:ascii="Times New Roman" w:eastAsia="Times New Roman" w:hAnsi="Times New Roman" w:cs="Times New Roman"/>
          <w:color w:val="000000"/>
          <w:lang w:val="pt-BR"/>
        </w:rPr>
      </w:pPr>
      <w:r w:rsidRPr="00A8641B">
        <w:rPr>
          <w:rFonts w:ascii="Times New Roman" w:eastAsia="Times New Roman" w:hAnsi="Times New Roman" w:cs="Times New Roman"/>
          <w:color w:val="000000"/>
          <w:lang w:val="pt-BR"/>
        </w:rPr>
        <w:t>I — Não houver necessidade de produção de outras provas;</w:t>
      </w:r>
    </w:p>
    <w:p w14:paraId="6B2DCEA5" w14:textId="77777777" w:rsidR="00E65EB2" w:rsidRPr="00A8641B" w:rsidRDefault="00E65EB2" w:rsidP="00A8641B">
      <w:pPr>
        <w:jc w:val="both"/>
        <w:rPr>
          <w:rFonts w:ascii="Times New Roman" w:eastAsia="Times New Roman" w:hAnsi="Times New Roman" w:cs="Times New Roman"/>
          <w:color w:val="000000"/>
          <w:lang w:val="pt-BR"/>
        </w:rPr>
      </w:pPr>
    </w:p>
    <w:p w14:paraId="575D8E92" w14:textId="77777777" w:rsidR="00E65EB2" w:rsidRPr="00A8641B" w:rsidRDefault="00E65EB2" w:rsidP="00A8641B">
      <w:pPr>
        <w:jc w:val="both"/>
        <w:rPr>
          <w:rFonts w:ascii="Times New Roman" w:eastAsia="Times New Roman" w:hAnsi="Times New Roman" w:cs="Times New Roman"/>
          <w:color w:val="000000"/>
          <w:lang w:val="pt-BR"/>
        </w:rPr>
      </w:pPr>
      <w:r w:rsidRPr="00A8641B">
        <w:rPr>
          <w:rFonts w:ascii="Times New Roman" w:eastAsia="Times New Roman" w:hAnsi="Times New Roman" w:cs="Times New Roman"/>
          <w:color w:val="000000"/>
          <w:lang w:val="pt-BR"/>
        </w:rPr>
        <w:t>No caso em tela, os pedidos formulados estão amparados em matéria essencialmente jurídica e documental, sendo desnecessária a abertura de fase instrutória ou a produção de novas provas.</w:t>
      </w:r>
    </w:p>
    <w:p w14:paraId="3B335E37" w14:textId="77777777" w:rsidR="00E65EB2" w:rsidRPr="00A8641B" w:rsidRDefault="00E65EB2" w:rsidP="00A8641B">
      <w:pPr>
        <w:jc w:val="both"/>
        <w:rPr>
          <w:rFonts w:ascii="Times New Roman" w:eastAsia="Times New Roman" w:hAnsi="Times New Roman" w:cs="Times New Roman"/>
          <w:color w:val="000000"/>
          <w:lang w:val="pt-BR"/>
        </w:rPr>
      </w:pPr>
    </w:p>
    <w:p w14:paraId="3CB24264" w14:textId="77777777" w:rsidR="00E65EB2" w:rsidRPr="00A8641B" w:rsidRDefault="00E65EB2" w:rsidP="00A8641B">
      <w:pPr>
        <w:jc w:val="both"/>
        <w:rPr>
          <w:rFonts w:ascii="Times New Roman" w:eastAsia="Times New Roman" w:hAnsi="Times New Roman" w:cs="Times New Roman"/>
          <w:color w:val="000000"/>
          <w:lang w:val="pt-BR"/>
        </w:rPr>
      </w:pPr>
      <w:r w:rsidRPr="00A8641B">
        <w:rPr>
          <w:rFonts w:ascii="Times New Roman" w:eastAsia="Times New Roman" w:hAnsi="Times New Roman" w:cs="Times New Roman"/>
          <w:color w:val="000000"/>
          <w:lang w:val="pt-BR"/>
        </w:rPr>
        <w:t>Diante disso, requer-se o julgamento antecipado do mérito, nos termos do artigo 355, inciso I, do Código de Processo Civil.</w:t>
      </w:r>
    </w:p>
    <w:p w14:paraId="1DA9CB13" w14:textId="77777777" w:rsidR="00E65EB2" w:rsidRPr="00A8641B" w:rsidRDefault="00E65EB2" w:rsidP="00A8641B">
      <w:pPr>
        <w:jc w:val="both"/>
        <w:rPr>
          <w:rFonts w:ascii="Times New Roman" w:eastAsia="Times New Roman" w:hAnsi="Times New Roman" w:cs="Times New Roman"/>
          <w:color w:val="000000"/>
          <w:lang w:val="pt-BR"/>
        </w:rPr>
      </w:pPr>
    </w:p>
    <w:p w14:paraId="15E05C17" w14:textId="77777777" w:rsidR="00E65EB2" w:rsidRPr="00A8641B" w:rsidRDefault="00E65EB2" w:rsidP="00A8641B">
      <w:pPr>
        <w:jc w:val="both"/>
        <w:rPr>
          <w:rFonts w:ascii="Times New Roman" w:eastAsia="Times New Roman" w:hAnsi="Times New Roman" w:cs="Times New Roman"/>
          <w:color w:val="000000"/>
          <w:lang w:val="pt-BR"/>
        </w:rPr>
      </w:pPr>
      <w:r w:rsidRPr="00A8641B">
        <w:rPr>
          <w:rFonts w:ascii="Times New Roman" w:eastAsia="Times New Roman" w:hAnsi="Times New Roman" w:cs="Times New Roman"/>
          <w:color w:val="000000"/>
          <w:lang w:val="pt-BR"/>
        </w:rPr>
        <w:t>Termos em que,</w:t>
      </w:r>
    </w:p>
    <w:p w14:paraId="5F803AA1" w14:textId="77777777" w:rsidR="00E65EB2" w:rsidRPr="00A8641B" w:rsidRDefault="00E65EB2" w:rsidP="00A8641B">
      <w:pPr>
        <w:jc w:val="both"/>
        <w:rPr>
          <w:rFonts w:ascii="Times New Roman" w:eastAsia="Times New Roman" w:hAnsi="Times New Roman" w:cs="Times New Roman"/>
          <w:color w:val="000000"/>
          <w:lang w:val="pt-BR"/>
        </w:rPr>
      </w:pPr>
    </w:p>
    <w:p w14:paraId="56E053F2" w14:textId="62AAB299" w:rsidR="00AA5E37" w:rsidRPr="00A8641B" w:rsidRDefault="00E65EB2" w:rsidP="00A8641B">
      <w:pPr>
        <w:jc w:val="both"/>
        <w:rPr>
          <w:rFonts w:ascii="Times New Roman" w:eastAsia="Times New Roman" w:hAnsi="Times New Roman" w:cs="Times New Roman"/>
          <w:color w:val="000000"/>
          <w:lang w:val="pt-BR"/>
        </w:rPr>
      </w:pPr>
      <w:r w:rsidRPr="00A8641B">
        <w:rPr>
          <w:rFonts w:ascii="Times New Roman" w:eastAsia="Times New Roman" w:hAnsi="Times New Roman" w:cs="Times New Roman"/>
          <w:color w:val="000000"/>
          <w:lang w:val="pt-BR"/>
        </w:rPr>
        <w:t>Pede deferimento.</w:t>
      </w:r>
    </w:p>
    <w:p w14:paraId="0F1C0AE6" w14:textId="77777777" w:rsidR="00E65EB2" w:rsidRPr="00A8641B" w:rsidRDefault="00E65EB2" w:rsidP="00A8641B">
      <w:pPr>
        <w:jc w:val="both"/>
        <w:rPr>
          <w:rFonts w:ascii="Times New Roman" w:eastAsia="Times New Roman" w:hAnsi="Times New Roman" w:cs="Times New Roman"/>
          <w:color w:val="000000"/>
          <w:lang w:val="pt-BR"/>
        </w:rPr>
      </w:pPr>
    </w:p>
    <w:p w14:paraId="0523191D" w14:textId="77777777" w:rsidR="00E65EB2" w:rsidRPr="00A8641B" w:rsidRDefault="00E65EB2" w:rsidP="00A8641B">
      <w:pPr>
        <w:jc w:val="both"/>
        <w:rPr>
          <w:rFonts w:ascii="Times New Roman" w:eastAsia="Times New Roman" w:hAnsi="Times New Roman" w:cs="Times New Roman"/>
          <w:color w:val="000000"/>
          <w:lang w:val="pt-BR"/>
        </w:rPr>
      </w:pPr>
    </w:p>
    <w:p w14:paraId="0F49D5F1" w14:textId="77777777" w:rsidR="00E65EB2" w:rsidRPr="00A8641B" w:rsidRDefault="00E65EB2" w:rsidP="00A8641B">
      <w:pPr>
        <w:jc w:val="both"/>
        <w:rPr>
          <w:rFonts w:ascii="Times New Roman" w:eastAsia="Times New Roman" w:hAnsi="Times New Roman" w:cs="Times New Roman"/>
          <w:color w:val="000000"/>
          <w:lang w:val="pt-BR"/>
        </w:rPr>
      </w:pPr>
    </w:p>
    <w:p w14:paraId="27935907" w14:textId="77777777" w:rsidR="00E65EB2" w:rsidRPr="00A8641B" w:rsidRDefault="00E65EB2" w:rsidP="00A8641B">
      <w:pPr>
        <w:jc w:val="both"/>
        <w:rPr>
          <w:rFonts w:ascii="Times New Roman" w:eastAsia="Times New Roman" w:hAnsi="Times New Roman" w:cs="Times New Roman"/>
          <w:color w:val="000000"/>
          <w:lang w:val="pt-BR"/>
        </w:rPr>
      </w:pPr>
    </w:p>
    <w:p w14:paraId="416CF361" w14:textId="77777777" w:rsidR="00E65EB2" w:rsidRPr="00A8641B" w:rsidRDefault="00E65EB2" w:rsidP="00A8641B">
      <w:pPr>
        <w:jc w:val="both"/>
        <w:rPr>
          <w:rFonts w:ascii="Times New Roman" w:eastAsia="Times New Roman" w:hAnsi="Times New Roman" w:cs="Times New Roman"/>
          <w:color w:val="000000"/>
          <w:lang w:val="pt-BR"/>
        </w:rPr>
      </w:pPr>
    </w:p>
    <w:p w14:paraId="1D286FA6" w14:textId="77777777" w:rsidR="00E65EB2" w:rsidRPr="00A8641B" w:rsidRDefault="00E65EB2" w:rsidP="00A8641B">
      <w:pPr>
        <w:jc w:val="center"/>
        <w:rPr>
          <w:rFonts w:ascii="Times New Roman" w:eastAsia="Times New Roman" w:hAnsi="Times New Roman" w:cs="Times New Roman"/>
          <w:color w:val="000000"/>
          <w:lang w:val="pt-BR"/>
        </w:rPr>
      </w:pPr>
    </w:p>
    <w:p w14:paraId="74F5C7E8" w14:textId="5575C0C7" w:rsidR="00E65EB2" w:rsidRPr="00A8641B" w:rsidRDefault="00E65EB2" w:rsidP="00A8641B">
      <w:pPr>
        <w:pBdr>
          <w:top w:val="nil"/>
          <w:left w:val="nil"/>
          <w:bottom w:val="nil"/>
          <w:right w:val="nil"/>
          <w:between w:val="nil"/>
        </w:pBdr>
        <w:ind w:right="10"/>
        <w:jc w:val="center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A8641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São Paulo, </w:t>
      </w:r>
      <w:r w:rsidRPr="00A8641B">
        <w:rPr>
          <w:rFonts w:ascii="Times New Roman" w:eastAsia="Arial" w:hAnsi="Times New Roman" w:cs="Times New Roman"/>
          <w:color w:val="000000"/>
          <w:sz w:val="24"/>
          <w:szCs w:val="24"/>
          <w:highlight w:val="yellow"/>
        </w:rPr>
        <w:t>dia</w:t>
      </w:r>
      <w:r w:rsidRPr="00A8641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de </w:t>
      </w:r>
      <w:r w:rsidRPr="00A8641B">
        <w:rPr>
          <w:rFonts w:ascii="Times New Roman" w:eastAsia="Arial" w:hAnsi="Times New Roman" w:cs="Times New Roman"/>
          <w:color w:val="000000"/>
          <w:sz w:val="24"/>
          <w:szCs w:val="24"/>
          <w:highlight w:val="yellow"/>
        </w:rPr>
        <w:t>mês</w:t>
      </w:r>
      <w:r w:rsidRPr="00A8641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de 2026.</w:t>
      </w:r>
    </w:p>
    <w:p w14:paraId="1CF26902" w14:textId="77777777" w:rsidR="00E65EB2" w:rsidRPr="00A8641B" w:rsidRDefault="00E65EB2" w:rsidP="00A8641B">
      <w:pPr>
        <w:pBdr>
          <w:top w:val="nil"/>
          <w:left w:val="nil"/>
          <w:bottom w:val="nil"/>
          <w:right w:val="nil"/>
          <w:between w:val="nil"/>
        </w:pBdr>
        <w:ind w:right="10"/>
        <w:jc w:val="center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6A4FF7E4" w14:textId="77777777" w:rsidR="00E65EB2" w:rsidRPr="00A8641B" w:rsidRDefault="00E65EB2" w:rsidP="00A8641B">
      <w:pPr>
        <w:pBdr>
          <w:top w:val="nil"/>
          <w:left w:val="nil"/>
          <w:bottom w:val="nil"/>
          <w:right w:val="nil"/>
          <w:between w:val="nil"/>
        </w:pBdr>
        <w:ind w:right="10"/>
        <w:jc w:val="center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434F99C4" w14:textId="77777777" w:rsidR="00E65EB2" w:rsidRPr="00A8641B" w:rsidRDefault="00E65EB2" w:rsidP="00A8641B">
      <w:pPr>
        <w:pBdr>
          <w:top w:val="nil"/>
          <w:left w:val="nil"/>
          <w:bottom w:val="nil"/>
          <w:right w:val="nil"/>
          <w:between w:val="nil"/>
        </w:pBdr>
        <w:ind w:right="10"/>
        <w:jc w:val="center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7FA60C51" w14:textId="77777777" w:rsidR="00E65EB2" w:rsidRPr="00A8641B" w:rsidRDefault="00E65EB2" w:rsidP="00A8641B">
      <w:pPr>
        <w:pBdr>
          <w:top w:val="nil"/>
          <w:left w:val="nil"/>
          <w:bottom w:val="nil"/>
          <w:right w:val="nil"/>
          <w:between w:val="nil"/>
        </w:pBdr>
        <w:ind w:right="10"/>
        <w:jc w:val="center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22C9645A" w14:textId="4E9BA727" w:rsidR="00E65EB2" w:rsidRPr="00A8641B" w:rsidRDefault="00E65EB2" w:rsidP="00A8641B">
      <w:pPr>
        <w:spacing w:before="244"/>
        <w:ind w:left="707" w:right="231"/>
        <w:jc w:val="center"/>
        <w:rPr>
          <w:rFonts w:ascii="Times New Roman" w:eastAsia="Arial" w:hAnsi="Times New Roman" w:cs="Times New Roman"/>
          <w:sz w:val="26"/>
          <w:szCs w:val="26"/>
          <w:u w:val="single"/>
        </w:rPr>
      </w:pPr>
      <w:r w:rsidRPr="00A8641B">
        <w:rPr>
          <w:rFonts w:ascii="Times New Roman" w:eastAsia="Arial" w:hAnsi="Times New Roman" w:cs="Times New Roman"/>
          <w:sz w:val="26"/>
          <w:szCs w:val="26"/>
          <w:u w:val="single"/>
        </w:rPr>
        <w:t>___________________________________</w:t>
      </w:r>
    </w:p>
    <w:p w14:paraId="28E000DF" w14:textId="764DD3F5" w:rsidR="00E65EB2" w:rsidRPr="00A8641B" w:rsidRDefault="00E65EB2" w:rsidP="00A8641B">
      <w:pPr>
        <w:spacing w:before="244"/>
        <w:ind w:left="707" w:right="231"/>
        <w:jc w:val="center"/>
        <w:rPr>
          <w:rFonts w:ascii="Times New Roman" w:eastAsia="Arial" w:hAnsi="Times New Roman" w:cs="Times New Roman"/>
          <w:b/>
          <w:bCs/>
          <w:sz w:val="24"/>
          <w:szCs w:val="24"/>
          <w:u w:val="single"/>
        </w:rPr>
      </w:pPr>
      <w:r w:rsidRPr="00A8641B">
        <w:rPr>
          <w:rFonts w:ascii="Times New Roman" w:eastAsia="Arial" w:hAnsi="Times New Roman" w:cs="Times New Roman"/>
          <w:b/>
          <w:bCs/>
          <w:sz w:val="24"/>
          <w:szCs w:val="24"/>
          <w:highlight w:val="yellow"/>
          <w:u w:val="single"/>
        </w:rPr>
        <w:t>NOME DO CLIENTE</w:t>
      </w:r>
    </w:p>
    <w:p w14:paraId="6F8699C2" w14:textId="77777777" w:rsidR="00E65EB2" w:rsidRPr="00A8641B" w:rsidRDefault="00E65EB2" w:rsidP="00A8641B">
      <w:pPr>
        <w:pBdr>
          <w:top w:val="nil"/>
          <w:left w:val="nil"/>
          <w:bottom w:val="nil"/>
          <w:right w:val="nil"/>
          <w:between w:val="nil"/>
        </w:pBdr>
        <w:ind w:right="10"/>
        <w:jc w:val="center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4B3AD883" w14:textId="77777777" w:rsidR="00E65EB2" w:rsidRPr="00A8641B" w:rsidRDefault="00E65EB2" w:rsidP="00A8641B">
      <w:pPr>
        <w:pBdr>
          <w:top w:val="nil"/>
          <w:left w:val="nil"/>
          <w:bottom w:val="nil"/>
          <w:right w:val="nil"/>
          <w:between w:val="nil"/>
        </w:pBdr>
        <w:ind w:right="10"/>
        <w:jc w:val="center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72B23650" w14:textId="77777777" w:rsidR="00E65EB2" w:rsidRDefault="00E65EB2" w:rsidP="00E65EB2">
      <w:pPr>
        <w:pBdr>
          <w:top w:val="nil"/>
          <w:left w:val="nil"/>
          <w:bottom w:val="nil"/>
          <w:right w:val="nil"/>
          <w:between w:val="nil"/>
        </w:pBdr>
        <w:ind w:right="10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2D274F6E" w14:textId="5D83EB20" w:rsidR="00E65EB2" w:rsidRDefault="00E65EB2" w:rsidP="00E65EB2">
      <w:pPr>
        <w:pBdr>
          <w:top w:val="nil"/>
          <w:left w:val="nil"/>
          <w:bottom w:val="nil"/>
          <w:right w:val="nil"/>
          <w:between w:val="nil"/>
        </w:pBdr>
        <w:ind w:right="10"/>
        <w:rPr>
          <w:rFonts w:ascii="Arial" w:eastAsia="Arial" w:hAnsi="Arial" w:cs="Arial"/>
          <w:color w:val="000000"/>
        </w:rPr>
      </w:pPr>
    </w:p>
    <w:p w14:paraId="433A7A0C" w14:textId="7B688CFD" w:rsidR="00E65EB2" w:rsidRPr="00E65EB2" w:rsidRDefault="00E65EB2" w:rsidP="00E65EB2"/>
    <w:sectPr w:rsidR="00E65EB2" w:rsidRPr="00E65EB2" w:rsidSect="00A8641B">
      <w:headerReference w:type="default" r:id="rId9"/>
      <w:footerReference w:type="default" r:id="rId10"/>
      <w:pgSz w:w="11940" w:h="16860"/>
      <w:pgMar w:top="1417" w:right="1701" w:bottom="1417" w:left="1701" w:header="624" w:footer="34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20293F" w14:textId="77777777" w:rsidR="00126A5F" w:rsidRDefault="00126A5F">
      <w:r>
        <w:separator/>
      </w:r>
    </w:p>
  </w:endnote>
  <w:endnote w:type="continuationSeparator" w:id="0">
    <w:p w14:paraId="067DF2DC" w14:textId="77777777" w:rsidR="00126A5F" w:rsidRDefault="00126A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87FF968B-61B4-43AE-9E3C-B9DF3BC6E783}"/>
    <w:embedBold r:id="rId2" w:fontKey="{748BCE26-58EB-43B8-87D4-09B7474618E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815F8697-8A99-462D-8C8D-DB468654294C}"/>
    <w:embedItalic r:id="rId4" w:fontKey="{DECD918B-1B88-444D-B9B8-FD6E0A6E4DF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7200FED-1764-4D58-9EC8-968280C9F9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8EAAC75-9845-48DE-9F58-F55CABF767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686DA" w14:textId="5D472AD5" w:rsidR="00AA5E37" w:rsidRPr="008643C4" w:rsidRDefault="00AA5E37" w:rsidP="004A7F26">
    <w:pPr>
      <w:pStyle w:val="Rodap"/>
      <w:jc w:val="center"/>
      <w:rPr>
        <w:rFonts w:ascii="Times New Roman" w:hAnsi="Times New Roman" w:cs="Times New Roman"/>
        <w:sz w:val="18"/>
        <w:szCs w:val="18"/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F39838" w14:textId="77777777" w:rsidR="00126A5F" w:rsidRDefault="00126A5F">
      <w:r>
        <w:separator/>
      </w:r>
    </w:p>
  </w:footnote>
  <w:footnote w:type="continuationSeparator" w:id="0">
    <w:p w14:paraId="44DFB24D" w14:textId="77777777" w:rsidR="00126A5F" w:rsidRDefault="00126A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EF74B" w14:textId="77777777" w:rsidR="004A7F26" w:rsidRDefault="004A7F26">
    <w:pPr>
      <w:pStyle w:val="Cabealho"/>
      <w:rPr>
        <w:color w:val="000000"/>
        <w:sz w:val="20"/>
        <w:szCs w:val="20"/>
        <w:lang w:val="pt-BR"/>
      </w:rPr>
    </w:pPr>
  </w:p>
  <w:p w14:paraId="265902CF" w14:textId="5EC6776D" w:rsidR="004A7F26" w:rsidRPr="00DF3758" w:rsidRDefault="004A7F26" w:rsidP="00DF3758">
    <w:pPr>
      <w:pStyle w:val="Cabealho"/>
      <w:jc w:val="center"/>
      <w:rPr>
        <w:rFonts w:ascii="Georgia" w:hAnsi="Georgia"/>
        <w:color w:val="17365D" w:themeColor="text2" w:themeShade="BF"/>
        <w:sz w:val="28"/>
        <w:szCs w:val="28"/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81D92"/>
    <w:multiLevelType w:val="multilevel"/>
    <w:tmpl w:val="2EDAA57E"/>
    <w:lvl w:ilvl="0">
      <w:start w:val="1"/>
      <w:numFmt w:val="lowerRoman"/>
      <w:lvlText w:val="(%1)"/>
      <w:lvlJc w:val="left"/>
      <w:pPr>
        <w:ind w:left="721" w:hanging="437"/>
      </w:pPr>
      <w:rPr>
        <w:rFonts w:ascii="Verdana" w:eastAsia="Verdana" w:hAnsi="Verdana" w:cs="Verdana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1516" w:hanging="437"/>
      </w:pPr>
    </w:lvl>
    <w:lvl w:ilvl="2">
      <w:numFmt w:val="bullet"/>
      <w:lvlText w:val="•"/>
      <w:lvlJc w:val="left"/>
      <w:pPr>
        <w:ind w:left="2312" w:hanging="437"/>
      </w:pPr>
    </w:lvl>
    <w:lvl w:ilvl="3">
      <w:numFmt w:val="bullet"/>
      <w:lvlText w:val="•"/>
      <w:lvlJc w:val="left"/>
      <w:pPr>
        <w:ind w:left="3108" w:hanging="437"/>
      </w:pPr>
    </w:lvl>
    <w:lvl w:ilvl="4">
      <w:numFmt w:val="bullet"/>
      <w:lvlText w:val="•"/>
      <w:lvlJc w:val="left"/>
      <w:pPr>
        <w:ind w:left="3904" w:hanging="437"/>
      </w:pPr>
    </w:lvl>
    <w:lvl w:ilvl="5">
      <w:numFmt w:val="bullet"/>
      <w:lvlText w:val="•"/>
      <w:lvlJc w:val="left"/>
      <w:pPr>
        <w:ind w:left="4700" w:hanging="437"/>
      </w:pPr>
    </w:lvl>
    <w:lvl w:ilvl="6">
      <w:numFmt w:val="bullet"/>
      <w:lvlText w:val="•"/>
      <w:lvlJc w:val="left"/>
      <w:pPr>
        <w:ind w:left="5496" w:hanging="437"/>
      </w:pPr>
    </w:lvl>
    <w:lvl w:ilvl="7">
      <w:numFmt w:val="bullet"/>
      <w:lvlText w:val="•"/>
      <w:lvlJc w:val="left"/>
      <w:pPr>
        <w:ind w:left="6292" w:hanging="437"/>
      </w:pPr>
    </w:lvl>
    <w:lvl w:ilvl="8">
      <w:numFmt w:val="bullet"/>
      <w:lvlText w:val="•"/>
      <w:lvlJc w:val="left"/>
      <w:pPr>
        <w:ind w:left="7088" w:hanging="437"/>
      </w:pPr>
    </w:lvl>
  </w:abstractNum>
  <w:num w:numId="1" w16cid:durableId="1080180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E37"/>
    <w:rsid w:val="000D5F91"/>
    <w:rsid w:val="001111A1"/>
    <w:rsid w:val="001138A1"/>
    <w:rsid w:val="00126A5F"/>
    <w:rsid w:val="00136315"/>
    <w:rsid w:val="00261C49"/>
    <w:rsid w:val="00290810"/>
    <w:rsid w:val="00356736"/>
    <w:rsid w:val="003B2955"/>
    <w:rsid w:val="00425C93"/>
    <w:rsid w:val="004A5809"/>
    <w:rsid w:val="004A7F26"/>
    <w:rsid w:val="005641E8"/>
    <w:rsid w:val="005F4BC5"/>
    <w:rsid w:val="00634434"/>
    <w:rsid w:val="008643C4"/>
    <w:rsid w:val="008F7A82"/>
    <w:rsid w:val="00A8641B"/>
    <w:rsid w:val="00AA5E37"/>
    <w:rsid w:val="00C76CD2"/>
    <w:rsid w:val="00DF3758"/>
    <w:rsid w:val="00E65EB2"/>
    <w:rsid w:val="00FE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F0BF57"/>
  <w15:docId w15:val="{19F1DE53-B715-4250-9754-E63B94D1C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Verdana" w:hAnsi="Verdana" w:cs="Verdana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ind w:left="20"/>
    </w:pPr>
    <w:rPr>
      <w:rFonts w:ascii="Arial" w:eastAsia="Arial" w:hAnsi="Arial" w:cs="Arial"/>
      <w:b/>
      <w:bCs/>
      <w:sz w:val="24"/>
      <w:szCs w:val="24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before="1"/>
      <w:ind w:left="719" w:hanging="43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87360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7360B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87360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7360B"/>
    <w:rPr>
      <w:rFonts w:ascii="Verdana" w:eastAsia="Verdana" w:hAnsi="Verdana" w:cs="Verdana"/>
      <w:lang w:val="pt-PT"/>
    </w:rPr>
  </w:style>
  <w:style w:type="paragraph" w:styleId="Rodap">
    <w:name w:val="footer"/>
    <w:basedOn w:val="Normal"/>
    <w:link w:val="RodapChar"/>
    <w:uiPriority w:val="99"/>
    <w:unhideWhenUsed/>
    <w:rsid w:val="0087360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7360B"/>
    <w:rPr>
      <w:rFonts w:ascii="Verdana" w:eastAsia="Verdana" w:hAnsi="Verdana" w:cs="Verdana"/>
      <w:lang w:val="pt-PT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3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5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3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9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29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2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47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56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3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0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9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a2TVcv/jLGLG1wvCYTKBLJ3huQ==">CgMxLjA4AHIhMWlDOE9fZ0dfQW8tVlNrNkp6MWFHT0V2cVE1ekYtZkpB</go:docsCustomData>
</go:gDocsCustomXmlDataStorage>
</file>

<file path=customXml/itemProps1.xml><?xml version="1.0" encoding="utf-8"?>
<ds:datastoreItem xmlns:ds="http://schemas.openxmlformats.org/officeDocument/2006/customXml" ds:itemID="{2D0B6E0B-F763-48D9-8C11-148B2150F28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220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 vinicius</dc:creator>
  <cp:lastModifiedBy>Tafarel Moreira</cp:lastModifiedBy>
  <cp:revision>2</cp:revision>
  <dcterms:created xsi:type="dcterms:W3CDTF">2026-10-05T07:01:00Z</dcterms:created>
  <dcterms:modified xsi:type="dcterms:W3CDTF">2026-10-05T07:01:00Z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2019</vt:lpwstr>
  </property>
</Properties>
</file>