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S1 Mathematical Specification and Exploratory Sensitivity Analysis</w:t>
      </w:r>
    </w:p>
    <w:p>
      <w:r>
        <w:t>Pediatric Recruitment Engine PRE v0.7; manuscript revision of 26 September 2026</w:t>
      </w:r>
    </w:p>
    <w:p>
      <w:r>
        <w:t>This supplement specifies the equations implemented in the frozen PRE v0.7 engine and reports the analyses added in response to peer review. Model variables are conceptual. No coefficient was fitted to patient-level pediatric data, and no clinical validation was performed. The separate sensitivity CSV and script reproduce the new analyses without altering the frozen engine.</w:t>
      </w:r>
    </w:p>
    <w:p>
      <w:pPr>
        <w:pStyle w:val="Heading1"/>
      </w:pPr>
      <w:r>
        <w:t>S1 Scope and notation</w:t>
      </w:r>
    </w:p>
    <w:p>
      <w:r>
        <w:t>Let i index virtual lung units, g index one of 16 regions, t index programmed pressure steps, and p_t denote PEEP in cmH2O. N=16 x 160=2,560 in the default run. The function sigmoid(x; s)=1/[1+exp(-clip(x/s,-50,50))]. The function clip(x,a,b) bounds x between a and b. All random variables use NumPy's default_rng with a specified seed. Statistical distributions below generate model heterogeneity; their parameters are not population estimates.</w:t>
      </w:r>
    </w:p>
    <w:p>
      <w:pPr>
        <w:pStyle w:val="Heading1"/>
      </w:pPr>
      <w:r>
        <w:t>S2 Input generation and regional assumptions</w:t>
      </w:r>
    </w:p>
    <w:p>
      <w:r>
        <w:t>For grid row r and column c, each in {0,1,2,3}, the dependent index d=r/3 and lateral index l=|c-1.5|/1.5. Regional shifts are: opening 0.5+5d+0.5l; closing gap 0.2+2d; overdistension 1.5-2d+0.3l. Raw perfusion is multiplied by max(0.7+1.1d-0.15l,0.1); raw ventilation weight by max(1.2-0.55d,0.1). All perfusion weights and all ventilation weights are then separately normalized to sum to one across units.</w:t>
      </w:r>
    </w:p>
    <w:p>
      <w:r>
        <w:t>The age modifier for airway closure is a=1+0.20 exp(-age_years/2). The model reports contextual FRC_ml=weight_kg[17+13(1-exp(-max(age_years,0.01)/6))]. FRC does not enter the state update or reported selection indices. For preset mean opening pressure mu_o, SD s_o, heterogeneity h, hysteresis-gap mean mu_g and SD s_g, and preset overdistension shift delta_od, independent unit draws are:</w:t>
      </w:r>
    </w:p>
    <w:p>
      <w:r>
        <w:t>P_open,i = clip[Normal(mu_o x a + opening_shift_g, s_o x h), 0.5, 42] cmH2O.</w:t>
      </w:r>
    </w:p>
    <w:p>
      <w:r>
        <w:t>Gap_i = clip[Normal(mu_g + closing_shift_g, s_g), 0.8, 15] cmH2O; P_close,i = clip(P_open,i - Gap_i, 0, P_open,i - 0.1).</w:t>
      </w:r>
    </w:p>
    <w:p>
      <w:r>
        <w:t>C_i = Lognormal(0, 0.26h); Q_i,raw = Lognormal(0, 0.35h) x perfusion_region_weight_g; V_i,raw = Lognormal(0, 0.20) x ventilation_region_weight_g.</w:t>
      </w:r>
    </w:p>
    <w:p>
      <w:r>
        <w:t>P_OD,i = clip[P_open,i + delta_od + overdistension_shift_g + Normal(0,2), P_open,i + 2.5, 44] cmH2O.</w:t>
      </w:r>
    </w:p>
    <w:p>
      <w:pPr>
        <w:pStyle w:val="Heading2"/>
        <w:keepNext/>
      </w:pPr>
      <w:r>
        <w:t>Supplementary Table S1a Conceptual preset inputs</w:t>
      </w:r>
    </w:p>
    <w:tbl>
      <w:tblPr>
        <w:tblW w:type="auto" w:w="0"/>
        <w:tblLayout w:type="fixed"/>
        <w:tblLook w:firstColumn="1" w:firstRow="1" w:lastColumn="0" w:lastRow="0" w:noHBand="0" w:noVBand="1" w:val="04A0"/>
      </w:tblPr>
      <w:tblGrid>
        <w:gridCol w:w="3600"/>
        <w:gridCol w:w="1469"/>
        <w:gridCol w:w="1296"/>
        <w:gridCol w:w="1512"/>
        <w:gridCol w:w="1325"/>
      </w:tblGrid>
      <w:tr>
        <w:trPr>
          <w:tblHeader w:val="true"/>
        </w:trPr>
        <w:tc>
          <w:tcPr>
            <w:tcW w:type="dxa" w:w="3600"/>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Input</w:t>
            </w:r>
          </w:p>
        </w:tc>
        <w:tc>
          <w:tcPr>
            <w:tcW w:type="dxa" w:w="1469"/>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Healthy-like</w:t>
            </w:r>
          </w:p>
        </w:tc>
        <w:tc>
          <w:tcPr>
            <w:tcW w:type="dxa" w:w="1296"/>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Mild</w:t>
            </w:r>
          </w:p>
        </w:tc>
        <w:tc>
          <w:tcPr>
            <w:tcW w:type="dxa" w:w="1512"/>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Moderate</w:t>
            </w:r>
          </w:p>
        </w:tc>
        <w:tc>
          <w:tcPr>
            <w:tcW w:type="dxa" w:w="1325"/>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Severe</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Mean opening pressure (cmH2O)</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4.0</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7.0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10.0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14.0</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Opening-pressure SD (cmH2O)</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1.3</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2.0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3.0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4.2</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Mean hysteresis gap (cmH2O)</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2.2</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3.0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4.0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5.0</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Hysteresis-gap SD (cmH2O)</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0.8</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1.3</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Overdistension shift (cmH2O)</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15.5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13.5</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11.5</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9.5</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Base shunt surrogate</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0.03</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0.08</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0.16</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0.28</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Base dead-space surrogate</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0.20</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0.24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0.30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0.38</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Heterogeneity multiplier</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0.75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1.00</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1.15</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1.35</w:t>
            </w:r>
          </w:p>
        </w:tc>
      </w:tr>
      <w:tr>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Derecruitment rate/step</w:t>
            </w:r>
          </w:p>
        </w:tc>
        <w:tc>
          <w:tcPr>
            <w:tcW w:type="dxa" w:w="146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0.18</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0.24</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0.30</w:t>
            </w:r>
          </w:p>
        </w:tc>
        <w:tc>
          <w:tcPr>
            <w:tcW w:type="dxa" w:w="132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0.38</w:t>
            </w:r>
          </w:p>
        </w:tc>
      </w:tr>
    </w:tbl>
    <w:p>
      <w:pPr>
        <w:spacing w:after="20"/>
      </w:pPr>
    </w:p>
    <w:p>
      <w:pPr>
        <w:pStyle w:val="Heading1"/>
      </w:pPr>
      <w:r>
        <w:t>S3 Sequential state update</w:t>
      </w:r>
    </w:p>
    <w:p>
      <w:r>
        <w:t>Initially, q_i,0=sigmoid(0-P_open,i;0.5). At each programmed PEEP step, opening drive A_i=sigmoid(p_t-P_open,i;0.55), closing drive B_i=sigmoid(P_close,i-p_t;0.65), and closure fraction f_i=clip(derecruitment_rate x B_i x step_duration,0,0.95). The next opening probability is q_i,t+1=clip(max{max(q_i,t,A_i)(1-f_i),A_i},0,1). The effective overdistension probability is o_i,t=sigmoid(p_t-P_OD,i;0.8) x q_i,t+1. Step duration is a dimensionless protocol multiplier; it is not calibrated elapsed time.</w:t>
      </w:r>
    </w:p>
    <w:p>
      <w:pPr>
        <w:pStyle w:val="Heading1"/>
      </w:pPr>
      <w:r>
        <w:t>S4 Outputs and target selection</w:t>
      </w:r>
    </w:p>
    <w:p>
      <w:r>
        <w:t>All quantities below are model outputs. They should not be interpreted as measured pressure, blood gas, dead space, oxygen saturation, or lung mechanics. The numerical constants are software coefficients chosen for illustrative behavior.</w:t>
      </w:r>
    </w:p>
    <w:p>
      <w:r>
        <w:t>Recruitment R=mean_i(q_i); collapse K=1-R; overdistension O=mean_i(o_i).</w:t>
      </w:r>
    </w:p>
    <w:p>
      <w:r>
        <w:t>Unit compliance contribution c_i=C_i q_i(1-0.82o_i); compliance surrogate C= max[mean_i(c_i),1e-6].</w:t>
      </w:r>
    </w:p>
    <w:p>
      <w:r>
        <w:t>VT_ml=tidal_volume_ml_per_kg x weight_kg; driving-pressure surrogate DP=VT_ml/(38C); plateau-pressure surrogate Pplat=p_t+DP.</w:t>
      </w:r>
    </w:p>
    <w:p>
      <w:r>
        <w:t>Closed perfusion Q_closed=sum_i[Q_i(1-q_i)]; shunt surrogate S=clip(base_shunt+0.78Q_closed,0.01,0.95).</w:t>
      </w:r>
    </w:p>
    <w:p>
      <w:r>
        <w:t>Oxygenation surrogate Ox=FiO2(1-S) x 100; saturation surrogate Sat=clip[60+40(1-exp(-Ox/35)),50,100].</w:t>
      </w:r>
    </w:p>
    <w:p>
      <w:r>
        <w:t>For each region g: recruitment R_g=mean_g(q_i), collapse K_g=1-R_g, overdistension O_g=mean_g(o_i), compliance sum_g(c_i), and ventilation sum_g(V_i q_i). Regional compliance and ventilation maps are normalized to sum to one if their total is positive.</w:t>
      </w:r>
    </w:p>
    <w:p>
      <w:r>
        <w:t>Dependent ventilation D=sum of normalized ventilation map in rows 2-3; nondependent ventilation U=sum in rows 0-1. Initial dead space VD0=clip(base_dead_space+0.62O,0.05,0.95); maldistribution penalty M=0.10 max(0,U-D); final VD=clip(VD0+M,0.05,0.95).</w:t>
      </w:r>
    </w:p>
    <w:p>
      <w:r>
        <w:t>Pressure burden B=max(Pplat-20,0)/30; CO2 clearance surrogate Cl=clip[C(1-VD)/(1+0.35B),0,2]; retention-risk surrogate Ret=clip[(1-Cl)+0.55VD,0,2].</w:t>
      </w:r>
    </w:p>
    <w:p>
      <w:r>
        <w:t>Regional balance RB=1-mean_g(K_g)-lambda mean_g(O_g); global balance GB=R-lambda O-0.010 min{max(Pplat-20,0),30}; gas-exchange balance G=(Ox/100)Cl. The default lambda=1.65.</w:t>
      </w:r>
    </w:p>
    <w:p>
      <w:r>
        <w:t>Targets are selected only from the descending sequence (24,22,...,2 cmH2O). The engine maximizes RB, GB, C, Ox, Sat, Cl, and G, and minimizes DP and Ret. In a tie, Python's first-occurrence rule chooses the earlier descending row. Therefore a selected value can also depend on the tested grid and tie handling; it is never a clinical optimum.</w:t>
      </w:r>
    </w:p>
    <w:p>
      <w:pPr>
        <w:pStyle w:val="Heading2"/>
        <w:keepNext/>
      </w:pPr>
      <w:r>
        <w:t>Supplementary Table S1b Parameter and assumption rationale</w:t>
      </w:r>
    </w:p>
    <w:tbl>
      <w:tblPr>
        <w:tblW w:type="auto" w:w="0"/>
        <w:tblLayout w:type="fixed"/>
        <w:tblLook w:firstColumn="1" w:firstRow="1" w:lastColumn="0" w:lastRow="0" w:noHBand="0" w:noVBand="1" w:val="04A0"/>
      </w:tblPr>
      <w:tblGrid>
        <w:gridCol w:w="2045"/>
        <w:gridCol w:w="2477"/>
        <w:gridCol w:w="3528"/>
        <w:gridCol w:w="1037"/>
      </w:tblGrid>
      <w:tr>
        <w:trPr>
          <w:tblHeader w:val="true"/>
        </w:trPr>
        <w:tc>
          <w:tcPr>
            <w:tcW w:type="dxa" w:w="2045"/>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Assumption</w:t>
            </w:r>
          </w:p>
        </w:tc>
        <w:tc>
          <w:tcPr>
            <w:tcW w:type="dxa" w:w="2477"/>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Implemented value or range</w:t>
            </w:r>
          </w:p>
        </w:tc>
        <w:tc>
          <w:tcPr>
            <w:tcW w:type="dxa" w:w="3528"/>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Reason for inclusion</w:t>
            </w:r>
          </w:p>
        </w:tc>
        <w:tc>
          <w:tcPr>
            <w:tcW w:type="dxa" w:w="1037"/>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Calibration</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Regional grid and unit count</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4 x 4 regions; 160 units each</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Conceptual spatial heterogeneity and numerical resolution; not anatomy or EIT</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Age and FRC context</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Age modifier and FRC equations above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Simple age dependence; FRC is contextual only</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Opening and closing distributions</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Normal draws and clipping above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Represent heterogeneous thresholds and history dependence</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Compliance and weights</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Lognormal draws; regional multipliers above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Represent heterogeneous mechanics and conceptual perfusion/ventilation</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Overdistension threshold</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Opening pressure plus preset and regional shifts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Create a competing high-pressure cost</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State slopes and rate</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0.5, 0.55, 0.65, 0.8; preset rate 0.18-0.38</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Smooth transitions and gradual closure</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Compliance and pressure scaling</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0.82 and 38</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Construct mechanics-like surrogates</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Shunt and oxygenation</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0.78; FiO2 x (1-S) x 100</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Link closed perfusion to an intentionally monotonic index</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Dead-space and clearance</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0.62, 0.10, 0.35, 0.55; clipping above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Create exploratory counterweight to oxygenation</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Balance penalties</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lambda=1.65; pressure coefficient 0.010</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Expose consequences of chosen composite weights</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None</w:t>
            </w:r>
          </w:p>
        </w:tc>
      </w:tr>
      <w:t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Protocol</w:t>
            </w:r>
          </w:p>
        </w:tc>
        <w:tc>
          <w:tcPr>
            <w:tcW w:type="dxa" w:w="247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 to 24 to 2 cmH2O by 2</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Broad software stress test</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Not clinical</w:t>
            </w:r>
          </w:p>
        </w:tc>
      </w:tr>
    </w:tbl>
    <w:p>
      <w:pPr>
        <w:spacing w:after="20"/>
      </w:pPr>
    </w:p>
    <w:p>
      <w:pPr>
        <w:pStyle w:val="Heading1"/>
      </w:pPr>
      <w:r>
        <w:t>S5 Scope of scripted checks and reproducibility</w:t>
      </w:r>
    </w:p>
    <w:p>
      <w:r>
        <w:t>T01 is an execution completeness check. T02-T10 are expected-behavior checks against prespecified relationships, several directly encoded in the model. The original CSV labels some as 'face', 'construct', or 'robustness'; those labels do not turn the checks into empirical validation or a general robustness analysis. An independent implementation or benchmark was not compared. The separate numerical rerun established agreement with archived scalar output files in the tested environment.</w:t>
      </w:r>
    </w:p>
    <w:p>
      <w:pPr>
        <w:pStyle w:val="Heading2"/>
        <w:keepNext/>
      </w:pPr>
      <w:r>
        <w:t>Supplementary Table S2 Scripted check classification</w:t>
      </w:r>
    </w:p>
    <w:tbl>
      <w:tblPr>
        <w:tblW w:type="auto" w:w="0"/>
        <w:tblLayout w:type="fixed"/>
        <w:tblLook w:firstColumn="1" w:firstRow="1" w:lastColumn="0" w:lastRow="0" w:noHBand="0" w:noVBand="1" w:val="04A0"/>
      </w:tblPr>
      <w:tblGrid>
        <w:gridCol w:w="1080"/>
        <w:gridCol w:w="1872"/>
        <w:gridCol w:w="4205"/>
        <w:gridCol w:w="1930"/>
      </w:tblGrid>
      <w:tr>
        <w:trPr>
          <w:tblHeader w:val="true"/>
        </w:trPr>
        <w:tc>
          <w:tcPr>
            <w:tcW w:type="dxa" w:w="1080"/>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ID</w:t>
            </w:r>
          </w:p>
        </w:tc>
        <w:tc>
          <w:tcPr>
            <w:tcW w:type="dxa" w:w="1872"/>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Purpose</w:t>
            </w:r>
          </w:p>
        </w:tc>
        <w:tc>
          <w:tcPr>
            <w:tcW w:type="dxa" w:w="4205"/>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Tested relationship</w:t>
            </w:r>
          </w:p>
        </w:tc>
        <w:tc>
          <w:tcPr>
            <w:tcW w:type="dxa" w:w="1930"/>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Pass criterion</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V07-T01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Execution completeness</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 NaN in scalar outputs</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No numeric NaN</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V07-T02</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Recruitment increases with PEEP</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High PEEP &gt; low PEEP</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V07-T03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Collapse decreases with PEEP</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High PEEP &lt; low PEEP</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V07-T04</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Overdistension increases with high PEEP</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High PEEP &gt; low PEEP</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V07-T05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Time-dependent hysteresis gives matched-PEEP memory effect</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&gt;0.05</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V07-T06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CO2 clearance is nonmonotonic and peaks away from highest PEEP</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&lt; maximum tested PEEP</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V07-T07</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Oxygenation target remains above regional balance target</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O2 PEEP &gt; regional balance PEEP</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V07-T08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Regional balance target remains below oxygenation across all balance penalties</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All penalty settings</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V07-T09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Gas-exchange balance target does not default to highest PEEP</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&lt; 24</w:t>
            </w:r>
          </w:p>
        </w:tc>
      </w:tr>
      <w:tr>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V07-T10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Expected model behavior</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Severity increases regional-balance PEEP</w:t>
            </w:r>
          </w:p>
        </w:tc>
        <w:tc>
          <w:tcPr>
            <w:tcW w:type="dxa" w:w="193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nondecreasing</w:t>
            </w:r>
          </w:p>
        </w:tc>
      </w:tr>
    </w:tbl>
    <w:p>
      <w:pPr>
        <w:spacing w:after="20"/>
      </w:pPr>
    </w:p>
    <w:p>
      <w:r>
        <w:t>All 10 checks passed in the archived run. T01 does not prove the absence of all software errors. T02-T10 do not establish a physiologic relation, independent code verification, parameter robustness, or predictive accuracy.</w:t>
      </w:r>
    </w:p>
    <w:p>
      <w:pPr>
        <w:pStyle w:val="Heading1"/>
      </w:pPr>
      <w:r>
        <w:t>S6 Exploratory sensitivity analyses</w:t>
      </w:r>
    </w:p>
    <w:p>
      <w:r>
        <w:t>The archived runner tested overdistension balance penalties 1.0, 1.65, and 2.5 (seed 111), four conceptual impairment presets (seed 121), and protocol step-duration multipliers 0.5, 1.0, and 2.0 (seed 131). The new one-at-a-time analyses use the frozen engine with the primary moderate scenario and seed 111. Each variation changes only the stated factor. The chosen intervals are illustrative probes rather than estimated pediatric ranges. The CSV provides each simulated target and the matched-pressure recruitment difference.</w:t>
      </w:r>
    </w:p>
    <w:p>
      <w:pPr>
        <w:pStyle w:val="Heading2"/>
        <w:keepNext/>
      </w:pPr>
      <w:r>
        <w:t>Supplementary Table S3 Exploratory one at a time results</w:t>
      </w:r>
    </w:p>
    <w:tbl>
      <w:tblPr>
        <w:tblW w:type="auto" w:w="0"/>
        <w:tblLayout w:type="fixed"/>
        <w:tblLook w:firstColumn="1" w:firstRow="1" w:lastColumn="0" w:lastRow="0" w:noHBand="0" w:noVBand="1" w:val="04A0"/>
      </w:tblPr>
      <w:tblGrid>
        <w:gridCol w:w="2650"/>
        <w:gridCol w:w="2765"/>
        <w:gridCol w:w="1915"/>
        <w:gridCol w:w="1915"/>
      </w:tblGrid>
      <w:tr>
        <w:trPr>
          <w:tblHeader w:val="true"/>
        </w:trPr>
        <w:tc>
          <w:tcPr>
            <w:tcW w:type="dxa" w:w="2650"/>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Factor varied</w:t>
            </w:r>
          </w:p>
        </w:tc>
        <w:tc>
          <w:tcPr>
            <w:tcW w:type="dxa" w:w="2765"/>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Values</w:t>
            </w:r>
          </w:p>
        </w:tc>
        <w:tc>
          <w:tcPr>
            <w:tcW w:type="dxa" w:w="1915"/>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Regional target</w:t>
            </w:r>
          </w:p>
        </w:tc>
        <w:tc>
          <w:tcPr>
            <w:tcW w:type="dxa" w:w="1915"/>
            <w:shd w:fill="DCEAF5"/>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sz w:val="16"/>
              </w:rPr>
              <w:t>Gas exchange target</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Mean opening pressure</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8, 10, 12 cmH2O</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14, 16, 18</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14, 16, 18</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Mean hysteresis gap</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3, 4, 5 cmH2O</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16, 16, 16</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16, 16, 16</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Overdistension shift</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9.5, 11.5, 13.5 cmH2O</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14, 16, 16</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16, 16, 18</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Derecruitment rate</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0.15, 0.30, 0.45/step</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16, 16, 16</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16, 16, 16</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Dependent perfusion tilt</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-0.5, 0, +0.5</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16, 16, 16</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16, 16, 16</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Dependent ventilation tilt</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-0.5, 0, +0.5</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16, 16, 16</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16, 16, 16</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Overdistension balance penalty</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1.0, 1.65, 2.5</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16, 16, 16</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6"/>
              </w:rPr>
              <w:t>16, 16, 16</w:t>
            </w:r>
          </w:p>
        </w:tc>
      </w:tr>
      <w:tr>
        <w:tc>
          <w:tcPr>
            <w:tcW w:type="dxa" w:w="2650"/>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Post hoc oxygenation power in G</w:t>
            </w:r>
          </w:p>
        </w:tc>
        <w:tc>
          <w:tcPr>
            <w:tcW w:type="dxa" w:w="276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0.5, 1.0, 1.5</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Not recalculated</w:t>
            </w:r>
          </w:p>
        </w:tc>
        <w:tc>
          <w:tcPr>
            <w:tcW w:type="dxa" w:w="1915"/>
            <w:vAlign w:val="center"/>
            <w:tcBorders>
              <w:top w:val="single" w:sz="4" w:color="D9D9D9"/>
              <w:left w:val="single" w:sz="4" w:color="D9D9D9"/>
              <w:bottom w:val="single" w:sz="4" w:color="D9D9D9"/>
              <w:right w:val="single" w:sz="4" w:color="D9D9D9"/>
              <w:insideH w:val="single" w:sz="4" w:color="D9D9D9"/>
              <w:insideV w:val="single" w:sz="4" w:color="D9D9D9"/>
            </w:tcBorders>
            <w:shd w:fill="F8FAFC"/>
          </w:tcPr>
          <w:p>
            <w:pPr>
              <w:spacing w:after="0" w:line="252" w:lineRule="auto"/>
            </w:pPr>
            <w:r>
              <w:rPr>
                <w:sz w:val="16"/>
              </w:rPr>
              <w:t>16, 16, 18</w:t>
            </w:r>
          </w:p>
        </w:tc>
      </w:tr>
    </w:tbl>
    <w:p>
      <w:pPr>
        <w:spacing w:after="20"/>
      </w:pPr>
    </w:p>
    <w:p>
      <w:r>
        <w:t>Targets in Table S3 are PEEP values in cmH2O on the descending grid. For perfusion and ventilation tilts, unit weights are multiplied by exp[tilt x (row/3-0.5)] and renormalized. This is a supplementary perturbation of the generated units, not an editable parameter of the released PRE interface. For the post hoc composite, G_w=(Ox/100)^w x Cl^(2-w); w=1 reproduces the frozen definition, while other powers are alternative output definitions and are not PRE v0.7 results. In the archived step-duration sweep, the matched-pressure recruitment difference at 12 cmH2O changed from 0.639 to 0.531; with multiplier 2.0, the compliance and gas-exchange target selected 18 rather than 16 cmH2O. The four impairment presets change several parameters together, so they are scenario comparisons, not one-at-a-time sensitivity estimates.</w:t>
      </w:r>
    </w:p>
    <w:p>
      <w:r>
        <w:t>Across the new one-at-a-time runs, the oxygenation surrogate selected 24 cmH2O. Its monotonic formula makes this result unsurprising. The separation from the regional-balance target persisted over the tested illustrative values, but the selected regional and composite targets moved under some variations. These checks do not quantify model-form uncertainty, parameter identifiability, physiologic plausibility, or clinical predictive performance.</w:t>
      </w:r>
    </w:p>
    <w:p>
      <w:pPr>
        <w:pStyle w:val="Heading1"/>
      </w:pPr>
      <w:r>
        <w:t>S7 Reproduction and source boundaries</w:t>
      </w:r>
    </w:p>
    <w:p>
      <w:r>
        <w:t>Frozen PRE source: https://github.com/taffache-hash/pediatric-recruitment-engine-pre (engine commit 7103a11). Archived release DOI: https://doi.org/10.5281/zenodo.21267822. The accompanying PRE_v07_exploratory_sensitivity.py imports the unchanged engine and writes PRE_v07_exploratory_sensitivity.csv and the revised Figure 1. It requires NumPy and Pillow. From a local clone, run: python PRE_v07_exploratory_sensitivity.py --engine code/pre_engine_v07.py --out sensitivity_output (adjust the script path if placed elsewhere). These new files accompany the manuscript revision and should not be described as already part of the archived release. Exact rendering of PNG figures can depend on software and font environment even when numerical outputs match.</w:t>
      </w:r>
    </w:p>
    <w:sectPr w:rsidR="00FC693F" w:rsidRPr="0006063C" w:rsidSect="00034616">
      <w:pgSz w:w="11906" w:h="16838"/>
      <w:pgMar w:top="1134" w:right="964" w:bottom="107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