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Parameter and Assumption Justification Table</w:t>
      </w:r>
    </w:p>
    <w:p>
      <w:pPr>
        <w:jc w:val="center"/>
      </w:pPr>
      <w:r>
        <w:rPr>
          <w:i/>
          <w:sz w:val="21"/>
        </w:rPr>
        <w:t>PRE v0.7 frozen candidate / manuscript v0.8 support document</w:t>
      </w:r>
    </w:p>
    <w:p>
      <w:pPr>
        <w:spacing w:after="100"/>
      </w:pPr>
      <w:r>
        <w:t>This table separates literature-based, literature-informed, conceptual and exploratory components. Its purpose is to prevent overclaiming and to make clear which elements of PRE are grounded in pediatric physiology and which are modeling assumptions.</w:t>
      </w:r>
    </w:p>
    <w:p>
      <w:pPr>
        <w:spacing w:after="100"/>
      </w:pPr>
      <w:r>
        <w:t>Recommended use: keep only a shortened assumption-status table in the main manuscript and place this full version in the supplement.</w:t>
      </w:r>
    </w:p>
    <w:p>
      <w:r>
        <w:rPr>
          <w:b/>
        </w:rPr>
        <w:t>Table S4a. Parameter status and physiological/literature basis.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Parameter / assumption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Role in PRE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Physiological / literature basis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PEEP protocol range 0-24 cmH2O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Pressure range used for simulated ascending/decremental titration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Literature-informed / conceptual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PALICC-2 and PEEP titration literature support individualized titration and risk-benefit balancing; exact range is a simulation choice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4 x 4 regional grid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Regional visualization of collapse/overdistension/ventilation distribution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Conceptual / EIT-inspired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EIT literature supports regional monitoring of collapse and overdistension, but this grid is not EIT reconstruction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160 units/region; 2560 total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Numerical resolution of virtual units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Computational assumption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Chosen for stable output and speed; no anatomical equivalence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FRC age scaling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Contextual pediatric lung-volume scaling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Literature-informed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Anesthetized pediatric FRC reference values support age/weight dependence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Age modifier for airway closure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Increases closure susceptibility in younger children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Literature-informed / conceptual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Airway closure can occur during tidal ventilation in anesthetized infants and children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Opening pressure distribution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Determines recruitment threshold heterogeneity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Conceptual / literature-informed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Recruitment/PEEP physiology supports heterogeneous recruitability; exact distribution not pediatric-data derived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Closing pressure below opening pressure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Creates hysteresis/memory during descending PEEP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Literature-informed / conceptual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Recruitment/derecruitment hysteresis is accepted physiology; exact gap not calibrated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Time-dependent derecruitment rate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Gradual closure below closing pressure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Exploratory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Prevents unrealistic instantaneous derecruitment; no pediatric kinetic calibration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Overdistension threshold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Determines high-pressure injury/overdistension burden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Conceptual / literature-informed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EIT and lung-protective ventilation literature support overdistension as competing risk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Dependent perfusion weighting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Increases effect of dependent collapse on shunt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Conceptual / physiology-informed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Gravity-dependent regional physiology supports dependent perfusion emphasis; not patient-specific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Compliance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Open units contribute compliance; overdistension penalizes it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Conceptual / physiology-informed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Compliance rises with recruitment and falls with overdistension in general respiratory mechanics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Driving-pressure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VT divided by compliance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Literature-informed / simplified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Driving pressure is clinically meaningful in ARDS, but this surrogate is dimensionally simplified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Shunt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Baseline shunt plus perfusion to closed units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Conceptual / physiology-informed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Collapsed perfused lung contributes to shunt; exact coefficient not calibrated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Oxygenation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Monotonic function of FiO2 and shunt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Exploratory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Oxygenation improves when shunt falls; no blood-gas calibration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Dead-space burden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Rises with overdistension and maldistribution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Exploratory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Overdistension can increase dead-space burden; exact formula is not validated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CO2-clearance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Compliance x (1-dead space) penalized by pressure burden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Exploratory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Qualitative relation to effective ventilation; not PaCO2 model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CO2-retention-risk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Inverse of CO2 clearance plus dead-space burden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Exploratory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Intended as qualitative warning signal only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Gas-exchange balance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Oxygenation surrogate multiplied by CO2-clearance surrogate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Exploratory composite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Used to avoid oxygenation-only interpretation; not a validated endpoint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Regional-balance penalty 1.65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Weights overdistension more than collapse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Conceptual assumption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Reflects protective-ventilation priority; not outcome-derived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Penalty sensitivity 1.0/1.65/2.5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Tests dependence on balance coefficient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Robustness analysis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Shows target dissociation does not depend on one coefficient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Model evaluation checks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Internal consistency/construct tests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Internal evaluation only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Checks model behavior; not external validation</w:t>
            </w:r>
          </w:p>
        </w:tc>
      </w:tr>
    </w:tbl>
    <w:p>
      <w:r>
        <w:br w:type="page"/>
      </w:r>
    </w:p>
    <w:p>
      <w:r>
        <w:rPr>
          <w:b/>
        </w:rPr>
        <w:t>Table S4b. Vulnerability and claim-control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Parameter / assumption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Main vulnerability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How to present in manuscript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PEEP protocol range 0-24 cmH2O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Model protocol only; not recommendation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Keep as stress-test range; clearly state upper bound is not target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4 x 4 regional grid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Moderate conceptual support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“EIT-inspired conceptual grid”; avoid “EIT map”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160 units/region; 2560 total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Arbitrary but harmless if disclosed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Move to supplement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FRC age scaling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calibrated to individual patients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State context only; not an outcome driver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Age modifier for airway closure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Needs caution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Keep as simple pediatric modifier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Opening pressure distribution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Reviewer-sensitive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Label as conceptual distribution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Closing pressure below opening pressure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Moderate support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Keep and test by no-hysteresis ablation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Time-dependent derecruitment rate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Weakest kinetic assumption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Describe as qualitative only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Overdistension threshold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direct pediatric threshold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sensitivity/ablation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Dependent perfusion weighting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Moderate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Keep as visual/physiology assumption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Compliance surrogate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Not calibrated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State as surrogate, not measured compliance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Driving-pressure surrogate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Moderate but simplified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Avoid clinical DP claims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Shunt surrogate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Moderate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Keep as directional output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Oxygenation surrogate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 reviewer sensitivity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Explicitly say it is intentionally monotonic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Dead-space burden surrogate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 reviewer sensitivity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Treat as exploratory counterweight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CO2-clearance surrogate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 reviewer sensitivity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 not claim PaCO2 prediction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CO2-retention-risk surrogate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 reviewer sensitivity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Keep in supplement or cautious Results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Gas-exchange balance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 reviewer sensitivity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as secondary exploratory output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Regional-balance penalty 1.65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Reviewer-sensitive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Present penalty sensitivity 1.0/1.65/2.5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Penalty sensitivity 1.0/1.65/2.5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Useful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Keep in main or supplement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Model evaluation checks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Do not overstate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Avoid “validated 10/10” wording</w:t>
            </w:r>
          </w:p>
        </w:tc>
      </w:tr>
    </w:tbl>
    <w:p>
      <w:pPr>
        <w:pStyle w:val="Heading1"/>
      </w:pPr>
      <w:r>
        <w:t>Interpretation rules</w:t>
      </w:r>
    </w:p>
    <w:p>
      <w:pPr>
        <w:pStyle w:val="ListBullet"/>
      </w:pPr>
      <w:r>
        <w:t>Literature-based components may be cited as anchored in published pediatric physiology, but not as patient-specific.</w:t>
      </w:r>
    </w:p>
    <w:p>
      <w:pPr>
        <w:pStyle w:val="ListBullet"/>
      </w:pPr>
      <w:r>
        <w:t>Literature-informed components justify the direction of a relationship, not the exact coefficient.</w:t>
      </w:r>
    </w:p>
    <w:p>
      <w:pPr>
        <w:pStyle w:val="ListBullet"/>
      </w:pPr>
      <w:r>
        <w:t>Conceptual assumptions must be declared explicitly and tested with sensitivity or ablation whenever possible.</w:t>
      </w:r>
    </w:p>
    <w:p>
      <w:pPr>
        <w:pStyle w:val="ListBullet"/>
      </w:pPr>
      <w:r>
        <w:t>Exploratory surrogates should not appear as primary validation endpoints and should not be described as predicting measured clinical variables.</w:t>
      </w:r>
    </w:p>
    <w:p>
      <w:pPr>
        <w:pStyle w:val="ListBullet"/>
      </w:pPr>
      <w:r>
        <w:t>The model should be presented as an inspectable educational simulator, not as a validated clinical PEEP model.</w:t>
      </w:r>
    </w:p>
    <w:p>
      <w:pPr>
        <w:pStyle w:val="Heading1"/>
      </w:pPr>
      <w:r>
        <w:t>Most reviewer-sensitive components</w:t>
      </w:r>
    </w:p>
    <w:p>
      <w:pPr>
        <w:spacing w:after="100"/>
      </w:pPr>
      <w:r>
        <w:t>The most vulnerable elements are the oxygenation surrogate, dead-space/CO2-clearance surrogate, gas-exchange-balance composite, overdistension penalty coefficient and derecruitment-rate surrogate. These should be described as exploratory or conceptual unless future patient-level calibration is performed.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Parameter Assumption Justification PRE v0.8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