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Supplementary Methods S1</w:t>
      </w:r>
    </w:p>
    <w:p>
      <w:pPr>
        <w:jc w:val="center"/>
      </w:pPr>
      <w:r>
        <w:rPr>
          <w:i/>
          <w:sz w:val="21"/>
        </w:rPr>
        <w:t>Full model specification for the Pediatric Recruitment Engine v0.7 frozen candidate</w:t>
      </w:r>
    </w:p>
    <w:p/>
    <w:p>
      <w:pPr>
        <w:spacing w:after="100"/>
      </w:pPr>
      <w:r>
        <w:t>This supplement provides the technical specification of PRE v0.7. The model is an educational and hypothesis-generating simulator. It is not calibrated to patient-level data and must not be interpreted as clinical decision-support software.</w:t>
      </w:r>
    </w:p>
    <w:p>
      <w:pPr>
        <w:pStyle w:val="Heading1"/>
      </w:pPr>
      <w:r>
        <w:t>S1.1. Model objective</w:t>
      </w:r>
    </w:p>
    <w:p>
      <w:pPr>
        <w:spacing w:after="100"/>
      </w:pPr>
      <w:r>
        <w:t>PRE represents pediatric lung recruitment during an ascending and descending PEEP protocol. Its purpose is to make explicit how predefined assumptions about opening pressure, closing pressure, overdistension, regional heterogeneity, dead-space burden and gas-exchange surrogates produce competing model-derived PEEP targets.</w:t>
      </w:r>
    </w:p>
    <w:p>
      <w:pPr>
        <w:spacing w:after="100"/>
      </w:pPr>
      <w:r>
        <w:t>The model does not estimate patient-specific optimal PEEP, PaO2, PaCO2, SpO2, EIT impedance or lung ultrasound aeration score.</w:t>
      </w:r>
    </w:p>
    <w:p>
      <w:pPr>
        <w:pStyle w:val="Heading1"/>
      </w:pPr>
      <w:r>
        <w:t>S1.2. Virtual lung units</w:t>
      </w:r>
    </w:p>
    <w:p>
      <w:pPr>
        <w:spacing w:after="100"/>
      </w:pPr>
      <w:r>
        <w:t>The lung is represented as a population of computational units. Each unit has an opening pressure, closing pressure, compliance coefficient, perfusion weight, ventilation weight and overdistension threshold. These units are mathematical elements and are not intended to represent individual anatomical alveoli.</w:t>
      </w:r>
    </w:p>
    <w:p>
      <w:pPr>
        <w:spacing w:after="100"/>
      </w:pPr>
      <w:r>
        <w:t>The v0.7 implementation uses a 4 x 4 conceptual regional grid with 160 units per region in the default run, for 2560 virtual units. The region grid is EIT-inspired only; it is not an EIT reconstruction.</w:t>
      </w:r>
    </w:p>
    <w:p>
      <w:pPr>
        <w:pStyle w:val="Heading1"/>
      </w:pPr>
      <w:r>
        <w:t>S1.3. Pediatric scaling</w:t>
      </w:r>
    </w:p>
    <w:p>
      <w:pPr>
        <w:spacing w:after="100"/>
      </w:pPr>
      <w:r>
        <w:t>Functional residual capacity is represented using a smooth age-dependent approximation anchored to anesthetized pediatric physiology. The value is used only for model context and not for clinical prediction.</w:t>
      </w:r>
    </w:p>
    <w:p>
      <w:pPr>
        <w:spacing w:after="100"/>
      </w:pPr>
      <w:r>
        <w:t>An age-dependent airway-closure modifier increases vulnerability to closure in younger patients. This modifier is literature-informed but not calibrated to individual closing-volume measurements.</w:t>
      </w:r>
    </w:p>
    <w:p>
      <w:r>
        <w:rPr>
          <w:b/>
        </w:rPr>
        <w:t>Table S1. Core model variables.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
              <w:rPr>
                <w:rFonts w:ascii="Arial" w:hAnsi="Arial"/>
                <w:b/>
                <w:sz w:val="14"/>
              </w:rPr>
              <w:t>Symbol / variable</w:t>
            </w:r>
          </w:p>
        </w:tc>
        <w:tc>
          <w:tcPr>
            <w:tcW w:type="dxa" w:w="3408"/>
            <w:vAlign w:val="center"/>
          </w:tcPr>
          <w:p>
            <w:r/>
            <w:r>
              <w:rPr>
                <w:rFonts w:ascii="Arial" w:hAnsi="Arial"/>
                <w:b/>
                <w:sz w:val="14"/>
              </w:rPr>
              <w:t>Meaning</w:t>
            </w:r>
          </w:p>
        </w:tc>
        <w:tc>
          <w:tcPr>
            <w:tcW w:type="dxa" w:w="3408"/>
            <w:vAlign w:val="center"/>
          </w:tcPr>
          <w:p>
            <w:r/>
            <w:r>
              <w:rPr>
                <w:rFonts w:ascii="Arial" w:hAnsi="Arial"/>
                <w:b/>
                <w:sz w:val="14"/>
              </w:rPr>
              <w:t>Status</w:t>
            </w:r>
          </w:p>
        </w:tc>
      </w:tr>
      <w:tr>
        <w:tc>
          <w:tcPr>
            <w:tcW w:type="dxa" w:w="3408"/>
            <w:vAlign w:val="center"/>
          </w:tcPr>
          <w:p>
            <w:r/>
            <w:r>
              <w:rPr>
                <w:rFonts w:ascii="Arial" w:hAnsi="Arial"/>
                <w:b w:val="0"/>
                <w:sz w:val="14"/>
              </w:rPr>
              <w:t>P_open_i</w:t>
            </w:r>
          </w:p>
        </w:tc>
        <w:tc>
          <w:tcPr>
            <w:tcW w:type="dxa" w:w="3408"/>
            <w:vAlign w:val="center"/>
          </w:tcPr>
          <w:p>
            <w:r/>
            <w:r>
              <w:rPr>
                <w:rFonts w:ascii="Arial" w:hAnsi="Arial"/>
                <w:b w:val="0"/>
                <w:sz w:val="14"/>
              </w:rPr>
              <w:t>Opening pressure of virtual unit i</w:t>
            </w:r>
          </w:p>
        </w:tc>
        <w:tc>
          <w:tcPr>
            <w:tcW w:type="dxa" w:w="3408"/>
            <w:vAlign w:val="center"/>
          </w:tcPr>
          <w:p>
            <w:r/>
            <w:r>
              <w:rPr>
                <w:rFonts w:ascii="Arial" w:hAnsi="Arial"/>
                <w:b w:val="0"/>
                <w:sz w:val="14"/>
              </w:rPr>
              <w:t>Conceptual/literature-informed distribution</w:t>
            </w:r>
          </w:p>
        </w:tc>
      </w:tr>
      <w:tr>
        <w:tc>
          <w:tcPr>
            <w:tcW w:type="dxa" w:w="3408"/>
            <w:vAlign w:val="center"/>
          </w:tcPr>
          <w:p>
            <w:r/>
            <w:r>
              <w:rPr>
                <w:rFonts w:ascii="Arial" w:hAnsi="Arial"/>
                <w:b w:val="0"/>
                <w:sz w:val="14"/>
              </w:rPr>
              <w:t>P_close_i</w:t>
            </w:r>
          </w:p>
        </w:tc>
        <w:tc>
          <w:tcPr>
            <w:tcW w:type="dxa" w:w="3408"/>
            <w:vAlign w:val="center"/>
          </w:tcPr>
          <w:p>
            <w:r/>
            <w:r>
              <w:rPr>
                <w:rFonts w:ascii="Arial" w:hAnsi="Arial"/>
                <w:b w:val="0"/>
                <w:sz w:val="14"/>
              </w:rPr>
              <w:t>Closing pressure of virtual unit i</w:t>
            </w:r>
          </w:p>
        </w:tc>
        <w:tc>
          <w:tcPr>
            <w:tcW w:type="dxa" w:w="3408"/>
            <w:vAlign w:val="center"/>
          </w:tcPr>
          <w:p>
            <w:r/>
            <w:r>
              <w:rPr>
                <w:rFonts w:ascii="Arial" w:hAnsi="Arial"/>
                <w:b w:val="0"/>
                <w:sz w:val="14"/>
              </w:rPr>
              <w:t>Conceptual; constrained lower than P_open_i</w:t>
            </w:r>
          </w:p>
        </w:tc>
      </w:tr>
      <w:tr>
        <w:tc>
          <w:tcPr>
            <w:tcW w:type="dxa" w:w="3408"/>
            <w:vAlign w:val="center"/>
          </w:tcPr>
          <w:p>
            <w:r/>
            <w:r>
              <w:rPr>
                <w:rFonts w:ascii="Arial" w:hAnsi="Arial"/>
                <w:b w:val="0"/>
                <w:sz w:val="14"/>
              </w:rPr>
              <w:t>open_i(t)</w:t>
            </w:r>
          </w:p>
        </w:tc>
        <w:tc>
          <w:tcPr>
            <w:tcW w:type="dxa" w:w="3408"/>
            <w:vAlign w:val="center"/>
          </w:tcPr>
          <w:p>
            <w:r/>
            <w:r>
              <w:rPr>
                <w:rFonts w:ascii="Arial" w:hAnsi="Arial"/>
                <w:b w:val="0"/>
                <w:sz w:val="14"/>
              </w:rPr>
              <w:t>Opening probability of virtual unit i at protocol step t</w:t>
            </w:r>
          </w:p>
        </w:tc>
        <w:tc>
          <w:tcPr>
            <w:tcW w:type="dxa" w:w="3408"/>
            <w:vAlign w:val="center"/>
          </w:tcPr>
          <w:p>
            <w:r/>
            <w:r>
              <w:rPr>
                <w:rFonts w:ascii="Arial" w:hAnsi="Arial"/>
                <w:b w:val="0"/>
                <w:sz w:val="14"/>
              </w:rPr>
              <w:t>Model state variable</w:t>
            </w:r>
          </w:p>
        </w:tc>
      </w:tr>
      <w:tr>
        <w:tc>
          <w:tcPr>
            <w:tcW w:type="dxa" w:w="3408"/>
            <w:vAlign w:val="center"/>
          </w:tcPr>
          <w:p>
            <w:r/>
            <w:r>
              <w:rPr>
                <w:rFonts w:ascii="Arial" w:hAnsi="Arial"/>
                <w:b w:val="0"/>
                <w:sz w:val="14"/>
              </w:rPr>
              <w:t>OD_i</w:t>
            </w:r>
          </w:p>
        </w:tc>
        <w:tc>
          <w:tcPr>
            <w:tcW w:type="dxa" w:w="3408"/>
            <w:vAlign w:val="center"/>
          </w:tcPr>
          <w:p>
            <w:r/>
            <w:r>
              <w:rPr>
                <w:rFonts w:ascii="Arial" w:hAnsi="Arial"/>
                <w:b w:val="0"/>
                <w:sz w:val="14"/>
              </w:rPr>
              <w:t>Overdistension probability of open unit i</w:t>
            </w:r>
          </w:p>
        </w:tc>
        <w:tc>
          <w:tcPr>
            <w:tcW w:type="dxa" w:w="3408"/>
            <w:vAlign w:val="center"/>
          </w:tcPr>
          <w:p>
            <w:r/>
            <w:r>
              <w:rPr>
                <w:rFonts w:ascii="Arial" w:hAnsi="Arial"/>
                <w:b w:val="0"/>
                <w:sz w:val="14"/>
              </w:rPr>
              <w:t>Exploratory surrogate</w:t>
            </w:r>
          </w:p>
        </w:tc>
      </w:tr>
      <w:tr>
        <w:tc>
          <w:tcPr>
            <w:tcW w:type="dxa" w:w="3408"/>
            <w:vAlign w:val="center"/>
          </w:tcPr>
          <w:p>
            <w:r/>
            <w:r>
              <w:rPr>
                <w:rFonts w:ascii="Arial" w:hAnsi="Arial"/>
                <w:b w:val="0"/>
                <w:sz w:val="14"/>
              </w:rPr>
              <w:t>C_i</w:t>
            </w:r>
          </w:p>
        </w:tc>
        <w:tc>
          <w:tcPr>
            <w:tcW w:type="dxa" w:w="3408"/>
            <w:vAlign w:val="center"/>
          </w:tcPr>
          <w:p>
            <w:r/>
            <w:r>
              <w:rPr>
                <w:rFonts w:ascii="Arial" w:hAnsi="Arial"/>
                <w:b w:val="0"/>
                <w:sz w:val="14"/>
              </w:rPr>
              <w:t>Unit compliance coefficient</w:t>
            </w:r>
          </w:p>
        </w:tc>
        <w:tc>
          <w:tcPr>
            <w:tcW w:type="dxa" w:w="3408"/>
            <w:vAlign w:val="center"/>
          </w:tcPr>
          <w:p>
            <w:r/>
            <w:r>
              <w:rPr>
                <w:rFonts w:ascii="Arial" w:hAnsi="Arial"/>
                <w:b w:val="0"/>
                <w:sz w:val="14"/>
              </w:rPr>
              <w:t>Conceptual distribution</w:t>
            </w:r>
          </w:p>
        </w:tc>
      </w:tr>
      <w:tr>
        <w:tc>
          <w:tcPr>
            <w:tcW w:type="dxa" w:w="3408"/>
            <w:vAlign w:val="center"/>
          </w:tcPr>
          <w:p>
            <w:r/>
            <w:r>
              <w:rPr>
                <w:rFonts w:ascii="Arial" w:hAnsi="Arial"/>
                <w:b w:val="0"/>
                <w:sz w:val="14"/>
              </w:rPr>
              <w:t>Q_i</w:t>
            </w:r>
          </w:p>
        </w:tc>
        <w:tc>
          <w:tcPr>
            <w:tcW w:type="dxa" w:w="3408"/>
            <w:vAlign w:val="center"/>
          </w:tcPr>
          <w:p>
            <w:r/>
            <w:r>
              <w:rPr>
                <w:rFonts w:ascii="Arial" w:hAnsi="Arial"/>
                <w:b w:val="0"/>
                <w:sz w:val="14"/>
              </w:rPr>
              <w:t>Unit perfusion weight</w:t>
            </w:r>
          </w:p>
        </w:tc>
        <w:tc>
          <w:tcPr>
            <w:tcW w:type="dxa" w:w="3408"/>
            <w:vAlign w:val="center"/>
          </w:tcPr>
          <w:p>
            <w:r/>
            <w:r>
              <w:rPr>
                <w:rFonts w:ascii="Arial" w:hAnsi="Arial"/>
                <w:b w:val="0"/>
                <w:sz w:val="14"/>
              </w:rPr>
              <w:t>Conceptual regional weighting</w:t>
            </w:r>
          </w:p>
        </w:tc>
      </w:tr>
      <w:tr>
        <w:tc>
          <w:tcPr>
            <w:tcW w:type="dxa" w:w="3408"/>
            <w:vAlign w:val="center"/>
          </w:tcPr>
          <w:p>
            <w:r/>
            <w:r>
              <w:rPr>
                <w:rFonts w:ascii="Arial" w:hAnsi="Arial"/>
                <w:b w:val="0"/>
                <w:sz w:val="14"/>
              </w:rPr>
              <w:t>V_i</w:t>
            </w:r>
          </w:p>
        </w:tc>
        <w:tc>
          <w:tcPr>
            <w:tcW w:type="dxa" w:w="3408"/>
            <w:vAlign w:val="center"/>
          </w:tcPr>
          <w:p>
            <w:r/>
            <w:r>
              <w:rPr>
                <w:rFonts w:ascii="Arial" w:hAnsi="Arial"/>
                <w:b w:val="0"/>
                <w:sz w:val="14"/>
              </w:rPr>
              <w:t>Unit ventilation weight</w:t>
            </w:r>
          </w:p>
        </w:tc>
        <w:tc>
          <w:tcPr>
            <w:tcW w:type="dxa" w:w="3408"/>
            <w:vAlign w:val="center"/>
          </w:tcPr>
          <w:p>
            <w:r/>
            <w:r>
              <w:rPr>
                <w:rFonts w:ascii="Arial" w:hAnsi="Arial"/>
                <w:b w:val="0"/>
                <w:sz w:val="14"/>
              </w:rPr>
              <w:t>Conceptual regional weighting</w:t>
            </w:r>
          </w:p>
        </w:tc>
      </w:tr>
      <w:tr>
        <w:tc>
          <w:tcPr>
            <w:tcW w:type="dxa" w:w="3408"/>
            <w:vAlign w:val="center"/>
          </w:tcPr>
          <w:p>
            <w:r/>
            <w:r>
              <w:rPr>
                <w:rFonts w:ascii="Arial" w:hAnsi="Arial"/>
                <w:b w:val="0"/>
                <w:sz w:val="14"/>
              </w:rPr>
              <w:t>VD_surr</w:t>
            </w:r>
          </w:p>
        </w:tc>
        <w:tc>
          <w:tcPr>
            <w:tcW w:type="dxa" w:w="3408"/>
            <w:vAlign w:val="center"/>
          </w:tcPr>
          <w:p>
            <w:r/>
            <w:r>
              <w:rPr>
                <w:rFonts w:ascii="Arial" w:hAnsi="Arial"/>
                <w:b w:val="0"/>
                <w:sz w:val="14"/>
              </w:rPr>
              <w:t>Dead-space burden surrogate</w:t>
            </w:r>
          </w:p>
        </w:tc>
        <w:tc>
          <w:tcPr>
            <w:tcW w:type="dxa" w:w="3408"/>
            <w:vAlign w:val="center"/>
          </w:tcPr>
          <w:p>
            <w:r/>
            <w:r>
              <w:rPr>
                <w:rFonts w:ascii="Arial" w:hAnsi="Arial"/>
                <w:b w:val="0"/>
                <w:sz w:val="14"/>
              </w:rPr>
              <w:t>Exploratory surrogate</w:t>
            </w:r>
          </w:p>
        </w:tc>
      </w:tr>
      <w:tr>
        <w:tc>
          <w:tcPr>
            <w:tcW w:type="dxa" w:w="3408"/>
            <w:vAlign w:val="center"/>
          </w:tcPr>
          <w:p>
            <w:r/>
            <w:r>
              <w:rPr>
                <w:rFonts w:ascii="Arial" w:hAnsi="Arial"/>
                <w:b w:val="0"/>
                <w:sz w:val="14"/>
              </w:rPr>
              <w:t>CO2_clearance_surr</w:t>
            </w:r>
          </w:p>
        </w:tc>
        <w:tc>
          <w:tcPr>
            <w:tcW w:type="dxa" w:w="3408"/>
            <w:vAlign w:val="center"/>
          </w:tcPr>
          <w:p>
            <w:r/>
            <w:r>
              <w:rPr>
                <w:rFonts w:ascii="Arial" w:hAnsi="Arial"/>
                <w:b w:val="0"/>
                <w:sz w:val="14"/>
              </w:rPr>
              <w:t>CO2-clearance surrogate</w:t>
            </w:r>
          </w:p>
        </w:tc>
        <w:tc>
          <w:tcPr>
            <w:tcW w:type="dxa" w:w="3408"/>
            <w:vAlign w:val="center"/>
          </w:tcPr>
          <w:p>
            <w:r/>
            <w:r>
              <w:rPr>
                <w:rFonts w:ascii="Arial" w:hAnsi="Arial"/>
                <w:b w:val="0"/>
                <w:sz w:val="14"/>
              </w:rPr>
              <w:t>Exploratory surrogate</w:t>
            </w:r>
          </w:p>
        </w:tc>
      </w:tr>
    </w:tbl>
    <w:p>
      <w:pPr>
        <w:pStyle w:val="Heading1"/>
      </w:pPr>
      <w:r>
        <w:t>S1.4. Opening, closing and time-dependent derecruitment</w:t>
      </w:r>
    </w:p>
    <w:p>
      <w:pPr>
        <w:spacing w:after="100"/>
      </w:pPr>
      <w:r>
        <w:t>Recruitment is fast when PEEP reaches the unit-specific opening pressure. Derecruitment after PEEP reduction is gradual rather than instantaneous. In v0.7, open state is represented by a probability rather than by a strict Boolean state.</w:t>
      </w:r>
    </w:p>
    <w:p>
      <w:pPr>
        <w:ind w:left="360"/>
      </w:pPr>
      <w:r>
        <w:rPr>
          <w:rFonts w:ascii="Courier New" w:hAnsi="Courier New"/>
          <w:sz w:val="18"/>
        </w:rPr>
        <w:t>opening_drive_i = sigmoid((PEEP - P_open_i) / slope_open)</w:t>
      </w:r>
    </w:p>
    <w:p>
      <w:pPr>
        <w:ind w:left="360"/>
      </w:pPr>
      <w:r>
        <w:rPr>
          <w:rFonts w:ascii="Courier New" w:hAnsi="Courier New"/>
          <w:sz w:val="18"/>
        </w:rPr>
        <w:t>closing_drive_i = sigmoid((P_close_i - PEEP) / slope_close)</w:t>
      </w:r>
    </w:p>
    <w:p>
      <w:pPr>
        <w:ind w:left="360"/>
      </w:pPr>
      <w:r>
        <w:rPr>
          <w:rFonts w:ascii="Courier New" w:hAnsi="Courier New"/>
          <w:sz w:val="18"/>
        </w:rPr>
        <w:t>closure_fraction_i = derecruitment_rate x closing_drive_i x step_duration</w:t>
      </w:r>
    </w:p>
    <w:p>
      <w:pPr>
        <w:ind w:left="360"/>
      </w:pPr>
      <w:r>
        <w:rPr>
          <w:rFonts w:ascii="Courier New" w:hAnsi="Courier New"/>
          <w:sz w:val="18"/>
        </w:rPr>
        <w:t>open_i(t+1) = max(opening_drive_i, max(open_i(t), opening_drive_i) x (1 - closure_fraction_i))</w:t>
      </w:r>
    </w:p>
    <w:p>
      <w:pPr>
        <w:spacing w:after="100"/>
      </w:pPr>
      <w:r>
        <w:t>This rule is not intended to reproduce measured derecruitment kinetics. It prevents an unrealistic instantaneous collapse after PEEP reduction and provides a qualitative history-dependent response during decremental PEEP.</w:t>
      </w:r>
    </w:p>
    <w:p>
      <w:r>
        <w:rPr>
          <w:b/>
        </w:rPr>
        <w:t>Table S2. Default conceptual impairment presets. Values are model inputs, not calibrated clinical estimates.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cPr>
          <w:p>
            <w:r/>
            <w:r>
              <w:rPr>
                <w:rFonts w:ascii="Arial" w:hAnsi="Arial"/>
                <w:b/>
                <w:sz w:val="14"/>
              </w:rPr>
              <w:t>Preset</w:t>
            </w:r>
          </w:p>
        </w:tc>
        <w:tc>
          <w:tcPr>
            <w:tcW w:type="dxa" w:w="1461"/>
            <w:vAlign w:val="center"/>
          </w:tcPr>
          <w:p>
            <w:r/>
            <w:r>
              <w:rPr>
                <w:rFonts w:ascii="Arial" w:hAnsi="Arial"/>
                <w:b/>
                <w:sz w:val="14"/>
              </w:rPr>
              <w:t>Mean opening pressure</w:t>
            </w:r>
          </w:p>
        </w:tc>
        <w:tc>
          <w:tcPr>
            <w:tcW w:type="dxa" w:w="1461"/>
            <w:vAlign w:val="center"/>
          </w:tcPr>
          <w:p>
            <w:r/>
            <w:r>
              <w:rPr>
                <w:rFonts w:ascii="Arial" w:hAnsi="Arial"/>
                <w:b/>
                <w:sz w:val="14"/>
              </w:rPr>
              <w:t>Opening-pressure SD</w:t>
            </w:r>
          </w:p>
        </w:tc>
        <w:tc>
          <w:tcPr>
            <w:tcW w:type="dxa" w:w="1461"/>
            <w:vAlign w:val="center"/>
          </w:tcPr>
          <w:p>
            <w:r/>
            <w:r>
              <w:rPr>
                <w:rFonts w:ascii="Arial" w:hAnsi="Arial"/>
                <w:b/>
                <w:sz w:val="14"/>
              </w:rPr>
              <w:t>Mean hysteresis gap</w:t>
            </w:r>
          </w:p>
        </w:tc>
        <w:tc>
          <w:tcPr>
            <w:tcW w:type="dxa" w:w="1461"/>
            <w:vAlign w:val="center"/>
          </w:tcPr>
          <w:p>
            <w:r/>
            <w:r>
              <w:rPr>
                <w:rFonts w:ascii="Arial" w:hAnsi="Arial"/>
                <w:b/>
                <w:sz w:val="14"/>
              </w:rPr>
              <w:t>Base shunt</w:t>
            </w:r>
          </w:p>
        </w:tc>
        <w:tc>
          <w:tcPr>
            <w:tcW w:type="dxa" w:w="1461"/>
            <w:vAlign w:val="center"/>
          </w:tcPr>
          <w:p>
            <w:r/>
            <w:r>
              <w:rPr>
                <w:rFonts w:ascii="Arial" w:hAnsi="Arial"/>
                <w:b/>
                <w:sz w:val="14"/>
              </w:rPr>
              <w:t>Base dead space</w:t>
            </w:r>
          </w:p>
        </w:tc>
        <w:tc>
          <w:tcPr>
            <w:tcW w:type="dxa" w:w="1461"/>
            <w:vAlign w:val="center"/>
          </w:tcPr>
          <w:p>
            <w:r/>
            <w:r>
              <w:rPr>
                <w:rFonts w:ascii="Arial" w:hAnsi="Arial"/>
                <w:b/>
                <w:sz w:val="14"/>
              </w:rPr>
              <w:t>Derecruitment rate</w:t>
            </w:r>
          </w:p>
        </w:tc>
      </w:tr>
      <w:tr>
        <w:tc>
          <w:tcPr>
            <w:tcW w:type="dxa" w:w="1461"/>
            <w:vAlign w:val="center"/>
          </w:tcPr>
          <w:p>
            <w:r/>
            <w:r>
              <w:rPr>
                <w:rFonts w:ascii="Arial" w:hAnsi="Arial"/>
                <w:b w:val="0"/>
                <w:sz w:val="14"/>
              </w:rPr>
              <w:t>Healthy-like</w:t>
            </w:r>
          </w:p>
        </w:tc>
        <w:tc>
          <w:tcPr>
            <w:tcW w:type="dxa" w:w="1461"/>
            <w:vAlign w:val="center"/>
          </w:tcPr>
          <w:p>
            <w:r/>
            <w:r>
              <w:rPr>
                <w:rFonts w:ascii="Arial" w:hAnsi="Arial"/>
                <w:b w:val="0"/>
                <w:sz w:val="14"/>
              </w:rPr>
              <w:t>4.0</w:t>
            </w:r>
          </w:p>
        </w:tc>
        <w:tc>
          <w:tcPr>
            <w:tcW w:type="dxa" w:w="1461"/>
            <w:vAlign w:val="center"/>
          </w:tcPr>
          <w:p>
            <w:r/>
            <w:r>
              <w:rPr>
                <w:rFonts w:ascii="Arial" w:hAnsi="Arial"/>
                <w:b w:val="0"/>
                <w:sz w:val="14"/>
              </w:rPr>
              <w:t>1.3</w:t>
            </w:r>
          </w:p>
        </w:tc>
        <w:tc>
          <w:tcPr>
            <w:tcW w:type="dxa" w:w="1461"/>
            <w:vAlign w:val="center"/>
          </w:tcPr>
          <w:p>
            <w:r/>
            <w:r>
              <w:rPr>
                <w:rFonts w:ascii="Arial" w:hAnsi="Arial"/>
                <w:b w:val="0"/>
                <w:sz w:val="14"/>
              </w:rPr>
              <w:t>2.2</w:t>
            </w:r>
          </w:p>
        </w:tc>
        <w:tc>
          <w:tcPr>
            <w:tcW w:type="dxa" w:w="1461"/>
            <w:vAlign w:val="center"/>
          </w:tcPr>
          <w:p>
            <w:r/>
            <w:r>
              <w:rPr>
                <w:rFonts w:ascii="Arial" w:hAnsi="Arial"/>
                <w:b w:val="0"/>
                <w:sz w:val="14"/>
              </w:rPr>
              <w:t>0.03</w:t>
            </w:r>
          </w:p>
        </w:tc>
        <w:tc>
          <w:tcPr>
            <w:tcW w:type="dxa" w:w="1461"/>
            <w:vAlign w:val="center"/>
          </w:tcPr>
          <w:p>
            <w:r/>
            <w:r>
              <w:rPr>
                <w:rFonts w:ascii="Arial" w:hAnsi="Arial"/>
                <w:b w:val="0"/>
                <w:sz w:val="14"/>
              </w:rPr>
              <w:t>0.20</w:t>
            </w:r>
          </w:p>
        </w:tc>
        <w:tc>
          <w:tcPr>
            <w:tcW w:type="dxa" w:w="1461"/>
            <w:vAlign w:val="center"/>
          </w:tcPr>
          <w:p>
            <w:r/>
            <w:r>
              <w:rPr>
                <w:rFonts w:ascii="Arial" w:hAnsi="Arial"/>
                <w:b w:val="0"/>
                <w:sz w:val="14"/>
              </w:rPr>
              <w:t>0.18</w:t>
            </w:r>
          </w:p>
        </w:tc>
      </w:tr>
      <w:tr>
        <w:tc>
          <w:tcPr>
            <w:tcW w:type="dxa" w:w="1461"/>
            <w:vAlign w:val="center"/>
          </w:tcPr>
          <w:p>
            <w:r/>
            <w:r>
              <w:rPr>
                <w:rFonts w:ascii="Arial" w:hAnsi="Arial"/>
                <w:b w:val="0"/>
                <w:sz w:val="14"/>
              </w:rPr>
              <w:t>Mild impairment</w:t>
            </w:r>
          </w:p>
        </w:tc>
        <w:tc>
          <w:tcPr>
            <w:tcW w:type="dxa" w:w="1461"/>
            <w:vAlign w:val="center"/>
          </w:tcPr>
          <w:p>
            <w:r/>
            <w:r>
              <w:rPr>
                <w:rFonts w:ascii="Arial" w:hAnsi="Arial"/>
                <w:b w:val="0"/>
                <w:sz w:val="14"/>
              </w:rPr>
              <w:t>7.0</w:t>
            </w:r>
          </w:p>
        </w:tc>
        <w:tc>
          <w:tcPr>
            <w:tcW w:type="dxa" w:w="1461"/>
            <w:vAlign w:val="center"/>
          </w:tcPr>
          <w:p>
            <w:r/>
            <w:r>
              <w:rPr>
                <w:rFonts w:ascii="Arial" w:hAnsi="Arial"/>
                <w:b w:val="0"/>
                <w:sz w:val="14"/>
              </w:rPr>
              <w:t>2.0</w:t>
            </w:r>
          </w:p>
        </w:tc>
        <w:tc>
          <w:tcPr>
            <w:tcW w:type="dxa" w:w="1461"/>
            <w:vAlign w:val="center"/>
          </w:tcPr>
          <w:p>
            <w:r/>
            <w:r>
              <w:rPr>
                <w:rFonts w:ascii="Arial" w:hAnsi="Arial"/>
                <w:b w:val="0"/>
                <w:sz w:val="14"/>
              </w:rPr>
              <w:t>3.0</w:t>
            </w:r>
          </w:p>
        </w:tc>
        <w:tc>
          <w:tcPr>
            <w:tcW w:type="dxa" w:w="1461"/>
            <w:vAlign w:val="center"/>
          </w:tcPr>
          <w:p>
            <w:r/>
            <w:r>
              <w:rPr>
                <w:rFonts w:ascii="Arial" w:hAnsi="Arial"/>
                <w:b w:val="0"/>
                <w:sz w:val="14"/>
              </w:rPr>
              <w:t>0.08</w:t>
            </w:r>
          </w:p>
        </w:tc>
        <w:tc>
          <w:tcPr>
            <w:tcW w:type="dxa" w:w="1461"/>
            <w:vAlign w:val="center"/>
          </w:tcPr>
          <w:p>
            <w:r/>
            <w:r>
              <w:rPr>
                <w:rFonts w:ascii="Arial" w:hAnsi="Arial"/>
                <w:b w:val="0"/>
                <w:sz w:val="14"/>
              </w:rPr>
              <w:t>0.24</w:t>
            </w:r>
          </w:p>
        </w:tc>
        <w:tc>
          <w:tcPr>
            <w:tcW w:type="dxa" w:w="1461"/>
            <w:vAlign w:val="center"/>
          </w:tcPr>
          <w:p>
            <w:r/>
            <w:r>
              <w:rPr>
                <w:rFonts w:ascii="Arial" w:hAnsi="Arial"/>
                <w:b w:val="0"/>
                <w:sz w:val="14"/>
              </w:rPr>
              <w:t>0.24</w:t>
            </w:r>
          </w:p>
        </w:tc>
      </w:tr>
      <w:tr>
        <w:tc>
          <w:tcPr>
            <w:tcW w:type="dxa" w:w="1461"/>
            <w:vAlign w:val="center"/>
          </w:tcPr>
          <w:p>
            <w:r/>
            <w:r>
              <w:rPr>
                <w:rFonts w:ascii="Arial" w:hAnsi="Arial"/>
                <w:b w:val="0"/>
                <w:sz w:val="14"/>
              </w:rPr>
              <w:t>Moderate impairment</w:t>
            </w:r>
          </w:p>
        </w:tc>
        <w:tc>
          <w:tcPr>
            <w:tcW w:type="dxa" w:w="1461"/>
            <w:vAlign w:val="center"/>
          </w:tcPr>
          <w:p>
            <w:r/>
            <w:r>
              <w:rPr>
                <w:rFonts w:ascii="Arial" w:hAnsi="Arial"/>
                <w:b w:val="0"/>
                <w:sz w:val="14"/>
              </w:rPr>
              <w:t>10.0</w:t>
            </w:r>
          </w:p>
        </w:tc>
        <w:tc>
          <w:tcPr>
            <w:tcW w:type="dxa" w:w="1461"/>
            <w:vAlign w:val="center"/>
          </w:tcPr>
          <w:p>
            <w:r/>
            <w:r>
              <w:rPr>
                <w:rFonts w:ascii="Arial" w:hAnsi="Arial"/>
                <w:b w:val="0"/>
                <w:sz w:val="14"/>
              </w:rPr>
              <w:t>3.0</w:t>
            </w:r>
          </w:p>
        </w:tc>
        <w:tc>
          <w:tcPr>
            <w:tcW w:type="dxa" w:w="1461"/>
            <w:vAlign w:val="center"/>
          </w:tcPr>
          <w:p>
            <w:r/>
            <w:r>
              <w:rPr>
                <w:rFonts w:ascii="Arial" w:hAnsi="Arial"/>
                <w:b w:val="0"/>
                <w:sz w:val="14"/>
              </w:rPr>
              <w:t>4.0</w:t>
            </w:r>
          </w:p>
        </w:tc>
        <w:tc>
          <w:tcPr>
            <w:tcW w:type="dxa" w:w="1461"/>
            <w:vAlign w:val="center"/>
          </w:tcPr>
          <w:p>
            <w:r/>
            <w:r>
              <w:rPr>
                <w:rFonts w:ascii="Arial" w:hAnsi="Arial"/>
                <w:b w:val="0"/>
                <w:sz w:val="14"/>
              </w:rPr>
              <w:t>0.16</w:t>
            </w:r>
          </w:p>
        </w:tc>
        <w:tc>
          <w:tcPr>
            <w:tcW w:type="dxa" w:w="1461"/>
            <w:vAlign w:val="center"/>
          </w:tcPr>
          <w:p>
            <w:r/>
            <w:r>
              <w:rPr>
                <w:rFonts w:ascii="Arial" w:hAnsi="Arial"/>
                <w:b w:val="0"/>
                <w:sz w:val="14"/>
              </w:rPr>
              <w:t>0.30</w:t>
            </w:r>
          </w:p>
        </w:tc>
        <w:tc>
          <w:tcPr>
            <w:tcW w:type="dxa" w:w="1461"/>
            <w:vAlign w:val="center"/>
          </w:tcPr>
          <w:p>
            <w:r/>
            <w:r>
              <w:rPr>
                <w:rFonts w:ascii="Arial" w:hAnsi="Arial"/>
                <w:b w:val="0"/>
                <w:sz w:val="14"/>
              </w:rPr>
              <w:t>0.30</w:t>
            </w:r>
          </w:p>
        </w:tc>
      </w:tr>
      <w:tr>
        <w:tc>
          <w:tcPr>
            <w:tcW w:type="dxa" w:w="1461"/>
            <w:vAlign w:val="center"/>
          </w:tcPr>
          <w:p>
            <w:r/>
            <w:r>
              <w:rPr>
                <w:rFonts w:ascii="Arial" w:hAnsi="Arial"/>
                <w:b w:val="0"/>
                <w:sz w:val="14"/>
              </w:rPr>
              <w:t>Severe impairment</w:t>
            </w:r>
          </w:p>
        </w:tc>
        <w:tc>
          <w:tcPr>
            <w:tcW w:type="dxa" w:w="1461"/>
            <w:vAlign w:val="center"/>
          </w:tcPr>
          <w:p>
            <w:r/>
            <w:r>
              <w:rPr>
                <w:rFonts w:ascii="Arial" w:hAnsi="Arial"/>
                <w:b w:val="0"/>
                <w:sz w:val="14"/>
              </w:rPr>
              <w:t>14.0</w:t>
            </w:r>
          </w:p>
        </w:tc>
        <w:tc>
          <w:tcPr>
            <w:tcW w:type="dxa" w:w="1461"/>
            <w:vAlign w:val="center"/>
          </w:tcPr>
          <w:p>
            <w:r/>
            <w:r>
              <w:rPr>
                <w:rFonts w:ascii="Arial" w:hAnsi="Arial"/>
                <w:b w:val="0"/>
                <w:sz w:val="14"/>
              </w:rPr>
              <w:t>4.2</w:t>
            </w:r>
          </w:p>
        </w:tc>
        <w:tc>
          <w:tcPr>
            <w:tcW w:type="dxa" w:w="1461"/>
            <w:vAlign w:val="center"/>
          </w:tcPr>
          <w:p>
            <w:r/>
            <w:r>
              <w:rPr>
                <w:rFonts w:ascii="Arial" w:hAnsi="Arial"/>
                <w:b w:val="0"/>
                <w:sz w:val="14"/>
              </w:rPr>
              <w:t>5.0</w:t>
            </w:r>
          </w:p>
        </w:tc>
        <w:tc>
          <w:tcPr>
            <w:tcW w:type="dxa" w:w="1461"/>
            <w:vAlign w:val="center"/>
          </w:tcPr>
          <w:p>
            <w:r/>
            <w:r>
              <w:rPr>
                <w:rFonts w:ascii="Arial" w:hAnsi="Arial"/>
                <w:b w:val="0"/>
                <w:sz w:val="14"/>
              </w:rPr>
              <w:t>0.28</w:t>
            </w:r>
          </w:p>
        </w:tc>
        <w:tc>
          <w:tcPr>
            <w:tcW w:type="dxa" w:w="1461"/>
            <w:vAlign w:val="center"/>
          </w:tcPr>
          <w:p>
            <w:r/>
            <w:r>
              <w:rPr>
                <w:rFonts w:ascii="Arial" w:hAnsi="Arial"/>
                <w:b w:val="0"/>
                <w:sz w:val="14"/>
              </w:rPr>
              <w:t>0.38</w:t>
            </w:r>
          </w:p>
        </w:tc>
        <w:tc>
          <w:tcPr>
            <w:tcW w:type="dxa" w:w="1461"/>
            <w:vAlign w:val="center"/>
          </w:tcPr>
          <w:p>
            <w:r/>
            <w:r>
              <w:rPr>
                <w:rFonts w:ascii="Arial" w:hAnsi="Arial"/>
                <w:b w:val="0"/>
                <w:sz w:val="14"/>
              </w:rPr>
              <w:t>0.38</w:t>
            </w:r>
          </w:p>
        </w:tc>
      </w:tr>
    </w:tbl>
    <w:p>
      <w:pPr>
        <w:pStyle w:val="Heading1"/>
      </w:pPr>
      <w:r>
        <w:t>S1.5. Regional grid and gravity-inspired gradients</w:t>
      </w:r>
    </w:p>
    <w:p>
      <w:pPr>
        <w:spacing w:after="100"/>
      </w:pPr>
      <w:r>
        <w:t>The regional grid is organized along a simplified ventral-to-dependent axis. Dependent regions are assigned higher opening-pressure shifts and greater perfusion weight. Non-dependent regions recruit earlier and are more susceptible to overdistension at higher PEEP.</w:t>
      </w:r>
    </w:p>
    <w:p>
      <w:pPr>
        <w:spacing w:after="100"/>
      </w:pPr>
      <w:r>
        <w:t>These gradients are conceptual and literature-informed. They should not be interpreted as measured regional impedance, ultrasound aeration or anatomical lung geometry.</w:t>
      </w:r>
    </w:p>
    <w:p>
      <w:pPr>
        <w:pStyle w:val="Heading1"/>
      </w:pPr>
      <w:r>
        <w:t>S1.6. Compliance and pressure surrogates</w:t>
      </w:r>
    </w:p>
    <w:p>
      <w:pPr>
        <w:spacing w:after="100"/>
      </w:pPr>
      <w:r>
        <w:t>Global compliance surrogate is calculated from the summed contribution of open units, penalized by overdistension. Driving-pressure surrogate is calculated from tidal-volume input divided by the compliance surrogate and a scaling constant. Plateau-pressure surrogate is PEEP plus driving-pressure surrogate.</w:t>
      </w:r>
    </w:p>
    <w:p>
      <w:pPr>
        <w:spacing w:after="100"/>
      </w:pPr>
      <w:r>
        <w:t>These are dimensionally simplified surrogates; they do not predict measured respiratory-system compliance, transpulmonary pressure or plateau pressure.</w:t>
      </w:r>
    </w:p>
    <w:p>
      <w:pPr>
        <w:ind w:left="360"/>
      </w:pPr>
      <w:r>
        <w:rPr>
          <w:rFonts w:ascii="Courier New" w:hAnsi="Courier New"/>
          <w:sz w:val="18"/>
        </w:rPr>
        <w:t>C_global_surr = sum(C_i x open_i x (1 - 0.82 x OD_i)) / N</w:t>
      </w:r>
    </w:p>
    <w:p>
      <w:pPr>
        <w:ind w:left="360"/>
      </w:pPr>
      <w:r>
        <w:rPr>
          <w:rFonts w:ascii="Courier New" w:hAnsi="Courier New"/>
          <w:sz w:val="18"/>
        </w:rPr>
        <w:t>DP_surr = VT_ml / (38.0 x C_global_surr)</w:t>
      </w:r>
    </w:p>
    <w:p>
      <w:pPr>
        <w:ind w:left="360"/>
      </w:pPr>
      <w:r>
        <w:rPr>
          <w:rFonts w:ascii="Courier New" w:hAnsi="Courier New"/>
          <w:sz w:val="18"/>
        </w:rPr>
        <w:t>Pplat_surr = PEEP + DP_surr</w:t>
      </w:r>
    </w:p>
    <w:p>
      <w:pPr>
        <w:pStyle w:val="Heading1"/>
      </w:pPr>
      <w:r>
        <w:t>S1.7. Shunt and oxygenation surrogate</w:t>
      </w:r>
    </w:p>
    <w:p>
      <w:pPr>
        <w:spacing w:after="100"/>
      </w:pPr>
      <w:r>
        <w:t>Shunt surrogate is calculated from preset baseline shunt plus perfusion to non-open units. Oxygenation surrogate is a monotonic bounded function of FiO2 and shunt surrogate. This monotonic design is intentional and illustrates the limitation of using oxygenation alone as a target.</w:t>
      </w:r>
    </w:p>
    <w:p>
      <w:pPr>
        <w:spacing w:after="100"/>
      </w:pPr>
      <w:r>
        <w:t>Because no blood-gas data are used, the oxygenation surrogate does not estimate PaO2 or SpO2.</w:t>
      </w:r>
    </w:p>
    <w:p>
      <w:pPr>
        <w:pStyle w:val="Heading1"/>
      </w:pPr>
      <w:r>
        <w:t>S1.8. Dead-space and CO2-clearance surrogate</w:t>
      </w:r>
    </w:p>
    <w:p>
      <w:pPr>
        <w:spacing w:after="100"/>
      </w:pPr>
      <w:r>
        <w:t>v0.7 introduces a qualitative dead-space burden surrogate. Dead-space burden increases with overdistension and with ventilation maldistribution toward non-dependent regions. CO2-clearance surrogate is proportional to compliance and inversely related to dead-space burden and pressure burden.</w:t>
      </w:r>
    </w:p>
    <w:p>
      <w:pPr>
        <w:spacing w:after="100"/>
      </w:pPr>
      <w:r>
        <w:t>This is the least physiologically mature component of the model. It is included only as a qualitative counterweight to oxygenation and should not be interpreted as predicted PaCO2.</w:t>
      </w:r>
    </w:p>
    <w:p>
      <w:pPr>
        <w:ind w:left="360"/>
      </w:pPr>
      <w:r>
        <w:rPr>
          <w:rFonts w:ascii="Courier New" w:hAnsi="Courier New"/>
          <w:sz w:val="18"/>
        </w:rPr>
        <w:t>shunt_surr = baseline_shunt + 0.78 x perfusion_to_closed_units</w:t>
      </w:r>
    </w:p>
    <w:p>
      <w:pPr>
        <w:ind w:left="360"/>
      </w:pPr>
      <w:r>
        <w:rPr>
          <w:rFonts w:ascii="Courier New" w:hAnsi="Courier New"/>
          <w:sz w:val="18"/>
        </w:rPr>
        <w:t>oxygenation_surr = FiO2 x (1 - shunt_surr) x 100</w:t>
      </w:r>
    </w:p>
    <w:p>
      <w:pPr>
        <w:ind w:left="360"/>
      </w:pPr>
      <w:r>
        <w:rPr>
          <w:rFonts w:ascii="Courier New" w:hAnsi="Courier New"/>
          <w:sz w:val="18"/>
        </w:rPr>
        <w:t>VD_surr = baseline_dead_space + 0.62 x overdistended_fraction + maldistribution_penalty</w:t>
      </w:r>
    </w:p>
    <w:p>
      <w:pPr>
        <w:ind w:left="360"/>
      </w:pPr>
      <w:r>
        <w:rPr>
          <w:rFonts w:ascii="Courier New" w:hAnsi="Courier New"/>
          <w:sz w:val="18"/>
        </w:rPr>
        <w:t>pressure_burden = max(Pplat_surr - 20, 0) / 30</w:t>
      </w:r>
    </w:p>
    <w:p>
      <w:pPr>
        <w:ind w:left="360"/>
      </w:pPr>
      <w:r>
        <w:rPr>
          <w:rFonts w:ascii="Courier New" w:hAnsi="Courier New"/>
          <w:sz w:val="18"/>
        </w:rPr>
        <w:t>CO2_clearance_surr = C_global_surr x (1 - VD_surr) / (1 + 0.35 x pressure_burden)</w:t>
      </w:r>
    </w:p>
    <w:p>
      <w:pPr>
        <w:ind w:left="360"/>
      </w:pPr>
      <w:r>
        <w:rPr>
          <w:rFonts w:ascii="Courier New" w:hAnsi="Courier New"/>
          <w:sz w:val="18"/>
        </w:rPr>
        <w:t>CO2_retention_risk_surr = (1 - CO2_clearance_surr) + 0.55 x VD_surr</w:t>
      </w:r>
    </w:p>
    <w:p>
      <w:pPr>
        <w:ind w:left="360"/>
      </w:pPr>
      <w:r>
        <w:rPr>
          <w:rFonts w:ascii="Courier New" w:hAnsi="Courier New"/>
          <w:sz w:val="18"/>
        </w:rPr>
        <w:t>gas_exchange_balance = (oxygenation_surr / 100) x CO2_clearance_surr</w:t>
      </w:r>
    </w:p>
    <w:p>
      <w:pPr>
        <w:pStyle w:val="Heading1"/>
      </w:pPr>
      <w:r>
        <w:t>S1.9. Regional balance index and penalty sensitivity</w:t>
      </w:r>
    </w:p>
    <w:p>
      <w:pPr>
        <w:spacing w:after="100"/>
      </w:pPr>
      <w:r>
        <w:t>The regional balance index combines mean regional collapse and mean regional overdistension. The default overdistension penalty is 1.65, but v0.7 recalculates the target using penalties of 1.0, 1.65 and 2.5. This treats the penalty as an assumption rather than a validated physiological constant.</w:t>
      </w:r>
    </w:p>
    <w:p>
      <w:pPr>
        <w:ind w:left="360"/>
      </w:pPr>
      <w:r>
        <w:rPr>
          <w:rFonts w:ascii="Courier New" w:hAnsi="Courier New"/>
          <w:sz w:val="18"/>
        </w:rPr>
        <w:t>regional_balance = 1 - mean(regional_collapse) - penalty_OD x mean(regional_overdistension)</w:t>
      </w:r>
    </w:p>
    <w:p>
      <w:pPr>
        <w:ind w:left="360"/>
      </w:pPr>
      <w:r>
        <w:rPr>
          <w:rFonts w:ascii="Courier New" w:hAnsi="Courier New"/>
          <w:sz w:val="18"/>
        </w:rPr>
        <w:t>penalty_OD tested values = 1.0, 1.65, 2.5</w:t>
      </w:r>
    </w:p>
    <w:p>
      <w:pPr>
        <w:pStyle w:val="Heading1"/>
      </w:pPr>
      <w:r>
        <w:t>S1.10. Simulation protocol</w:t>
      </w:r>
    </w:p>
    <w:p>
      <w:pPr>
        <w:spacing w:after="100"/>
      </w:pPr>
      <w:r>
        <w:t>The default protocol increases PEEP from 0 to 24 cmH2O in 2-cmH2O steps and then decreases PEEP from 24 to 2 cmH2O in 2-cmH2O steps. The primary scenario is a 2-year-old 12-kg child under the moderate impairment preset. Outputs are computed at each PEEP step.</w:t>
      </w:r>
    </w:p>
    <w:p>
      <w:pPr>
        <w:pStyle w:val="Heading1"/>
      </w:pPr>
      <w:r>
        <w:t>S1.11. Internal evaluation checks</w:t>
      </w:r>
    </w:p>
    <w:p>
      <w:pPr>
        <w:spacing w:after="100"/>
      </w:pPr>
      <w:r>
        <w:t>The internal evaluation checks are consistency and plausibility checks. Passing these checks is not external validation. They only show that the model behaves as intended under the predefined assumptions.</w:t>
      </w:r>
    </w:p>
    <w:p>
      <w:r>
        <w:rPr>
          <w:b/>
        </w:rPr>
        <w:t>Table S3. PRE v0.7 internal evaluation checks.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
              <w:rPr>
                <w:rFonts w:ascii="Arial" w:hAnsi="Arial"/>
                <w:b/>
                <w:sz w:val="13"/>
              </w:rPr>
              <w:t>ID</w:t>
            </w:r>
          </w:p>
        </w:tc>
        <w:tc>
          <w:tcPr>
            <w:tcW w:type="dxa" w:w="1704"/>
            <w:vAlign w:val="center"/>
          </w:tcPr>
          <w:p>
            <w:r/>
            <w:r>
              <w:rPr>
                <w:rFonts w:ascii="Arial" w:hAnsi="Arial"/>
                <w:b/>
                <w:sz w:val="13"/>
              </w:rPr>
              <w:t>Category</w:t>
            </w:r>
          </w:p>
        </w:tc>
        <w:tc>
          <w:tcPr>
            <w:tcW w:type="dxa" w:w="1704"/>
            <w:vAlign w:val="center"/>
          </w:tcPr>
          <w:p>
            <w:r/>
            <w:r>
              <w:rPr>
                <w:rFonts w:ascii="Arial" w:hAnsi="Arial"/>
                <w:b/>
                <w:sz w:val="13"/>
              </w:rPr>
              <w:t>Description</w:t>
            </w:r>
          </w:p>
        </w:tc>
        <w:tc>
          <w:tcPr>
            <w:tcW w:type="dxa" w:w="1704"/>
            <w:vAlign w:val="center"/>
          </w:tcPr>
          <w:p>
            <w:r/>
            <w:r>
              <w:rPr>
                <w:rFonts w:ascii="Arial" w:hAnsi="Arial"/>
                <w:b/>
                <w:sz w:val="13"/>
              </w:rPr>
              <w:t>Passed</w:t>
            </w:r>
          </w:p>
        </w:tc>
        <w:tc>
          <w:tcPr>
            <w:tcW w:type="dxa" w:w="1704"/>
            <w:vAlign w:val="center"/>
          </w:tcPr>
          <w:p>
            <w:r/>
            <w:r>
              <w:rPr>
                <w:rFonts w:ascii="Arial" w:hAnsi="Arial"/>
                <w:b/>
                <w:sz w:val="13"/>
              </w:rPr>
              <w:t>Observed</w:t>
            </w:r>
          </w:p>
        </w:tc>
        <w:tc>
          <w:tcPr>
            <w:tcW w:type="dxa" w:w="1704"/>
            <w:vAlign w:val="center"/>
          </w:tcPr>
          <w:p>
            <w:r/>
            <w:r>
              <w:rPr>
                <w:rFonts w:ascii="Arial" w:hAnsi="Arial"/>
                <w:b/>
                <w:sz w:val="13"/>
              </w:rPr>
              <w:t>Criterion</w:t>
            </w:r>
          </w:p>
        </w:tc>
      </w:tr>
      <w:tr>
        <w:tc>
          <w:tcPr>
            <w:tcW w:type="dxa" w:w="1704"/>
            <w:vAlign w:val="center"/>
          </w:tcPr>
          <w:p>
            <w:r/>
            <w:r>
              <w:rPr>
                <w:rFonts w:ascii="Arial" w:hAnsi="Arial"/>
                <w:b w:val="0"/>
                <w:sz w:val="13"/>
              </w:rPr>
              <w:t>V07-T01</w:t>
            </w:r>
          </w:p>
        </w:tc>
        <w:tc>
          <w:tcPr>
            <w:tcW w:type="dxa" w:w="1704"/>
            <w:vAlign w:val="center"/>
          </w:tcPr>
          <w:p>
            <w:r/>
            <w:r>
              <w:rPr>
                <w:rFonts w:ascii="Arial" w:hAnsi="Arial"/>
                <w:b w:val="0"/>
                <w:sz w:val="13"/>
              </w:rPr>
              <w:t>code</w:t>
            </w:r>
          </w:p>
        </w:tc>
        <w:tc>
          <w:tcPr>
            <w:tcW w:type="dxa" w:w="1704"/>
            <w:vAlign w:val="center"/>
          </w:tcPr>
          <w:p>
            <w:r/>
            <w:r>
              <w:rPr>
                <w:rFonts w:ascii="Arial" w:hAnsi="Arial"/>
                <w:b w:val="0"/>
                <w:sz w:val="13"/>
              </w:rPr>
              <w:t>No NaN in scalar outputs</w:t>
            </w:r>
          </w:p>
        </w:tc>
        <w:tc>
          <w:tcPr>
            <w:tcW w:type="dxa" w:w="1704"/>
            <w:vAlign w:val="center"/>
          </w:tcPr>
          <w:p>
            <w:r/>
            <w:r>
              <w:rPr>
                <w:rFonts w:ascii="Arial" w:hAnsi="Arial"/>
                <w:b w:val="0"/>
                <w:sz w:val="13"/>
              </w:rPr>
              <w:t>True</w:t>
            </w:r>
          </w:p>
        </w:tc>
        <w:tc>
          <w:tcPr>
            <w:tcW w:type="dxa" w:w="1704"/>
            <w:vAlign w:val="center"/>
          </w:tcPr>
          <w:p>
            <w:r/>
            <w:r>
              <w:rPr>
                <w:rFonts w:ascii="Arial" w:hAnsi="Arial"/>
                <w:b w:val="0"/>
                <w:sz w:val="13"/>
              </w:rPr>
              <w:t>nan</w:t>
            </w:r>
          </w:p>
        </w:tc>
        <w:tc>
          <w:tcPr>
            <w:tcW w:type="dxa" w:w="1704"/>
            <w:vAlign w:val="center"/>
          </w:tcPr>
          <w:p>
            <w:r/>
            <w:r>
              <w:rPr>
                <w:rFonts w:ascii="Arial" w:hAnsi="Arial"/>
                <w:b w:val="0"/>
                <w:sz w:val="13"/>
              </w:rPr>
              <w:t>No numeric NaN</w:t>
            </w:r>
          </w:p>
        </w:tc>
      </w:tr>
      <w:tr>
        <w:tc>
          <w:tcPr>
            <w:tcW w:type="dxa" w:w="1704"/>
            <w:vAlign w:val="center"/>
          </w:tcPr>
          <w:p>
            <w:r/>
            <w:r>
              <w:rPr>
                <w:rFonts w:ascii="Arial" w:hAnsi="Arial"/>
                <w:b w:val="0"/>
                <w:sz w:val="13"/>
              </w:rPr>
              <w:t>V07-T02</w:t>
            </w:r>
          </w:p>
        </w:tc>
        <w:tc>
          <w:tcPr>
            <w:tcW w:type="dxa" w:w="1704"/>
            <w:vAlign w:val="center"/>
          </w:tcPr>
          <w:p>
            <w:r/>
            <w:r>
              <w:rPr>
                <w:rFonts w:ascii="Arial" w:hAnsi="Arial"/>
                <w:b w:val="0"/>
                <w:sz w:val="13"/>
              </w:rPr>
              <w:t>face</w:t>
            </w:r>
          </w:p>
        </w:tc>
        <w:tc>
          <w:tcPr>
            <w:tcW w:type="dxa" w:w="1704"/>
            <w:vAlign w:val="center"/>
          </w:tcPr>
          <w:p>
            <w:r/>
            <w:r>
              <w:rPr>
                <w:rFonts w:ascii="Arial" w:hAnsi="Arial"/>
                <w:b w:val="0"/>
                <w:sz w:val="13"/>
              </w:rPr>
              <w:t>Recruitment increases with PEEP</w:t>
            </w:r>
          </w:p>
        </w:tc>
        <w:tc>
          <w:tcPr>
            <w:tcW w:type="dxa" w:w="1704"/>
            <w:vAlign w:val="center"/>
          </w:tcPr>
          <w:p>
            <w:r/>
            <w:r>
              <w:rPr>
                <w:rFonts w:ascii="Arial" w:hAnsi="Arial"/>
                <w:b w:val="0"/>
                <w:sz w:val="13"/>
              </w:rPr>
              <w:t>True</w:t>
            </w:r>
          </w:p>
        </w:tc>
        <w:tc>
          <w:tcPr>
            <w:tcW w:type="dxa" w:w="1704"/>
            <w:vAlign w:val="center"/>
          </w:tcPr>
          <w:p>
            <w:r/>
            <w:r>
              <w:rPr>
                <w:rFonts w:ascii="Arial" w:hAnsi="Arial"/>
                <w:b w:val="0"/>
                <w:sz w:val="13"/>
              </w:rPr>
              <w:t>0.000-&gt;0.994</w:t>
            </w:r>
          </w:p>
        </w:tc>
        <w:tc>
          <w:tcPr>
            <w:tcW w:type="dxa" w:w="1704"/>
            <w:vAlign w:val="center"/>
          </w:tcPr>
          <w:p>
            <w:r/>
            <w:r>
              <w:rPr>
                <w:rFonts w:ascii="Arial" w:hAnsi="Arial"/>
                <w:b w:val="0"/>
                <w:sz w:val="13"/>
              </w:rPr>
              <w:t>High PEEP &gt; low PEEP</w:t>
            </w:r>
          </w:p>
        </w:tc>
      </w:tr>
      <w:tr>
        <w:tc>
          <w:tcPr>
            <w:tcW w:type="dxa" w:w="1704"/>
            <w:vAlign w:val="center"/>
          </w:tcPr>
          <w:p>
            <w:r/>
            <w:r>
              <w:rPr>
                <w:rFonts w:ascii="Arial" w:hAnsi="Arial"/>
                <w:b w:val="0"/>
                <w:sz w:val="13"/>
              </w:rPr>
              <w:t>V07-T03</w:t>
            </w:r>
          </w:p>
        </w:tc>
        <w:tc>
          <w:tcPr>
            <w:tcW w:type="dxa" w:w="1704"/>
            <w:vAlign w:val="center"/>
          </w:tcPr>
          <w:p>
            <w:r/>
            <w:r>
              <w:rPr>
                <w:rFonts w:ascii="Arial" w:hAnsi="Arial"/>
                <w:b w:val="0"/>
                <w:sz w:val="13"/>
              </w:rPr>
              <w:t>face</w:t>
            </w:r>
          </w:p>
        </w:tc>
        <w:tc>
          <w:tcPr>
            <w:tcW w:type="dxa" w:w="1704"/>
            <w:vAlign w:val="center"/>
          </w:tcPr>
          <w:p>
            <w:r/>
            <w:r>
              <w:rPr>
                <w:rFonts w:ascii="Arial" w:hAnsi="Arial"/>
                <w:b w:val="0"/>
                <w:sz w:val="13"/>
              </w:rPr>
              <w:t>Collapse decreases with PEEP</w:t>
            </w:r>
          </w:p>
        </w:tc>
        <w:tc>
          <w:tcPr>
            <w:tcW w:type="dxa" w:w="1704"/>
            <w:vAlign w:val="center"/>
          </w:tcPr>
          <w:p>
            <w:r/>
            <w:r>
              <w:rPr>
                <w:rFonts w:ascii="Arial" w:hAnsi="Arial"/>
                <w:b w:val="0"/>
                <w:sz w:val="13"/>
              </w:rPr>
              <w:t>True</w:t>
            </w:r>
          </w:p>
        </w:tc>
        <w:tc>
          <w:tcPr>
            <w:tcW w:type="dxa" w:w="1704"/>
            <w:vAlign w:val="center"/>
          </w:tcPr>
          <w:p>
            <w:r/>
            <w:r>
              <w:rPr>
                <w:rFonts w:ascii="Arial" w:hAnsi="Arial"/>
                <w:b w:val="0"/>
                <w:sz w:val="13"/>
              </w:rPr>
              <w:t>1.000-&gt;0.006</w:t>
            </w:r>
          </w:p>
        </w:tc>
        <w:tc>
          <w:tcPr>
            <w:tcW w:type="dxa" w:w="1704"/>
            <w:vAlign w:val="center"/>
          </w:tcPr>
          <w:p>
            <w:r/>
            <w:r>
              <w:rPr>
                <w:rFonts w:ascii="Arial" w:hAnsi="Arial"/>
                <w:b w:val="0"/>
                <w:sz w:val="13"/>
              </w:rPr>
              <w:t>High PEEP &lt; low PEEP</w:t>
            </w:r>
          </w:p>
        </w:tc>
      </w:tr>
      <w:tr>
        <w:tc>
          <w:tcPr>
            <w:tcW w:type="dxa" w:w="1704"/>
            <w:vAlign w:val="center"/>
          </w:tcPr>
          <w:p>
            <w:r/>
            <w:r>
              <w:rPr>
                <w:rFonts w:ascii="Arial" w:hAnsi="Arial"/>
                <w:b w:val="0"/>
                <w:sz w:val="13"/>
              </w:rPr>
              <w:t>V07-T04</w:t>
            </w:r>
          </w:p>
        </w:tc>
        <w:tc>
          <w:tcPr>
            <w:tcW w:type="dxa" w:w="1704"/>
            <w:vAlign w:val="center"/>
          </w:tcPr>
          <w:p>
            <w:r/>
            <w:r>
              <w:rPr>
                <w:rFonts w:ascii="Arial" w:hAnsi="Arial"/>
                <w:b w:val="0"/>
                <w:sz w:val="13"/>
              </w:rPr>
              <w:t>face</w:t>
            </w:r>
          </w:p>
        </w:tc>
        <w:tc>
          <w:tcPr>
            <w:tcW w:type="dxa" w:w="1704"/>
            <w:vAlign w:val="center"/>
          </w:tcPr>
          <w:p>
            <w:r/>
            <w:r>
              <w:rPr>
                <w:rFonts w:ascii="Arial" w:hAnsi="Arial"/>
                <w:b w:val="0"/>
                <w:sz w:val="13"/>
              </w:rPr>
              <w:t>Overdistension increases with high PEEP</w:t>
            </w:r>
          </w:p>
        </w:tc>
        <w:tc>
          <w:tcPr>
            <w:tcW w:type="dxa" w:w="1704"/>
            <w:vAlign w:val="center"/>
          </w:tcPr>
          <w:p>
            <w:r/>
            <w:r>
              <w:rPr>
                <w:rFonts w:ascii="Arial" w:hAnsi="Arial"/>
                <w:b w:val="0"/>
                <w:sz w:val="13"/>
              </w:rPr>
              <w:t>True</w:t>
            </w:r>
          </w:p>
        </w:tc>
        <w:tc>
          <w:tcPr>
            <w:tcW w:type="dxa" w:w="1704"/>
            <w:vAlign w:val="center"/>
          </w:tcPr>
          <w:p>
            <w:r/>
            <w:r>
              <w:rPr>
                <w:rFonts w:ascii="Arial" w:hAnsi="Arial"/>
                <w:b w:val="0"/>
                <w:sz w:val="13"/>
              </w:rPr>
              <w:t>0.000-&gt;0.313</w:t>
            </w:r>
          </w:p>
        </w:tc>
        <w:tc>
          <w:tcPr>
            <w:tcW w:type="dxa" w:w="1704"/>
            <w:vAlign w:val="center"/>
          </w:tcPr>
          <w:p>
            <w:r/>
            <w:r>
              <w:rPr>
                <w:rFonts w:ascii="Arial" w:hAnsi="Arial"/>
                <w:b w:val="0"/>
                <w:sz w:val="13"/>
              </w:rPr>
              <w:t>High PEEP &gt; low PEEP</w:t>
            </w:r>
          </w:p>
        </w:tc>
      </w:tr>
      <w:tr>
        <w:tc>
          <w:tcPr>
            <w:tcW w:type="dxa" w:w="1704"/>
            <w:vAlign w:val="center"/>
          </w:tcPr>
          <w:p>
            <w:r/>
            <w:r>
              <w:rPr>
                <w:rFonts w:ascii="Arial" w:hAnsi="Arial"/>
                <w:b w:val="0"/>
                <w:sz w:val="13"/>
              </w:rPr>
              <w:t>V07-T05</w:t>
            </w:r>
          </w:p>
        </w:tc>
        <w:tc>
          <w:tcPr>
            <w:tcW w:type="dxa" w:w="1704"/>
            <w:vAlign w:val="center"/>
          </w:tcPr>
          <w:p>
            <w:r/>
            <w:r>
              <w:rPr>
                <w:rFonts w:ascii="Arial" w:hAnsi="Arial"/>
                <w:b w:val="0"/>
                <w:sz w:val="13"/>
              </w:rPr>
              <w:t>construct</w:t>
            </w:r>
          </w:p>
        </w:tc>
        <w:tc>
          <w:tcPr>
            <w:tcW w:type="dxa" w:w="1704"/>
            <w:vAlign w:val="center"/>
          </w:tcPr>
          <w:p>
            <w:r/>
            <w:r>
              <w:rPr>
                <w:rFonts w:ascii="Arial" w:hAnsi="Arial"/>
                <w:b w:val="0"/>
                <w:sz w:val="13"/>
              </w:rPr>
              <w:t>Time-dependent hysteresis gives matched-PEEP memory effect</w:t>
            </w:r>
          </w:p>
        </w:tc>
        <w:tc>
          <w:tcPr>
            <w:tcW w:type="dxa" w:w="1704"/>
            <w:vAlign w:val="center"/>
          </w:tcPr>
          <w:p>
            <w:r/>
            <w:r>
              <w:rPr>
                <w:rFonts w:ascii="Arial" w:hAnsi="Arial"/>
                <w:b w:val="0"/>
                <w:sz w:val="13"/>
              </w:rPr>
              <w:t>True</w:t>
            </w:r>
          </w:p>
        </w:tc>
        <w:tc>
          <w:tcPr>
            <w:tcW w:type="dxa" w:w="1704"/>
            <w:vAlign w:val="center"/>
          </w:tcPr>
          <w:p>
            <w:r/>
            <w:r>
              <w:rPr>
                <w:rFonts w:ascii="Arial" w:hAnsi="Arial"/>
                <w:b w:val="0"/>
                <w:sz w:val="13"/>
              </w:rPr>
              <w:t>0.591</w:t>
            </w:r>
          </w:p>
        </w:tc>
        <w:tc>
          <w:tcPr>
            <w:tcW w:type="dxa" w:w="1704"/>
            <w:vAlign w:val="center"/>
          </w:tcPr>
          <w:p>
            <w:r/>
            <w:r>
              <w:rPr>
                <w:rFonts w:ascii="Arial" w:hAnsi="Arial"/>
                <w:b w:val="0"/>
                <w:sz w:val="13"/>
              </w:rPr>
              <w:t>&gt;0.05</w:t>
            </w:r>
          </w:p>
        </w:tc>
      </w:tr>
      <w:tr>
        <w:tc>
          <w:tcPr>
            <w:tcW w:type="dxa" w:w="1704"/>
            <w:vAlign w:val="center"/>
          </w:tcPr>
          <w:p>
            <w:r/>
            <w:r>
              <w:rPr>
                <w:rFonts w:ascii="Arial" w:hAnsi="Arial"/>
                <w:b w:val="0"/>
                <w:sz w:val="13"/>
              </w:rPr>
              <w:t>V07-T06</w:t>
            </w:r>
          </w:p>
        </w:tc>
        <w:tc>
          <w:tcPr>
            <w:tcW w:type="dxa" w:w="1704"/>
            <w:vAlign w:val="center"/>
          </w:tcPr>
          <w:p>
            <w:r/>
            <w:r>
              <w:rPr>
                <w:rFonts w:ascii="Arial" w:hAnsi="Arial"/>
                <w:b w:val="0"/>
                <w:sz w:val="13"/>
              </w:rPr>
              <w:t>construct</w:t>
            </w:r>
          </w:p>
        </w:tc>
        <w:tc>
          <w:tcPr>
            <w:tcW w:type="dxa" w:w="1704"/>
            <w:vAlign w:val="center"/>
          </w:tcPr>
          <w:p>
            <w:r/>
            <w:r>
              <w:rPr>
                <w:rFonts w:ascii="Arial" w:hAnsi="Arial"/>
                <w:b w:val="0"/>
                <w:sz w:val="13"/>
              </w:rPr>
              <w:t>CO2 clearance is nonmonotonic and peaks away from highest PEEP</w:t>
            </w:r>
          </w:p>
        </w:tc>
        <w:tc>
          <w:tcPr>
            <w:tcW w:type="dxa" w:w="1704"/>
            <w:vAlign w:val="center"/>
          </w:tcPr>
          <w:p>
            <w:r/>
            <w:r>
              <w:rPr>
                <w:rFonts w:ascii="Arial" w:hAnsi="Arial"/>
                <w:b w:val="0"/>
                <w:sz w:val="13"/>
              </w:rPr>
              <w:t>True</w:t>
            </w:r>
          </w:p>
        </w:tc>
        <w:tc>
          <w:tcPr>
            <w:tcW w:type="dxa" w:w="1704"/>
            <w:vAlign w:val="center"/>
          </w:tcPr>
          <w:p>
            <w:r/>
            <w:r>
              <w:rPr>
                <w:rFonts w:ascii="Arial" w:hAnsi="Arial"/>
                <w:b w:val="0"/>
                <w:sz w:val="13"/>
              </w:rPr>
              <w:t>peak PEEP 16</w:t>
            </w:r>
          </w:p>
        </w:tc>
        <w:tc>
          <w:tcPr>
            <w:tcW w:type="dxa" w:w="1704"/>
            <w:vAlign w:val="center"/>
          </w:tcPr>
          <w:p>
            <w:r/>
            <w:r>
              <w:rPr>
                <w:rFonts w:ascii="Arial" w:hAnsi="Arial"/>
                <w:b w:val="0"/>
                <w:sz w:val="13"/>
              </w:rPr>
              <w:t>&lt; maximum tested PEEP</w:t>
            </w:r>
          </w:p>
        </w:tc>
      </w:tr>
      <w:tr>
        <w:tc>
          <w:tcPr>
            <w:tcW w:type="dxa" w:w="1704"/>
            <w:vAlign w:val="center"/>
          </w:tcPr>
          <w:p>
            <w:r/>
            <w:r>
              <w:rPr>
                <w:rFonts w:ascii="Arial" w:hAnsi="Arial"/>
                <w:b w:val="0"/>
                <w:sz w:val="13"/>
              </w:rPr>
              <w:t>V07-T07</w:t>
            </w:r>
          </w:p>
        </w:tc>
        <w:tc>
          <w:tcPr>
            <w:tcW w:type="dxa" w:w="1704"/>
            <w:vAlign w:val="center"/>
          </w:tcPr>
          <w:p>
            <w:r/>
            <w:r>
              <w:rPr>
                <w:rFonts w:ascii="Arial" w:hAnsi="Arial"/>
                <w:b w:val="0"/>
                <w:sz w:val="13"/>
              </w:rPr>
              <w:t>construct</w:t>
            </w:r>
          </w:p>
        </w:tc>
        <w:tc>
          <w:tcPr>
            <w:tcW w:type="dxa" w:w="1704"/>
            <w:vAlign w:val="center"/>
          </w:tcPr>
          <w:p>
            <w:r/>
            <w:r>
              <w:rPr>
                <w:rFonts w:ascii="Arial" w:hAnsi="Arial"/>
                <w:b w:val="0"/>
                <w:sz w:val="13"/>
              </w:rPr>
              <w:t>Oxygenation target remains above regional balance target</w:t>
            </w:r>
          </w:p>
        </w:tc>
        <w:tc>
          <w:tcPr>
            <w:tcW w:type="dxa" w:w="1704"/>
            <w:vAlign w:val="center"/>
          </w:tcPr>
          <w:p>
            <w:r/>
            <w:r>
              <w:rPr>
                <w:rFonts w:ascii="Arial" w:hAnsi="Arial"/>
                <w:b w:val="0"/>
                <w:sz w:val="13"/>
              </w:rPr>
              <w:t>True</w:t>
            </w:r>
          </w:p>
        </w:tc>
        <w:tc>
          <w:tcPr>
            <w:tcW w:type="dxa" w:w="1704"/>
            <w:vAlign w:val="center"/>
          </w:tcPr>
          <w:p>
            <w:r/>
            <w:r>
              <w:rPr>
                <w:rFonts w:ascii="Arial" w:hAnsi="Arial"/>
                <w:b w:val="0"/>
                <w:sz w:val="13"/>
              </w:rPr>
              <w:t>O2=24.0; balance=16.0</w:t>
            </w:r>
          </w:p>
        </w:tc>
        <w:tc>
          <w:tcPr>
            <w:tcW w:type="dxa" w:w="1704"/>
            <w:vAlign w:val="center"/>
          </w:tcPr>
          <w:p>
            <w:r/>
            <w:r>
              <w:rPr>
                <w:rFonts w:ascii="Arial" w:hAnsi="Arial"/>
                <w:b w:val="0"/>
                <w:sz w:val="13"/>
              </w:rPr>
              <w:t>O2 PEEP &gt; regional balance PEEP</w:t>
            </w:r>
          </w:p>
        </w:tc>
      </w:tr>
      <w:tr>
        <w:tc>
          <w:tcPr>
            <w:tcW w:type="dxa" w:w="1704"/>
            <w:vAlign w:val="center"/>
          </w:tcPr>
          <w:p>
            <w:r/>
            <w:r>
              <w:rPr>
                <w:rFonts w:ascii="Arial" w:hAnsi="Arial"/>
                <w:b w:val="0"/>
                <w:sz w:val="13"/>
              </w:rPr>
              <w:t>V07-T08</w:t>
            </w:r>
          </w:p>
        </w:tc>
        <w:tc>
          <w:tcPr>
            <w:tcW w:type="dxa" w:w="1704"/>
            <w:vAlign w:val="center"/>
          </w:tcPr>
          <w:p>
            <w:r/>
            <w:r>
              <w:rPr>
                <w:rFonts w:ascii="Arial" w:hAnsi="Arial"/>
                <w:b w:val="0"/>
                <w:sz w:val="13"/>
              </w:rPr>
              <w:t>robustness</w:t>
            </w:r>
          </w:p>
        </w:tc>
        <w:tc>
          <w:tcPr>
            <w:tcW w:type="dxa" w:w="1704"/>
            <w:vAlign w:val="center"/>
          </w:tcPr>
          <w:p>
            <w:r/>
            <w:r>
              <w:rPr>
                <w:rFonts w:ascii="Arial" w:hAnsi="Arial"/>
                <w:b w:val="0"/>
                <w:sz w:val="13"/>
              </w:rPr>
              <w:t>Regional balance target remains below oxygenation across all balance penalties</w:t>
            </w:r>
          </w:p>
        </w:tc>
        <w:tc>
          <w:tcPr>
            <w:tcW w:type="dxa" w:w="1704"/>
            <w:vAlign w:val="center"/>
          </w:tcPr>
          <w:p>
            <w:r/>
            <w:r>
              <w:rPr>
                <w:rFonts w:ascii="Arial" w:hAnsi="Arial"/>
                <w:b w:val="0"/>
                <w:sz w:val="13"/>
              </w:rPr>
              <w:t>True</w:t>
            </w:r>
          </w:p>
        </w:tc>
        <w:tc>
          <w:tcPr>
            <w:tcW w:type="dxa" w:w="1704"/>
            <w:vAlign w:val="center"/>
          </w:tcPr>
          <w:p>
            <w:r/>
            <w:r>
              <w:rPr>
                <w:rFonts w:ascii="Arial" w:hAnsi="Arial"/>
                <w:b w:val="0"/>
                <w:sz w:val="13"/>
              </w:rPr>
              <w:t>[(1.0, 16.0, 24.0), (1.65, 16.0, 24.0), (2.5, 16.0, 24.0)]</w:t>
            </w:r>
          </w:p>
        </w:tc>
        <w:tc>
          <w:tcPr>
            <w:tcW w:type="dxa" w:w="1704"/>
            <w:vAlign w:val="center"/>
          </w:tcPr>
          <w:p>
            <w:r/>
            <w:r>
              <w:rPr>
                <w:rFonts w:ascii="Arial" w:hAnsi="Arial"/>
                <w:b w:val="0"/>
                <w:sz w:val="13"/>
              </w:rPr>
              <w:t>All penalty settings</w:t>
            </w:r>
          </w:p>
        </w:tc>
      </w:tr>
      <w:tr>
        <w:tc>
          <w:tcPr>
            <w:tcW w:type="dxa" w:w="1704"/>
            <w:vAlign w:val="center"/>
          </w:tcPr>
          <w:p>
            <w:r/>
            <w:r>
              <w:rPr>
                <w:rFonts w:ascii="Arial" w:hAnsi="Arial"/>
                <w:b w:val="0"/>
                <w:sz w:val="13"/>
              </w:rPr>
              <w:t>V07-T09</w:t>
            </w:r>
          </w:p>
        </w:tc>
        <w:tc>
          <w:tcPr>
            <w:tcW w:type="dxa" w:w="1704"/>
            <w:vAlign w:val="center"/>
          </w:tcPr>
          <w:p>
            <w:r/>
            <w:r>
              <w:rPr>
                <w:rFonts w:ascii="Arial" w:hAnsi="Arial"/>
                <w:b w:val="0"/>
                <w:sz w:val="13"/>
              </w:rPr>
              <w:t>robustness</w:t>
            </w:r>
          </w:p>
        </w:tc>
        <w:tc>
          <w:tcPr>
            <w:tcW w:type="dxa" w:w="1704"/>
            <w:vAlign w:val="center"/>
          </w:tcPr>
          <w:p>
            <w:r/>
            <w:r>
              <w:rPr>
                <w:rFonts w:ascii="Arial" w:hAnsi="Arial"/>
                <w:b w:val="0"/>
                <w:sz w:val="13"/>
              </w:rPr>
              <w:t>Gas-exchange balance target does not default to highest PEEP</w:t>
            </w:r>
          </w:p>
        </w:tc>
        <w:tc>
          <w:tcPr>
            <w:tcW w:type="dxa" w:w="1704"/>
            <w:vAlign w:val="center"/>
          </w:tcPr>
          <w:p>
            <w:r/>
            <w:r>
              <w:rPr>
                <w:rFonts w:ascii="Arial" w:hAnsi="Arial"/>
                <w:b w:val="0"/>
                <w:sz w:val="13"/>
              </w:rPr>
              <w:t>True</w:t>
            </w:r>
          </w:p>
        </w:tc>
        <w:tc>
          <w:tcPr>
            <w:tcW w:type="dxa" w:w="1704"/>
            <w:vAlign w:val="center"/>
          </w:tcPr>
          <w:p>
            <w:r/>
            <w:r>
              <w:rPr>
                <w:rFonts w:ascii="Arial" w:hAnsi="Arial"/>
                <w:b w:val="0"/>
                <w:sz w:val="13"/>
              </w:rPr>
              <w:t>16.0</w:t>
            </w:r>
          </w:p>
        </w:tc>
        <w:tc>
          <w:tcPr>
            <w:tcW w:type="dxa" w:w="1704"/>
            <w:vAlign w:val="center"/>
          </w:tcPr>
          <w:p>
            <w:r/>
            <w:r>
              <w:rPr>
                <w:rFonts w:ascii="Arial" w:hAnsi="Arial"/>
                <w:b w:val="0"/>
                <w:sz w:val="13"/>
              </w:rPr>
              <w:t>&lt; 24</w:t>
            </w:r>
          </w:p>
        </w:tc>
      </w:tr>
      <w:tr>
        <w:tc>
          <w:tcPr>
            <w:tcW w:type="dxa" w:w="1704"/>
            <w:vAlign w:val="center"/>
          </w:tcPr>
          <w:p>
            <w:r/>
            <w:r>
              <w:rPr>
                <w:rFonts w:ascii="Arial" w:hAnsi="Arial"/>
                <w:b w:val="0"/>
                <w:sz w:val="13"/>
              </w:rPr>
              <w:t>V07-T10</w:t>
            </w:r>
          </w:p>
        </w:tc>
        <w:tc>
          <w:tcPr>
            <w:tcW w:type="dxa" w:w="1704"/>
            <w:vAlign w:val="center"/>
          </w:tcPr>
          <w:p>
            <w:r/>
            <w:r>
              <w:rPr>
                <w:rFonts w:ascii="Arial" w:hAnsi="Arial"/>
                <w:b w:val="0"/>
                <w:sz w:val="13"/>
              </w:rPr>
              <w:t>construct</w:t>
            </w:r>
          </w:p>
        </w:tc>
        <w:tc>
          <w:tcPr>
            <w:tcW w:type="dxa" w:w="1704"/>
            <w:vAlign w:val="center"/>
          </w:tcPr>
          <w:p>
            <w:r/>
            <w:r>
              <w:rPr>
                <w:rFonts w:ascii="Arial" w:hAnsi="Arial"/>
                <w:b w:val="0"/>
                <w:sz w:val="13"/>
              </w:rPr>
              <w:t>Severity increases regional-balance PEEP</w:t>
            </w:r>
          </w:p>
        </w:tc>
        <w:tc>
          <w:tcPr>
            <w:tcW w:type="dxa" w:w="1704"/>
            <w:vAlign w:val="center"/>
          </w:tcPr>
          <w:p>
            <w:r/>
            <w:r>
              <w:rPr>
                <w:rFonts w:ascii="Arial" w:hAnsi="Arial"/>
                <w:b w:val="0"/>
                <w:sz w:val="13"/>
              </w:rPr>
              <w:t>True</w:t>
            </w:r>
          </w:p>
        </w:tc>
        <w:tc>
          <w:tcPr>
            <w:tcW w:type="dxa" w:w="1704"/>
            <w:vAlign w:val="center"/>
          </w:tcPr>
          <w:p>
            <w:r/>
            <w:r>
              <w:rPr>
                <w:rFonts w:ascii="Arial" w:hAnsi="Arial"/>
                <w:b w:val="0"/>
                <w:sz w:val="13"/>
              </w:rPr>
              <w:t>[12.0, 14.0, 16.0, 16.0]</w:t>
            </w:r>
          </w:p>
        </w:tc>
        <w:tc>
          <w:tcPr>
            <w:tcW w:type="dxa" w:w="1704"/>
            <w:vAlign w:val="center"/>
          </w:tcPr>
          <w:p>
            <w:r/>
            <w:r>
              <w:rPr>
                <w:rFonts w:ascii="Arial" w:hAnsi="Arial"/>
                <w:b w:val="0"/>
                <w:sz w:val="13"/>
              </w:rPr>
              <w:t>nondecreasing</w:t>
            </w:r>
          </w:p>
        </w:tc>
      </w:tr>
    </w:tbl>
    <w:p>
      <w:pPr>
        <w:pStyle w:val="Heading1"/>
      </w:pPr>
      <w:r>
        <w:t>S1.12. Primary v0.7 outputs</w:t>
      </w:r>
    </w:p>
    <w:p>
      <w:pPr>
        <w:spacing w:after="100"/>
      </w:pPr>
      <w:r>
        <w:t>In the primary scenario, the default model identified regional-balance, compliance, CO2-clearance, minimum CO2-retention risk and gas-exchange-balance targets at 16-16 cmH2O, whereas the intentionally monotonic oxygenation surrogate selected 24 cmH2O. These numerical values are model outputs and are not clinical recommendations.</w:t>
      </w:r>
    </w:p>
    <w:p>
      <w:pPr>
        <w:pStyle w:val="Heading1"/>
      </w:pPr>
      <w:r>
        <w:t>S1.13. Reproducibility</w:t>
      </w:r>
    </w:p>
    <w:p>
      <w:pPr>
        <w:spacing w:after="100"/>
      </w:pPr>
      <w:r>
        <w:t>The code package specifies the random seeds used in the default outputs. Re-running the scripts reproduces the tables and figures in the manuscript. The source code should be deposited with the manuscript.</w:t>
      </w:r>
    </w:p>
    <w:p>
      <w:pPr>
        <w:pStyle w:val="Heading1"/>
      </w:pPr>
      <w:r>
        <w:t>Supplementary references</w:t>
      </w:r>
    </w:p>
    <w:p>
      <w:pPr>
        <w:ind w:hanging="360" w:left="360"/>
      </w:pPr>
      <w:r>
        <w:t>1. Emeriaud G, Lopez-Fernandez YM, Iyer NP, et al. Executive summary of the second international guidelines for the diagnosis and management of pediatric acute respiratory distress syndrome (PALICC-2). Pediatr Crit Care Med. 2023;24:143-168.</w:t>
      </w:r>
    </w:p>
    <w:p>
      <w:pPr>
        <w:ind w:hanging="360" w:left="360"/>
      </w:pPr>
      <w:r>
        <w:t>2. Thorsteinsson A, Jonmarker C, Larsson A, Vilstrup C, Werner O. Functional residual capacity in anesthetized children: normal values and values in children with cardiac anomalies. Anesthesiology. 1990;73:876-881.</w:t>
      </w:r>
    </w:p>
    <w:p>
      <w:pPr>
        <w:ind w:hanging="360" w:left="360"/>
      </w:pPr>
      <w:r>
        <w:t>3. Thorsteinsson A. Airway closure in anesthetized infants and children. Acta Anaesthesiol Scand. 2002;46:529-536.</w:t>
      </w:r>
    </w:p>
    <w:p>
      <w:pPr>
        <w:ind w:hanging="360" w:left="360"/>
      </w:pPr>
      <w:r>
        <w:t>4. Song IK, Kim EH, Lee JH, Ro S, Kim HS, Kim JT. Effects of an alveolar recruitment manoeuvre guided by lung ultrasound on anaesthesia-induced atelectasis in infants: a randomised, controlled trial. Anaesthesia. 2017;72:214-222.</w:t>
      </w:r>
    </w:p>
    <w:p>
      <w:pPr>
        <w:ind w:hanging="360" w:left="360"/>
      </w:pPr>
      <w:r>
        <w:t>5. Gao Q, et al. Effect of ultrasound-guided lung recruitment manoeuvre on atelectasis in infants under general anaesthesia. Br J Anaesth. 2023.</w:t>
      </w:r>
    </w:p>
    <w:p>
      <w:pPr>
        <w:ind w:hanging="360" w:left="360"/>
      </w:pPr>
      <w:r>
        <w:t>6. Rosemeier I, Reiter K, Obermeier V, et al. Mechanical ventilation guided by electrical impedance tomography in children with acute lung injury. Crit Care Explor. 2019;1:e0020.</w:t>
      </w:r>
    </w:p>
    <w:p>
      <w:pPr>
        <w:ind w:hanging="360" w:left="360"/>
      </w:pPr>
      <w:r>
        <w:t>7. Costa ELV, Borges JB, Melo A, et al. Bedside estimation of recruitable alveolar collapse and hyperdistension by electrical impedance tomography. Intensive Care Med. 2009;35:1132-1137.</w:t>
      </w:r>
    </w:p>
    <w:p>
      <w:pPr>
        <w:ind w:hanging="360" w:left="360"/>
      </w:pPr>
      <w:r>
        <w:t>8. Amato MBP, Meade MO, Slutsky AS, et al. Driving pressure and survival in the acute respiratory distress syndrome. N Engl J Med. 2015;372:747-755.</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S1 PRE v0.8</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