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A" w:val="clear"/>
            <w:tcMar>
              <w:top w:type="dxa" w:w="400"/>
              <w:left w:type="dxa" w:w="500"/>
              <w:bottom w:type="dxa" w:w="200"/>
              <w:right w:type="dxa" w:w="500"/>
            </w:tcMar>
          </w:tcPr>
          <w:p>
            <w:pPr>
              <w:jc w:val="left"/>
            </w:pPr>
            <w:r>
              <w:rPr>
                <w:rFonts w:ascii="Calibri" w:cs="Calibri" w:eastAsia="Calibri" w:hAnsi="Calibri"/>
                <w:b/>
                <w:bCs/>
                <w:color w:val="FFFFFF"/>
                <w:sz w:val="36"/>
                <w:szCs w:val="36"/>
              </w:rPr>
              <w:t xml:space="preserve">TECHNEXUS MALAWI</w:t>
            </w:r>
          </w:p>
          <w:p>
            <w:pPr>
              <w:spacing w:before="40"/>
              <w:jc w:val="left"/>
            </w:pPr>
            <w:r>
              <w:rPr>
                <w:rFonts w:ascii="Calibri" w:cs="Calibri" w:eastAsia="Calibri" w:hAnsi="Calibri"/>
                <w:color w:val="A8C4DC"/>
                <w:sz w:val="20"/>
                <w:szCs w:val="20"/>
              </w:rPr>
              <w:t xml:space="preserve">IT Solutions &amp; Equipment Supply</w:t>
            </w:r>
          </w:p>
        </w:tc>
      </w:tr>
      <w:tr>
        <w:tc>
          <w:tcPr>
            <w:tcBorders>
              <w:top w:val="none" w:color="FFFFFF" w:sz="0"/>
              <w:left w:val="none" w:color="FFFFFF" w:sz="0"/>
              <w:bottom w:val="none" w:color="FFFFFF" w:sz="0"/>
              <w:right w:val="none" w:color="FFFFFF" w:sz="0"/>
            </w:tcBorders>
            <w:shd w:fill="0078D4" w:val="clear"/>
            <w:tcMar>
              <w:top w:type="dxa" w:w="160"/>
              <w:left w:type="dxa" w:w="500"/>
              <w:bottom w:type="dxa" w:w="160"/>
              <w:right w:type="dxa" w:w="500"/>
            </w:tcMar>
          </w:tcPr>
          <w:p>
            <w:pPr>
              <w:jc w:val="left"/>
            </w:pPr>
            <w:r>
              <w:rPr>
                <w:rFonts w:ascii="Calibri" w:cs="Calibri" w:eastAsia="Calibri" w:hAnsi="Calibri"/>
                <w:b/>
                <w:bCs/>
                <w:caps/>
                <w:color w:val="FFFFFF"/>
                <w:sz w:val="30"/>
                <w:szCs w:val="30"/>
              </w:rPr>
              <w:t xml:space="preserve">BUSINESS PROPOSAL</w:t>
            </w:r>
          </w:p>
          <w:p>
            <w:pPr>
              <w:spacing w:before="40"/>
              <w:jc w:val="left"/>
            </w:pPr>
            <w:r>
              <w:rPr>
                <w:rFonts w:ascii="Calibri" w:cs="Calibri" w:eastAsia="Calibri" w:hAnsi="Calibri"/>
                <w:color w:val="D0E8F8"/>
                <w:sz w:val="20"/>
                <w:szCs w:val="20"/>
              </w:rPr>
              <w:t xml:space="preserve">Mid-Tier Insurance Operations Suite  |  On-Premise Deployment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color w:val="555555"/>
                <w:sz w:val="16"/>
                <w:szCs w:val="16"/>
              </w:rPr>
              <w:t xml:space="preserve">PREPARED BY</w:t>
            </w:r>
          </w:p>
          <w:p>
            <w:r>
              <w:rPr>
                <w:rFonts w:ascii="Calibri" w:cs="Calibri" w:eastAsia="Calibri" w:hAnsi="Calibri"/>
                <w:b/>
                <w:bCs/>
                <w:color w:val="1A1A1A"/>
                <w:sz w:val="18"/>
                <w:szCs w:val="18"/>
              </w:rPr>
              <w:t xml:space="preserve">TechNexus Malawi</w:t>
            </w:r>
          </w:p>
        </w:tc>
        <w:tc>
          <w:tcPr>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color w:val="555555"/>
                <w:sz w:val="16"/>
                <w:szCs w:val="16"/>
              </w:rPr>
              <w:t xml:space="preserve">DATE</w:t>
            </w:r>
          </w:p>
          <w:p>
            <w:r>
              <w:rPr>
                <w:rFonts w:ascii="Calibri" w:cs="Calibri" w:eastAsia="Calibri" w:hAnsi="Calibri"/>
                <w:b/>
                <w:bCs/>
                <w:color w:val="1A1A1A"/>
                <w:sz w:val="18"/>
                <w:szCs w:val="18"/>
              </w:rPr>
              <w:t xml:space="preserve">31 March 2026</w:t>
            </w:r>
          </w:p>
        </w:tc>
        <w:tc>
          <w:tcPr>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color w:val="555555"/>
                <w:sz w:val="16"/>
                <w:szCs w:val="16"/>
              </w:rPr>
              <w:t xml:space="preserve">DOCUMENT TYPE</w:t>
            </w:r>
          </w:p>
          <w:p>
            <w:r>
              <w:rPr>
                <w:rFonts w:ascii="Calibri" w:cs="Calibri" w:eastAsia="Calibri" w:hAnsi="Calibri"/>
                <w:b/>
                <w:bCs/>
                <w:color w:val="1A1A1A"/>
                <w:sz w:val="18"/>
                <w:szCs w:val="18"/>
              </w:rPr>
              <w:t xml:space="preserve">Business Proposal</w:t>
            </w:r>
          </w:p>
        </w:tc>
        <w:tc>
          <w:tcPr>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color w:val="555555"/>
                <w:sz w:val="16"/>
                <w:szCs w:val="16"/>
              </w:rPr>
              <w:t xml:space="preserve">CURRENCY</w:t>
            </w:r>
          </w:p>
          <w:p>
            <w:r>
              <w:rPr>
                <w:rFonts w:ascii="Calibri" w:cs="Calibri" w:eastAsia="Calibri" w:hAnsi="Calibri"/>
                <w:b/>
                <w:bCs/>
                <w:color w:val="1A1A1A"/>
                <w:sz w:val="18"/>
                <w:szCs w:val="18"/>
              </w:rPr>
              <w:t xml:space="preserve">Malawian Kwacha (MWK)</w:t>
            </w:r>
          </w:p>
        </w:tc>
      </w:tr>
    </w:tbl>
    <w:p>
      <w:pPr>
        <w:spacing w:before="0" w:after="16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Executive Summary</w:t>
      </w:r>
    </w:p>
    <w:p>
      <w:pPr>
        <w:spacing w:before="80" w:after="80"/>
        <w:jc w:val="both"/>
      </w:pPr>
      <w:r>
        <w:rPr>
          <w:rFonts w:ascii="Calibri" w:cs="Calibri" w:eastAsia="Calibri" w:hAnsi="Calibri"/>
          <w:color w:val="1A1A1A"/>
          <w:sz w:val="20"/>
          <w:szCs w:val="20"/>
        </w:rPr>
        <w:t xml:space="preserve">TechNexus Malawi proposes a modular, locally hosted insurance operations suite designed for approximately 30 users across 3 branches with moderate transaction volume. The proposed solution is built to strengthen operational control, improve claims and policy processing, and eliminate visibility gaps in file movement, portfolio reassignment, and audit tracking.</w:t>
      </w:r>
    </w:p>
    <w:p>
      <w:pPr>
        <w:spacing w:before="80" w:after="80"/>
        <w:jc w:val="both"/>
      </w:pPr>
      <w:r>
        <w:rPr>
          <w:rFonts w:ascii="Calibri" w:cs="Calibri" w:eastAsia="Calibri" w:hAnsi="Calibri"/>
          <w:color w:val="1A1A1A"/>
          <w:sz w:val="20"/>
          <w:szCs w:val="20"/>
        </w:rPr>
        <w:t xml:space="preserve">The suite is designed for institutions that require more than basic record storage. It delivers traceability, workflow discipline, reconciliation, and management visibility across distributed branch operations. The recommended mid-tier implementation is commercially sensible, technically proven, and structured for phased delivery.</w:t>
      </w:r>
    </w:p>
    <w:p>
      <w:pPr>
        <w:spacing w:before="0" w:after="8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Business Need</w:t>
      </w:r>
    </w:p>
    <w:p>
      <w:pPr>
        <w:spacing w:before="80" w:after="80"/>
        <w:jc w:val="both"/>
      </w:pPr>
      <w:r>
        <w:rPr>
          <w:rFonts w:ascii="Calibri" w:cs="Calibri" w:eastAsia="Calibri" w:hAnsi="Calibri"/>
          <w:color w:val="1A1A1A"/>
          <w:sz w:val="20"/>
          <w:szCs w:val="20"/>
        </w:rPr>
        <w:t xml:space="preserve">Many insurance operations continue to rely on fragmented manual processes, shared files, spreadsheets, or legacy systems that provide weak control over record movement and ownership changes. This results in:</w:t>
      </w:r>
    </w:p>
    <w:p>
      <w:pPr>
        <w:pStyle w:val="ListParagraph"/>
        <w:numPr>
          <w:ilvl w:val="0"/>
          <w:numId w:val="2"/>
        </w:numPr>
        <w:spacing w:before="40" w:after="40"/>
      </w:pPr>
      <w:r>
        <w:rPr>
          <w:rFonts w:ascii="Calibri" w:cs="Calibri" w:eastAsia="Calibri" w:hAnsi="Calibri"/>
          <w:color w:val="1A1A1A"/>
          <w:sz w:val="20"/>
          <w:szCs w:val="20"/>
        </w:rPr>
        <w:t xml:space="preserve">Slow service turnaround and delayed claim resolution</w:t>
      </w:r>
    </w:p>
    <w:p>
      <w:pPr>
        <w:pStyle w:val="ListParagraph"/>
        <w:numPr>
          <w:ilvl w:val="0"/>
          <w:numId w:val="2"/>
        </w:numPr>
        <w:spacing w:before="40" w:after="40"/>
      </w:pPr>
      <w:r>
        <w:rPr>
          <w:rFonts w:ascii="Calibri" w:cs="Calibri" w:eastAsia="Calibri" w:hAnsi="Calibri"/>
          <w:color w:val="1A1A1A"/>
          <w:sz w:val="20"/>
          <w:szCs w:val="20"/>
        </w:rPr>
        <w:t xml:space="preserve">Duplicate or missing records due to uncontrolled file movement</w:t>
      </w:r>
    </w:p>
    <w:p>
      <w:pPr>
        <w:pStyle w:val="ListParagraph"/>
        <w:numPr>
          <w:ilvl w:val="0"/>
          <w:numId w:val="2"/>
        </w:numPr>
        <w:spacing w:before="40" w:after="40"/>
      </w:pPr>
      <w:r>
        <w:rPr>
          <w:rFonts w:ascii="Calibri" w:cs="Calibri" w:eastAsia="Calibri" w:hAnsi="Calibri"/>
          <w:color w:val="1A1A1A"/>
          <w:sz w:val="20"/>
          <w:szCs w:val="20"/>
        </w:rPr>
        <w:t xml:space="preserve">Poor audit readiness and limited compliance documentation</w:t>
      </w:r>
    </w:p>
    <w:p>
      <w:pPr>
        <w:pStyle w:val="ListParagraph"/>
        <w:numPr>
          <w:ilvl w:val="0"/>
          <w:numId w:val="2"/>
        </w:numPr>
        <w:spacing w:before="40" w:after="40"/>
      </w:pPr>
      <w:r>
        <w:rPr>
          <w:rFonts w:ascii="Calibri" w:cs="Calibri" w:eastAsia="Calibri" w:hAnsi="Calibri"/>
          <w:color w:val="1A1A1A"/>
          <w:sz w:val="20"/>
          <w:szCs w:val="20"/>
        </w:rPr>
        <w:t xml:space="preserve">Limited management visibility over file, portfolio, and claims status</w:t>
      </w:r>
    </w:p>
    <w:p>
      <w:pPr>
        <w:pStyle w:val="ListParagraph"/>
        <w:numPr>
          <w:ilvl w:val="0"/>
          <w:numId w:val="2"/>
        </w:numPr>
        <w:spacing w:before="40" w:after="40"/>
      </w:pPr>
      <w:r>
        <w:rPr>
          <w:rFonts w:ascii="Calibri" w:cs="Calibri" w:eastAsia="Calibri" w:hAnsi="Calibri"/>
          <w:color w:val="1A1A1A"/>
          <w:sz w:val="20"/>
          <w:szCs w:val="20"/>
        </w:rPr>
        <w:t xml:space="preserve">Inconsistent follow-up on renewals and customer retention</w:t>
      </w:r>
    </w:p>
    <w:p>
      <w:pPr>
        <w:spacing w:before="0" w:after="80"/>
      </w:pPr>
      <w:r>
        <w:t xml:space="preserve"/>
      </w:r>
    </w:p>
    <w:p>
      <w:pPr>
        <w:spacing w:before="80" w:after="80"/>
        <w:jc w:val="both"/>
      </w:pPr>
      <w:r>
        <w:rPr>
          <w:rFonts w:ascii="Calibri" w:cs="Calibri" w:eastAsia="Calibri" w:hAnsi="Calibri"/>
          <w:color w:val="1A1A1A"/>
          <w:sz w:val="20"/>
          <w:szCs w:val="20"/>
        </w:rPr>
        <w:t xml:space="preserve">TechNexus addresses this by building control-driven systems where every transaction, transfer, approval, and document movement is properly recorded, approved where necessary, and fully traceable throughout its lifecycle.</w:t>
      </w:r>
    </w:p>
    <w:p>
      <w:pPr>
        <w:spacing w:before="0" w:after="8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Scope of Supply</w:t>
      </w:r>
    </w:p>
    <w:p>
      <w:pPr>
        <w:spacing w:before="80" w:after="80"/>
        <w:jc w:val="both"/>
      </w:pPr>
      <w:r>
        <w:rPr>
          <w:rFonts w:ascii="Calibri" w:cs="Calibri" w:eastAsia="Calibri" w:hAnsi="Calibri"/>
          <w:color w:val="1A1A1A"/>
          <w:sz w:val="20"/>
          <w:szCs w:val="20"/>
        </w:rPr>
        <w:t xml:space="preserve">The proposed mid-tier suite comprises seven integrated modules: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MODULE</w:t>
            </w:r>
          </w:p>
        </w:tc>
        <w:tc>
          <w:tcPr>
            <w:tcW w:type="dxa" w:w="656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DESCRIPTION</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Core Platform &amp; Security</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User management, branch setup, roles, permissions, approval matrix, notifications, search, and system configuration across all branches.</w:t>
            </w:r>
          </w:p>
        </w:tc>
      </w:tr>
      <w:tr>
        <w:tc>
          <w:tcPr>
            <w:tcW w:type="dxa" w:w="28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Portfolio Transfer Control</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Controlled movement of portfolios, files, policies, claims, or case ownership between users, branches, or departments with full audit trail.</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Document &amp; Records Management</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Central digital repository for policy, claims, and customer files with indexing, upload, retrieval, archival, and version tracking.</w:t>
            </w:r>
          </w:p>
        </w:tc>
      </w:tr>
      <w:tr>
        <w:tc>
          <w:tcPr>
            <w:tcW w:type="dxa" w:w="28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Audit &amp; Executive Dashboard</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Management dashboards covering pending approvals, unreconciled movements, service bottlenecks, KPIs, and exception reporting.</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Claims Management</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First notification of loss, claims registration, assessment workflow, reserves, approvals, settlement, and closure tracking.</w:t>
            </w:r>
          </w:p>
        </w:tc>
      </w:tr>
      <w:tr>
        <w:tc>
          <w:tcPr>
            <w:tcW w:type="dxa" w:w="28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Policy Administration</w:t>
            </w:r>
          </w:p>
        </w:tc>
        <w:tc>
          <w:tcPr>
            <w:tcW w:type="dxa" w:w="65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Quotation, issuance, endorsements, renewals, cancellations, policy history, and premium schedules.</w:t>
            </w:r>
          </w:p>
        </w:tc>
      </w:tr>
      <w:tr>
        <w:tc>
          <w:tcPr>
            <w:tcW w:type="dxa" w:w="28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CRM &amp; Renewals</w:t>
            </w:r>
          </w:p>
        </w:tc>
        <w:tc>
          <w:tcPr>
            <w:tcW w:type="dxa" w:w="65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Customer profile management, reminders, renewal pipeline, follow-up actions, lapse tracking, and retention reporting.</w:t>
            </w:r>
          </w:p>
        </w:tc>
      </w:tr>
    </w:tbl>
    <w:p>
      <w:pPr>
        <w:spacing w:before="0" w:after="8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Expected Business Outcomes</w:t>
      </w:r>
    </w:p>
    <w:p>
      <w:pPr>
        <w:pStyle w:val="ListParagraph"/>
        <w:numPr>
          <w:ilvl w:val="0"/>
          <w:numId w:val="2"/>
        </w:numPr>
        <w:spacing w:before="40" w:after="40"/>
      </w:pPr>
      <w:r>
        <w:rPr>
          <w:rFonts w:ascii="Calibri" w:cs="Calibri" w:eastAsia="Calibri" w:hAnsi="Calibri"/>
          <w:color w:val="1A1A1A"/>
          <w:sz w:val="20"/>
          <w:szCs w:val="20"/>
        </w:rPr>
        <w:t xml:space="preserve">Reduction in manual tracking effort and paperwork across branches</w:t>
      </w:r>
    </w:p>
    <w:p>
      <w:pPr>
        <w:pStyle w:val="ListParagraph"/>
        <w:numPr>
          <w:ilvl w:val="0"/>
          <w:numId w:val="2"/>
        </w:numPr>
        <w:spacing w:before="40" w:after="40"/>
      </w:pPr>
      <w:r>
        <w:rPr>
          <w:rFonts w:ascii="Calibri" w:cs="Calibri" w:eastAsia="Calibri" w:hAnsi="Calibri"/>
          <w:color w:val="1A1A1A"/>
          <w:sz w:val="20"/>
          <w:szCs w:val="20"/>
        </w:rPr>
        <w:t xml:space="preserve">Improved file and portfolio accountability with full ownership trail</w:t>
      </w:r>
    </w:p>
    <w:p>
      <w:pPr>
        <w:pStyle w:val="ListParagraph"/>
        <w:numPr>
          <w:ilvl w:val="0"/>
          <w:numId w:val="2"/>
        </w:numPr>
        <w:spacing w:before="40" w:after="40"/>
      </w:pPr>
      <w:r>
        <w:rPr>
          <w:rFonts w:ascii="Calibri" w:cs="Calibri" w:eastAsia="Calibri" w:hAnsi="Calibri"/>
          <w:color w:val="1A1A1A"/>
          <w:sz w:val="20"/>
          <w:szCs w:val="20"/>
        </w:rPr>
        <w:t xml:space="preserve">Accelerated service turnaround on claims, policies, and renewals</w:t>
      </w:r>
    </w:p>
    <w:p>
      <w:pPr>
        <w:pStyle w:val="ListParagraph"/>
        <w:numPr>
          <w:ilvl w:val="0"/>
          <w:numId w:val="2"/>
        </w:numPr>
        <w:spacing w:before="40" w:after="40"/>
      </w:pPr>
      <w:r>
        <w:rPr>
          <w:rFonts w:ascii="Calibri" w:cs="Calibri" w:eastAsia="Calibri" w:hAnsi="Calibri"/>
          <w:color w:val="1A1A1A"/>
          <w:sz w:val="20"/>
          <w:szCs w:val="20"/>
        </w:rPr>
        <w:t xml:space="preserve">Management dashboards enabling data-driven decision-making</w:t>
      </w:r>
    </w:p>
    <w:p>
      <w:pPr>
        <w:pStyle w:val="ListParagraph"/>
        <w:numPr>
          <w:ilvl w:val="0"/>
          <w:numId w:val="2"/>
        </w:numPr>
        <w:spacing w:before="40" w:after="40"/>
      </w:pPr>
      <w:r>
        <w:rPr>
          <w:rFonts w:ascii="Calibri" w:cs="Calibri" w:eastAsia="Calibri" w:hAnsi="Calibri"/>
          <w:color w:val="1A1A1A"/>
          <w:sz w:val="20"/>
          <w:szCs w:val="20"/>
        </w:rPr>
        <w:t xml:space="preserve">Stronger audit trail for operational and compliance reviews</w:t>
      </w:r>
    </w:p>
    <w:p>
      <w:pPr>
        <w:pStyle w:val="ListParagraph"/>
        <w:numPr>
          <w:ilvl w:val="0"/>
          <w:numId w:val="2"/>
        </w:numPr>
        <w:spacing w:before="40" w:after="40"/>
      </w:pPr>
      <w:r>
        <w:rPr>
          <w:rFonts w:ascii="Calibri" w:cs="Calibri" w:eastAsia="Calibri" w:hAnsi="Calibri"/>
          <w:color w:val="1A1A1A"/>
          <w:sz w:val="20"/>
          <w:szCs w:val="20"/>
        </w:rPr>
        <w:t xml:space="preserve">Phased implementation reduces rollout risk and upfront disruption</w:t>
      </w:r>
    </w:p>
    <w:p>
      <w:pPr>
        <w:spacing w:before="0" w:after="8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Implementation Approach</w:t>
      </w:r>
    </w:p>
    <w:p>
      <w:pPr>
        <w:spacing w:before="80" w:after="80"/>
        <w:jc w:val="both"/>
      </w:pPr>
      <w:r>
        <w:rPr>
          <w:rFonts w:ascii="Calibri" w:cs="Calibri" w:eastAsia="Calibri" w:hAnsi="Calibri"/>
          <w:color w:val="1A1A1A"/>
          <w:sz w:val="20"/>
          <w:szCs w:val="20"/>
        </w:rPr>
        <w:t xml:space="preserve">The project will be delivered across five structured phases over an indicative period of 24 weeks from kick-off, subject to timely approvals, infrastructure readiness, and data availability: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PHASE</w:t>
            </w:r>
          </w:p>
        </w:tc>
        <w:tc>
          <w:tcPr>
            <w:tcW w:type="dxa" w:w="140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DURATION</w:t>
            </w:r>
          </w:p>
        </w:tc>
        <w:tc>
          <w:tcPr>
            <w:tcW w:type="dxa" w:w="576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SUMMARY</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Discovery &amp; Requirements</w:t>
            </w:r>
          </w:p>
        </w:tc>
        <w:tc>
          <w:tcPr>
            <w:tcW w:type="dxa" w:w="14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3 weeks</w:t>
            </w:r>
          </w:p>
        </w:tc>
        <w:tc>
          <w:tcPr>
            <w:tcW w:type="dxa" w:w="57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Process mapping, scope confirmation, user stories, forms, approval flows, and reporting requirements.</w:t>
            </w:r>
          </w:p>
        </w:tc>
      </w:tr>
      <w:tr>
        <w:tc>
          <w:tcPr>
            <w:tcW w:type="dxa" w:w="22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Solution Design &amp; Prototype</w:t>
            </w:r>
          </w:p>
        </w:tc>
        <w:tc>
          <w:tcPr>
            <w:tcW w:type="dxa" w:w="14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3 weeks</w:t>
            </w:r>
          </w:p>
        </w:tc>
        <w:tc>
          <w:tcPr>
            <w:tcW w:type="dxa" w:w="57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Architecture, database design, UX prototype, module flow validation, and stakeholder sign-off.</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Build &amp; Internal QA</w:t>
            </w:r>
          </w:p>
        </w:tc>
        <w:tc>
          <w:tcPr>
            <w:tcW w:type="dxa" w:w="14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12 weeks</w:t>
            </w:r>
          </w:p>
        </w:tc>
        <w:tc>
          <w:tcPr>
            <w:tcW w:type="dxa" w:w="57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Core platform, control modules, claims, policy, CRM, dashboards, and integration testing.</w:t>
            </w:r>
          </w:p>
        </w:tc>
      </w:tr>
      <w:tr>
        <w:tc>
          <w:tcPr>
            <w:tcW w:type="dxa" w:w="22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b/>
                <w:bCs/>
                <w:color w:val="1A2E4A"/>
                <w:sz w:val="18"/>
                <w:szCs w:val="18"/>
              </w:rPr>
              <w:t xml:space="preserve">UAT &amp; Refinement</w:t>
            </w:r>
          </w:p>
        </w:tc>
        <w:tc>
          <w:tcPr>
            <w:tcW w:type="dxa" w:w="14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4 weeks</w:t>
            </w:r>
          </w:p>
        </w:tc>
        <w:tc>
          <w:tcPr>
            <w:tcW w:type="dxa" w:w="57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User acceptance testing, defect resolution, report tuning, and training preparation.</w:t>
            </w:r>
          </w:p>
        </w:tc>
      </w:tr>
      <w:tr>
        <w:tc>
          <w:tcPr>
            <w:tcW w:type="dxa" w:w="22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18"/>
                <w:szCs w:val="18"/>
              </w:rPr>
              <w:t xml:space="preserve">Deployment &amp; Go-Live</w:t>
            </w:r>
          </w:p>
        </w:tc>
        <w:tc>
          <w:tcPr>
            <w:tcW w:type="dxa" w:w="14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2 weeks</w:t>
            </w:r>
          </w:p>
        </w:tc>
        <w:tc>
          <w:tcPr>
            <w:tcW w:type="dxa" w:w="57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color w:val="1A1A1A"/>
                <w:sz w:val="18"/>
                <w:szCs w:val="18"/>
              </w:rPr>
              <w:t xml:space="preserve">Server setup, production deployment, user training, and post-go-live support.</w:t>
            </w:r>
          </w:p>
        </w:tc>
      </w:tr>
    </w:tbl>
    <w:p>
      <w:pPr>
        <w:spacing w:before="0" w:after="8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Commercial Position</w:t>
      </w:r>
    </w:p>
    <w:p>
      <w:pPr>
        <w:spacing w:before="80" w:after="80"/>
        <w:jc w:val="both"/>
      </w:pPr>
      <w:r>
        <w:rPr>
          <w:rFonts w:ascii="Calibri" w:cs="Calibri" w:eastAsia="Calibri" w:hAnsi="Calibri"/>
          <w:color w:val="1A1A1A"/>
          <w:sz w:val="20"/>
          <w:szCs w:val="20"/>
        </w:rPr>
        <w:t xml:space="preserve">This proposal is structured as a one-time implementation and licence fee for the full mid-tier suite, with an optional annual support and maintenance arrangement after go-live. All amounts are presented in Malawian Kwacha (MWK) at the agreed exchange rate of USD 1 = MWK 1,800.</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r>
              <w:rPr>
                <w:rFonts w:ascii="Calibri" w:cs="Calibri" w:eastAsia="Calibri" w:hAnsi="Calibri"/>
                <w:b/>
                <w:bCs/>
                <w:color w:val="FFFFFF"/>
                <w:sz w:val="18"/>
                <w:szCs w:val="18"/>
              </w:rPr>
              <w:t xml:space="preserve">DESCRIPTION</w:t>
            </w:r>
          </w:p>
        </w:tc>
        <w:tc>
          <w:tcPr>
            <w:tcW w:type="dxa" w:w="2360"/>
            <w:tcBorders>
              <w:top w:val="single" w:color="C8D8E8" w:sz="1"/>
              <w:left w:val="single" w:color="C8D8E8" w:sz="1"/>
              <w:bottom w:val="single" w:color="C8D8E8" w:sz="1"/>
              <w:right w:val="single" w:color="C8D8E8" w:sz="1"/>
            </w:tcBorders>
            <w:shd w:fill="1A2E4A" w:val="clear"/>
            <w:tcMar>
              <w:top w:type="dxa" w:w="100"/>
              <w:left w:type="dxa" w:w="150"/>
              <w:bottom w:type="dxa" w:w="100"/>
              <w:right w:type="dxa" w:w="100"/>
            </w:tcMar>
          </w:tcPr>
          <w:p>
            <w:pPr>
              <w:jc w:val="right"/>
            </w:pPr>
            <w:r>
              <w:rPr>
                <w:rFonts w:ascii="Calibri" w:cs="Calibri" w:eastAsia="Calibri" w:hAnsi="Calibri"/>
                <w:b/>
                <w:bCs/>
                <w:color w:val="FFFFFF"/>
                <w:sz w:val="18"/>
                <w:szCs w:val="18"/>
              </w:rPr>
              <w:t xml:space="preserve">AMOUNT (MWK)</w:t>
            </w:r>
          </w:p>
        </w:tc>
      </w:tr>
      <w:tr>
        <w:tc>
          <w:tcPr>
            <w:tcW w:type="dxa" w:w="700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r>
              <w:rPr>
                <w:rFonts w:ascii="Calibri" w:cs="Calibri" w:eastAsia="Calibri" w:hAnsi="Calibri"/>
                <w:b/>
                <w:bCs/>
                <w:color w:val="1A2E4A"/>
                <w:sz w:val="20"/>
                <w:szCs w:val="20"/>
              </w:rPr>
              <w:t xml:space="preserve">Total Implementation &amp; Licence Fee</w:t>
            </w:r>
          </w:p>
        </w:tc>
        <w:tc>
          <w:tcPr>
            <w:tcW w:type="dxa" w:w="2360"/>
            <w:tcBorders>
              <w:top w:val="single" w:color="C8D8E8" w:sz="1"/>
              <w:left w:val="single" w:color="C8D8E8" w:sz="1"/>
              <w:bottom w:val="single" w:color="C8D8E8" w:sz="1"/>
              <w:right w:val="single" w:color="C8D8E8" w:sz="1"/>
            </w:tcBorders>
            <w:shd w:fill="FFFFFF" w:val="clear"/>
            <w:tcMar>
              <w:top w:type="dxa" w:w="80"/>
              <w:left w:type="dxa" w:w="150"/>
              <w:bottom w:type="dxa" w:w="80"/>
              <w:right w:type="dxa" w:w="100"/>
            </w:tcMar>
          </w:tcPr>
          <w:p>
            <w:pPr>
              <w:jc w:val="right"/>
            </w:pPr>
            <w:r>
              <w:rPr>
                <w:rFonts w:ascii="Calibri" w:cs="Calibri" w:eastAsia="Calibri" w:hAnsi="Calibri"/>
                <w:b/>
                <w:bCs/>
                <w:color w:val="1A2E4A"/>
                <w:sz w:val="20"/>
                <w:szCs w:val="20"/>
              </w:rPr>
              <w:t xml:space="preserve">MK 155,700,000</w:t>
            </w:r>
          </w:p>
        </w:tc>
      </w:tr>
      <w:tr>
        <w:tc>
          <w:tcPr>
            <w:tcW w:type="dxa" w:w="700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r>
              <w:rPr>
                <w:rFonts w:ascii="Calibri" w:cs="Calibri" w:eastAsia="Calibri" w:hAnsi="Calibri"/>
                <w:color w:val="1A1A1A"/>
                <w:sz w:val="18"/>
                <w:szCs w:val="18"/>
              </w:rPr>
              <w:t xml:space="preserve">Optional Annual Support &amp; Maintenance (15% of project value)</w:t>
            </w:r>
          </w:p>
        </w:tc>
        <w:tc>
          <w:tcPr>
            <w:tcW w:type="dxa" w:w="2360"/>
            <w:tcBorders>
              <w:top w:val="single" w:color="C8D8E8" w:sz="1"/>
              <w:left w:val="single" w:color="C8D8E8" w:sz="1"/>
              <w:bottom w:val="single" w:color="C8D8E8" w:sz="1"/>
              <w:right w:val="single" w:color="C8D8E8" w:sz="1"/>
            </w:tcBorders>
            <w:shd w:fill="F5F7FA" w:val="clear"/>
            <w:tcMar>
              <w:top w:type="dxa" w:w="80"/>
              <w:left w:type="dxa" w:w="150"/>
              <w:bottom w:type="dxa" w:w="80"/>
              <w:right w:type="dxa" w:w="100"/>
            </w:tcMar>
          </w:tcPr>
          <w:p>
            <w:pPr>
              <w:jc w:val="right"/>
            </w:pPr>
            <w:r>
              <w:rPr>
                <w:rFonts w:ascii="Calibri" w:cs="Calibri" w:eastAsia="Calibri" w:hAnsi="Calibri"/>
                <w:color w:val="1A1A1A"/>
                <w:sz w:val="18"/>
                <w:szCs w:val="18"/>
              </w:rPr>
              <w:t xml:space="preserve">MK 23,355,000 / yr</w:t>
            </w:r>
          </w:p>
        </w:tc>
      </w:tr>
    </w:tbl>
    <w:p>
      <w:pPr>
        <w:spacing w:before="0" w:after="80"/>
      </w:pPr>
      <w:r>
        <w:t xml:space="preserve"/>
      </w:r>
    </w:p>
    <w:p>
      <w:pPr>
        <w:spacing w:before="80" w:after="80"/>
        <w:jc w:val="both"/>
      </w:pPr>
      <w:r>
        <w:rPr>
          <w:rFonts w:ascii="Calibri" w:cs="Calibri" w:eastAsia="Calibri" w:hAnsi="Calibri"/>
          <w:color w:val="1A1A1A"/>
          <w:sz w:val="20"/>
          <w:szCs w:val="20"/>
        </w:rPr>
        <w:t xml:space="preserve">Hardware procurement, Microsoft licensing, VAT, and major third-party integrations are excluded from the base project fee unless specifically included by written variation.</w:t>
      </w:r>
    </w:p>
    <w:p>
      <w:pPr>
        <w:spacing w:before="0" w:after="8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Assumptions</w:t>
      </w:r>
    </w:p>
    <w:p>
      <w:pPr>
        <w:pStyle w:val="ListParagraph"/>
        <w:numPr>
          <w:ilvl w:val="0"/>
          <w:numId w:val="2"/>
        </w:numPr>
        <w:spacing w:before="40" w:after="40"/>
      </w:pPr>
      <w:r>
        <w:rPr>
          <w:rFonts w:ascii="Calibri" w:cs="Calibri" w:eastAsia="Calibri" w:hAnsi="Calibri"/>
          <w:color w:val="1A1A1A"/>
          <w:sz w:val="20"/>
          <w:szCs w:val="20"/>
        </w:rPr>
        <w:t xml:space="preserve">Approximately 30 named users across 3 branches</w:t>
      </w:r>
    </w:p>
    <w:p>
      <w:pPr>
        <w:pStyle w:val="ListParagraph"/>
        <w:numPr>
          <w:ilvl w:val="0"/>
          <w:numId w:val="2"/>
        </w:numPr>
        <w:spacing w:before="40" w:after="40"/>
      </w:pPr>
      <w:r>
        <w:rPr>
          <w:rFonts w:ascii="Calibri" w:cs="Calibri" w:eastAsia="Calibri" w:hAnsi="Calibri"/>
          <w:color w:val="1A1A1A"/>
          <w:sz w:val="20"/>
          <w:szCs w:val="20"/>
        </w:rPr>
        <w:t xml:space="preserve">Moderate transaction volume (no high-frequency or real-time exchange integration required)</w:t>
      </w:r>
    </w:p>
    <w:p>
      <w:pPr>
        <w:pStyle w:val="ListParagraph"/>
        <w:numPr>
          <w:ilvl w:val="0"/>
          <w:numId w:val="2"/>
        </w:numPr>
        <w:spacing w:before="40" w:after="40"/>
      </w:pPr>
      <w:r>
        <w:rPr>
          <w:rFonts w:ascii="Calibri" w:cs="Calibri" w:eastAsia="Calibri" w:hAnsi="Calibri"/>
          <w:color w:val="1A1A1A"/>
          <w:sz w:val="20"/>
          <w:szCs w:val="20"/>
        </w:rPr>
        <w:t xml:space="preserve">Centrally hosted local servers under the client's control</w:t>
      </w:r>
    </w:p>
    <w:p>
      <w:pPr>
        <w:pStyle w:val="ListParagraph"/>
        <w:numPr>
          <w:ilvl w:val="0"/>
          <w:numId w:val="2"/>
        </w:numPr>
        <w:spacing w:before="40" w:after="40"/>
      </w:pPr>
      <w:r>
        <w:rPr>
          <w:rFonts w:ascii="Calibri" w:cs="Calibri" w:eastAsia="Calibri" w:hAnsi="Calibri"/>
          <w:color w:val="1A1A1A"/>
          <w:sz w:val="20"/>
          <w:szCs w:val="20"/>
        </w:rPr>
        <w:t xml:space="preserve">Standard approval workflows without complex external system dependencies</w:t>
      </w:r>
    </w:p>
    <w:p>
      <w:pPr>
        <w:pStyle w:val="ListParagraph"/>
        <w:numPr>
          <w:ilvl w:val="0"/>
          <w:numId w:val="2"/>
        </w:numPr>
        <w:spacing w:before="40" w:after="40"/>
      </w:pPr>
      <w:r>
        <w:rPr>
          <w:rFonts w:ascii="Calibri" w:cs="Calibri" w:eastAsia="Calibri" w:hAnsi="Calibri"/>
          <w:color w:val="1A1A1A"/>
          <w:sz w:val="20"/>
          <w:szCs w:val="20"/>
        </w:rPr>
        <w:t xml:space="preserve">No large-scale legacy data cleansing beyond agreed migration templates</w:t>
      </w:r>
    </w:p>
    <w:p>
      <w:pPr>
        <w:spacing w:before="0" w:after="80"/>
      </w:pPr>
      <w:r>
        <w:t xml:space="preserve"/>
      </w:r>
    </w:p>
    <w:p>
      <w:pPr>
        <w:pBdr>
          <w:bottom w:val="single" w:color="0078D4" w:sz="4" w:space="4"/>
        </w:pBdr>
        <w:spacing w:before="320" w:after="120"/>
      </w:pPr>
      <w:r>
        <w:rPr>
          <w:rFonts w:ascii="Calibri" w:cs="Calibri" w:eastAsia="Calibri" w:hAnsi="Calibri"/>
          <w:b/>
          <w:bCs/>
          <w:color w:val="1A2E4A"/>
          <w:sz w:val="26"/>
          <w:szCs w:val="26"/>
        </w:rPr>
        <w:t xml:space="preserve">Next Steps</w:t>
      </w:r>
    </w:p>
    <w:p>
      <w:pPr>
        <w:spacing w:before="80" w:after="80"/>
        <w:jc w:val="both"/>
      </w:pPr>
      <w:r>
        <w:rPr>
          <w:rFonts w:ascii="Calibri" w:cs="Calibri" w:eastAsia="Calibri" w:hAnsi="Calibri"/>
          <w:color w:val="1A1A1A"/>
          <w:sz w:val="20"/>
          <w:szCs w:val="20"/>
        </w:rPr>
        <w:t xml:space="preserve">Upon acceptance of this proposal, TechNexus will convene a discovery workshop to validate business processes, confirm scope and reporting requirements, finalise deployment architecture, and produce a detailed project plan and implementation schedule. A formal contract will be issued upon purchase order or written acceptance.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shd w:fill="F5F7FA" w:val="clear"/>
            <w:tcMar>
              <w:top w:type="dxa" w:w="200"/>
              <w:left w:type="dxa" w:w="200"/>
              <w:bottom w:type="dxa" w:w="200"/>
              <w:right w:type="dxa" w:w="200"/>
            </w:tcMar>
          </w:tcPr>
          <w:p>
            <w:r>
              <w:rPr>
                <w:rFonts w:ascii="Calibri" w:cs="Calibri" w:eastAsia="Calibri" w:hAnsi="Calibri"/>
                <w:color w:val="555555"/>
                <w:sz w:val="18"/>
                <w:szCs w:val="18"/>
              </w:rPr>
              <w:t xml:space="preserve">Prepared by:</w:t>
            </w:r>
          </w:p>
          <w:p>
            <w:pPr>
              <w:spacing w:before="80"/>
            </w:pPr>
            <w:r>
              <w:rPr>
                <w:rFonts w:ascii="Calibri" w:cs="Calibri" w:eastAsia="Calibri" w:hAnsi="Calibri"/>
                <w:b/>
                <w:bCs/>
                <w:color w:val="1A2E4A"/>
                <w:sz w:val="22"/>
                <w:szCs w:val="22"/>
              </w:rPr>
              <w:t xml:space="preserve">TechNexus Malawi</w:t>
            </w:r>
          </w:p>
          <w:p>
            <w:r>
              <w:rPr>
                <w:rFonts w:ascii="Calibri" w:cs="Calibri" w:eastAsia="Calibri" w:hAnsi="Calibri"/>
                <w:color w:val="555555"/>
                <w:sz w:val="16"/>
                <w:szCs w:val="16"/>
              </w:rPr>
              <w:t xml:space="preserve">BRN.A6SNWQY  |  MANePS Active</w:t>
            </w:r>
          </w:p>
          <w:p>
            <w:r>
              <w:rPr>
                <w:rFonts w:ascii="Calibri" w:cs="Calibri" w:eastAsia="Calibri" w:hAnsi="Calibri"/>
                <w:color w:val="555555"/>
                <w:sz w:val="16"/>
                <w:szCs w:val="16"/>
              </w:rPr>
              <w:t xml:space="preserve">PPDA Registered  |  MRA Compliant</w:t>
            </w:r>
          </w:p>
          <w:p>
            <w:pPr>
              <w:spacing w:before="0" w:after="80"/>
            </w:pPr>
            <w:r>
              <w:t xml:space="preserve"/>
            </w:r>
          </w:p>
          <w:p>
            <w:r>
              <w:rPr>
                <w:rFonts w:ascii="Calibri" w:cs="Calibri" w:eastAsia="Calibri" w:hAnsi="Calibri"/>
                <w:color w:val="0078D4"/>
                <w:sz w:val="18"/>
                <w:szCs w:val="18"/>
              </w:rPr>
              <w:t xml:space="preserve">www.technexusmw.com</w:t>
            </w:r>
          </w:p>
          <w:p>
            <w:r>
              <w:rPr>
                <w:rFonts w:ascii="Calibri" w:cs="Calibri" w:eastAsia="Calibri" w:hAnsi="Calibri"/>
                <w:color w:val="1A1A1A"/>
                <w:sz w:val="18"/>
                <w:szCs w:val="18"/>
              </w:rPr>
              <w:t xml:space="preserve">+265 889 941 700  |  technexus_mw@proton.me</w:t>
            </w:r>
          </w:p>
          <w:p>
            <w:r>
              <w:rPr>
                <w:rFonts w:ascii="Calibri" w:cs="Calibri" w:eastAsia="Calibri" w:hAnsi="Calibri"/>
                <w:color w:val="1A1A1A"/>
                <w:sz w:val="18"/>
                <w:szCs w:val="18"/>
              </w:rPr>
              <w:t xml:space="preserve">Blantyre, Malawi</w:t>
            </w:r>
          </w:p>
        </w:tc>
        <w:tc>
          <w:tcPr>
            <w:tcW w:type="dxa" w:w="4860"/>
            <w:tcBorders>
              <w:top w:val="none" w:color="FFFFFF" w:sz="0"/>
              <w:left w:val="none" w:color="FFFFFF" w:sz="0"/>
              <w:bottom w:val="none" w:color="FFFFFF" w:sz="0"/>
              <w:right w:val="none" w:color="FFFFFF" w:sz="0"/>
            </w:tcBorders>
            <w:shd w:fill="E8F0FA" w:val="clear"/>
            <w:tcMar>
              <w:top w:type="dxa" w:w="200"/>
              <w:left w:type="dxa" w:w="200"/>
              <w:bottom w:type="dxa" w:w="200"/>
              <w:right w:type="dxa" w:w="200"/>
            </w:tcMar>
          </w:tcPr>
          <w:p>
            <w:r>
              <w:rPr>
                <w:rFonts w:ascii="Calibri" w:cs="Calibri" w:eastAsia="Calibri" w:hAnsi="Calibri"/>
                <w:color w:val="555555"/>
                <w:sz w:val="18"/>
                <w:szCs w:val="18"/>
              </w:rPr>
              <w:t xml:space="preserve">Client Acceptance:</w:t>
            </w:r>
          </w:p>
          <w:p>
            <w:pPr>
              <w:spacing w:before="0" w:after="160"/>
            </w:pPr>
            <w:r>
              <w:t xml:space="preserve"/>
            </w:r>
          </w:p>
          <w:p>
            <w:pPr>
              <w:pBdr>
                <w:bottom w:val="single" w:color="1A2E4A" w:sz="2"/>
              </w:pBdr>
              <w:spacing w:before="300"/>
            </w:pPr>
            <w:r>
              <w:rPr>
                <w:sz w:val="24"/>
                <w:szCs w:val="24"/>
              </w:rPr>
              <w:t xml:space="preserve">  </w:t>
            </w:r>
          </w:p>
          <w:p>
            <w:pPr>
              <w:spacing w:before="60"/>
            </w:pPr>
            <w:r>
              <w:rPr>
                <w:rFonts w:ascii="Calibri" w:cs="Calibri" w:eastAsia="Calibri" w:hAnsi="Calibri"/>
                <w:color w:val="555555"/>
                <w:sz w:val="16"/>
                <w:szCs w:val="16"/>
              </w:rPr>
              <w:t xml:space="preserve">Authorised Signatory  |  Date</w:t>
            </w:r>
          </w:p>
          <w:p>
            <w:pPr>
              <w:spacing w:before="0" w:after="80"/>
            </w:pPr>
            <w:r>
              <w:t xml:space="preserve"/>
            </w:r>
          </w:p>
          <w:p>
            <w:pPr>
              <w:pBdr>
                <w:bottom w:val="single" w:color="1A2E4A" w:sz="2"/>
              </w:pBdr>
              <w:spacing w:before="200"/>
            </w:pPr>
            <w:r>
              <w:rPr>
                <w:sz w:val="24"/>
                <w:szCs w:val="24"/>
              </w:rPr>
              <w:t xml:space="preserve">  </w:t>
            </w:r>
          </w:p>
          <w:p>
            <w:pPr>
              <w:spacing w:before="60"/>
            </w:pPr>
            <w:r>
              <w:rPr>
                <w:rFonts w:ascii="Calibri" w:cs="Calibri" w:eastAsia="Calibri" w:hAnsi="Calibri"/>
                <w:color w:val="555555"/>
                <w:sz w:val="16"/>
                <w:szCs w:val="16"/>
              </w:rPr>
              <w:t xml:space="preserve">Title / Organisation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4" w:space="4"/>
      </w:pBdr>
      <w:tabs>
        <w:tab w:val="right" w:pos="9360"/>
      </w:tabs>
      <w:spacing w:before="80"/>
    </w:pPr>
    <w:r>
      <w:rPr>
        <w:rFonts w:ascii="Calibri" w:cs="Calibri" w:eastAsia="Calibri" w:hAnsi="Calibri"/>
        <w:color w:val="555555"/>
        <w:sz w:val="14"/>
        <w:szCs w:val="14"/>
      </w:rPr>
      <w:t xml:space="preserve">TechNexus Malawi  |  www.technexusmw.com  |  +265 889 941 700  |  technexus_mw@proton.me</w:t>
    </w:r>
    <w:r>
      <w:rPr>
        <w:sz w:val="14"/>
        <w:szCs w:val="14"/>
      </w:rPr>
      <w:t xml:space="preserve">	</w:t>
    </w:r>
    <w:r>
      <w:rPr>
        <w:rFonts w:ascii="Calibri" w:cs="Calibri" w:eastAsia="Calibri" w:hAnsi="Calibri"/>
        <w:color w:val="555555"/>
        <w:sz w:val="14"/>
        <w:szCs w:val="14"/>
      </w:rPr>
      <w:t xml:space="preserve">Page </w:t>
    </w:r>
    <w:r>
      <w:rPr>
        <w:rFonts w:ascii="Calibri" w:cs="Calibri" w:eastAsia="Calibri" w:hAnsi="Calibri"/>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none" w:color="FFFFFF" w:sz="0"/>
            <w:left w:val="none" w:color="FFFFFF" w:sz="0"/>
            <w:bottom w:val="none" w:color="FFFFFF" w:sz="0"/>
            <w:right w:val="none" w:color="FFFFFF" w:sz="0"/>
          </w:tcBorders>
        </w:tcPr>
        <w:p>
          <w:r>
            <w:rPr>
              <w:rFonts w:ascii="Calibri" w:cs="Calibri" w:eastAsia="Calibri" w:hAnsi="Calibri"/>
              <w:b/>
              <w:bCs/>
              <w:color w:val="1A2E4A"/>
              <w:sz w:val="20"/>
              <w:szCs w:val="20"/>
            </w:rPr>
            <w:t xml:space="preserve">TechNexus Malawi</w:t>
          </w:r>
        </w:p>
      </w:tc>
      <w:tc>
        <w:tcPr>
          <w:tcBorders>
            <w:top w:val="none" w:color="FFFFFF" w:sz="0"/>
            <w:left w:val="none" w:color="FFFFFF" w:sz="0"/>
            <w:bottom w:val="none" w:color="FFFFFF" w:sz="0"/>
            <w:right w:val="none" w:color="FFFFFF" w:sz="0"/>
          </w:tcBorders>
        </w:tcPr>
        <w:p>
          <w:pPr>
            <w:jc w:val="right"/>
          </w:pPr>
          <w:r>
            <w:rPr>
              <w:rFonts w:ascii="Calibri" w:cs="Calibri" w:eastAsia="Calibri" w:hAnsi="Calibri"/>
              <w:color w:val="555555"/>
              <w:sz w:val="16"/>
              <w:szCs w:val="16"/>
            </w:rPr>
            <w:t xml:space="preserve">Business Proposal  —  Insurance Operations Suite</w:t>
          </w:r>
        </w:p>
      </w:tc>
    </w:tr>
  </w:tbl>
  <w:p>
    <w:pPr>
      <w:pBdr>
        <w:bottom w:val="single" w:color="0078D4" w:sz="4" w:space="2"/>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2026-03-31T17:08:06.545Z</dcterms:created>
  <dcterms:modified xsi:type="dcterms:W3CDTF">2026-03-31T17:08:06.546Z</dcterms:modified>
</cp:coreProperties>
</file>

<file path=docProps/custom.xml><?xml version="1.0" encoding="utf-8"?>
<Properties xmlns="http://schemas.openxmlformats.org/officeDocument/2006/custom-properties" xmlns:vt="http://schemas.openxmlformats.org/officeDocument/2006/docPropsVTypes"/>
</file>