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A" w:val="clear"/>
            <w:tcMar>
              <w:top w:type="dxa" w:w="400"/>
              <w:left w:type="dxa" w:w="500"/>
              <w:bottom w:type="dxa" w:w="200"/>
              <w:right w:type="dxa" w:w="500"/>
            </w:tcMar>
          </w:tcPr>
          <w:p>
            <w:r>
              <w:rPr>
                <w:rFonts w:ascii="Calibri" w:cs="Calibri" w:eastAsia="Calibri" w:hAnsi="Calibri"/>
                <w:b/>
                <w:bCs/>
                <w:color w:val="FFFFFF"/>
                <w:sz w:val="36"/>
                <w:szCs w:val="36"/>
              </w:rPr>
              <w:t xml:space="preserve">TECHNEXUS MALAWI</w:t>
            </w:r>
          </w:p>
          <w:p>
            <w:pPr>
              <w:spacing w:before="40"/>
            </w:pPr>
            <w:r>
              <w:rPr>
                <w:rFonts w:ascii="Calibri" w:cs="Calibri" w:eastAsia="Calibri" w:hAnsi="Calibri"/>
                <w:color w:val="A8C4DC"/>
                <w:sz w:val="20"/>
                <w:szCs w:val="20"/>
              </w:rPr>
              <w:t xml:space="preserve">IT Solutions &amp; Equipment Supply</w:t>
            </w:r>
          </w:p>
        </w:tc>
      </w:tr>
      <w:tr>
        <w:tc>
          <w:tcPr>
            <w:tcBorders>
              <w:top w:val="none" w:color="FFFFFF" w:sz="0"/>
              <w:left w:val="none" w:color="FFFFFF" w:sz="0"/>
              <w:bottom w:val="none" w:color="FFFFFF" w:sz="0"/>
              <w:right w:val="none" w:color="FFFFFF" w:sz="0"/>
            </w:tcBorders>
            <w:shd w:fill="0078D4" w:val="clear"/>
            <w:tcMar>
              <w:top w:type="dxa" w:w="160"/>
              <w:left w:type="dxa" w:w="500"/>
              <w:bottom w:type="dxa" w:w="160"/>
              <w:right w:type="dxa" w:w="500"/>
            </w:tcMar>
          </w:tcPr>
          <w:p>
            <w:r>
              <w:rPr>
                <w:rFonts w:ascii="Calibri" w:cs="Calibri" w:eastAsia="Calibri" w:hAnsi="Calibri"/>
                <w:b/>
                <w:bCs/>
                <w:caps/>
                <w:color w:val="FFFFFF"/>
                <w:sz w:val="30"/>
                <w:szCs w:val="30"/>
              </w:rPr>
              <w:t xml:space="preserve">TECHNICAL CONCEPT NOTE</w:t>
            </w:r>
          </w:p>
          <w:p>
            <w:pPr>
              <w:spacing w:before="40"/>
            </w:pPr>
            <w:r>
              <w:rPr>
                <w:rFonts w:ascii="Calibri" w:cs="Calibri" w:eastAsia="Calibri" w:hAnsi="Calibri"/>
                <w:color w:val="D0E8F8"/>
                <w:sz w:val="20"/>
                <w:szCs w:val="20"/>
              </w:rPr>
              <w:t xml:space="preserve">Mid-Tier Insurance Operations Suite  |  On-Premise Deployment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Calibri" w:cs="Calibri" w:eastAsia="Calibri" w:hAnsi="Calibri"/>
                <w:color w:val="555555"/>
                <w:sz w:val="16"/>
                <w:szCs w:val="16"/>
              </w:rPr>
              <w:t xml:space="preserve">PREPARED BY</w:t>
            </w:r>
          </w:p>
          <w:p>
            <w:r>
              <w:rPr>
                <w:rFonts w:ascii="Calibri" w:cs="Calibri" w:eastAsia="Calibri" w:hAnsi="Calibri"/>
                <w:b/>
                <w:bCs/>
                <w:color w:val="1A1A1A"/>
                <w:sz w:val="18"/>
                <w:szCs w:val="18"/>
              </w:rPr>
              <w:t xml:space="preserve">TechNexus Malawi</w:t>
            </w:r>
          </w:p>
        </w:tc>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Calibri" w:cs="Calibri" w:eastAsia="Calibri" w:hAnsi="Calibri"/>
                <w:color w:val="555555"/>
                <w:sz w:val="16"/>
                <w:szCs w:val="16"/>
              </w:rPr>
              <w:t xml:space="preserve">DATE</w:t>
            </w:r>
          </w:p>
          <w:p>
            <w:r>
              <w:rPr>
                <w:rFonts w:ascii="Calibri" w:cs="Calibri" w:eastAsia="Calibri" w:hAnsi="Calibri"/>
                <w:b/>
                <w:bCs/>
                <w:color w:val="1A1A1A"/>
                <w:sz w:val="18"/>
                <w:szCs w:val="18"/>
              </w:rPr>
              <w:t xml:space="preserve">31 March 2026</w:t>
            </w:r>
          </w:p>
        </w:tc>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Calibri" w:cs="Calibri" w:eastAsia="Calibri" w:hAnsi="Calibri"/>
                <w:color w:val="555555"/>
                <w:sz w:val="16"/>
                <w:szCs w:val="16"/>
              </w:rPr>
              <w:t xml:space="preserve">DOCUMENT TYPE</w:t>
            </w:r>
          </w:p>
          <w:p>
            <w:r>
              <w:rPr>
                <w:rFonts w:ascii="Calibri" w:cs="Calibri" w:eastAsia="Calibri" w:hAnsi="Calibri"/>
                <w:b/>
                <w:bCs/>
                <w:color w:val="1A1A1A"/>
                <w:sz w:val="18"/>
                <w:szCs w:val="18"/>
              </w:rPr>
              <w:t xml:space="preserve">Technical Concept Note</w:t>
            </w:r>
          </w:p>
        </w:tc>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Calibri" w:cs="Calibri" w:eastAsia="Calibri" w:hAnsi="Calibri"/>
                <w:color w:val="555555"/>
                <w:sz w:val="16"/>
                <w:szCs w:val="16"/>
              </w:rPr>
              <w:t xml:space="preserve">VERSION</w:t>
            </w:r>
          </w:p>
          <w:p>
            <w:r>
              <w:rPr>
                <w:rFonts w:ascii="Calibri" w:cs="Calibri" w:eastAsia="Calibri" w:hAnsi="Calibri"/>
                <w:b/>
                <w:bCs/>
                <w:color w:val="1A1A1A"/>
                <w:sz w:val="18"/>
                <w:szCs w:val="18"/>
              </w:rPr>
              <w:t xml:space="preserve">1.0</w:t>
            </w:r>
          </w:p>
        </w:tc>
      </w:tr>
    </w:tbl>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Project Objective</w:t>
      </w:r>
    </w:p>
    <w:p>
      <w:pPr>
        <w:spacing w:before="60" w:after="60"/>
        <w:jc w:val="both"/>
      </w:pPr>
      <w:r>
        <w:rPr>
          <w:rFonts w:ascii="Calibri" w:cs="Calibri" w:eastAsia="Calibri" w:hAnsi="Calibri"/>
          <w:color w:val="1A1A1A"/>
          <w:sz w:val="20"/>
          <w:szCs w:val="20"/>
        </w:rPr>
        <w:t xml:space="preserve">To design and deploy a secure, modular, and scalable insurance operations suite that improves control over claims, policies, customer records, document movement, portfolio reassignment, and management reporting, while remaining practical for local server hosting under the client's operational control.</w:t>
      </w:r>
    </w:p>
    <w:p>
      <w:pPr>
        <w:spacing w:before="60" w:after="60"/>
        <w:jc w:val="both"/>
      </w:pPr>
      <w:r>
        <w:rPr>
          <w:rFonts w:ascii="Calibri" w:cs="Calibri" w:eastAsia="Calibri" w:hAnsi="Calibri"/>
          <w:color w:val="1A1A1A"/>
          <w:sz w:val="20"/>
          <w:szCs w:val="20"/>
        </w:rPr>
        <w:t xml:space="preserve">The system must provide role-based access control, approval workflow enforcement, full audit trails, and management visibility across all branches and user groups from a single, centrally managed platform.</w:t>
      </w:r>
    </w:p>
    <w:p>
      <w:pPr>
        <w:spacing w:before="0" w:after="8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Solution Overview</w:t>
      </w:r>
    </w:p>
    <w:p>
      <w:pPr>
        <w:spacing w:before="60" w:after="60"/>
        <w:jc w:val="both"/>
      </w:pPr>
      <w:r>
        <w:rPr>
          <w:rFonts w:ascii="Calibri" w:cs="Calibri" w:eastAsia="Calibri" w:hAnsi="Calibri"/>
          <w:color w:val="1A1A1A"/>
          <w:sz w:val="20"/>
          <w:szCs w:val="20"/>
        </w:rPr>
        <w:t xml:space="preserve">The solution will be implemented as a web-based internal business application using a Microsoft technology stack. It will expose a browser-accessible interface available to all authorised users across branches via the internal network. The application provides shared platform services and modular business capabilities, with strong emphasis on auditability, traceability, approval workflow discipline, and exception management.</w:t>
      </w:r>
    </w:p>
    <w:p>
      <w:pPr>
        <w:spacing w:before="0" w:after="8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Functional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COMPONENT</w:t>
            </w:r>
          </w:p>
        </w:tc>
        <w:tc>
          <w:tcPr>
            <w:tcW w:type="dxa" w:w="656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CORE FUNCTIONALITY</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Core Platform</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User management, roles, permissions, branches, master data, workflow setup, notifications, and system configuration. Single sign-on foundation for all modules.</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Portfolio Transfer Control</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Controlled movement of portfolios, files, or case ownership with source deduction, destination confirmation, approval routing, and full movement history.</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Document &amp; Records Management</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Upload, index, retrieve, archive, and track movement of customer, policy, and claims documents. Version control, access permissions, and audit log per document.</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Audit &amp; Executive Dashboard</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KPI views, exception tracking, pending approvals, aged items, SLA breaches, and user activity reporting for management and branch supervisors.</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Claims Management</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Claims registration, first notification of loss, assessment workflow, reserve tracking, approval routing, settlement, and closure. Full lifecycle trace.</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Policy Administration</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Quotation, issuance, endorsements, renewals, cancellations, and policy history. Premium schedules and document generation.</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CRM &amp; Renewals</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Customer profiles, renewals pipeline, reminders, follow-ups, lapse tracking, and retention reporting.</w:t>
            </w:r>
          </w:p>
        </w:tc>
      </w:tr>
    </w:tbl>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LAYER</w:t>
            </w:r>
          </w:p>
        </w:tc>
        <w:tc>
          <w:tcPr>
            <w:tcW w:type="dxa" w:w="656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TECHNOLOGY</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Application Backend</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C# with ASP.NET Core 8 / .NET 8 LTS</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User Interface</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ASP.NET Core MVC or Blazor Server</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Database</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Microsoft SQL Server 2022 Standard</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Hosting</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IIS on Windows Server 2022</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ORM / Data Access</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Entity Framework Core with stored procedures where appropriate</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Authentication</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Application RBAC with Active Directory integration where available</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Reporting</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Built-in reporting with PDF/Excel export; SSRS where required</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Logging &amp; Scheduled Jobs</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Structured application logs and background job scheduler</w:t>
            </w:r>
          </w:p>
        </w:tc>
      </w:tr>
    </w:tbl>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Recommended Infrastructure</w:t>
      </w:r>
    </w:p>
    <w:p>
      <w:pPr>
        <w:spacing w:before="60" w:after="60"/>
        <w:jc w:val="both"/>
      </w:pPr>
      <w:r>
        <w:rPr>
          <w:rFonts w:ascii="Calibri" w:cs="Calibri" w:eastAsia="Calibri" w:hAnsi="Calibri"/>
          <w:color w:val="1A1A1A"/>
          <w:sz w:val="20"/>
          <w:szCs w:val="20"/>
        </w:rPr>
        <w:t xml:space="preserve">The following hardware profile is recommended for 30 concurrent users across 3 branches. Hardware procurement and Microsoft licensing are excluded from the project fee and should be arranged separately by the client.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COMPONENT</w:t>
            </w:r>
          </w:p>
        </w:tc>
        <w:tc>
          <w:tcPr>
            <w:tcW w:type="dxa" w:w="656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RECOMMENDED SPECIFICATION</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Development Machine</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Intel i7 / Ryzen 7 or better, 16 GB RAM minimum (32 GB preferred), 512 GB SSD minimum, Windows 11 Pro with Visual Studio 2022 and SQL Server Developer edition.</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Application Server</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8 CPU cores, 32 GB RAM, 500 GB SSD for OS/application, 1 TB SSD for app data and logs, Windows Server 2022 Standard, IIS 10.</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Database Server</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8–12 CPU cores, 64 GB RAM, RAID 1 for OS, RAID 1 or RAID 10 SSD storage for SQL data and backups, Windows Server 2022 + SQL Server 2022 Standard.</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Backup Platform</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NAS or dedicated backup server with 4–8 TB usable capacity, daily SQL backups, weekly full image backups, offsite or cloud replication recommended.</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Network &amp; Power</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Gigabit LAN at head office, secure branch WAN connectivity (VPN or MPLS), UPS protection on servers and core network equipment.</w:t>
            </w:r>
          </w:p>
        </w:tc>
      </w:tr>
    </w:tbl>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Project Team — Required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ROLE</w:t>
            </w:r>
          </w:p>
        </w:tc>
        <w:tc>
          <w:tcPr>
            <w:tcW w:type="dxa" w:w="656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RESPONSIBILITY</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Business Analyst / Product Lead</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Requirements capture, process mapping, user stories, acceptance criteria, and stakeholder communication.</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C# Backend Developers (x2)</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Business logic, APIs, workflow implementation, data integrations, and security controls.</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Frontend / UI Developer</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User interface screens, usability design, dashboard layout, and responsive internal web forms.</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SQL Developer / DBA</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Database schema, stored procedures, performance tuning, backup configuration, and deployment scripts.</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QA Analyst</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Test planning, regression testing, UAT coordination, defect tracking, and sign-off documentation.</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Infrastructure Engineer</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Server provisioning, IIS configuration, SQL deployment, security hardening, and production rollout.</w:t>
            </w:r>
          </w:p>
        </w:tc>
      </w:tr>
    </w:tbl>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Security and Control Features</w:t>
      </w:r>
    </w:p>
    <w:p>
      <w:pPr>
        <w:pStyle w:val="ListParagraph"/>
        <w:numPr>
          <w:ilvl w:val="0"/>
          <w:numId w:val="2"/>
        </w:numPr>
        <w:spacing w:before="40" w:after="40"/>
      </w:pPr>
      <w:r>
        <w:rPr>
          <w:rFonts w:ascii="Calibri" w:cs="Calibri" w:eastAsia="Calibri" w:hAnsi="Calibri"/>
          <w:color w:val="1A1A1A"/>
          <w:sz w:val="20"/>
          <w:szCs w:val="20"/>
        </w:rPr>
        <w:t xml:space="preserve">Role-based access control (RBAC) with granular permissions per module and branch</w:t>
      </w:r>
    </w:p>
    <w:p>
      <w:pPr>
        <w:pStyle w:val="ListParagraph"/>
        <w:numPr>
          <w:ilvl w:val="0"/>
          <w:numId w:val="2"/>
        </w:numPr>
        <w:spacing w:before="40" w:after="40"/>
      </w:pPr>
      <w:r>
        <w:rPr>
          <w:rFonts w:ascii="Calibri" w:cs="Calibri" w:eastAsia="Calibri" w:hAnsi="Calibri"/>
          <w:color w:val="1A1A1A"/>
          <w:sz w:val="20"/>
          <w:szCs w:val="20"/>
        </w:rPr>
        <w:t xml:space="preserve">Multi-level approval workflow with configurable escalation paths</w:t>
      </w:r>
    </w:p>
    <w:p>
      <w:pPr>
        <w:pStyle w:val="ListParagraph"/>
        <w:numPr>
          <w:ilvl w:val="0"/>
          <w:numId w:val="2"/>
        </w:numPr>
        <w:spacing w:before="40" w:after="40"/>
      </w:pPr>
      <w:r>
        <w:rPr>
          <w:rFonts w:ascii="Calibri" w:cs="Calibri" w:eastAsia="Calibri" w:hAnsi="Calibri"/>
          <w:color w:val="1A1A1A"/>
          <w:sz w:val="20"/>
          <w:szCs w:val="20"/>
        </w:rPr>
        <w:t xml:space="preserve">Full audit trail on all transactions, record movements, and configuration changes</w:t>
      </w:r>
    </w:p>
    <w:p>
      <w:pPr>
        <w:pStyle w:val="ListParagraph"/>
        <w:numPr>
          <w:ilvl w:val="0"/>
          <w:numId w:val="2"/>
        </w:numPr>
        <w:spacing w:before="40" w:after="40"/>
      </w:pPr>
      <w:r>
        <w:rPr>
          <w:rFonts w:ascii="Calibri" w:cs="Calibri" w:eastAsia="Calibri" w:hAnsi="Calibri"/>
          <w:color w:val="1A1A1A"/>
          <w:sz w:val="20"/>
          <w:szCs w:val="20"/>
        </w:rPr>
        <w:t xml:space="preserve">Portfolio and document transfer history with source deduction and destination confirmation</w:t>
      </w:r>
    </w:p>
    <w:p>
      <w:pPr>
        <w:pStyle w:val="ListParagraph"/>
        <w:numPr>
          <w:ilvl w:val="0"/>
          <w:numId w:val="2"/>
        </w:numPr>
        <w:spacing w:before="40" w:after="40"/>
      </w:pPr>
      <w:r>
        <w:rPr>
          <w:rFonts w:ascii="Calibri" w:cs="Calibri" w:eastAsia="Calibri" w:hAnsi="Calibri"/>
          <w:color w:val="1A1A1A"/>
          <w:sz w:val="20"/>
          <w:szCs w:val="20"/>
        </w:rPr>
        <w:t xml:space="preserve">Timestamped activity logging per user, session, and transaction</w:t>
      </w:r>
    </w:p>
    <w:p>
      <w:pPr>
        <w:pStyle w:val="ListParagraph"/>
        <w:numPr>
          <w:ilvl w:val="0"/>
          <w:numId w:val="2"/>
        </w:numPr>
        <w:spacing w:before="40" w:after="40"/>
      </w:pPr>
      <w:r>
        <w:rPr>
          <w:rFonts w:ascii="Calibri" w:cs="Calibri" w:eastAsia="Calibri" w:hAnsi="Calibri"/>
          <w:color w:val="1A1A1A"/>
          <w:sz w:val="20"/>
          <w:szCs w:val="20"/>
        </w:rPr>
        <w:t xml:space="preserve">Password policy enforcement and account lockout controls</w:t>
      </w:r>
    </w:p>
    <w:p>
      <w:pPr>
        <w:pStyle w:val="ListParagraph"/>
        <w:numPr>
          <w:ilvl w:val="0"/>
          <w:numId w:val="2"/>
        </w:numPr>
        <w:spacing w:before="40" w:after="40"/>
      </w:pPr>
      <w:r>
        <w:rPr>
          <w:rFonts w:ascii="Calibri" w:cs="Calibri" w:eastAsia="Calibri" w:hAnsi="Calibri"/>
          <w:color w:val="1A1A1A"/>
          <w:sz w:val="20"/>
          <w:szCs w:val="20"/>
        </w:rPr>
        <w:t xml:space="preserve">Automated backup routines with restore validation procedures</w:t>
      </w:r>
    </w:p>
    <w:p>
      <w:pPr>
        <w:pStyle w:val="ListParagraph"/>
        <w:numPr>
          <w:ilvl w:val="0"/>
          <w:numId w:val="2"/>
        </w:numPr>
        <w:spacing w:before="40" w:after="40"/>
      </w:pPr>
      <w:r>
        <w:rPr>
          <w:rFonts w:ascii="Calibri" w:cs="Calibri" w:eastAsia="Calibri" w:hAnsi="Calibri"/>
          <w:color w:val="1A1A1A"/>
          <w:sz w:val="20"/>
          <w:szCs w:val="20"/>
        </w:rPr>
        <w:t xml:space="preserve">Exception reporting for unresolved, suspicious, or aged record movement events</w:t>
      </w:r>
    </w:p>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Implementation Method</w:t>
      </w:r>
    </w:p>
    <w:p>
      <w:pPr>
        <w:spacing w:before="60" w:after="60"/>
        <w:jc w:val="both"/>
      </w:pPr>
      <w:r>
        <w:rPr>
          <w:rFonts w:ascii="Calibri" w:cs="Calibri" w:eastAsia="Calibri" w:hAnsi="Calibri"/>
          <w:color w:val="1A1A1A"/>
          <w:sz w:val="20"/>
          <w:szCs w:val="20"/>
        </w:rPr>
        <w:t xml:space="preserve">Implementation is proposed in five structured stages, allowing early validation of workflows and reports before significant build effort is committed. This reduces rework risk and builds stakeholder confidence progressively.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PHASE</w:t>
            </w:r>
          </w:p>
        </w:tc>
        <w:tc>
          <w:tcPr>
            <w:tcW w:type="dxa" w:w="656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ACTIVITIES</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1. Discovery (3 wks)</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Structured workshops, process mapping, user story capture, form inventory, approval matrix definition, and scope baseline sign-off.</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2. Design (3 wks)</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Architecture design, database schema, UX wireframes and prototype, module flow validation, and stakeholder review.</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3. Build &amp; QA (12 wks)</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Full module development, unit and integration testing, internal QA cycles, and dashboard/reporting build.</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4. UAT (4 wks)</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Structured user acceptance testing, defect resolution, report tuning, training material preparation, and sign-off.</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5. Deployment (2 wks)</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Server setup, production deployment, user training, go-live support, and handover documentation.</w:t>
            </w:r>
          </w:p>
        </w:tc>
      </w:tr>
    </w:tbl>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Key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RISK</w:t>
            </w:r>
          </w:p>
        </w:tc>
        <w:tc>
          <w:tcPr>
            <w:tcW w:type="dxa" w:w="656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MITIGATION</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Unclear business processes</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Conduct structured discovery workshops and secure written sign-off on all process flows before design begins.</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Legacy data quality issues</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Define migration templates, cleansing rules, and validation checkpoints early in the discovery phase.</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Infrastructure delays</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Confirm server procurement and environment readiness before build completion to avoid deployment bottlenecks.</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Scope creep</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Use a signed requirements baseline and a formal change request process with commercial impact assessment.</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User adoption resistance</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Provide structured training, designate pilot users per branch, produce quick reference guides, and offer post-go-live support.</w:t>
            </w:r>
          </w:p>
        </w:tc>
      </w:tr>
    </w:tbl>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Key Deliverables</w:t>
      </w:r>
    </w:p>
    <w:p>
      <w:pPr>
        <w:pStyle w:val="ListParagraph"/>
        <w:numPr>
          <w:ilvl w:val="0"/>
          <w:numId w:val="2"/>
        </w:numPr>
        <w:spacing w:before="40" w:after="40"/>
      </w:pPr>
      <w:r>
        <w:rPr>
          <w:rFonts w:ascii="Calibri" w:cs="Calibri" w:eastAsia="Calibri" w:hAnsi="Calibri"/>
          <w:color w:val="1A1A1A"/>
          <w:sz w:val="20"/>
          <w:szCs w:val="20"/>
        </w:rPr>
        <w:t xml:space="preserve">Requirements specification document (signed off by client)</w:t>
      </w:r>
    </w:p>
    <w:p>
      <w:pPr>
        <w:pStyle w:val="ListParagraph"/>
        <w:numPr>
          <w:ilvl w:val="0"/>
          <w:numId w:val="2"/>
        </w:numPr>
        <w:spacing w:before="40" w:after="40"/>
      </w:pPr>
      <w:r>
        <w:rPr>
          <w:rFonts w:ascii="Calibri" w:cs="Calibri" w:eastAsia="Calibri" w:hAnsi="Calibri"/>
          <w:color w:val="1A1A1A"/>
          <w:sz w:val="20"/>
          <w:szCs w:val="20"/>
        </w:rPr>
        <w:t xml:space="preserve">Solution design document including database schema and architecture diagram</w:t>
      </w:r>
    </w:p>
    <w:p>
      <w:pPr>
        <w:pStyle w:val="ListParagraph"/>
        <w:numPr>
          <w:ilvl w:val="0"/>
          <w:numId w:val="2"/>
        </w:numPr>
        <w:spacing w:before="40" w:after="40"/>
      </w:pPr>
      <w:r>
        <w:rPr>
          <w:rFonts w:ascii="Calibri" w:cs="Calibri" w:eastAsia="Calibri" w:hAnsi="Calibri"/>
          <w:color w:val="1A1A1A"/>
          <w:sz w:val="20"/>
          <w:szCs w:val="20"/>
        </w:rPr>
        <w:t xml:space="preserve">Fully configured and tested application modules</w:t>
      </w:r>
    </w:p>
    <w:p>
      <w:pPr>
        <w:pStyle w:val="ListParagraph"/>
        <w:numPr>
          <w:ilvl w:val="0"/>
          <w:numId w:val="2"/>
        </w:numPr>
        <w:spacing w:before="40" w:after="40"/>
      </w:pPr>
      <w:r>
        <w:rPr>
          <w:rFonts w:ascii="Calibri" w:cs="Calibri" w:eastAsia="Calibri" w:hAnsi="Calibri"/>
          <w:color w:val="1A1A1A"/>
          <w:sz w:val="20"/>
          <w:szCs w:val="20"/>
        </w:rPr>
        <w:t xml:space="preserve">Deployment package with environment configuration scripts</w:t>
      </w:r>
    </w:p>
    <w:p>
      <w:pPr>
        <w:pStyle w:val="ListParagraph"/>
        <w:numPr>
          <w:ilvl w:val="0"/>
          <w:numId w:val="2"/>
        </w:numPr>
        <w:spacing w:before="40" w:after="40"/>
      </w:pPr>
      <w:r>
        <w:rPr>
          <w:rFonts w:ascii="Calibri" w:cs="Calibri" w:eastAsia="Calibri" w:hAnsi="Calibri"/>
          <w:color w:val="1A1A1A"/>
          <w:sz w:val="20"/>
          <w:szCs w:val="20"/>
        </w:rPr>
        <w:t xml:space="preserve">System administrator guide</w:t>
      </w:r>
    </w:p>
    <w:p>
      <w:pPr>
        <w:pStyle w:val="ListParagraph"/>
        <w:numPr>
          <w:ilvl w:val="0"/>
          <w:numId w:val="2"/>
        </w:numPr>
        <w:spacing w:before="40" w:after="40"/>
      </w:pPr>
      <w:r>
        <w:rPr>
          <w:rFonts w:ascii="Calibri" w:cs="Calibri" w:eastAsia="Calibri" w:hAnsi="Calibri"/>
          <w:color w:val="1A1A1A"/>
          <w:sz w:val="20"/>
          <w:szCs w:val="20"/>
        </w:rPr>
        <w:t xml:space="preserve">End-user guide per module</w:t>
      </w:r>
    </w:p>
    <w:p>
      <w:pPr>
        <w:pStyle w:val="ListParagraph"/>
        <w:numPr>
          <w:ilvl w:val="0"/>
          <w:numId w:val="2"/>
        </w:numPr>
        <w:spacing w:before="40" w:after="40"/>
      </w:pPr>
      <w:r>
        <w:rPr>
          <w:rFonts w:ascii="Calibri" w:cs="Calibri" w:eastAsia="Calibri" w:hAnsi="Calibri"/>
          <w:color w:val="1A1A1A"/>
          <w:sz w:val="20"/>
          <w:szCs w:val="20"/>
        </w:rPr>
        <w:t xml:space="preserve">Training sessions (branch and role-specific)</w:t>
      </w:r>
    </w:p>
    <w:p>
      <w:pPr>
        <w:pStyle w:val="ListParagraph"/>
        <w:numPr>
          <w:ilvl w:val="0"/>
          <w:numId w:val="2"/>
        </w:numPr>
        <w:spacing w:before="40" w:after="40"/>
      </w:pPr>
      <w:r>
        <w:rPr>
          <w:rFonts w:ascii="Calibri" w:cs="Calibri" w:eastAsia="Calibri" w:hAnsi="Calibri"/>
          <w:color w:val="1A1A1A"/>
          <w:sz w:val="20"/>
          <w:szCs w:val="20"/>
        </w:rPr>
        <w:t xml:space="preserve">Go-live support and post-deployment handover documentation</w:t>
      </w:r>
    </w:p>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Conclusion</w:t>
      </w:r>
    </w:p>
    <w:p>
      <w:pPr>
        <w:spacing w:before="60" w:after="60"/>
        <w:jc w:val="both"/>
      </w:pPr>
      <w:r>
        <w:rPr>
          <w:rFonts w:ascii="Calibri" w:cs="Calibri" w:eastAsia="Calibri" w:hAnsi="Calibri"/>
          <w:color w:val="1A1A1A"/>
          <w:sz w:val="20"/>
          <w:szCs w:val="20"/>
        </w:rPr>
        <w:t xml:space="preserve">The proposed project is technically feasible and commercially sensible as a phased mid-tier implementation. The recommended Microsoft architecture, combined with a modular delivery approach, provides a practical balance between current operational needs and room for controlled future growth.</w:t>
      </w:r>
    </w:p>
    <w:p>
      <w:pPr>
        <w:spacing w:before="60" w:after="60"/>
        <w:jc w:val="both"/>
      </w:pPr>
      <w:r>
        <w:rPr>
          <w:rFonts w:ascii="Calibri" w:cs="Calibri" w:eastAsia="Calibri" w:hAnsi="Calibri"/>
          <w:color w:val="1A1A1A"/>
          <w:sz w:val="20"/>
          <w:szCs w:val="20"/>
        </w:rPr>
        <w:t xml:space="preserve">TechNexus Malawi brings direct experience in enterprise application development, database architecture, and institutional system deployment. The team is equipped to deliver a production-ready, locally hosted insurance operations suite that meets the control, reporting, and audit requirements of a multi-branch insurance operation.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A" w:val="clear"/>
            <w:tcMar>
              <w:top w:type="dxa" w:w="240"/>
              <w:left w:type="dxa" w:w="400"/>
              <w:bottom w:type="dxa" w:w="240"/>
              <w:right w:type="dxa" w:w="400"/>
            </w:tcMar>
          </w:tcPr>
          <w:p>
            <w:pPr>
              <w:jc w:val="center"/>
            </w:pPr>
            <w:r>
              <w:rPr>
                <w:rFonts w:ascii="Calibri" w:cs="Calibri" w:eastAsia="Calibri" w:hAnsi="Calibri"/>
                <w:b/>
                <w:bCs/>
                <w:color w:val="FFFFFF"/>
                <w:sz w:val="20"/>
                <w:szCs w:val="20"/>
              </w:rPr>
              <w:t xml:space="preserve">TechNexus Malawi  |  Blantyre, Malawi</w:t>
            </w:r>
          </w:p>
          <w:p>
            <w:pPr>
              <w:spacing w:before="60"/>
              <w:jc w:val="center"/>
            </w:pPr>
            <w:r>
              <w:rPr>
                <w:rFonts w:ascii="Calibri" w:cs="Calibri" w:eastAsia="Calibri" w:hAnsi="Calibri"/>
                <w:color w:val="A8C4DC"/>
                <w:sz w:val="18"/>
                <w:szCs w:val="18"/>
              </w:rPr>
              <w:t xml:space="preserve">+265 889 941 700  |  technexus_mw@proton.me  |  www.technexusmw.com</w:t>
            </w:r>
          </w:p>
          <w:p>
            <w:pPr>
              <w:spacing w:before="60"/>
              <w:jc w:val="center"/>
            </w:pPr>
            <w:r>
              <w:rPr>
                <w:rFonts w:ascii="Calibri" w:cs="Calibri" w:eastAsia="Calibri" w:hAnsi="Calibri"/>
                <w:color w:val="7AABCC"/>
                <w:sz w:val="16"/>
                <w:szCs w:val="16"/>
              </w:rPr>
              <w:t xml:space="preserve">BRN.A6SNWQY  |  MANePS Active  |  PPDA Registered  |  MRA Compliant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4" w:space="4"/>
      </w:pBdr>
      <w:tabs>
        <w:tab w:val="right" w:pos="9360"/>
      </w:tabs>
      <w:spacing w:before="80"/>
    </w:pPr>
    <w:r>
      <w:rPr>
        <w:rFonts w:ascii="Calibri" w:cs="Calibri" w:eastAsia="Calibri" w:hAnsi="Calibri"/>
        <w:color w:val="555555"/>
        <w:sz w:val="14"/>
        <w:szCs w:val="14"/>
      </w:rPr>
      <w:t xml:space="preserve">TechNexus Malawi  |  www.technexusmw.com  |  +265 889 941 700  |  Technical Concept Note</w:t>
    </w:r>
    <w:r>
      <w:rPr>
        <w:sz w:val="14"/>
        <w:szCs w:val="14"/>
      </w:rPr>
      <w:t xml:space="preserve">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none" w:color="FFFFFF" w:sz="0"/>
            <w:left w:val="none" w:color="FFFFFF" w:sz="0"/>
            <w:bottom w:val="none" w:color="FFFFFF" w:sz="0"/>
            <w:right w:val="none" w:color="FFFFFF" w:sz="0"/>
          </w:tcBorders>
        </w:tcPr>
        <w:p>
          <w:r>
            <w:rPr>
              <w:rFonts w:ascii="Calibri" w:cs="Calibri" w:eastAsia="Calibri" w:hAnsi="Calibri"/>
              <w:b/>
              <w:bCs/>
              <w:color w:val="1A2E4A"/>
              <w:sz w:val="20"/>
              <w:szCs w:val="20"/>
            </w:rPr>
            <w:t xml:space="preserve">TechNexus Malawi</w:t>
          </w:r>
        </w:p>
      </w:tc>
      <w:tc>
        <w:tcPr>
          <w:tcBorders>
            <w:top w:val="none" w:color="FFFFFF" w:sz="0"/>
            <w:left w:val="none" w:color="FFFFFF" w:sz="0"/>
            <w:bottom w:val="none" w:color="FFFFFF" w:sz="0"/>
            <w:right w:val="none" w:color="FFFFFF" w:sz="0"/>
          </w:tcBorders>
        </w:tcPr>
        <w:p>
          <w:pPr>
            <w:jc w:val="right"/>
          </w:pPr>
          <w:r>
            <w:rPr>
              <w:rFonts w:ascii="Calibri" w:cs="Calibri" w:eastAsia="Calibri" w:hAnsi="Calibri"/>
              <w:color w:val="555555"/>
              <w:sz w:val="16"/>
              <w:szCs w:val="16"/>
            </w:rPr>
            <w:t xml:space="preserve">Technical Concept Note  —  Insurance Operations Suite</w:t>
          </w:r>
        </w:p>
      </w:tc>
    </w:tr>
  </w:tbl>
  <w:p>
    <w:pPr>
      <w:pBdr>
        <w:bottom w:val="single" w:color="0078D4" w:sz="4"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2026-03-31T17:11:00.993Z</dcterms:created>
  <dcterms:modified xsi:type="dcterms:W3CDTF">2026-03-31T17:11:00.995Z</dcterms:modified>
</cp:coreProperties>
</file>

<file path=docProps/custom.xml><?xml version="1.0" encoding="utf-8"?>
<Properties xmlns="http://schemas.openxmlformats.org/officeDocument/2006/custom-properties" xmlns:vt="http://schemas.openxmlformats.org/officeDocument/2006/docPropsVTypes"/>
</file>