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A" w:val="clear"/>
            <w:tcMar>
              <w:top w:type="dxa" w:w="400"/>
              <w:left w:type="dxa" w:w="500"/>
              <w:bottom w:type="dxa" w:w="200"/>
              <w:right w:type="dxa" w:w="500"/>
            </w:tcMar>
          </w:tcPr>
          <w:p>
            <w:r>
              <w:rPr>
                <w:rFonts w:ascii="Calibri" w:cs="Calibri" w:eastAsia="Calibri" w:hAnsi="Calibri"/>
                <w:b/>
                <w:bCs/>
                <w:color w:val="FFFFFF"/>
                <w:sz w:val="36"/>
                <w:szCs w:val="36"/>
              </w:rPr>
              <w:t xml:space="preserve">TECHNEXUS MALAWI</w:t>
            </w:r>
          </w:p>
          <w:p>
            <w:pPr>
              <w:spacing w:before="40"/>
            </w:pPr>
            <w:r>
              <w:rPr>
                <w:rFonts w:ascii="Calibri" w:cs="Calibri" w:eastAsia="Calibri" w:hAnsi="Calibri"/>
                <w:color w:val="A8C4DC"/>
                <w:sz w:val="20"/>
                <w:szCs w:val="20"/>
              </w:rPr>
              <w:t xml:space="preserve">IT Solutions &amp; Equipment Supply</w:t>
            </w:r>
          </w:p>
        </w:tc>
      </w:tr>
      <w:tr>
        <w:tc>
          <w:tcPr>
            <w:tcBorders>
              <w:top w:val="none" w:color="FFFFFF" w:sz="0"/>
              <w:left w:val="none" w:color="FFFFFF" w:sz="0"/>
              <w:bottom w:val="none" w:color="FFFFFF" w:sz="0"/>
              <w:right w:val="none" w:color="FFFFFF" w:sz="0"/>
            </w:tcBorders>
            <w:shd w:fill="0078D4" w:val="clear"/>
            <w:tcMar>
              <w:top w:type="dxa" w:w="160"/>
              <w:left w:type="dxa" w:w="500"/>
              <w:bottom w:type="dxa" w:w="160"/>
              <w:right w:type="dxa" w:w="500"/>
            </w:tcMar>
          </w:tcPr>
          <w:p>
            <w:r>
              <w:rPr>
                <w:rFonts w:ascii="Calibri" w:cs="Calibri" w:eastAsia="Calibri" w:hAnsi="Calibri"/>
                <w:b/>
                <w:bCs/>
                <w:caps/>
                <w:color w:val="FFFFFF"/>
                <w:sz w:val="30"/>
                <w:szCs w:val="30"/>
              </w:rPr>
              <w:t xml:space="preserve">FORMAL QUOTATION</w:t>
            </w:r>
          </w:p>
          <w:p>
            <w:pPr>
              <w:spacing w:before="40"/>
            </w:pPr>
            <w:r>
              <w:rPr>
                <w:rFonts w:ascii="Calibri" w:cs="Calibri" w:eastAsia="Calibri" w:hAnsi="Calibri"/>
                <w:color w:val="D0E8F8"/>
                <w:sz w:val="20"/>
                <w:szCs w:val="20"/>
              </w:rPr>
              <w:t xml:space="preserve">Mid-Tier Insurance Operations Suite  |  On-Premise Deployment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EBF3FA" w:val="clear"/>
            <w:tcMar>
              <w:top w:type="dxa" w:w="80"/>
              <w:left w:type="dxa" w:w="150"/>
              <w:bottom w:type="dxa" w:w="80"/>
              <w:right w:type="dxa" w:w="100"/>
            </w:tcMar>
          </w:tcPr>
          <w:p>
            <w:r>
              <w:rPr>
                <w:rFonts w:ascii="Calibri" w:cs="Calibri" w:eastAsia="Calibri" w:hAnsi="Calibri"/>
                <w:b/>
                <w:bCs/>
                <w:color w:val="1A2E4A"/>
                <w:sz w:val="18"/>
                <w:szCs w:val="18"/>
              </w:rPr>
              <w:t xml:space="preserve">Quote Number</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20"/>
                <w:szCs w:val="20"/>
              </w:rPr>
              <w:t xml:space="preserve">TNX-INS-2026-031</w:t>
            </w:r>
          </w:p>
        </w:tc>
      </w:tr>
      <w:tr>
        <w:tc>
          <w:tcPr>
            <w:tcW w:type="dxa" w:w="2800"/>
            <w:tcBorders>
              <w:top w:val="single" w:color="C8D8E8" w:sz="1"/>
              <w:left w:val="single" w:color="C8D8E8" w:sz="1"/>
              <w:bottom w:val="single" w:color="C8D8E8" w:sz="1"/>
              <w:right w:val="single" w:color="C8D8E8" w:sz="1"/>
            </w:tcBorders>
            <w:shd w:fill="EBF3FA" w:val="clear"/>
            <w:tcMar>
              <w:top w:type="dxa" w:w="80"/>
              <w:left w:type="dxa" w:w="150"/>
              <w:bottom w:type="dxa" w:w="80"/>
              <w:right w:type="dxa" w:w="100"/>
            </w:tcMar>
          </w:tcPr>
          <w:p>
            <w:r>
              <w:rPr>
                <w:rFonts w:ascii="Calibri" w:cs="Calibri" w:eastAsia="Calibri" w:hAnsi="Calibri"/>
                <w:b/>
                <w:bCs/>
                <w:color w:val="1A2E4A"/>
                <w:sz w:val="18"/>
                <w:szCs w:val="18"/>
              </w:rPr>
              <w:t xml:space="preserve">Date</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val="false"/>
                <w:bCs w:val="false"/>
                <w:color w:val="1A1A1A"/>
                <w:sz w:val="18"/>
                <w:szCs w:val="18"/>
              </w:rPr>
              <w:t xml:space="preserve">31 March 2026</w:t>
            </w:r>
          </w:p>
        </w:tc>
      </w:tr>
      <w:tr>
        <w:tc>
          <w:tcPr>
            <w:tcW w:type="dxa" w:w="2800"/>
            <w:tcBorders>
              <w:top w:val="single" w:color="C8D8E8" w:sz="1"/>
              <w:left w:val="single" w:color="C8D8E8" w:sz="1"/>
              <w:bottom w:val="single" w:color="C8D8E8" w:sz="1"/>
              <w:right w:val="single" w:color="C8D8E8" w:sz="1"/>
            </w:tcBorders>
            <w:shd w:fill="EBF3FA" w:val="clear"/>
            <w:tcMar>
              <w:top w:type="dxa" w:w="80"/>
              <w:left w:type="dxa" w:w="150"/>
              <w:bottom w:type="dxa" w:w="80"/>
              <w:right w:type="dxa" w:w="100"/>
            </w:tcMar>
          </w:tcPr>
          <w:p>
            <w:r>
              <w:rPr>
                <w:rFonts w:ascii="Calibri" w:cs="Calibri" w:eastAsia="Calibri" w:hAnsi="Calibri"/>
                <w:b/>
                <w:bCs/>
                <w:color w:val="1A2E4A"/>
                <w:sz w:val="18"/>
                <w:szCs w:val="18"/>
              </w:rPr>
              <w:t xml:space="preserve">Client</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val="false"/>
                <w:bCs w:val="false"/>
                <w:color w:val="1A1A1A"/>
                <w:sz w:val="18"/>
                <w:szCs w:val="18"/>
              </w:rPr>
              <w:t xml:space="preserve">Prospective Insurance Client</w:t>
            </w:r>
          </w:p>
        </w:tc>
      </w:tr>
      <w:tr>
        <w:tc>
          <w:tcPr>
            <w:tcW w:type="dxa" w:w="2800"/>
            <w:tcBorders>
              <w:top w:val="single" w:color="C8D8E8" w:sz="1"/>
              <w:left w:val="single" w:color="C8D8E8" w:sz="1"/>
              <w:bottom w:val="single" w:color="C8D8E8" w:sz="1"/>
              <w:right w:val="single" w:color="C8D8E8" w:sz="1"/>
            </w:tcBorders>
            <w:shd w:fill="EBF3FA" w:val="clear"/>
            <w:tcMar>
              <w:top w:type="dxa" w:w="80"/>
              <w:left w:type="dxa" w:w="150"/>
              <w:bottom w:type="dxa" w:w="80"/>
              <w:right w:type="dxa" w:w="100"/>
            </w:tcMar>
          </w:tcPr>
          <w:p>
            <w:r>
              <w:rPr>
                <w:rFonts w:ascii="Calibri" w:cs="Calibri" w:eastAsia="Calibri" w:hAnsi="Calibri"/>
                <w:b/>
                <w:bCs/>
                <w:color w:val="1A2E4A"/>
                <w:sz w:val="18"/>
                <w:szCs w:val="18"/>
              </w:rPr>
              <w:t xml:space="preserve">Currency</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val="false"/>
                <w:bCs w:val="false"/>
                <w:color w:val="1A1A1A"/>
                <w:sz w:val="18"/>
                <w:szCs w:val="18"/>
              </w:rPr>
              <w:t xml:space="preserve">Malawian Kwacha (MWK)</w:t>
            </w:r>
          </w:p>
        </w:tc>
      </w:tr>
      <w:tr>
        <w:tc>
          <w:tcPr>
            <w:tcW w:type="dxa" w:w="2800"/>
            <w:tcBorders>
              <w:top w:val="single" w:color="C8D8E8" w:sz="1"/>
              <w:left w:val="single" w:color="C8D8E8" w:sz="1"/>
              <w:bottom w:val="single" w:color="C8D8E8" w:sz="1"/>
              <w:right w:val="single" w:color="C8D8E8" w:sz="1"/>
            </w:tcBorders>
            <w:shd w:fill="EBF3FA" w:val="clear"/>
            <w:tcMar>
              <w:top w:type="dxa" w:w="80"/>
              <w:left w:type="dxa" w:w="150"/>
              <w:bottom w:type="dxa" w:w="80"/>
              <w:right w:type="dxa" w:w="100"/>
            </w:tcMar>
          </w:tcPr>
          <w:p>
            <w:r>
              <w:rPr>
                <w:rFonts w:ascii="Calibri" w:cs="Calibri" w:eastAsia="Calibri" w:hAnsi="Calibri"/>
                <w:b/>
                <w:bCs/>
                <w:color w:val="1A2E4A"/>
                <w:sz w:val="18"/>
                <w:szCs w:val="18"/>
              </w:rPr>
              <w:t xml:space="preserve">Exchange Rate</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val="false"/>
                <w:bCs w:val="false"/>
                <w:color w:val="1A1A1A"/>
                <w:sz w:val="18"/>
                <w:szCs w:val="18"/>
              </w:rPr>
              <w:t xml:space="preserve">USD 1 = MWK 1,800</w:t>
            </w:r>
          </w:p>
        </w:tc>
      </w:tr>
      <w:tr>
        <w:tc>
          <w:tcPr>
            <w:tcW w:type="dxa" w:w="2800"/>
            <w:tcBorders>
              <w:top w:val="single" w:color="C8D8E8" w:sz="1"/>
              <w:left w:val="single" w:color="C8D8E8" w:sz="1"/>
              <w:bottom w:val="single" w:color="C8D8E8" w:sz="1"/>
              <w:right w:val="single" w:color="C8D8E8" w:sz="1"/>
            </w:tcBorders>
            <w:shd w:fill="EBF3FA" w:val="clear"/>
            <w:tcMar>
              <w:top w:type="dxa" w:w="80"/>
              <w:left w:type="dxa" w:w="150"/>
              <w:bottom w:type="dxa" w:w="80"/>
              <w:right w:type="dxa" w:w="100"/>
            </w:tcMar>
          </w:tcPr>
          <w:p>
            <w:r>
              <w:rPr>
                <w:rFonts w:ascii="Calibri" w:cs="Calibri" w:eastAsia="Calibri" w:hAnsi="Calibri"/>
                <w:b/>
                <w:bCs/>
                <w:color w:val="1A2E4A"/>
                <w:sz w:val="18"/>
                <w:szCs w:val="18"/>
              </w:rPr>
              <w:t xml:space="preserve">Validity</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val="false"/>
                <w:bCs w:val="false"/>
                <w:color w:val="1A1A1A"/>
                <w:sz w:val="18"/>
                <w:szCs w:val="18"/>
              </w:rPr>
              <w:t xml:space="preserve">30 days from date of issue</w:t>
            </w:r>
          </w:p>
        </w:tc>
      </w:tr>
      <w:tr>
        <w:tc>
          <w:tcPr>
            <w:tcW w:type="dxa" w:w="2800"/>
            <w:tcBorders>
              <w:top w:val="single" w:color="C8D8E8" w:sz="1"/>
              <w:left w:val="single" w:color="C8D8E8" w:sz="1"/>
              <w:bottom w:val="single" w:color="C8D8E8" w:sz="1"/>
              <w:right w:val="single" w:color="C8D8E8" w:sz="1"/>
            </w:tcBorders>
            <w:shd w:fill="EBF3FA" w:val="clear"/>
            <w:tcMar>
              <w:top w:type="dxa" w:w="80"/>
              <w:left w:type="dxa" w:w="150"/>
              <w:bottom w:type="dxa" w:w="80"/>
              <w:right w:type="dxa" w:w="100"/>
            </w:tcMar>
          </w:tcPr>
          <w:p>
            <w:r>
              <w:rPr>
                <w:rFonts w:ascii="Calibri" w:cs="Calibri" w:eastAsia="Calibri" w:hAnsi="Calibri"/>
                <w:b/>
                <w:bCs/>
                <w:color w:val="1A2E4A"/>
                <w:sz w:val="18"/>
                <w:szCs w:val="18"/>
              </w:rPr>
              <w:t xml:space="preserve">Prepared by</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val="false"/>
                <w:bCs w:val="false"/>
                <w:color w:val="1A1A1A"/>
                <w:sz w:val="18"/>
                <w:szCs w:val="18"/>
              </w:rPr>
              <w:t xml:space="preserve">TechNexus Malawi  |  BRN.A6SNWQY</w:t>
            </w:r>
          </w:p>
        </w:tc>
      </w:tr>
    </w:tbl>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Commercial Summary</w:t>
      </w:r>
    </w:p>
    <w:p>
      <w:pPr>
        <w:spacing w:before="60" w:after="60"/>
      </w:pPr>
      <w:r>
        <w:rPr>
          <w:rFonts w:ascii="Calibri" w:cs="Calibri" w:eastAsia="Calibri" w:hAnsi="Calibri"/>
          <w:color w:val="1A1A1A"/>
          <w:sz w:val="20"/>
          <w:szCs w:val="20"/>
        </w:rPr>
        <w:t xml:space="preserve">This quotation covers the full design, development, testing, deployment, and initial training for a mid-tier insurance operations suite intended for approximately 30 users across 3 branches. The solution is proposed as a locally hosted implementation using C#, ASP.NET Core, IIS, and SQL Server. All amounts are stated in Malawian Kwacha (MWK) at the rate of USD 1 = MWK 1,800.</w:t>
      </w:r>
    </w:p>
    <w:p>
      <w:pPr>
        <w:spacing w:before="0" w:after="8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Itemised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2400"/>
      </w:tblGrid>
      <w:tr>
        <w:tc>
          <w:tcPr>
            <w:tcW w:type="dxa" w:w="400"/>
            <w:tcBorders>
              <w:top w:val="single" w:color="C8D8E8" w:sz="1"/>
              <w:left w:val="single" w:color="C8D8E8" w:sz="1"/>
              <w:bottom w:val="single" w:color="C8D8E8" w:sz="1"/>
              <w:right w:val="single" w:color="C8D8E8" w:sz="1"/>
            </w:tcBorders>
            <w:shd w:fill="1A2E4A" w:val="clear"/>
            <w:tcMar>
              <w:top w:type="dxa" w:w="100"/>
              <w:left w:type="dxa" w:w="120"/>
              <w:bottom w:type="dxa" w:w="100"/>
              <w:right w:type="dxa" w:w="80"/>
            </w:tcMar>
          </w:tcPr>
          <w:p>
            <w:pPr>
              <w:jc w:val="center"/>
            </w:pPr>
            <w:r>
              <w:rPr>
                <w:rFonts w:ascii="Calibri" w:cs="Calibri" w:eastAsia="Calibri" w:hAnsi="Calibri"/>
                <w:b/>
                <w:bCs/>
                <w:color w:val="FFFFFF"/>
                <w:sz w:val="18"/>
                <w:szCs w:val="18"/>
              </w:rPr>
              <w:t xml:space="preserve">#</w:t>
            </w:r>
          </w:p>
        </w:tc>
        <w:tc>
          <w:tcPr>
            <w:tcW w:type="dxa" w:w="656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DESCRIPTION</w:t>
            </w:r>
          </w:p>
        </w:tc>
        <w:tc>
          <w:tcPr>
            <w:tcW w:type="dxa" w:w="2400"/>
            <w:tcBorders>
              <w:top w:val="single" w:color="C8D8E8" w:sz="1"/>
              <w:left w:val="single" w:color="C8D8E8" w:sz="1"/>
              <w:bottom w:val="single" w:color="C8D8E8" w:sz="1"/>
              <w:right w:val="single" w:color="C8D8E8" w:sz="1"/>
            </w:tcBorders>
            <w:shd w:fill="1A2E4A" w:val="clear"/>
            <w:tcMar>
              <w:top w:type="dxa" w:w="100"/>
              <w:left w:type="dxa" w:w="120"/>
              <w:bottom w:type="dxa" w:w="100"/>
              <w:right w:type="dxa" w:w="150"/>
            </w:tcMar>
          </w:tcPr>
          <w:p>
            <w:pPr>
              <w:jc w:val="right"/>
            </w:pPr>
            <w:r>
              <w:rPr>
                <w:rFonts w:ascii="Calibri" w:cs="Calibri" w:eastAsia="Calibri" w:hAnsi="Calibri"/>
                <w:b/>
                <w:bCs/>
                <w:color w:val="FFFFFF"/>
                <w:sz w:val="18"/>
                <w:szCs w:val="18"/>
              </w:rPr>
              <w:t xml:space="preserve">AMOUNT (MWK)</w:t>
            </w:r>
          </w:p>
        </w:tc>
      </w:tr>
      <w:tr>
        <w:tc>
          <w:tcPr>
            <w:tcW w:type="dxa" w:w="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pPr>
              <w:jc w:val="center"/>
            </w:pPr>
            <w:r>
              <w:rPr>
                <w:rFonts w:ascii="Calibri" w:cs="Calibri" w:eastAsia="Calibri" w:hAnsi="Calibri"/>
                <w:color w:val="1A1A1A"/>
                <w:sz w:val="18"/>
                <w:szCs w:val="18"/>
              </w:rPr>
              <w:t xml:space="preserve">1</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Discovery, Requirements Confirmation, Workflow Mapping &amp; Solution Specification</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50"/>
            </w:tcMar>
          </w:tcPr>
          <w:p>
            <w:pPr>
              <w:jc w:val="right"/>
            </w:pPr>
            <w:r>
              <w:rPr>
                <w:rFonts w:ascii="Calibri" w:cs="Calibri" w:eastAsia="Calibri" w:hAnsi="Calibri"/>
                <w:color w:val="1A1A1A"/>
                <w:sz w:val="18"/>
                <w:szCs w:val="18"/>
              </w:rPr>
              <w:t xml:space="preserve">MK 9,000,000</w:t>
            </w:r>
          </w:p>
        </w:tc>
      </w:tr>
      <w:tr>
        <w:tc>
          <w:tcPr>
            <w:tcW w:type="dxa" w:w="4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80"/>
            </w:tcMar>
          </w:tcPr>
          <w:p>
            <w:pPr>
              <w:jc w:val="center"/>
            </w:pPr>
            <w:r>
              <w:rPr>
                <w:rFonts w:ascii="Calibri" w:cs="Calibri" w:eastAsia="Calibri" w:hAnsi="Calibri"/>
                <w:color w:val="1A1A1A"/>
                <w:sz w:val="18"/>
                <w:szCs w:val="18"/>
              </w:rPr>
              <w:t xml:space="preserve">2</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Core Platform &amp; Security</w:t>
            </w:r>
          </w:p>
        </w:tc>
        <w:tc>
          <w:tcPr>
            <w:tcW w:type="dxa" w:w="24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50"/>
            </w:tcMar>
          </w:tcPr>
          <w:p>
            <w:pPr>
              <w:jc w:val="right"/>
            </w:pPr>
            <w:r>
              <w:rPr>
                <w:rFonts w:ascii="Calibri" w:cs="Calibri" w:eastAsia="Calibri" w:hAnsi="Calibri"/>
                <w:color w:val="1A1A1A"/>
                <w:sz w:val="18"/>
                <w:szCs w:val="18"/>
              </w:rPr>
              <w:t xml:space="preserve">MK 19,800,000</w:t>
            </w:r>
          </w:p>
        </w:tc>
      </w:tr>
      <w:tr>
        <w:tc>
          <w:tcPr>
            <w:tcW w:type="dxa" w:w="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pPr>
              <w:jc w:val="center"/>
            </w:pPr>
            <w:r>
              <w:rPr>
                <w:rFonts w:ascii="Calibri" w:cs="Calibri" w:eastAsia="Calibri" w:hAnsi="Calibri"/>
                <w:color w:val="1A1A1A"/>
                <w:sz w:val="18"/>
                <w:szCs w:val="18"/>
              </w:rPr>
              <w:t xml:space="preserve">3</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Portfolio Transfer Control Module</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50"/>
            </w:tcMar>
          </w:tcPr>
          <w:p>
            <w:pPr>
              <w:jc w:val="right"/>
            </w:pPr>
            <w:r>
              <w:rPr>
                <w:rFonts w:ascii="Calibri" w:cs="Calibri" w:eastAsia="Calibri" w:hAnsi="Calibri"/>
                <w:color w:val="1A1A1A"/>
                <w:sz w:val="18"/>
                <w:szCs w:val="18"/>
              </w:rPr>
              <w:t xml:space="preserve">MK 18,000,000</w:t>
            </w:r>
          </w:p>
        </w:tc>
      </w:tr>
      <w:tr>
        <w:tc>
          <w:tcPr>
            <w:tcW w:type="dxa" w:w="4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80"/>
            </w:tcMar>
          </w:tcPr>
          <w:p>
            <w:pPr>
              <w:jc w:val="center"/>
            </w:pPr>
            <w:r>
              <w:rPr>
                <w:rFonts w:ascii="Calibri" w:cs="Calibri" w:eastAsia="Calibri" w:hAnsi="Calibri"/>
                <w:color w:val="1A1A1A"/>
                <w:sz w:val="18"/>
                <w:szCs w:val="18"/>
              </w:rPr>
              <w:t xml:space="preserve">4</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Document &amp; Records Management Module</w:t>
            </w:r>
          </w:p>
        </w:tc>
        <w:tc>
          <w:tcPr>
            <w:tcW w:type="dxa" w:w="24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50"/>
            </w:tcMar>
          </w:tcPr>
          <w:p>
            <w:pPr>
              <w:jc w:val="right"/>
            </w:pPr>
            <w:r>
              <w:rPr>
                <w:rFonts w:ascii="Calibri" w:cs="Calibri" w:eastAsia="Calibri" w:hAnsi="Calibri"/>
                <w:color w:val="1A1A1A"/>
                <w:sz w:val="18"/>
                <w:szCs w:val="18"/>
              </w:rPr>
              <w:t xml:space="preserve">MK 16,200,000</w:t>
            </w:r>
          </w:p>
        </w:tc>
      </w:tr>
      <w:tr>
        <w:tc>
          <w:tcPr>
            <w:tcW w:type="dxa" w:w="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pPr>
              <w:jc w:val="center"/>
            </w:pPr>
            <w:r>
              <w:rPr>
                <w:rFonts w:ascii="Calibri" w:cs="Calibri" w:eastAsia="Calibri" w:hAnsi="Calibri"/>
                <w:color w:val="1A1A1A"/>
                <w:sz w:val="18"/>
                <w:szCs w:val="18"/>
              </w:rPr>
              <w:t xml:space="preserve">5</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Audit &amp; Executive Dashboard Module</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50"/>
            </w:tcMar>
          </w:tcPr>
          <w:p>
            <w:pPr>
              <w:jc w:val="right"/>
            </w:pPr>
            <w:r>
              <w:rPr>
                <w:rFonts w:ascii="Calibri" w:cs="Calibri" w:eastAsia="Calibri" w:hAnsi="Calibri"/>
                <w:color w:val="1A1A1A"/>
                <w:sz w:val="18"/>
                <w:szCs w:val="18"/>
              </w:rPr>
              <w:t xml:space="preserve">MK 10,800,000</w:t>
            </w:r>
          </w:p>
        </w:tc>
      </w:tr>
      <w:tr>
        <w:tc>
          <w:tcPr>
            <w:tcW w:type="dxa" w:w="4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80"/>
            </w:tcMar>
          </w:tcPr>
          <w:p>
            <w:pPr>
              <w:jc w:val="center"/>
            </w:pPr>
            <w:r>
              <w:rPr>
                <w:rFonts w:ascii="Calibri" w:cs="Calibri" w:eastAsia="Calibri" w:hAnsi="Calibri"/>
                <w:color w:val="1A1A1A"/>
                <w:sz w:val="18"/>
                <w:szCs w:val="18"/>
              </w:rPr>
              <w:t xml:space="preserve">6</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Claims Management Module</w:t>
            </w:r>
          </w:p>
        </w:tc>
        <w:tc>
          <w:tcPr>
            <w:tcW w:type="dxa" w:w="24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50"/>
            </w:tcMar>
          </w:tcPr>
          <w:p>
            <w:pPr>
              <w:jc w:val="right"/>
            </w:pPr>
            <w:r>
              <w:rPr>
                <w:rFonts w:ascii="Calibri" w:cs="Calibri" w:eastAsia="Calibri" w:hAnsi="Calibri"/>
                <w:color w:val="1A1A1A"/>
                <w:sz w:val="18"/>
                <w:szCs w:val="18"/>
              </w:rPr>
              <w:t xml:space="preserve">MK 32,400,000</w:t>
            </w:r>
          </w:p>
        </w:tc>
      </w:tr>
      <w:tr>
        <w:tc>
          <w:tcPr>
            <w:tcW w:type="dxa" w:w="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pPr>
              <w:jc w:val="center"/>
            </w:pPr>
            <w:r>
              <w:rPr>
                <w:rFonts w:ascii="Calibri" w:cs="Calibri" w:eastAsia="Calibri" w:hAnsi="Calibri"/>
                <w:color w:val="1A1A1A"/>
                <w:sz w:val="18"/>
                <w:szCs w:val="18"/>
              </w:rPr>
              <w:t xml:space="preserve">7</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Policy Administration Module</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50"/>
            </w:tcMar>
          </w:tcPr>
          <w:p>
            <w:pPr>
              <w:jc w:val="right"/>
            </w:pPr>
            <w:r>
              <w:rPr>
                <w:rFonts w:ascii="Calibri" w:cs="Calibri" w:eastAsia="Calibri" w:hAnsi="Calibri"/>
                <w:color w:val="1A1A1A"/>
                <w:sz w:val="18"/>
                <w:szCs w:val="18"/>
              </w:rPr>
              <w:t xml:space="preserve">MK 27,000,000</w:t>
            </w:r>
          </w:p>
        </w:tc>
      </w:tr>
      <w:tr>
        <w:tc>
          <w:tcPr>
            <w:tcW w:type="dxa" w:w="4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80"/>
            </w:tcMar>
          </w:tcPr>
          <w:p>
            <w:pPr>
              <w:jc w:val="center"/>
            </w:pPr>
            <w:r>
              <w:rPr>
                <w:rFonts w:ascii="Calibri" w:cs="Calibri" w:eastAsia="Calibri" w:hAnsi="Calibri"/>
                <w:color w:val="1A1A1A"/>
                <w:sz w:val="18"/>
                <w:szCs w:val="18"/>
              </w:rPr>
              <w:t xml:space="preserve">8</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CRM &amp; Renewals Module</w:t>
            </w:r>
          </w:p>
        </w:tc>
        <w:tc>
          <w:tcPr>
            <w:tcW w:type="dxa" w:w="2400"/>
            <w:tcBorders>
              <w:top w:val="single" w:color="C8D8E8" w:sz="1"/>
              <w:left w:val="single" w:color="C8D8E8" w:sz="1"/>
              <w:bottom w:val="single" w:color="C8D8E8" w:sz="1"/>
              <w:right w:val="single" w:color="C8D8E8" w:sz="1"/>
            </w:tcBorders>
            <w:shd w:fill="F5F7FA" w:val="clear"/>
            <w:tcMar>
              <w:top w:type="dxa" w:w="80"/>
              <w:left w:type="dxa" w:w="120"/>
              <w:bottom w:type="dxa" w:w="80"/>
              <w:right w:type="dxa" w:w="150"/>
            </w:tcMar>
          </w:tcPr>
          <w:p>
            <w:pPr>
              <w:jc w:val="right"/>
            </w:pPr>
            <w:r>
              <w:rPr>
                <w:rFonts w:ascii="Calibri" w:cs="Calibri" w:eastAsia="Calibri" w:hAnsi="Calibri"/>
                <w:color w:val="1A1A1A"/>
                <w:sz w:val="18"/>
                <w:szCs w:val="18"/>
              </w:rPr>
              <w:t xml:space="preserve">MK 15,300,000</w:t>
            </w:r>
          </w:p>
        </w:tc>
      </w:tr>
      <w:tr>
        <w:tc>
          <w:tcPr>
            <w:tcW w:type="dxa" w:w="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pPr>
              <w:jc w:val="center"/>
            </w:pPr>
            <w:r>
              <w:rPr>
                <w:rFonts w:ascii="Calibri" w:cs="Calibri" w:eastAsia="Calibri" w:hAnsi="Calibri"/>
                <w:color w:val="1A1A1A"/>
                <w:sz w:val="18"/>
                <w:szCs w:val="18"/>
              </w:rPr>
              <w:t xml:space="preserve">9</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UAT Support, Deployment, Training &amp; Go-Live Support</w:t>
            </w:r>
          </w:p>
        </w:tc>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50"/>
            </w:tcMar>
          </w:tcPr>
          <w:p>
            <w:pPr>
              <w:jc w:val="right"/>
            </w:pPr>
            <w:r>
              <w:rPr>
                <w:rFonts w:ascii="Calibri" w:cs="Calibri" w:eastAsia="Calibri" w:hAnsi="Calibri"/>
                <w:color w:val="1A1A1A"/>
                <w:sz w:val="18"/>
                <w:szCs w:val="18"/>
              </w:rPr>
              <w:t xml:space="preserve">MK 7,200,000</w:t>
            </w:r>
          </w:p>
        </w:tc>
      </w:tr>
      <w:tr>
        <w:tc>
          <w:tcPr>
            <w:tcW w:type="dxa" w:w="400"/>
            <w:tcBorders>
              <w:top w:val="single" w:color="C8D8E8" w:sz="1"/>
              <w:left w:val="single" w:color="C8D8E8" w:sz="1"/>
              <w:bottom w:val="single" w:color="C8D8E8" w:sz="1"/>
              <w:right w:val="single" w:color="C8D8E8" w:sz="1"/>
            </w:tcBorders>
            <w:shd w:fill="1A2E4A" w:val="clear"/>
            <w:tcMar>
              <w:top w:type="dxa" w:w="120"/>
              <w:left w:type="dxa" w:w="120"/>
              <w:bottom w:type="dxa" w:w="120"/>
              <w:right w:type="dxa" w:w="80"/>
            </w:tcMar>
          </w:tcPr>
          <w:p/>
        </w:tc>
        <w:tc>
          <w:tcPr>
            <w:tcW w:type="dxa" w:w="6560"/>
            <w:tcBorders>
              <w:top w:val="single" w:color="C8D8E8" w:sz="1"/>
              <w:left w:val="single" w:color="C8D8E8" w:sz="1"/>
              <w:bottom w:val="single" w:color="C8D8E8" w:sz="1"/>
              <w:right w:val="single" w:color="C8D8E8" w:sz="1"/>
            </w:tcBorders>
            <w:shd w:fill="1A2E4A" w:val="clear"/>
            <w:tcMar>
              <w:top w:type="dxa" w:w="120"/>
              <w:left w:type="dxa" w:w="150"/>
              <w:bottom w:type="dxa" w:w="120"/>
              <w:right w:type="dxa" w:w="100"/>
            </w:tcMar>
          </w:tcPr>
          <w:p>
            <w:r>
              <w:rPr>
                <w:rFonts w:ascii="Calibri" w:cs="Calibri" w:eastAsia="Calibri" w:hAnsi="Calibri"/>
                <w:b/>
                <w:bCs/>
                <w:color w:val="FFFFFF"/>
                <w:sz w:val="22"/>
                <w:szCs w:val="22"/>
              </w:rPr>
              <w:t xml:space="preserve">TOTAL PROJECT PRICE (MWK)</w:t>
            </w:r>
          </w:p>
        </w:tc>
        <w:tc>
          <w:tcPr>
            <w:tcW w:type="dxa" w:w="2400"/>
            <w:tcBorders>
              <w:top w:val="single" w:color="C8D8E8" w:sz="1"/>
              <w:left w:val="single" w:color="C8D8E8" w:sz="1"/>
              <w:bottom w:val="single" w:color="C8D8E8" w:sz="1"/>
              <w:right w:val="single" w:color="C8D8E8" w:sz="1"/>
            </w:tcBorders>
            <w:shd w:fill="1A2E4A" w:val="clear"/>
            <w:tcMar>
              <w:top w:type="dxa" w:w="120"/>
              <w:left w:type="dxa" w:w="120"/>
              <w:bottom w:type="dxa" w:w="120"/>
              <w:right w:type="dxa" w:w="150"/>
            </w:tcMar>
          </w:tcPr>
          <w:p>
            <w:pPr>
              <w:jc w:val="right"/>
            </w:pPr>
            <w:r>
              <w:rPr>
                <w:rFonts w:ascii="Calibri" w:cs="Calibri" w:eastAsia="Calibri" w:hAnsi="Calibri"/>
                <w:b/>
                <w:bCs/>
                <w:color w:val="FFFFFF"/>
                <w:sz w:val="22"/>
                <w:szCs w:val="22"/>
              </w:rPr>
              <w:t xml:space="preserve">MK 155,700,000</w:t>
            </w:r>
          </w:p>
        </w:tc>
      </w:tr>
      <w:tr>
        <w:tc>
          <w:tcPr>
            <w:tcW w:type="dxa" w:w="400"/>
            <w:tcBorders>
              <w:top w:val="single" w:color="C8D8E8" w:sz="1"/>
              <w:left w:val="single" w:color="C8D8E8" w:sz="1"/>
              <w:bottom w:val="single" w:color="C8D8E8" w:sz="1"/>
              <w:right w:val="single" w:color="C8D8E8" w:sz="1"/>
            </w:tcBorders>
            <w:shd w:fill="EBF3FA" w:val="clear"/>
            <w:tcMar>
              <w:top w:type="dxa" w:w="80"/>
              <w:left w:type="dxa" w:w="120"/>
              <w:bottom w:type="dxa" w:w="80"/>
              <w:right w:type="dxa" w:w="80"/>
            </w:tcMar>
          </w:tcPr>
          <w:p/>
        </w:tc>
        <w:tc>
          <w:tcPr>
            <w:tcW w:type="dxa" w:w="6560"/>
            <w:tcBorders>
              <w:top w:val="single" w:color="C8D8E8" w:sz="1"/>
              <w:left w:val="single" w:color="C8D8E8" w:sz="1"/>
              <w:bottom w:val="single" w:color="C8D8E8" w:sz="1"/>
              <w:right w:val="single" w:color="C8D8E8" w:sz="1"/>
            </w:tcBorders>
            <w:shd w:fill="EBF3FA" w:val="clear"/>
            <w:tcMar>
              <w:top w:type="dxa" w:w="80"/>
              <w:left w:type="dxa" w:w="150"/>
              <w:bottom w:type="dxa" w:w="80"/>
              <w:right w:type="dxa" w:w="100"/>
            </w:tcMar>
          </w:tcPr>
          <w:p>
            <w:r>
              <w:rPr>
                <w:rFonts w:ascii="Calibri" w:cs="Calibri" w:eastAsia="Calibri" w:hAnsi="Calibri"/>
                <w:color w:val="1A2E4A"/>
                <w:sz w:val="18"/>
                <w:szCs w:val="18"/>
              </w:rPr>
              <w:t xml:space="preserve">Optional Annual Support &amp; Maintenance (15% of project value)</w:t>
            </w:r>
          </w:p>
        </w:tc>
        <w:tc>
          <w:tcPr>
            <w:tcW w:type="dxa" w:w="2400"/>
            <w:tcBorders>
              <w:top w:val="single" w:color="C8D8E8" w:sz="1"/>
              <w:left w:val="single" w:color="C8D8E8" w:sz="1"/>
              <w:bottom w:val="single" w:color="C8D8E8" w:sz="1"/>
              <w:right w:val="single" w:color="C8D8E8" w:sz="1"/>
            </w:tcBorders>
            <w:shd w:fill="EBF3FA" w:val="clear"/>
            <w:tcMar>
              <w:top w:type="dxa" w:w="80"/>
              <w:left w:type="dxa" w:w="120"/>
              <w:bottom w:type="dxa" w:w="80"/>
              <w:right w:type="dxa" w:w="150"/>
            </w:tcMar>
          </w:tcPr>
          <w:p>
            <w:pPr>
              <w:jc w:val="right"/>
            </w:pPr>
            <w:r>
              <w:rPr>
                <w:rFonts w:ascii="Calibri" w:cs="Calibri" w:eastAsia="Calibri" w:hAnsi="Calibri"/>
                <w:color w:val="1A2E4A"/>
                <w:sz w:val="18"/>
                <w:szCs w:val="18"/>
              </w:rPr>
              <w:t xml:space="preserve">MK 23,355,000 / yr</w:t>
            </w:r>
          </w:p>
        </w:tc>
      </w:tr>
    </w:tbl>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Payment Schedule</w:t>
      </w:r>
    </w:p>
    <w:p>
      <w:pPr>
        <w:spacing w:before="60" w:after="60"/>
      </w:pPr>
      <w:r>
        <w:rPr>
          <w:rFonts w:ascii="Calibri" w:cs="Calibri" w:eastAsia="Calibri" w:hAnsi="Calibri"/>
          <w:color w:val="1A1A1A"/>
          <w:sz w:val="20"/>
          <w:szCs w:val="20"/>
        </w:rPr>
        <w:t xml:space="preserve">The total project fee is structured across four contractual milestones as follows: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MILESTONE</w:t>
            </w:r>
          </w:p>
        </w:tc>
        <w:tc>
          <w:tcPr>
            <w:tcW w:type="dxa" w:w="12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pPr>
              <w:jc w:val="center"/>
            </w:pPr>
            <w:r>
              <w:rPr>
                <w:rFonts w:ascii="Calibri" w:cs="Calibri" w:eastAsia="Calibri" w:hAnsi="Calibri"/>
                <w:b/>
                <w:bCs/>
                <w:color w:val="FFFFFF"/>
                <w:sz w:val="18"/>
                <w:szCs w:val="18"/>
              </w:rPr>
              <w:t xml:space="preserve">%</w:t>
            </w:r>
          </w:p>
        </w:tc>
        <w:tc>
          <w:tcPr>
            <w:tcW w:type="dxa" w:w="416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50"/>
            </w:tcMar>
          </w:tcPr>
          <w:p>
            <w:pPr>
              <w:jc w:val="right"/>
            </w:pPr>
            <w:r>
              <w:rPr>
                <w:rFonts w:ascii="Calibri" w:cs="Calibri" w:eastAsia="Calibri" w:hAnsi="Calibri"/>
                <w:b/>
                <w:bCs/>
                <w:color w:val="FFFFFF"/>
                <w:sz w:val="18"/>
                <w:szCs w:val="18"/>
              </w:rPr>
              <w:t xml:space="preserve">AMOUNT (MWK)</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Project Commencement upon PO / Contract Signature</w:t>
            </w:r>
          </w:p>
        </w:tc>
        <w:tc>
          <w:tcPr>
            <w:tcW w:type="dxa" w:w="12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pPr>
              <w:jc w:val="center"/>
            </w:pPr>
            <w:r>
              <w:rPr>
                <w:rFonts w:ascii="Calibri" w:cs="Calibri" w:eastAsia="Calibri" w:hAnsi="Calibri"/>
                <w:b/>
                <w:bCs/>
                <w:color w:val="1A2E4A"/>
                <w:sz w:val="18"/>
                <w:szCs w:val="18"/>
              </w:rPr>
              <w:t xml:space="preserve">30%</w:t>
            </w:r>
          </w:p>
        </w:tc>
        <w:tc>
          <w:tcPr>
            <w:tcW w:type="dxa" w:w="41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50"/>
            </w:tcMar>
          </w:tcPr>
          <w:p>
            <w:pPr>
              <w:jc w:val="right"/>
            </w:pPr>
            <w:r>
              <w:rPr>
                <w:rFonts w:ascii="Calibri" w:cs="Calibri" w:eastAsia="Calibri" w:hAnsi="Calibri"/>
                <w:color w:val="1A1A1A"/>
                <w:sz w:val="18"/>
                <w:szCs w:val="18"/>
              </w:rPr>
              <w:t xml:space="preserve">MK 46,710,000</w:t>
            </w:r>
          </w:p>
        </w:tc>
      </w:tr>
      <w:tr>
        <w:tc>
          <w:tcPr>
            <w:tcW w:type="dxa" w:w="40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Design Sign-Off and Build Commencement</w:t>
            </w:r>
          </w:p>
        </w:tc>
        <w:tc>
          <w:tcPr>
            <w:tcW w:type="dxa" w:w="12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pPr>
              <w:jc w:val="center"/>
            </w:pPr>
            <w:r>
              <w:rPr>
                <w:rFonts w:ascii="Calibri" w:cs="Calibri" w:eastAsia="Calibri" w:hAnsi="Calibri"/>
                <w:b/>
                <w:bCs/>
                <w:color w:val="1A2E4A"/>
                <w:sz w:val="18"/>
                <w:szCs w:val="18"/>
              </w:rPr>
              <w:t xml:space="preserve">30%</w:t>
            </w:r>
          </w:p>
        </w:tc>
        <w:tc>
          <w:tcPr>
            <w:tcW w:type="dxa" w:w="41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50"/>
            </w:tcMar>
          </w:tcPr>
          <w:p>
            <w:pPr>
              <w:jc w:val="right"/>
            </w:pPr>
            <w:r>
              <w:rPr>
                <w:rFonts w:ascii="Calibri" w:cs="Calibri" w:eastAsia="Calibri" w:hAnsi="Calibri"/>
                <w:color w:val="1A1A1A"/>
                <w:sz w:val="18"/>
                <w:szCs w:val="18"/>
              </w:rPr>
              <w:t xml:space="preserve">MK 46,710,000</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UAT Commencement</w:t>
            </w:r>
          </w:p>
        </w:tc>
        <w:tc>
          <w:tcPr>
            <w:tcW w:type="dxa" w:w="12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pPr>
              <w:jc w:val="center"/>
            </w:pPr>
            <w:r>
              <w:rPr>
                <w:rFonts w:ascii="Calibri" w:cs="Calibri" w:eastAsia="Calibri" w:hAnsi="Calibri"/>
                <w:b/>
                <w:bCs/>
                <w:color w:val="1A2E4A"/>
                <w:sz w:val="18"/>
                <w:szCs w:val="18"/>
              </w:rPr>
              <w:t xml:space="preserve">25%</w:t>
            </w:r>
          </w:p>
        </w:tc>
        <w:tc>
          <w:tcPr>
            <w:tcW w:type="dxa" w:w="41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50"/>
            </w:tcMar>
          </w:tcPr>
          <w:p>
            <w:pPr>
              <w:jc w:val="right"/>
            </w:pPr>
            <w:r>
              <w:rPr>
                <w:rFonts w:ascii="Calibri" w:cs="Calibri" w:eastAsia="Calibri" w:hAnsi="Calibri"/>
                <w:color w:val="1A1A1A"/>
                <w:sz w:val="18"/>
                <w:szCs w:val="18"/>
              </w:rPr>
              <w:t xml:space="preserve">MK 38,925,000</w:t>
            </w:r>
          </w:p>
        </w:tc>
      </w:tr>
      <w:tr>
        <w:tc>
          <w:tcPr>
            <w:tcW w:type="dxa" w:w="40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Go-Live and Project Handover</w:t>
            </w:r>
          </w:p>
        </w:tc>
        <w:tc>
          <w:tcPr>
            <w:tcW w:type="dxa" w:w="12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pPr>
              <w:jc w:val="center"/>
            </w:pPr>
            <w:r>
              <w:rPr>
                <w:rFonts w:ascii="Calibri" w:cs="Calibri" w:eastAsia="Calibri" w:hAnsi="Calibri"/>
                <w:b/>
                <w:bCs/>
                <w:color w:val="1A2E4A"/>
                <w:sz w:val="18"/>
                <w:szCs w:val="18"/>
              </w:rPr>
              <w:t xml:space="preserve">15%</w:t>
            </w:r>
          </w:p>
        </w:tc>
        <w:tc>
          <w:tcPr>
            <w:tcW w:type="dxa" w:w="41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50"/>
            </w:tcMar>
          </w:tcPr>
          <w:p>
            <w:pPr>
              <w:jc w:val="right"/>
            </w:pPr>
            <w:r>
              <w:rPr>
                <w:rFonts w:ascii="Calibri" w:cs="Calibri" w:eastAsia="Calibri" w:hAnsi="Calibri"/>
                <w:color w:val="1A1A1A"/>
                <w:sz w:val="18"/>
                <w:szCs w:val="18"/>
              </w:rPr>
              <w:t xml:space="preserve">MK 23,355,000</w:t>
            </w:r>
          </w:p>
        </w:tc>
      </w:tr>
    </w:tbl>
    <w:p>
      <w:pPr>
        <w:spacing w:before="0" w:after="80"/>
      </w:pPr>
      <w:r>
        <w:t xml:space="preserve"/>
      </w:r>
    </w:p>
    <w:p>
      <w:pPr>
        <w:spacing w:before="60" w:after="60"/>
      </w:pPr>
      <w:r>
        <w:rPr>
          <w:rFonts w:ascii="Calibri" w:cs="Calibri" w:eastAsia="Calibri" w:hAnsi="Calibri"/>
          <w:color w:val="1A1A1A"/>
          <w:sz w:val="20"/>
          <w:szCs w:val="20"/>
        </w:rPr>
        <w:t xml:space="preserve">All invoices are payable within 14 calendar days of the milestone trigger. Failure to pay within the agreed period may suspend delivery activities until payment is received. TechNexus will issue a formal tax invoice at each milestone.</w:t>
      </w:r>
    </w:p>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Exclusions</w:t>
      </w:r>
    </w:p>
    <w:p>
      <w:pPr>
        <w:spacing w:before="60" w:after="60"/>
      </w:pPr>
      <w:r>
        <w:rPr>
          <w:rFonts w:ascii="Calibri" w:cs="Calibri" w:eastAsia="Calibri" w:hAnsi="Calibri"/>
          <w:color w:val="1A1A1A"/>
          <w:sz w:val="20"/>
          <w:szCs w:val="20"/>
        </w:rPr>
        <w:t xml:space="preserve">The quoted amount explicitly excludes the following unless covered by a written variation order:</w:t>
      </w:r>
    </w:p>
    <w:p>
      <w:pPr>
        <w:pStyle w:val="ListParagraph"/>
        <w:numPr>
          <w:ilvl w:val="0"/>
          <w:numId w:val="2"/>
        </w:numPr>
        <w:spacing w:before="40" w:after="40"/>
      </w:pPr>
      <w:r>
        <w:rPr>
          <w:rFonts w:ascii="Calibri" w:cs="Calibri" w:eastAsia="Calibri" w:hAnsi="Calibri"/>
          <w:color w:val="1A1A1A"/>
          <w:sz w:val="20"/>
          <w:szCs w:val="20"/>
        </w:rPr>
        <w:t xml:space="preserve">Server hardware, workstations, and related physical infrastructure</w:t>
      </w:r>
    </w:p>
    <w:p>
      <w:pPr>
        <w:pStyle w:val="ListParagraph"/>
        <w:numPr>
          <w:ilvl w:val="0"/>
          <w:numId w:val="2"/>
        </w:numPr>
        <w:spacing w:before="40" w:after="40"/>
      </w:pPr>
      <w:r>
        <w:rPr>
          <w:rFonts w:ascii="Calibri" w:cs="Calibri" w:eastAsia="Calibri" w:hAnsi="Calibri"/>
          <w:color w:val="1A1A1A"/>
          <w:sz w:val="20"/>
          <w:szCs w:val="20"/>
        </w:rPr>
        <w:t xml:space="preserve">Windows Server and SQL Server licensing fees</w:t>
      </w:r>
    </w:p>
    <w:p>
      <w:pPr>
        <w:pStyle w:val="ListParagraph"/>
        <w:numPr>
          <w:ilvl w:val="0"/>
          <w:numId w:val="2"/>
        </w:numPr>
        <w:spacing w:before="40" w:after="40"/>
      </w:pPr>
      <w:r>
        <w:rPr>
          <w:rFonts w:ascii="Calibri" w:cs="Calibri" w:eastAsia="Calibri" w:hAnsi="Calibri"/>
          <w:color w:val="1A1A1A"/>
          <w:sz w:val="20"/>
          <w:szCs w:val="20"/>
        </w:rPr>
        <w:t xml:space="preserve">Antivirus, security subscription, and SSL certificate costs</w:t>
      </w:r>
    </w:p>
    <w:p>
      <w:pPr>
        <w:pStyle w:val="ListParagraph"/>
        <w:numPr>
          <w:ilvl w:val="0"/>
          <w:numId w:val="2"/>
        </w:numPr>
        <w:spacing w:before="40" w:after="40"/>
      </w:pPr>
      <w:r>
        <w:rPr>
          <w:rFonts w:ascii="Calibri" w:cs="Calibri" w:eastAsia="Calibri" w:hAnsi="Calibri"/>
          <w:color w:val="1A1A1A"/>
          <w:sz w:val="20"/>
          <w:szCs w:val="20"/>
        </w:rPr>
        <w:t xml:space="preserve">Internet connectivity and power backup infrastructure</w:t>
      </w:r>
    </w:p>
    <w:p>
      <w:pPr>
        <w:pStyle w:val="ListParagraph"/>
        <w:numPr>
          <w:ilvl w:val="0"/>
          <w:numId w:val="2"/>
        </w:numPr>
        <w:spacing w:before="40" w:after="40"/>
      </w:pPr>
      <w:r>
        <w:rPr>
          <w:rFonts w:ascii="Calibri" w:cs="Calibri" w:eastAsia="Calibri" w:hAnsi="Calibri"/>
          <w:color w:val="1A1A1A"/>
          <w:sz w:val="20"/>
          <w:szCs w:val="20"/>
        </w:rPr>
        <w:t xml:space="preserve">Third-party integrations not specified in this quotation</w:t>
      </w:r>
    </w:p>
    <w:p>
      <w:pPr>
        <w:pStyle w:val="ListParagraph"/>
        <w:numPr>
          <w:ilvl w:val="0"/>
          <w:numId w:val="2"/>
        </w:numPr>
        <w:spacing w:before="40" w:after="40"/>
      </w:pPr>
      <w:r>
        <w:rPr>
          <w:rFonts w:ascii="Calibri" w:cs="Calibri" w:eastAsia="Calibri" w:hAnsi="Calibri"/>
          <w:color w:val="1A1A1A"/>
          <w:sz w:val="20"/>
          <w:szCs w:val="20"/>
        </w:rPr>
        <w:t xml:space="preserve">VAT (17.5%) or any applicable withholding taxes</w:t>
      </w:r>
    </w:p>
    <w:p>
      <w:pPr>
        <w:pStyle w:val="ListParagraph"/>
        <w:numPr>
          <w:ilvl w:val="0"/>
          <w:numId w:val="2"/>
        </w:numPr>
        <w:spacing w:before="40" w:after="40"/>
      </w:pPr>
      <w:r>
        <w:rPr>
          <w:rFonts w:ascii="Calibri" w:cs="Calibri" w:eastAsia="Calibri" w:hAnsi="Calibri"/>
          <w:color w:val="1A1A1A"/>
          <w:sz w:val="20"/>
          <w:szCs w:val="20"/>
        </w:rPr>
        <w:t xml:space="preserve">Substantial legacy data cleansing or migration beyond agreed templates</w:t>
      </w:r>
    </w:p>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Delivery Period &amp; Commercial Notes</w:t>
      </w:r>
    </w:p>
    <w:p>
      <w:pPr>
        <w:spacing w:before="60" w:after="60"/>
      </w:pPr>
      <w:r>
        <w:rPr>
          <w:rFonts w:ascii="Calibri" w:cs="Calibri" w:eastAsia="Calibri" w:hAnsi="Calibri"/>
          <w:color w:val="1A1A1A"/>
          <w:sz w:val="20"/>
          <w:szCs w:val="20"/>
        </w:rPr>
        <w:t xml:space="preserve">The estimated delivery period is 24 weeks from project kick-off, subject to timely sign-offs, infrastructure readiness, and data availability. Any change in user count, branch count, workflow complexity, reporting scope, or integration requirements may require a revised commercial proposal.</w:t>
      </w:r>
    </w:p>
    <w:p>
      <w:pPr>
        <w:spacing w:before="0" w:after="80"/>
      </w:pPr>
      <w:r>
        <w:t xml:space="preserve"/>
      </w:r>
    </w:p>
    <w:p>
      <w:pPr>
        <w:spacing w:before="60" w:after="60"/>
      </w:pPr>
      <w:r>
        <w:rPr>
          <w:rFonts w:ascii="Calibri" w:cs="Calibri" w:eastAsia="Calibri" w:hAnsi="Calibri"/>
          <w:color w:val="1A1A1A"/>
          <w:sz w:val="20"/>
          <w:szCs w:val="20"/>
        </w:rPr>
        <w:t xml:space="preserve">This quotation constitutes a formal commercial offer valid for 30 days from the date of issue. TechNexus Malawi is registered on MANePS (Malawi National Electronic Procurement System) and is fully compliant with the Public Finance Management Act (2022).</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F5F7FA" w:val="clear"/>
            <w:tcMar>
              <w:top w:type="dxa" w:w="200"/>
              <w:left w:type="dxa" w:w="200"/>
              <w:bottom w:type="dxa" w:w="200"/>
              <w:right w:type="dxa" w:w="200"/>
            </w:tcMar>
          </w:tcPr>
          <w:p>
            <w:r>
              <w:rPr>
                <w:rFonts w:ascii="Calibri" w:cs="Calibri" w:eastAsia="Calibri" w:hAnsi="Calibri"/>
                <w:color w:val="555555"/>
                <w:sz w:val="18"/>
                <w:szCs w:val="18"/>
              </w:rPr>
              <w:t xml:space="preserve">Issued by:</w:t>
            </w:r>
          </w:p>
          <w:p>
            <w:pPr>
              <w:spacing w:before="80"/>
            </w:pPr>
            <w:r>
              <w:rPr>
                <w:rFonts w:ascii="Calibri" w:cs="Calibri" w:eastAsia="Calibri" w:hAnsi="Calibri"/>
                <w:b/>
                <w:bCs/>
                <w:color w:val="1A2E4A"/>
                <w:sz w:val="22"/>
                <w:szCs w:val="22"/>
              </w:rPr>
              <w:t xml:space="preserve">TechNexus Malawi</w:t>
            </w:r>
          </w:p>
          <w:p>
            <w:r>
              <w:rPr>
                <w:rFonts w:ascii="Calibri" w:cs="Calibri" w:eastAsia="Calibri" w:hAnsi="Calibri"/>
                <w:color w:val="555555"/>
                <w:sz w:val="16"/>
                <w:szCs w:val="16"/>
              </w:rPr>
              <w:t xml:space="preserve">BRN.A6SNWQY  |  MANePS Active</w:t>
            </w:r>
          </w:p>
          <w:p>
            <w:r>
              <w:rPr>
                <w:rFonts w:ascii="Calibri" w:cs="Calibri" w:eastAsia="Calibri" w:hAnsi="Calibri"/>
                <w:color w:val="555555"/>
                <w:sz w:val="16"/>
                <w:szCs w:val="16"/>
              </w:rPr>
              <w:t xml:space="preserve">PPDA Registered  |  MRA Compliant</w:t>
            </w:r>
          </w:p>
          <w:p>
            <w:pPr>
              <w:spacing w:before="0" w:after="80"/>
            </w:pPr>
            <w:r>
              <w:t xml:space="preserve"/>
            </w:r>
          </w:p>
          <w:p>
            <w:r>
              <w:rPr>
                <w:rFonts w:ascii="Calibri" w:cs="Calibri" w:eastAsia="Calibri" w:hAnsi="Calibri"/>
                <w:color w:val="0078D4"/>
                <w:sz w:val="18"/>
                <w:szCs w:val="18"/>
              </w:rPr>
              <w:t xml:space="preserve">www.technexusmw.com</w:t>
            </w:r>
          </w:p>
          <w:p>
            <w:r>
              <w:rPr>
                <w:rFonts w:ascii="Calibri" w:cs="Calibri" w:eastAsia="Calibri" w:hAnsi="Calibri"/>
                <w:color w:val="1A1A1A"/>
                <w:sz w:val="18"/>
                <w:szCs w:val="18"/>
              </w:rPr>
              <w:t xml:space="preserve">+265 889 941 700  |  technexus_mw@proton.me</w:t>
            </w:r>
          </w:p>
          <w:p>
            <w:r>
              <w:rPr>
                <w:rFonts w:ascii="Calibri" w:cs="Calibri" w:eastAsia="Calibri" w:hAnsi="Calibri"/>
                <w:color w:val="1A1A1A"/>
                <w:sz w:val="18"/>
                <w:szCs w:val="18"/>
              </w:rPr>
              <w:t xml:space="preserve">Blantyre, Malawi</w:t>
            </w:r>
          </w:p>
        </w:tc>
        <w:tc>
          <w:tcPr>
            <w:tcW w:type="dxa" w:w="4860"/>
            <w:tcBorders>
              <w:top w:val="none" w:color="FFFFFF" w:sz="0"/>
              <w:left w:val="none" w:color="FFFFFF" w:sz="0"/>
              <w:bottom w:val="none" w:color="FFFFFF" w:sz="0"/>
              <w:right w:val="none" w:color="FFFFFF" w:sz="0"/>
            </w:tcBorders>
            <w:shd w:fill="EBF3FA" w:val="clear"/>
            <w:tcMar>
              <w:top w:type="dxa" w:w="200"/>
              <w:left w:type="dxa" w:w="200"/>
              <w:bottom w:type="dxa" w:w="200"/>
              <w:right w:type="dxa" w:w="200"/>
            </w:tcMar>
          </w:tcPr>
          <w:p>
            <w:r>
              <w:rPr>
                <w:rFonts w:ascii="Calibri" w:cs="Calibri" w:eastAsia="Calibri" w:hAnsi="Calibri"/>
                <w:color w:val="555555"/>
                <w:sz w:val="18"/>
                <w:szCs w:val="18"/>
              </w:rPr>
              <w:t xml:space="preserve">Client Acceptance:</w:t>
            </w:r>
          </w:p>
          <w:p>
            <w:pPr>
              <w:spacing w:before="0" w:after="160"/>
            </w:pPr>
            <w:r>
              <w:t xml:space="preserve"/>
            </w:r>
          </w:p>
          <w:p>
            <w:pPr>
              <w:pBdr>
                <w:bottom w:val="single" w:color="1A2E4A" w:sz="2"/>
              </w:pBdr>
              <w:spacing w:before="300"/>
            </w:pPr>
            <w:r>
              <w:rPr>
                <w:sz w:val="24"/>
                <w:szCs w:val="24"/>
              </w:rPr>
              <w:t xml:space="preserve">  </w:t>
            </w:r>
          </w:p>
          <w:p>
            <w:pPr>
              <w:spacing w:before="60"/>
            </w:pPr>
            <w:r>
              <w:rPr>
                <w:rFonts w:ascii="Calibri" w:cs="Calibri" w:eastAsia="Calibri" w:hAnsi="Calibri"/>
                <w:color w:val="555555"/>
                <w:sz w:val="16"/>
                <w:szCs w:val="16"/>
              </w:rPr>
              <w:t xml:space="preserve">Authorised Signatory  |  Date</w:t>
            </w:r>
          </w:p>
          <w:p>
            <w:pPr>
              <w:spacing w:before="0" w:after="80"/>
            </w:pPr>
            <w:r>
              <w:t xml:space="preserve"/>
            </w:r>
          </w:p>
          <w:p>
            <w:pPr>
              <w:pBdr>
                <w:bottom w:val="single" w:color="1A2E4A" w:sz="2"/>
              </w:pBdr>
              <w:spacing w:before="200"/>
            </w:pPr>
            <w:r>
              <w:rPr>
                <w:sz w:val="24"/>
                <w:szCs w:val="24"/>
              </w:rPr>
              <w:t xml:space="preserve">  </w:t>
            </w:r>
          </w:p>
          <w:p>
            <w:pPr>
              <w:spacing w:before="60"/>
            </w:pPr>
            <w:r>
              <w:rPr>
                <w:rFonts w:ascii="Calibri" w:cs="Calibri" w:eastAsia="Calibri" w:hAnsi="Calibri"/>
                <w:color w:val="555555"/>
                <w:sz w:val="16"/>
                <w:szCs w:val="16"/>
              </w:rPr>
              <w:t xml:space="preserve">Title / Organisation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space="4"/>
      </w:pBdr>
      <w:tabs>
        <w:tab w:val="right" w:pos="9360"/>
      </w:tabs>
      <w:spacing w:before="80"/>
    </w:pPr>
    <w:r>
      <w:rPr>
        <w:rFonts w:ascii="Calibri" w:cs="Calibri" w:eastAsia="Calibri" w:hAnsi="Calibri"/>
        <w:color w:val="555555"/>
        <w:sz w:val="14"/>
        <w:szCs w:val="14"/>
      </w:rPr>
      <w:t xml:space="preserve">TechNexus Malawi  |  www.technexusmw.com  |  +265 889 941 700  |  Quote No: TNX-INS-2026-031</w:t>
    </w:r>
    <w:r>
      <w:rPr>
        <w:sz w:val="14"/>
        <w:szCs w:val="14"/>
      </w:rPr>
      <w:t xml:space="preserve">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none" w:color="FFFFFF" w:sz="0"/>
            <w:left w:val="none" w:color="FFFFFF" w:sz="0"/>
            <w:bottom w:val="none" w:color="FFFFFF" w:sz="0"/>
            <w:right w:val="none" w:color="FFFFFF" w:sz="0"/>
          </w:tcBorders>
        </w:tcPr>
        <w:p>
          <w:r>
            <w:rPr>
              <w:rFonts w:ascii="Calibri" w:cs="Calibri" w:eastAsia="Calibri" w:hAnsi="Calibri"/>
              <w:b/>
              <w:bCs/>
              <w:color w:val="1A2E4A"/>
              <w:sz w:val="20"/>
              <w:szCs w:val="20"/>
            </w:rPr>
            <w:t xml:space="preserve">TechNexus Malawi</w:t>
          </w:r>
        </w:p>
      </w:tc>
      <w:tc>
        <w:tcPr>
          <w:tcBorders>
            <w:top w:val="none" w:color="FFFFFF" w:sz="0"/>
            <w:left w:val="none" w:color="FFFFFF" w:sz="0"/>
            <w:bottom w:val="none" w:color="FFFFFF" w:sz="0"/>
            <w:right w:val="none" w:color="FFFFFF" w:sz="0"/>
          </w:tcBorders>
        </w:tcPr>
        <w:p>
          <w:pPr>
            <w:jc w:val="right"/>
          </w:pPr>
          <w:r>
            <w:rPr>
              <w:rFonts w:ascii="Calibri" w:cs="Calibri" w:eastAsia="Calibri" w:hAnsi="Calibri"/>
              <w:color w:val="555555"/>
              <w:sz w:val="16"/>
              <w:szCs w:val="16"/>
            </w:rPr>
            <w:t xml:space="preserve">Formal Quotation  —  Quote No: TNX-INS-2026-031</w:t>
          </w:r>
        </w:p>
      </w:tc>
    </w:tr>
  </w:tbl>
  <w:p>
    <w:pPr>
      <w:pBdr>
        <w:bottom w:val="single" w:color="0078D4" w:sz="4"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2026-03-31T17:09:34.100Z</dcterms:created>
  <dcterms:modified xsi:type="dcterms:W3CDTF">2026-03-31T17:09:34.101Z</dcterms:modified>
</cp:coreProperties>
</file>

<file path=docProps/custom.xml><?xml version="1.0" encoding="utf-8"?>
<Properties xmlns="http://schemas.openxmlformats.org/officeDocument/2006/custom-properties" xmlns:vt="http://schemas.openxmlformats.org/officeDocument/2006/docPropsVTypes"/>
</file>