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rHeight w:val="110" w:hRule="exact"/>
        </w:trPr>
        <w:tc>
          <w:tcPr>
            <w:tcW w:type="dxa" w:w="3249"/>
            <w:tcBorders>
              <w:top w:val="none" w:color="auto" w:sz="0"/>
              <w:left w:val="none" w:color="auto" w:sz="0"/>
              <w:bottom w:val="none" w:color="auto" w:sz="0"/>
              <w:right w:val="none" w:color="auto" w:sz="0"/>
            </w:tcBorders>
            <w:shd w:fill="000000" w:val="clear"/>
          </w:tcPr>
          <w:p>
            <w:r>
              <w:rPr>
                <w:sz w:val="2"/>
                <w:szCs w:val="2"/>
              </w:rPr>
              <w:t xml:space="preserve"> </w:t>
            </w:r>
          </w:p>
        </w:tc>
        <w:tc>
          <w:tcPr>
            <w:tcW w:type="dxa" w:w="3249"/>
            <w:tcBorders>
              <w:top w:val="none" w:color="auto" w:sz="0"/>
              <w:left w:val="none" w:color="auto" w:sz="0"/>
              <w:bottom w:val="none" w:color="auto" w:sz="0"/>
              <w:right w:val="none" w:color="auto" w:sz="0"/>
            </w:tcBorders>
            <w:shd w:fill="CE1126" w:val="clear"/>
          </w:tcPr>
          <w:p>
            <w:r>
              <w:rPr>
                <w:sz w:val="2"/>
                <w:szCs w:val="2"/>
              </w:rPr>
              <w:t xml:space="preserve"> </w:t>
            </w:r>
          </w:p>
        </w:tc>
        <w:tc>
          <w:tcPr>
            <w:tcW w:type="dxa" w:w="3249"/>
            <w:tcBorders>
              <w:top w:val="none" w:color="auto" w:sz="0"/>
              <w:left w:val="none" w:color="auto" w:sz="0"/>
              <w:bottom w:val="none" w:color="auto" w:sz="0"/>
              <w:right w:val="none" w:color="auto" w:sz="0"/>
            </w:tcBorders>
            <w:shd w:fill="339E35" w:val="clear"/>
          </w:tcPr>
          <w:p>
            <w:r>
              <w:rPr>
                <w:sz w:val="2"/>
                <w:szCs w:val="2"/>
              </w:rPr>
              <w:t xml:space="preserve"> </w:t>
            </w:r>
          </w:p>
        </w:tc>
      </w:tr>
    </w:tbl>
    <w:p>
      <w:pPr>
        <w:spacing w:before="160"/>
      </w:pPr>
      <w:r>
        <w:rPr>
          <w:rFonts w:ascii="Arial" w:cs="Arial" w:eastAsia="Arial" w:hAnsi="Arial"/>
          <w:b/>
          <w:bCs/>
          <w:color w:val="0E1729"/>
          <w:sz w:val="36"/>
          <w:szCs w:val="36"/>
        </w:rPr>
        <w:t xml:space="preserve">TechNexus MW</w:t>
      </w:r>
    </w:p>
    <w:p>
      <w:r>
        <w:rPr>
          <w:i/>
          <w:iCs/>
          <w:color w:val="555555"/>
          <w:sz w:val="22"/>
          <w:szCs w:val="22"/>
        </w:rPr>
        <w:t xml:space="preserve">Technology · Language · Infrastructure</w:t>
      </w:r>
    </w:p>
    <w:p>
      <w:pPr>
        <w:tabs>
          <w:tab w:val="right" w:pos="9746"/>
        </w:tabs>
      </w:pPr>
      <w:r>
        <w:rPr>
          <w:rFonts w:ascii="Arial" w:cs="Arial" w:eastAsia="Arial" w:hAnsi="Arial"/>
          <w:sz w:val="18"/>
          <w:szCs w:val="18"/>
        </w:rPr>
        <w:t xml:space="preserve">P.O. Box / Blantyre, Malawi · www.technexusmw.com</w:t>
      </w:r>
      <w:r>
        <w:rPr>
          <w:rFonts w:ascii="Arial" w:cs="Arial" w:eastAsia="Arial" w:hAnsi="Arial"/>
          <w:sz w:val="18"/>
          <w:szCs w:val="18"/>
        </w:rPr>
        <w:t xml:space="preserve">	MSME-certified Small Enterprise</w:t>
      </w:r>
    </w:p>
    <w:p>
      <w:pPr>
        <w:pBdr>
          <w:bottom w:val="single" w:color="B58900" w:sz="16" w:space="1"/>
        </w:pBdr>
        <w:spacing w:after="80"/>
      </w:pPr>
    </w:p>
    <w:p>
      <w:pPr>
        <w:tabs>
          <w:tab w:val="right" w:pos="9746"/>
        </w:tabs>
        <w:spacing w:before="240"/>
      </w:pPr>
      <w:r>
        <w:rPr>
          <w:rFonts w:ascii="Arial" w:cs="Arial" w:eastAsia="Arial" w:hAnsi="Arial"/>
          <w:b w:val="false"/>
          <w:bCs w:val="false"/>
          <w:sz w:val="20"/>
          <w:szCs w:val="20"/>
        </w:rPr>
        <w:t xml:space="preserve">Our Ref: TNX/NXF/2026/05/001</w:t>
      </w:r>
      <w:r>
        <w:rPr>
          <w:rFonts w:ascii="Arial" w:cs="Arial" w:eastAsia="Arial" w:hAnsi="Arial"/>
          <w:b w:val="false"/>
          <w:bCs w:val="false"/>
          <w:sz w:val="20"/>
          <w:szCs w:val="20"/>
        </w:rPr>
        <w:t xml:space="preserve">	15 May 2026</w:t>
      </w:r>
    </w:p>
    <w:p>
      <w:pPr>
        <w:tabs>
          <w:tab w:val="right" w:pos="9746"/>
        </w:tabs>
      </w:pPr>
      <w:r>
        <w:rPr>
          <w:rFonts w:ascii="Arial" w:cs="Arial" w:eastAsia="Arial" w:hAnsi="Arial"/>
          <w:sz w:val="20"/>
          <w:szCs w:val="20"/>
        </w:rPr>
        <w:t xml:space="preserve">Your Ref: —</w:t>
      </w:r>
      <w:r>
        <w:rPr>
          <w:rFonts w:ascii="Arial" w:cs="Arial" w:eastAsia="Arial" w:hAnsi="Arial"/>
          <w:sz w:val="20"/>
          <w:szCs w:val="20"/>
        </w:rPr>
        <w:t xml:space="preserve">	</w:t>
      </w:r>
    </w:p>
    <w:p>
      <w:pPr>
        <w:spacing w:after="0" w:before="320"/>
      </w:pPr>
      <w:r>
        <w:rPr>
          <w:rFonts w:ascii="Arial" w:cs="Arial" w:eastAsia="Arial" w:hAnsi="Arial"/>
          <w:b/>
          <w:bCs/>
          <w:sz w:val="22"/>
          <w:szCs w:val="22"/>
        </w:rPr>
        <w:t xml:space="preserve">The Director</w:t>
      </w:r>
    </w:p>
    <w:p>
      <w:pPr>
        <w:jc w:val="left"/>
      </w:pPr>
      <w:r>
        <w:rPr>
          <w:rFonts w:ascii="Arial" w:cs="Arial" w:eastAsia="Arial" w:hAnsi="Arial"/>
        </w:rPr>
        <w:t xml:space="preserve">Directorate of Road Traffic and Safety Services</w:t>
      </w:r>
    </w:p>
    <w:p>
      <w:pPr>
        <w:jc w:val="left"/>
      </w:pPr>
      <w:r>
        <w:rPr>
          <w:rFonts w:ascii="Arial" w:cs="Arial" w:eastAsia="Arial" w:hAnsi="Arial"/>
        </w:rPr>
        <w:t xml:space="preserve">Malawi Police Service</w:t>
      </w:r>
    </w:p>
    <w:p>
      <w:pPr>
        <w:jc w:val="left"/>
      </w:pPr>
      <w:r>
        <w:rPr>
          <w:rFonts w:ascii="Arial" w:cs="Arial" w:eastAsia="Arial" w:hAnsi="Arial"/>
        </w:rPr>
        <w:t xml:space="preserve">Capital Hill, Lilongwe</w:t>
      </w:r>
    </w:p>
    <w:p>
      <w:pPr>
        <w:jc w:val="left"/>
      </w:pPr>
      <w:r>
        <w:rPr>
          <w:rFonts w:ascii="Arial" w:cs="Arial" w:eastAsia="Arial" w:hAnsi="Arial"/>
        </w:rPr>
        <w:t xml:space="preserve">Republic of Malawi</w:t>
      </w:r>
    </w:p>
    <w:p>
      <w:pPr>
        <w:spacing w:before="240"/>
      </w:pPr>
      <w:r>
        <w:rPr>
          <w:rFonts w:ascii="Arial" w:cs="Arial" w:eastAsia="Arial" w:hAnsi="Arial"/>
          <w:sz w:val="22"/>
          <w:szCs w:val="22"/>
        </w:rPr>
        <w:t xml:space="preserve">Dear Sir / Madam,</w:t>
      </w:r>
    </w:p>
    <w:p>
      <w:pPr>
        <w:spacing w:after="200" w:before="200"/>
        <w:jc w:val="left"/>
      </w:pPr>
      <w:r>
        <w:rPr>
          <w:rFonts w:ascii="Arial" w:cs="Arial" w:eastAsia="Arial" w:hAnsi="Arial"/>
          <w:b/>
          <w:bCs/>
          <w:color w:val="0E1729"/>
          <w:sz w:val="22"/>
          <w:szCs w:val="22"/>
        </w:rPr>
        <w:t xml:space="preserve">SUBJECT:  PROPOSAL FOR THE DEPLOYMENT OF A DIGITAL TRAFFIC FINES MANAGEMENT AND PAYMENT PLATFORM — NexusFine</w:t>
      </w:r>
    </w:p>
    <w:p>
      <w:pPr>
        <w:spacing w:after="160"/>
        <w:jc w:val="left"/>
      </w:pPr>
      <w:r>
        <w:rPr>
          <w:rFonts w:ascii="Arial" w:cs="Arial" w:eastAsia="Arial" w:hAnsi="Arial"/>
        </w:rPr>
        <w:t xml:space="preserve">TechNexus MW respectfully submits this proposal for the design, deployment and ongoing support of NexusFine — a modern, fully Malawian digital traffic-fines management and payment platform built to serve the Directorate of Road Traffic and Safety Services and the Malawi Police Service.</w:t>
      </w:r>
    </w:p>
    <w:p>
      <w:pPr>
        <w:spacing w:after="160"/>
        <w:jc w:val="left"/>
      </w:pPr>
      <w:r>
        <w:rPr>
          <w:rFonts w:ascii="Arial" w:cs="Arial" w:eastAsia="Arial" w:hAnsi="Arial"/>
        </w:rPr>
        <w:t xml:space="preserve">TechNexus MW is a Malawian ICT solutions company providing end-to-end IT hardware, custom software development, language services and infrastructure support to institutions across Southern and East Africa. Our positioning — "Technology · Language · Infrastructure" — reflects our commitment to practical, secure, scalable systems designed for Malawi’s operating realities while meeting enterprise-grade standards.</w:t>
      </w:r>
    </w:p>
    <w:p>
      <w:pPr>
        <w:spacing w:after="160"/>
        <w:jc w:val="left"/>
      </w:pPr>
      <w:r>
        <w:rPr>
          <w:rFonts w:ascii="Arial" w:cs="Arial" w:eastAsia="Arial" w:hAnsi="Arial"/>
        </w:rPr>
        <w:t xml:space="preserve">We are formally registered as a Small Enterprise under Malawi’s MSME framework. This positioning is significant: it both qualifies the project for clear local-procurement review and demonstrates TechNexus’s capacity to deliver high-impact public-sector solutions with local accountability and short escalation paths.</w:t>
      </w:r>
    </w:p>
    <w:p>
      <w:pPr>
        <w:pStyle w:val="Heading2"/>
        <w:spacing w:after="120" w:before="240"/>
      </w:pPr>
      <w:r>
        <w:rPr>
          <w:b/>
          <w:bCs/>
          <w:color w:val="0E1729"/>
          <w:sz w:val="26"/>
          <w:szCs w:val="26"/>
        </w:rPr>
        <w:t xml:space="preserve">The challenge we address</w:t>
      </w:r>
    </w:p>
    <w:p>
      <w:pPr>
        <w:spacing w:after="160"/>
        <w:jc w:val="left"/>
      </w:pPr>
      <w:r>
        <w:rPr>
          <w:rFonts w:ascii="Arial" w:cs="Arial" w:eastAsia="Arial" w:hAnsi="Arial"/>
        </w:rPr>
        <w:t xml:space="preserve">Manual administration of road-traffic fines today is characterised by paper-based ticketing, delayed reconciliation, limited traceability, inconvenience for motorists, and exposure to revenue leakage. The Road Traffic (Prescribed Offences and Penalties) Regulations 2026 — published as Government Notice No. 38 of 8 May 2026 — significantly raise the tariffs applied to common offences. Without a parallel modernisation of the collection and audit pipeline, the State risks an increase in unrecovered revenue at the very moment public expectation of fairness and accountability is highest.</w:t>
      </w:r>
    </w:p>
    <w:p>
      <w:pPr>
        <w:pStyle w:val="Heading2"/>
      </w:pPr>
      <w:r>
        <w:rPr>
          <w:b/>
          <w:bCs/>
          <w:color w:val="0E1729"/>
          <w:sz w:val="26"/>
          <w:szCs w:val="26"/>
        </w:rPr>
        <w:t xml:space="preserve">Our proposal — NexusFine</w:t>
      </w:r>
    </w:p>
    <w:p>
      <w:pPr>
        <w:spacing w:after="120"/>
        <w:jc w:val="left"/>
      </w:pPr>
      <w:r>
        <w:rPr>
          <w:rFonts w:ascii="Arial" w:cs="Arial" w:eastAsia="Arial" w:hAnsi="Arial"/>
        </w:rPr>
        <w:t xml:space="preserve">NexusFine is a complete digital enforcement and payment ecosystem. Officers issue fines electronically in the field; citizens look up, dispute and pay through self-service channels; supervisors and the Treasury obtain real-time reconciliation and a full audit trail.</w:t>
      </w:r>
    </w:p>
    <w:p>
      <w:pPr>
        <w:pStyle w:val="ListParagraph"/>
        <w:numPr>
          <w:ilvl w:val="0"/>
          <w:numId w:val="2"/>
        </w:numPr>
      </w:pPr>
      <w:r>
        <w:rPr>
          <w:rFonts w:ascii="Arial" w:cs="Arial" w:eastAsia="Arial" w:hAnsi="Arial"/>
          <w:sz w:val="22"/>
          <w:szCs w:val="22"/>
        </w:rPr>
        <w:t xml:space="preserve">Distributed three-tier topology designed for Malawi’s operating realities — HQ (Lilongwe), Station Servers at each police station, and Android tablets in officers’ hands. Each tier continues to function when the tier above is unreachable.</w:t>
      </w:r>
    </w:p>
    <w:p>
      <w:pPr>
        <w:pStyle w:val="ListParagraph"/>
        <w:numPr>
          <w:ilvl w:val="0"/>
          <w:numId w:val="2"/>
        </w:numPr>
      </w:pPr>
      <w:r>
        <w:rPr>
          <w:rFonts w:ascii="Arial" w:cs="Arial" w:eastAsia="Arial" w:hAnsi="Arial"/>
          <w:sz w:val="22"/>
          <w:szCs w:val="22"/>
        </w:rPr>
        <w:t xml:space="preserve">Bilingual citizen-facing channels — Web portal, WhatsApp Business, USSD *244#, and email. Available in English and Chichewa from day one.</w:t>
      </w:r>
    </w:p>
    <w:p>
      <w:pPr>
        <w:pStyle w:val="ListParagraph"/>
        <w:numPr>
          <w:ilvl w:val="0"/>
          <w:numId w:val="2"/>
        </w:numPr>
      </w:pPr>
      <w:r>
        <w:rPr>
          <w:rFonts w:ascii="Arial" w:cs="Arial" w:eastAsia="Arial" w:hAnsi="Arial"/>
          <w:sz w:val="22"/>
          <w:szCs w:val="22"/>
        </w:rPr>
        <w:t xml:space="preserve">Mobile-money first — Airtel Money and TNM Mpamba native integration, with bank-transfer and card as supporting rails. Counter cash remains supported at each station.</w:t>
      </w:r>
    </w:p>
    <w:p>
      <w:pPr>
        <w:pStyle w:val="ListParagraph"/>
        <w:numPr>
          <w:ilvl w:val="0"/>
          <w:numId w:val="2"/>
        </w:numPr>
      </w:pPr>
      <w:r>
        <w:rPr>
          <w:rFonts w:ascii="Arial" w:cs="Arial" w:eastAsia="Arial" w:hAnsi="Arial"/>
          <w:sz w:val="22"/>
          <w:szCs w:val="22"/>
        </w:rPr>
        <w:t xml:space="preserve">Full administrative control at HQ — all 28 districts and three regions modelled; central CRUD for departments, stations, patrol posts, officer registration, and offence schedule (already aligned to GN-38/2026).</w:t>
      </w:r>
    </w:p>
    <w:p>
      <w:pPr>
        <w:pStyle w:val="ListParagraph"/>
        <w:numPr>
          <w:ilvl w:val="0"/>
          <w:numId w:val="2"/>
        </w:numPr>
      </w:pPr>
      <w:r>
        <w:rPr>
          <w:rFonts w:ascii="Arial" w:cs="Arial" w:eastAsia="Arial" w:hAnsi="Arial"/>
          <w:sz w:val="22"/>
          <w:szCs w:val="22"/>
        </w:rPr>
        <w:t xml:space="preserve">Audit-grade traceability — every action is recorded with who, when, what changed, and from where. Designed to satisfy the Auditor General, the Anti-Corruption Bureau, and the National Audit Office.</w:t>
      </w:r>
    </w:p>
    <w:p>
      <w:pPr>
        <w:pStyle w:val="ListParagraph"/>
        <w:numPr>
          <w:ilvl w:val="0"/>
          <w:numId w:val="2"/>
        </w:numPr>
        <w:spacing w:after="160"/>
      </w:pPr>
      <w:r>
        <w:rPr>
          <w:rFonts w:ascii="Arial" w:cs="Arial" w:eastAsia="Arial" w:hAnsi="Arial"/>
          <w:sz w:val="22"/>
          <w:szCs w:val="22"/>
        </w:rPr>
        <w:t xml:space="preserve">Data sovereignty — all data hosted on Malawi-resident infrastructure under MERA-licensed datacentre conditions; no citizen data leaves the country.</w:t>
      </w:r>
    </w:p>
    <w:p>
      <w:pPr>
        <w:pStyle w:val="Heading2"/>
      </w:pPr>
      <w:r>
        <w:rPr>
          <w:b/>
          <w:bCs/>
          <w:color w:val="0E1729"/>
          <w:sz w:val="26"/>
          <w:szCs w:val="26"/>
        </w:rPr>
        <w:t xml:space="preserve">Pilot-first, then phased national roll-out</w:t>
      </w:r>
    </w:p>
    <w:p>
      <w:pPr>
        <w:spacing w:after="160"/>
        <w:jc w:val="left"/>
      </w:pPr>
      <w:r>
        <w:rPr>
          <w:rFonts w:ascii="Arial" w:cs="Arial" w:eastAsia="Arial" w:hAnsi="Arial"/>
        </w:rPr>
        <w:t xml:space="preserve">We propose a controlled 90-day pilot, anchored at Area 18 Police Station in Lilongwe with four officer devices, followed by a phased zone-by-zone expansion across the country over twelve months. The pilot includes acceptance testing, officer and supervisor training, and a documented hand-over to MPS ICT.</w:t>
      </w:r>
    </w:p>
    <w:p>
      <w:pPr>
        <w:pStyle w:val="Heading2"/>
      </w:pPr>
      <w:r>
        <w:rPr>
          <w:b/>
          <w:bCs/>
          <w:color w:val="0E1729"/>
          <w:sz w:val="26"/>
          <w:szCs w:val="26"/>
        </w:rPr>
        <w:t xml:space="preserve">Current build status</w:t>
      </w:r>
    </w:p>
    <w:p>
      <w:pPr>
        <w:spacing w:after="160"/>
        <w:jc w:val="left"/>
      </w:pPr>
      <w:r>
        <w:rPr>
          <w:rFonts w:ascii="Arial" w:cs="Arial" w:eastAsia="Arial" w:hAnsi="Arial"/>
        </w:rPr>
        <w:t xml:space="preserve">A working demonstration build of NexusFine is available today. The citizen portal, the supervisor and admin portal, the WhatsApp and USSD channels, the simulated payment rails and the full audit log are all live on internal infrastructure and may be reviewed on request, including by the Minister or by representatives of the Inspector General’s office.</w:t>
      </w:r>
    </w:p>
    <w:p>
      <w:pPr>
        <w:pStyle w:val="Heading2"/>
      </w:pPr>
      <w:r>
        <w:rPr>
          <w:b/>
          <w:bCs/>
          <w:color w:val="0E1729"/>
          <w:sz w:val="26"/>
          <w:szCs w:val="26"/>
        </w:rPr>
        <w:t xml:space="preserve">Commercial summary</w:t>
      </w:r>
    </w:p>
    <w:p>
      <w:pPr>
        <w:spacing w:after="160"/>
        <w:jc w:val="left"/>
      </w:pPr>
      <w:r>
        <w:rPr>
          <w:rFonts w:ascii="Arial" w:cs="Arial" w:eastAsia="Arial" w:hAnsi="Arial"/>
        </w:rPr>
        <w:t xml:space="preserve">The enclosed itemised quotation (reference QTN-NXF-2026-001) sets out a committed grand total of MWK 218,295,000 covering software, hardware, infrastructure, and training for the pilot phase. Optional add-ons — Station-Server hardware per site and off-grid solar packs for remote stations — are listed separately for the Authority’s consideration. All figures are in Malawian Kwacha and exclude applicable taxes.</w:t>
      </w:r>
    </w:p>
    <w:p>
      <w:pPr>
        <w:spacing w:after="240"/>
        <w:jc w:val="left"/>
      </w:pPr>
      <w:r>
        <w:rPr>
          <w:rFonts w:ascii="Arial" w:cs="Arial" w:eastAsia="Arial" w:hAnsi="Arial"/>
        </w:rPr>
        <w:t xml:space="preserve">We would be honoured to present this proposal in person and to demonstrate the working build at your convenience. We remain at your disposal for any clarification the Authority may require.</w:t>
      </w:r>
    </w:p>
    <w:p>
      <w:pPr>
        <w:spacing w:after="480"/>
        <w:jc w:val="left"/>
      </w:pPr>
      <w:r>
        <w:rPr>
          <w:rFonts w:ascii="Arial" w:cs="Arial" w:eastAsia="Arial" w:hAnsi="Arial"/>
        </w:rPr>
        <w:t xml:space="preserve">Yours faithfully,</w:t>
      </w:r>
    </w:p>
    <w:p>
      <w:pPr>
        <w:spacing w:after="480"/>
        <w:jc w:val="left"/>
      </w:pPr>
      <w:r>
        <w:rPr>
          <w:rFonts w:ascii="Arial" w:cs="Arial" w:eastAsia="Arial" w:hAnsi="Arial"/>
        </w:rPr>
        <w:t xml:space="preserve">For and on behalf of TechNexus MW</w:t>
      </w:r>
    </w:p>
    <w:p>
      <w:pPr>
        <w:pBdr>
          <w:bottom w:val="single" w:color="000000" w:sz="6" w:space="1"/>
        </w:pBdr>
      </w:pPr>
      <w:r>
        <w:rPr>
          <w:sz w:val="22"/>
          <w:szCs w:val="22"/>
        </w:rPr>
        <w:t xml:space="preserve"> </w:t>
      </w:r>
    </w:p>
    <w:p>
      <w:pPr>
        <w:spacing w:before="80"/>
        <w:jc w:val="left"/>
      </w:pPr>
      <w:r>
        <w:rPr>
          <w:rFonts w:ascii="Arial" w:cs="Arial" w:eastAsia="Arial" w:hAnsi="Arial"/>
        </w:rPr>
        <w:t xml:space="preserve">Name:        [_____________________________]</w:t>
      </w:r>
    </w:p>
    <w:p>
      <w:pPr>
        <w:jc w:val="left"/>
      </w:pPr>
      <w:r>
        <w:rPr>
          <w:rFonts w:ascii="Arial" w:cs="Arial" w:eastAsia="Arial" w:hAnsi="Arial"/>
        </w:rPr>
        <w:t xml:space="preserve">Title:           [_____________________________]</w:t>
      </w:r>
    </w:p>
    <w:p>
      <w:pPr>
        <w:jc w:val="left"/>
      </w:pPr>
      <w:r>
        <w:rPr>
          <w:rFonts w:ascii="Arial" w:cs="Arial" w:eastAsia="Arial" w:hAnsi="Arial"/>
        </w:rPr>
        <w:t xml:space="preserve">Date:          [_____________________________]</w:t>
      </w:r>
    </w:p>
    <w:p>
      <w:pPr>
        <w:spacing w:before="320"/>
      </w:pPr>
      <w:r>
        <w:rPr>
          <w:rFonts w:ascii="Arial" w:cs="Arial" w:eastAsia="Arial" w:hAnsi="Arial"/>
          <w:b/>
          <w:bCs/>
          <w:sz w:val="22"/>
          <w:szCs w:val="22"/>
        </w:rPr>
        <w:t xml:space="preserve">Encl.: </w:t>
      </w:r>
      <w:r>
        <w:rPr>
          <w:rFonts w:ascii="Arial" w:cs="Arial" w:eastAsia="Arial" w:hAnsi="Arial"/>
          <w:sz w:val="22"/>
          <w:szCs w:val="22"/>
        </w:rPr>
        <w:t xml:space="preserve">Itemised quotation (QTN-NXF-2026-001) · Architecture overview (1 page) · Demo runbook on request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55555"/>
        <w:sz w:val="16"/>
        <w:szCs w:val="16"/>
      </w:rPr>
      <w:t xml:space="preserve">TechNexus MW · NexusFine Proposal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E172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E172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E172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2026-05-15T06:56:05.889Z</dcterms:created>
  <dcterms:modified xsi:type="dcterms:W3CDTF">2026-05-15T06:56:05.890Z</dcterms:modified>
</cp:coreProperties>
</file>

<file path=docProps/custom.xml><?xml version="1.0" encoding="utf-8"?>
<Properties xmlns="http://schemas.openxmlformats.org/officeDocument/2006/custom-properties" xmlns:vt="http://schemas.openxmlformats.org/officeDocument/2006/docPropsVTypes"/>
</file>