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rHeight w:val="110" w:hRule="exact"/>
        </w:trPr>
        <w:tc>
          <w:tcPr>
            <w:tcW w:type="dxa" w:w="3249"/>
            <w:tcBorders>
              <w:top w:val="none" w:color="auto" w:sz="0"/>
              <w:left w:val="none" w:color="auto" w:sz="0"/>
              <w:bottom w:val="none" w:color="auto" w:sz="0"/>
              <w:right w:val="none" w:color="auto" w:sz="0"/>
            </w:tcBorders>
            <w:shd w:fill="000000" w:val="clear"/>
          </w:tcPr>
          <w:p>
            <w:r>
              <w:rPr>
                <w:sz w:val="2"/>
                <w:szCs w:val="2"/>
              </w:rPr>
              <w:t xml:space="preserve"> </w:t>
            </w:r>
          </w:p>
        </w:tc>
        <w:tc>
          <w:tcPr>
            <w:tcW w:type="dxa" w:w="3249"/>
            <w:tcBorders>
              <w:top w:val="none" w:color="auto" w:sz="0"/>
              <w:left w:val="none" w:color="auto" w:sz="0"/>
              <w:bottom w:val="none" w:color="auto" w:sz="0"/>
              <w:right w:val="none" w:color="auto" w:sz="0"/>
            </w:tcBorders>
            <w:shd w:fill="CE1126" w:val="clear"/>
          </w:tcPr>
          <w:p>
            <w:r>
              <w:rPr>
                <w:sz w:val="2"/>
                <w:szCs w:val="2"/>
              </w:rPr>
              <w:t xml:space="preserve"> </w:t>
            </w:r>
          </w:p>
        </w:tc>
        <w:tc>
          <w:tcPr>
            <w:tcW w:type="dxa" w:w="3249"/>
            <w:tcBorders>
              <w:top w:val="none" w:color="auto" w:sz="0"/>
              <w:left w:val="none" w:color="auto" w:sz="0"/>
              <w:bottom w:val="none" w:color="auto" w:sz="0"/>
              <w:right w:val="none" w:color="auto" w:sz="0"/>
            </w:tcBorders>
            <w:shd w:fill="339E35" w:val="clear"/>
          </w:tcPr>
          <w:p>
            <w:r>
              <w:rPr>
                <w:sz w:val="2"/>
                <w:szCs w:val="2"/>
              </w:rPr>
              <w:t xml:space="preserve"> </w:t>
            </w:r>
          </w:p>
        </w:tc>
      </w:tr>
    </w:tbl>
    <w:p>
      <w:pPr>
        <w:spacing w:before="160"/>
      </w:pPr>
      <w:r>
        <w:rPr>
          <w:rFonts w:ascii="Arial" w:cs="Arial" w:eastAsia="Arial" w:hAnsi="Arial"/>
          <w:b/>
          <w:bCs/>
          <w:color w:val="0E1729"/>
          <w:sz w:val="36"/>
          <w:szCs w:val="36"/>
        </w:rPr>
        <w:t xml:space="preserve">TechNexus MW</w:t>
      </w:r>
    </w:p>
    <w:p>
      <w:r>
        <w:rPr>
          <w:i/>
          <w:iCs/>
          <w:color w:val="555555"/>
          <w:sz w:val="22"/>
          <w:szCs w:val="22"/>
        </w:rPr>
        <w:t xml:space="preserve">Technology · Language · Infrastructure</w:t>
      </w:r>
    </w:p>
    <w:p>
      <w:pPr>
        <w:tabs>
          <w:tab w:val="right" w:pos="9746"/>
        </w:tabs>
      </w:pPr>
      <w:r>
        <w:rPr>
          <w:rFonts w:ascii="Arial" w:cs="Arial" w:eastAsia="Arial" w:hAnsi="Arial"/>
          <w:sz w:val="18"/>
          <w:szCs w:val="18"/>
        </w:rPr>
        <w:t xml:space="preserve">P.O. Box / Blantyre, Malawi · www.technexusmw.com</w:t>
      </w:r>
      <w:r>
        <w:rPr>
          <w:rFonts w:ascii="Arial" w:cs="Arial" w:eastAsia="Arial" w:hAnsi="Arial"/>
          <w:sz w:val="18"/>
          <w:szCs w:val="18"/>
        </w:rPr>
        <w:t xml:space="preserve">	MSME-certified Small Enterprise</w:t>
      </w:r>
    </w:p>
    <w:p>
      <w:pPr>
        <w:pBdr>
          <w:bottom w:val="single" w:color="B58900" w:sz="16" w:space="1"/>
        </w:pBdr>
        <w:spacing w:after="80"/>
      </w:pPr>
    </w:p>
    <w:p>
      <w:pPr>
        <w:spacing w:after="0" w:before="240"/>
        <w:jc w:val="center"/>
      </w:pPr>
      <w:r>
        <w:rPr>
          <w:rFonts w:ascii="Arial" w:cs="Arial" w:eastAsia="Arial" w:hAnsi="Arial"/>
          <w:b/>
          <w:bCs/>
          <w:color w:val="0E1729"/>
          <w:sz w:val="36"/>
          <w:szCs w:val="36"/>
        </w:rPr>
        <w:t xml:space="preserve">ITEMISED QUOTATION</w:t>
      </w:r>
    </w:p>
    <w:p>
      <w:pPr>
        <w:spacing w:after="200" w:before="40"/>
        <w:jc w:val="center"/>
      </w:pPr>
      <w:r>
        <w:rPr>
          <w:rFonts w:ascii="Arial" w:cs="Arial" w:eastAsia="Arial" w:hAnsi="Arial"/>
          <w:i/>
          <w:iCs/>
          <w:color w:val="555555"/>
          <w:sz w:val="22"/>
          <w:szCs w:val="22"/>
        </w:rPr>
        <w:t xml:space="preserve">NexusFine — Digital Traffic Fines Management &amp; Payment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auto" w:sz="0"/>
              <w:left w:val="none" w:color="auto" w:sz="0"/>
              <w:bottom w:val="none" w:color="auto" w:sz="0"/>
              <w:right w:val="none" w:color="auto" w:sz="0"/>
            </w:tcBorders>
            <w:tcMar>
              <w:top w:type="dxa" w:w="60"/>
              <w:left w:type="dxa" w:w="0"/>
              <w:bottom w:type="dxa" w:w="60"/>
              <w:right w:type="dxa" w:w="60"/>
            </w:tcMar>
          </w:tcPr>
          <w:p>
            <w:r>
              <w:rPr>
                <w:b/>
                <w:bCs/>
                <w:color w:val="555555"/>
                <w:sz w:val="18"/>
                <w:szCs w:val="18"/>
              </w:rPr>
              <w:t xml:space="preserve">Prepared for</w:t>
            </w:r>
          </w:p>
          <w:p>
            <w:r>
              <w:rPr>
                <w:b/>
                <w:bCs/>
                <w:color w:val="0E1729"/>
                <w:sz w:val="22"/>
                <w:szCs w:val="22"/>
              </w:rPr>
              <w:t xml:space="preserve">Directorate of Road Traffic and Safety Services</w:t>
            </w:r>
          </w:p>
          <w:p>
            <w:r>
              <w:rPr>
                <w:sz w:val="22"/>
                <w:szCs w:val="22"/>
              </w:rPr>
              <w:t xml:space="preserve">Malawi Police Service</w:t>
            </w:r>
          </w:p>
          <w:p>
            <w:r>
              <w:rPr>
                <w:color w:val="555555"/>
                <w:sz w:val="20"/>
                <w:szCs w:val="20"/>
              </w:rPr>
              <w:t xml:space="preserve">Capital Hill, Lilongwe — Republic of Malawi</w:t>
            </w:r>
          </w:p>
        </w:tc>
        <w:tc>
          <w:tcPr>
            <w:tcW w:type="dxa" w:w="4873"/>
            <w:tcBorders>
              <w:top w:val="none" w:color="auto" w:sz="0"/>
              <w:left w:val="none" w:color="auto" w:sz="0"/>
              <w:bottom w:val="none" w:color="auto" w:sz="0"/>
              <w:right w:val="none" w:color="auto" w:sz="0"/>
            </w:tcBorders>
            <w:tcMar>
              <w:top w:type="dxa" w:w="60"/>
              <w:left w:type="dxa" w:w="60"/>
              <w:bottom w:type="dxa" w:w="60"/>
              <w:right w:type="dxa" w:w="0"/>
            </w:tcMar>
          </w:tcPr>
          <w:p>
            <w:r>
              <w:rPr>
                <w:b/>
                <w:bCs/>
                <w:color w:val="555555"/>
                <w:sz w:val="18"/>
                <w:szCs w:val="18"/>
              </w:rPr>
              <w:t xml:space="preserve">Quotation reference</w:t>
            </w:r>
          </w:p>
          <w:p>
            <w:r>
              <w:rPr>
                <w:b/>
                <w:bCs/>
                <w:color w:val="0E1729"/>
                <w:sz w:val="22"/>
                <w:szCs w:val="22"/>
              </w:rPr>
              <w:t xml:space="preserve">QTN-NXF-2026-001</w:t>
            </w:r>
          </w:p>
          <w:p>
            <w:r>
              <w:rPr>
                <w:sz w:val="20"/>
                <w:szCs w:val="20"/>
              </w:rPr>
              <w:t xml:space="preserve">Date issued: 15 May 2026</w:t>
            </w:r>
          </w:p>
          <w:p>
            <w:r>
              <w:rPr>
                <w:sz w:val="20"/>
                <w:szCs w:val="20"/>
              </w:rPr>
              <w:t xml:space="preserve">Valid until: 14 August 2026 (90 days)</w:t>
            </w:r>
          </w:p>
          <w:p>
            <w:r>
              <w:rPr>
                <w:color w:val="555555"/>
                <w:sz w:val="20"/>
                <w:szCs w:val="20"/>
              </w:rPr>
              <w:t xml:space="preserve">Currency: Malawian Kwacha (MWK)</w:t>
            </w:r>
          </w:p>
          <w:p>
            <w:r>
              <w:rPr>
                <w:i/>
                <w:iCs/>
                <w:color w:val="555555"/>
                <w:sz w:val="18"/>
                <w:szCs w:val="18"/>
              </w:rPr>
              <w:t xml:space="preserve">Indicative FX reference: MWK 1,750 / USD</w:t>
            </w:r>
          </w:p>
        </w:tc>
      </w:tr>
    </w:tbl>
    <w:p>
      <w:pPr>
        <w:pBdr>
          <w:bottom w:val="single" w:color="B58900" w:sz="12" w:space="1"/>
        </w:pBdr>
        <w:spacing w:after="80"/>
      </w:pPr>
    </w:p>
    <w:p>
      <w:pPr>
        <w:spacing w:after="200" w:before="160"/>
        <w:jc w:val="left"/>
      </w:pPr>
      <w:r>
        <w:rPr>
          <w:rFonts w:ascii="Arial" w:cs="Arial" w:eastAsia="Arial" w:hAnsi="Arial"/>
          <w:i/>
          <w:iCs/>
          <w:color w:val="555555"/>
          <w:sz w:val="20"/>
          <w:szCs w:val="20"/>
        </w:rPr>
        <w:t xml:space="preserve">TechNexus MW is an MSME-certified Small Enterprise. This quotation is structured to support transparent local-procurement review and aligns with the Road Traffic (Prescribed Offences and Penalties) Regulations 2026 (Government Notice No. 38).</w:t>
      </w:r>
    </w:p>
    <w:p>
      <w:pPr>
        <w:pStyle w:val="Heading2"/>
        <w:spacing w:before="240"/>
      </w:pPr>
      <w:r>
        <w:rPr>
          <w:b/>
          <w:bCs/>
          <w:color w:val="0E1729"/>
          <w:sz w:val="26"/>
          <w:szCs w:val="26"/>
        </w:rPr>
        <w:t xml:space="preserve">A.  Software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2924"/>
        <w:gridCol w:w="4386"/>
        <w:gridCol w:w="1754"/>
      </w:tblGrid>
      <w:tr>
        <w:trPr>
          <w:tblHeader/>
        </w:trPr>
        <w:tc>
          <w:tcPr>
            <w:tcW w:type="dxa" w:w="682"/>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924"/>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4386"/>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754"/>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 (MWK)</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A1</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EBPP Core Platform</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ASP.NET Core 10 backend API, SQL Server schema, RBAC, request-level audit middleware, multi-department + multi-station architecture, notification dispatcher (email, WhatsApp).</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33,250,000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A2</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Officer Mobile App</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.NET MAUI Android app with NFC scanning, GPS, offline-tolerant queue, photo capture, shift-bookend sync; device pairing &amp; login-switch flows per the distributed-architecture decision.</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21,000,000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A3</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Admin &amp; Supervisor Dashboard</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Blazor Server portal — KPIs, officer performance, reconciliation, full reference-data CRUD (departments, stations, patrol posts, officers, offence codes), and audit log viewer.</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17,500,000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A4</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Citizen Web Portal</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Responsive bilingual (EN/NY) public portal: fine lookup by plate / reference / licence, payment initiation, PDF receipt.</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12,250,000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A5</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USSD Service</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USSD *244# menu integration via Africa’s Talking aggregator; state-machine shared with WhatsApp.</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10,500,000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A6</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WhatsApp Business API</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Conversational bot for lookup, balance check, payment initiation; bilingual EN/NY templates.</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7,000,000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A7</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NRB API Integration</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National Registration Bureau integration for ID and driver-licence verification.</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7,000,000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A8</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Mobile Money Integration</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Airtel Money and TNM Mpamba native integrations, with reconciliation hooks.</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8,750,000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A9</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Bank &amp; Card Gateway</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Bank-transfer reference matching and card gateway integration (Visa / Mastercard).</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7,000,000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A10</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QA, Testing &amp; Security Audit</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Regression, penetration and load testing; security review against OWASP Top 10 and ISO 27001 control baseline.</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10,500,000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A11</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Deployment &amp; Go-Live Support</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Server build, CI/CD pipeline, go-live monitoring, two weeks of post-launch hyper-care.</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5,250,000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A12</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Technical Documentation</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Architecture, API, runbook, operator manuals; English with Chichewa quick-reference cards.</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6,125,000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A13</w:t>
            </w:r>
          </w:p>
        </w:tc>
        <w:tc>
          <w:tcPr>
            <w:tcW w:type="dxa" w:w="292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Project Management</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Scrum facilitation, weekly progress, client liaison and steering-committee reporting.</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11,375,000</w:t>
            </w:r>
          </w:p>
        </w:tc>
      </w:tr>
      <w:tr>
        <w:tc>
          <w:tcPr>
            <w:tcW w:type="dxa" w:w="682"/>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2924"/>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Software — subtotal</w:t>
            </w:r>
          </w:p>
        </w:tc>
        <w:tc>
          <w:tcPr>
            <w:tcW w:type="dxa" w:w="4386"/>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754"/>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right"/>
            </w:pPr>
            <w:r>
              <w:rPr>
                <w:rFonts w:ascii="Arial" w:cs="Arial" w:eastAsia="Arial" w:hAnsi="Arial"/>
                <w:b/>
                <w:bCs/>
                <w:color w:val="0E1729"/>
                <w:sz w:val="22"/>
                <w:szCs w:val="22"/>
              </w:rPr>
              <w:t xml:space="preserve">MWK 157,500,000</w:t>
            </w:r>
          </w:p>
        </w:tc>
      </w:tr>
    </w:tbl>
    <w:p>
      <w:pPr>
        <w:pStyle w:val="Heading2"/>
        <w:spacing w:before="240"/>
      </w:pPr>
      <w:r>
        <w:rPr>
          <w:b/>
          <w:bCs/>
          <w:color w:val="0E1729"/>
          <w:sz w:val="26"/>
          <w:szCs w:val="26"/>
        </w:rPr>
        <w:t xml:space="preserve">B.  Hardware supply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5653"/>
        <w:gridCol w:w="1559"/>
        <w:gridCol w:w="1852"/>
      </w:tblGrid>
      <w:tr>
        <w:trPr>
          <w:tblHeader/>
        </w:trPr>
        <w:tc>
          <w:tcPr>
            <w:tcW w:type="dxa" w:w="682"/>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653"/>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559"/>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 / note</w:t>
            </w:r>
          </w:p>
        </w:tc>
        <w:tc>
          <w:tcPr>
            <w:tcW w:type="dxa" w:w="1852"/>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 (MWK)</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B1</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NFC-enabled Android tablets (Samsung Galaxy Tab A9)</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50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15,750,000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B2</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Rugged protective cases + screen protectors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50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2,187,500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B3</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RFID/NFC officer ID tags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60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525,000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B4</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Mobile NFC card readers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20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5,250,000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B5</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Admin laptops for supervisor stations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5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6,562,500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B6</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Network routers for command centres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3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1,470,000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B7</w:t>
            </w:r>
          </w:p>
        </w:tc>
        <w:tc>
          <w:tcPr>
            <w:tcW w:type="dxa" w:w="565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UPS units for HQ servers</w:t>
            </w:r>
          </w:p>
        </w:tc>
        <w:tc>
          <w:tcPr>
            <w:tcW w:type="dxa" w:w="155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2 units</w:t>
            </w:r>
          </w:p>
        </w:tc>
        <w:tc>
          <w:tcPr>
            <w:tcW w:type="dxa" w:w="185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1,225,000</w:t>
            </w:r>
          </w:p>
        </w:tc>
      </w:tr>
      <w:tr>
        <w:tc>
          <w:tcPr>
            <w:tcW w:type="dxa" w:w="682"/>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5653"/>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Hardware Supply — subtotal</w:t>
            </w:r>
          </w:p>
        </w:tc>
        <w:tc>
          <w:tcPr>
            <w:tcW w:type="dxa" w:w="1559"/>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852"/>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right"/>
            </w:pPr>
            <w:r>
              <w:rPr>
                <w:rFonts w:ascii="Arial" w:cs="Arial" w:eastAsia="Arial" w:hAnsi="Arial"/>
                <w:b/>
                <w:bCs/>
                <w:color w:val="0E1729"/>
                <w:sz w:val="22"/>
                <w:szCs w:val="22"/>
              </w:rPr>
              <w:t xml:space="preserve">MWK 32,970,000</w:t>
            </w:r>
          </w:p>
        </w:tc>
      </w:tr>
    </w:tbl>
    <w:p>
      <w:pPr>
        <w:pStyle w:val="Heading2"/>
        <w:spacing w:before="240"/>
      </w:pPr>
      <w:r>
        <w:rPr>
          <w:b/>
          <w:bCs/>
          <w:color w:val="0E1729"/>
          <w:sz w:val="26"/>
          <w:szCs w:val="26"/>
        </w:rPr>
        <w:t xml:space="preserve">C.  Infrastructure &amp; annual services (Year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7017"/>
        <w:gridCol w:w="1949"/>
      </w:tblGrid>
      <w:tr>
        <w:trPr>
          <w:tblHeader/>
        </w:trPr>
        <w:tc>
          <w:tcPr>
            <w:tcW w:type="dxa" w:w="780"/>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7017"/>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949"/>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 (MWK)</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C1</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Microsoft Azure hosting — 12 months (Malawi data-resident region preferred)</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10,500,000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C2</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Domain, SSL certificate, DNS management</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350,000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C3</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USSD aggregator setup fee</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875,000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C4</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WhatsApp conversation bundle — 200,000 sessions (Year 1)</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2,625,000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C5</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WhatsApp Business API annual licence</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2,625,000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C6</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Backup, disaster recovery &amp; monitoring</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2,100,000</w:t>
            </w:r>
          </w:p>
        </w:tc>
      </w:tr>
      <w:tr>
        <w:tc>
          <w:tcPr>
            <w:tcW w:type="dxa" w:w="780"/>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7017"/>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Infrastructure — subtotal</w:t>
            </w:r>
          </w:p>
        </w:tc>
        <w:tc>
          <w:tcPr>
            <w:tcW w:type="dxa" w:w="1949"/>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right"/>
            </w:pPr>
            <w:r>
              <w:rPr>
                <w:rFonts w:ascii="Arial" w:cs="Arial" w:eastAsia="Arial" w:hAnsi="Arial"/>
                <w:b/>
                <w:bCs/>
                <w:color w:val="0E1729"/>
                <w:sz w:val="22"/>
                <w:szCs w:val="22"/>
              </w:rPr>
              <w:t xml:space="preserve">MWK 19,075,000</w:t>
            </w:r>
          </w:p>
        </w:tc>
      </w:tr>
    </w:tbl>
    <w:p>
      <w:pPr>
        <w:pStyle w:val="Heading2"/>
        <w:spacing w:before="240"/>
      </w:pPr>
      <w:r>
        <w:rPr>
          <w:b/>
          <w:bCs/>
          <w:color w:val="0E1729"/>
          <w:sz w:val="26"/>
          <w:szCs w:val="26"/>
        </w:rPr>
        <w:t xml:space="preserve">D.  Training &amp; change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7017"/>
        <w:gridCol w:w="1949"/>
      </w:tblGrid>
      <w:tr>
        <w:trPr>
          <w:tblHeader/>
        </w:trPr>
        <w:tc>
          <w:tcPr>
            <w:tcW w:type="dxa" w:w="780"/>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7017"/>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1949"/>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 (MWK)</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D1</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Officer training — 50 officers, 2 days on-site</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3,500,000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D2</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Supervisor &amp; admin training — 1 day</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1,750,000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D3</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Train-the-trainer programme</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2,625,000</w:t>
            </w:r>
          </w:p>
        </w:tc>
      </w:tr>
      <w:tr>
        <w:trPr>
          <w:cantSplit/>
        </w:trP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D4</w:t>
            </w:r>
          </w:p>
        </w:tc>
        <w:tc>
          <w:tcPr>
            <w:tcW w:type="dxa" w:w="701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Printed quick-reference guides (Chichewa + English)</w:t>
            </w:r>
          </w:p>
        </w:tc>
        <w:tc>
          <w:tcPr>
            <w:tcW w:type="dxa" w:w="1949"/>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875,000</w:t>
            </w:r>
          </w:p>
        </w:tc>
      </w:tr>
      <w:tr>
        <w:tc>
          <w:tcPr>
            <w:tcW w:type="dxa" w:w="780"/>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7017"/>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Training — subtotal</w:t>
            </w:r>
          </w:p>
        </w:tc>
        <w:tc>
          <w:tcPr>
            <w:tcW w:type="dxa" w:w="1949"/>
            <w:tcBorders>
              <w:top w:val="single" w:color="CCCCCC" w:sz="4"/>
              <w:left w:val="single" w:color="CCCCCC" w:sz="4"/>
              <w:bottom w:val="single" w:color="CCCCCC" w:sz="4"/>
              <w:right w:val="single" w:color="CCCCCC" w:sz="4"/>
            </w:tcBorders>
            <w:shd w:fill="FBF5E2" w:val="clear"/>
            <w:tcMar>
              <w:top w:type="dxa" w:w="80"/>
              <w:left w:type="dxa" w:w="120"/>
              <w:bottom w:type="dxa" w:w="80"/>
              <w:right w:type="dxa" w:w="120"/>
            </w:tcMar>
            <w:vAlign w:val="center"/>
          </w:tcPr>
          <w:p>
            <w:pPr>
              <w:jc w:val="right"/>
            </w:pPr>
            <w:r>
              <w:rPr>
                <w:rFonts w:ascii="Arial" w:cs="Arial" w:eastAsia="Arial" w:hAnsi="Arial"/>
                <w:b/>
                <w:bCs/>
                <w:color w:val="0E1729"/>
                <w:sz w:val="22"/>
                <w:szCs w:val="22"/>
              </w:rPr>
              <w:t xml:space="preserve">MWK 8,750,000</w:t>
            </w:r>
          </w:p>
        </w:tc>
      </w:tr>
    </w:tbl>
    <w:p>
      <w:pPr>
        <w:spacing w:before="320"/>
      </w:pPr>
      <w:r>
        <w:rPr>
          <w:sz w:val="8"/>
          <w:szCs w:val="8"/>
        </w:rP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left"/>
            </w:pPr>
            <w:r>
              <w:rPr>
                <w:rFonts w:ascii="Arial" w:cs="Arial" w:eastAsia="Arial" w:hAnsi="Arial"/>
                <w:b/>
                <w:bCs/>
                <w:color w:val="FFFFFF"/>
                <w:sz w:val="28"/>
                <w:szCs w:val="28"/>
              </w:rPr>
              <w:t xml:space="preserve">GRAND TOTAL (committed pilot scope)</w:t>
            </w:r>
          </w:p>
        </w:tc>
        <w:tc>
          <w:tcPr>
            <w:tcW w:type="dxa" w:w="4873"/>
            <w:tcBorders>
              <w:top w:val="single" w:color="CCCCCC" w:sz="4"/>
              <w:left w:val="single" w:color="CCCCCC" w:sz="4"/>
              <w:bottom w:val="single" w:color="CCCCCC" w:sz="4"/>
              <w:right w:val="single" w:color="CCCCCC" w:sz="4"/>
            </w:tcBorders>
            <w:shd w:fill="0E1729" w:val="clear"/>
            <w:tcMar>
              <w:top w:type="dxa" w:w="80"/>
              <w:left w:type="dxa" w:w="120"/>
              <w:bottom w:type="dxa" w:w="80"/>
              <w:right w:type="dxa" w:w="120"/>
            </w:tcMar>
            <w:vAlign w:val="center"/>
          </w:tcPr>
          <w:p>
            <w:pPr>
              <w:jc w:val="right"/>
            </w:pPr>
            <w:r>
              <w:rPr>
                <w:rFonts w:ascii="Arial" w:cs="Arial" w:eastAsia="Arial" w:hAnsi="Arial"/>
                <w:b/>
                <w:bCs/>
                <w:color w:val="FFFFFF"/>
                <w:sz w:val="28"/>
                <w:szCs w:val="28"/>
              </w:rPr>
              <w:t xml:space="preserve">MWK 218,295,000</w:t>
            </w:r>
          </w:p>
        </w:tc>
      </w:tr>
    </w:tbl>
    <w:p>
      <w:pPr>
        <w:pStyle w:val="Heading2"/>
        <w:spacing w:before="360"/>
      </w:pPr>
      <w:r>
        <w:rPr>
          <w:b/>
          <w:bCs/>
          <w:color w:val="0E1729"/>
          <w:sz w:val="26"/>
          <w:szCs w:val="26"/>
        </w:rPr>
        <w:t xml:space="preserve">E.  Optional add-ons (separately priced)</w:t>
      </w:r>
    </w:p>
    <w:p>
      <w:pPr>
        <w:spacing w:after="120"/>
        <w:jc w:val="left"/>
      </w:pPr>
      <w:r>
        <w:rPr>
          <w:rFonts w:ascii="Arial" w:cs="Arial" w:eastAsia="Arial" w:hAnsi="Arial"/>
          <w:i/>
          <w:iCs/>
          <w:color w:val="555555"/>
          <w:sz w:val="20"/>
          <w:szCs w:val="20"/>
        </w:rPr>
        <w:t xml:space="preserve">The following items are listed for the Authority’s consideration and are not included in the committed grand total above. They are priced individually so that the Authority may elect to procure them at award or during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6043"/>
        <w:gridCol w:w="1267"/>
        <w:gridCol w:w="1754"/>
      </w:tblGrid>
      <w:tr>
        <w:trPr>
          <w:tblHeader/>
        </w:trPr>
        <w:tc>
          <w:tcPr>
            <w:tcW w:type="dxa" w:w="682"/>
            <w:tcBorders>
              <w:top w:val="single" w:color="CCCCCC" w:sz="4"/>
              <w:left w:val="single" w:color="CCCCCC" w:sz="4"/>
              <w:bottom w:val="single" w:color="CCCCCC" w:sz="4"/>
              <w:right w:val="single" w:color="CCCCCC" w:sz="4"/>
            </w:tcBorders>
            <w:shd w:fill="B58900" w:val="clear"/>
            <w:tcMar>
              <w:top w:type="dxa" w:w="80"/>
              <w:left w:type="dxa" w:w="120"/>
              <w:bottom w:type="dxa" w:w="80"/>
              <w:right w:type="dxa" w:w="120"/>
            </w:tcMar>
            <w:vAlign w:val="center"/>
          </w:tcPr>
          <w:p>
            <w:pPr>
              <w:jc w:val="left"/>
            </w:pPr>
            <w:r>
              <w:rPr>
                <w:rFonts w:ascii="Arial" w:cs="Arial" w:eastAsia="Arial" w:hAnsi="Arial"/>
                <w:b/>
                <w:bCs/>
                <w:color w:val="0E1729"/>
                <w:sz w:val="20"/>
                <w:szCs w:val="20"/>
              </w:rPr>
              <w:t xml:space="preserve">#</w:t>
            </w:r>
          </w:p>
        </w:tc>
        <w:tc>
          <w:tcPr>
            <w:tcW w:type="dxa" w:w="6043"/>
            <w:tcBorders>
              <w:top w:val="single" w:color="CCCCCC" w:sz="4"/>
              <w:left w:val="single" w:color="CCCCCC" w:sz="4"/>
              <w:bottom w:val="single" w:color="CCCCCC" w:sz="4"/>
              <w:right w:val="single" w:color="CCCCCC" w:sz="4"/>
            </w:tcBorders>
            <w:shd w:fill="B58900" w:val="clear"/>
            <w:tcMar>
              <w:top w:type="dxa" w:w="80"/>
              <w:left w:type="dxa" w:w="120"/>
              <w:bottom w:type="dxa" w:w="80"/>
              <w:right w:type="dxa" w:w="120"/>
            </w:tcMar>
            <w:vAlign w:val="center"/>
          </w:tcPr>
          <w:p>
            <w:pPr>
              <w:jc w:val="left"/>
            </w:pPr>
            <w:r>
              <w:rPr>
                <w:rFonts w:ascii="Arial" w:cs="Arial" w:eastAsia="Arial" w:hAnsi="Arial"/>
                <w:b/>
                <w:bCs/>
                <w:color w:val="0E1729"/>
                <w:sz w:val="20"/>
                <w:szCs w:val="20"/>
              </w:rPr>
              <w:t xml:space="preserve">Optional add-on</w:t>
            </w:r>
          </w:p>
        </w:tc>
        <w:tc>
          <w:tcPr>
            <w:tcW w:type="dxa" w:w="1267"/>
            <w:tcBorders>
              <w:top w:val="single" w:color="CCCCCC" w:sz="4"/>
              <w:left w:val="single" w:color="CCCCCC" w:sz="4"/>
              <w:bottom w:val="single" w:color="CCCCCC" w:sz="4"/>
              <w:right w:val="single" w:color="CCCCCC" w:sz="4"/>
            </w:tcBorders>
            <w:shd w:fill="B58900" w:val="clear"/>
            <w:tcMar>
              <w:top w:type="dxa" w:w="80"/>
              <w:left w:type="dxa" w:w="120"/>
              <w:bottom w:type="dxa" w:w="80"/>
              <w:right w:type="dxa" w:w="120"/>
            </w:tcMar>
            <w:vAlign w:val="center"/>
          </w:tcPr>
          <w:p>
            <w:pPr>
              <w:jc w:val="left"/>
            </w:pPr>
            <w:r>
              <w:rPr>
                <w:rFonts w:ascii="Arial" w:cs="Arial" w:eastAsia="Arial" w:hAnsi="Arial"/>
                <w:b/>
                <w:bCs/>
                <w:color w:val="0E1729"/>
                <w:sz w:val="20"/>
                <w:szCs w:val="20"/>
              </w:rPr>
              <w:t xml:space="preserve">Basis</w:t>
            </w:r>
          </w:p>
        </w:tc>
        <w:tc>
          <w:tcPr>
            <w:tcW w:type="dxa" w:w="1754"/>
            <w:tcBorders>
              <w:top w:val="single" w:color="CCCCCC" w:sz="4"/>
              <w:left w:val="single" w:color="CCCCCC" w:sz="4"/>
              <w:bottom w:val="single" w:color="CCCCCC" w:sz="4"/>
              <w:right w:val="single" w:color="CCCCCC" w:sz="4"/>
            </w:tcBorders>
            <w:shd w:fill="B58900" w:val="clear"/>
            <w:tcMar>
              <w:top w:type="dxa" w:w="80"/>
              <w:left w:type="dxa" w:w="120"/>
              <w:bottom w:type="dxa" w:w="80"/>
              <w:right w:type="dxa" w:w="120"/>
            </w:tcMar>
            <w:vAlign w:val="center"/>
          </w:tcPr>
          <w:p>
            <w:pPr>
              <w:jc w:val="right"/>
            </w:pPr>
            <w:r>
              <w:rPr>
                <w:rFonts w:ascii="Arial" w:cs="Arial" w:eastAsia="Arial" w:hAnsi="Arial"/>
                <w:b/>
                <w:bCs/>
                <w:color w:val="0E1729"/>
                <w:sz w:val="20"/>
                <w:szCs w:val="20"/>
              </w:rPr>
              <w:t xml:space="preserve">Unit price (MWK)</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E1</w:t>
            </w:r>
          </w:p>
        </w:tc>
        <w:tc>
          <w:tcPr>
            <w:tcW w:type="dxa" w:w="60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Station Server build (per police station): Intel NUC 13 Pro · 32 GB RAM · 1 TB NVMe · 1500VA UPS · dual-NIC + 4G/LTE failover · 2 TB backup SSD</w:t>
            </w:r>
          </w:p>
        </w:tc>
        <w:tc>
          <w:tcPr>
            <w:tcW w:type="dxa" w:w="126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per station</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2,430,000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E2</w:t>
            </w:r>
          </w:p>
        </w:tc>
        <w:tc>
          <w:tcPr>
            <w:tcW w:type="dxa" w:w="60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Off-grid solar pack (per remote station): 200 W panel array · 100 Ah deep-cycle battery · charge controller · enclosure</w:t>
            </w:r>
          </w:p>
        </w:tc>
        <w:tc>
          <w:tcPr>
            <w:tcW w:type="dxa" w:w="126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per station</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1,800,000</w:t>
            </w:r>
          </w:p>
        </w:tc>
      </w:tr>
      <w:tr>
        <w:trPr>
          <w:cantSplit/>
        </w:trPr>
        <w:tc>
          <w:tcPr>
            <w:tcW w:type="dxa" w:w="68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sz w:val="18"/>
                <w:szCs w:val="18"/>
              </w:rPr>
              <w:t xml:space="preserve">E3</w:t>
            </w:r>
          </w:p>
        </w:tc>
        <w:tc>
          <w:tcPr>
            <w:tcW w:type="dxa" w:w="60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sz w:val="20"/>
                <w:szCs w:val="20"/>
              </w:rPr>
              <w:t xml:space="preserve">RAG-FAQ WhatsApp Chatbot module (multilingual, citizen-facing FAQ; per D-007 of 24 Apr 2026)</w:t>
            </w:r>
          </w:p>
        </w:tc>
        <w:tc>
          <w:tcPr>
            <w:tcW w:type="dxa" w:w="1267"/>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one-off</w:t>
            </w:r>
          </w:p>
        </w:tc>
        <w:tc>
          <w:tcPr>
            <w:tcW w:type="dxa" w:w="175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sz w:val="20"/>
                <w:szCs w:val="20"/>
              </w:rPr>
              <w:t xml:space="preserve">MWK 8,750,000</w:t>
            </w:r>
          </w:p>
        </w:tc>
      </w:tr>
    </w:tbl>
    <w:p>
      <w:pPr>
        <w:pStyle w:val="Heading2"/>
        <w:spacing w:before="360"/>
      </w:pPr>
      <w:r>
        <w:rPr>
          <w:b/>
          <w:bCs/>
          <w:color w:val="0E1729"/>
          <w:sz w:val="26"/>
          <w:szCs w:val="26"/>
        </w:rPr>
        <w:t xml:space="preserve">Notes &amp; terms</w:t>
      </w:r>
    </w:p>
    <w:p>
      <w:pPr>
        <w:pStyle w:val="ListParagraph"/>
        <w:numPr>
          <w:ilvl w:val="0"/>
          <w:numId w:val="2"/>
        </w:numPr>
      </w:pPr>
      <w:r>
        <w:rPr>
          <w:rFonts w:ascii="Arial" w:cs="Arial" w:eastAsia="Arial" w:hAnsi="Arial"/>
          <w:sz w:val="22"/>
          <w:szCs w:val="22"/>
        </w:rPr>
        <w:t xml:space="preserve">All amounts are in Malawian Kwacha (MWK) and exclude any applicable VAT, withholding tax, or import duties unless explicitly stated. Final tax treatment to be confirmed by the Authority’s Procurement Unit.</w:t>
      </w:r>
    </w:p>
    <w:p>
      <w:pPr>
        <w:pStyle w:val="ListParagraph"/>
        <w:numPr>
          <w:ilvl w:val="0"/>
          <w:numId w:val="2"/>
        </w:numPr>
      </w:pPr>
      <w:r>
        <w:rPr>
          <w:rFonts w:ascii="Arial" w:cs="Arial" w:eastAsia="Arial" w:hAnsi="Arial"/>
          <w:sz w:val="22"/>
          <w:szCs w:val="22"/>
        </w:rPr>
        <w:t xml:space="preserve">Payment terms (subject to negotiation): 30% on signature, 30% on demonstration &amp; user-acceptance testing, 30% on go-live, 10% on completion of 90-day pilot hyper-care.</w:t>
      </w:r>
    </w:p>
    <w:p>
      <w:pPr>
        <w:pStyle w:val="ListParagraph"/>
        <w:numPr>
          <w:ilvl w:val="0"/>
          <w:numId w:val="2"/>
        </w:numPr>
      </w:pPr>
      <w:r>
        <w:rPr>
          <w:rFonts w:ascii="Arial" w:cs="Arial" w:eastAsia="Arial" w:hAnsi="Arial"/>
          <w:sz w:val="22"/>
          <w:szCs w:val="22"/>
        </w:rPr>
        <w:t xml:space="preserve">Quotation validity: 90 days from the date issued.</w:t>
      </w:r>
    </w:p>
    <w:p>
      <w:pPr>
        <w:pStyle w:val="ListParagraph"/>
        <w:numPr>
          <w:ilvl w:val="0"/>
          <w:numId w:val="2"/>
        </w:numPr>
      </w:pPr>
      <w:r>
        <w:rPr>
          <w:rFonts w:ascii="Arial" w:cs="Arial" w:eastAsia="Arial" w:hAnsi="Arial"/>
          <w:sz w:val="22"/>
          <w:szCs w:val="22"/>
        </w:rPr>
        <w:t xml:space="preserve">Foreign-currency hardware items are quoted on an indicative reference rate of MWK 1,750 / USD; final values will be adjusted to the prevailing rate at the date of purchase order, with the Authority informed in writing of any variance greater than 5%.</w:t>
      </w:r>
    </w:p>
    <w:p>
      <w:pPr>
        <w:pStyle w:val="ListParagraph"/>
        <w:numPr>
          <w:ilvl w:val="0"/>
          <w:numId w:val="2"/>
        </w:numPr>
      </w:pPr>
      <w:r>
        <w:rPr>
          <w:rFonts w:ascii="Arial" w:cs="Arial" w:eastAsia="Arial" w:hAnsi="Arial"/>
          <w:sz w:val="22"/>
          <w:szCs w:val="22"/>
        </w:rPr>
        <w:t xml:space="preserve">TechNexus MW operates under Malawian data-protection law (Data Protection Act, 2024). All citizen and operational data remains in Malawian-resident infrastructure.</w:t>
      </w:r>
    </w:p>
    <w:p>
      <w:pPr>
        <w:pStyle w:val="ListParagraph"/>
        <w:numPr>
          <w:ilvl w:val="0"/>
          <w:numId w:val="2"/>
        </w:numPr>
        <w:spacing w:after="240"/>
      </w:pPr>
      <w:r>
        <w:rPr>
          <w:rFonts w:ascii="Arial" w:cs="Arial" w:eastAsia="Arial" w:hAnsi="Arial"/>
          <w:sz w:val="22"/>
          <w:szCs w:val="22"/>
        </w:rPr>
        <w:t xml:space="preserve">Out of scope: integration with the Treasury IFMIS API beyond the simulated settlement mock-up (firm pricing on confirmation of API contract); production telco shortcodes; provision of bandwidth contracts.</w:t>
      </w:r>
    </w:p>
    <w:p>
      <w:pPr>
        <w:pBdr>
          <w:bottom w:val="single" w:color="B58900" w:sz="8" w:space="1"/>
        </w:pBdr>
        <w:spacing w:after="80"/>
      </w:pPr>
    </w:p>
    <w:p>
      <w:pPr>
        <w:spacing w:before="200"/>
      </w:pPr>
      <w:r>
        <w:rPr>
          <w:rFonts w:ascii="Arial" w:cs="Arial" w:eastAsia="Arial" w:hAnsi="Arial"/>
          <w:b/>
          <w:bCs/>
          <w:color w:val="555555"/>
          <w:sz w:val="18"/>
          <w:szCs w:val="18"/>
        </w:rPr>
        <w:t xml:space="preserve">Prepared by</w:t>
      </w:r>
    </w:p>
    <w:p>
      <w:pPr>
        <w:jc w:val="left"/>
      </w:pPr>
      <w:r>
        <w:rPr>
          <w:rFonts w:ascii="Arial" w:cs="Arial" w:eastAsia="Arial" w:hAnsi="Arial"/>
        </w:rPr>
        <w:t xml:space="preserve">TechNexus MW — Blantyre, Malawi</w:t>
      </w:r>
    </w:p>
    <w:p>
      <w:pPr>
        <w:jc w:val="left"/>
      </w:pPr>
      <w:r>
        <w:rPr>
          <w:rFonts w:ascii="Arial" w:cs="Arial" w:eastAsia="Arial" w:hAnsi="Arial"/>
        </w:rPr>
        <w:t xml:space="preserve">www.technexusmw.com</w:t>
      </w:r>
    </w:p>
    <w:p>
      <w:pPr>
        <w:pBdr>
          <w:bottom w:val="single" w:color="000000" w:sz="6" w:space="1"/>
        </w:pBdr>
        <w:spacing w:before="320"/>
      </w:pPr>
      <w:r>
        <w:rPr>
          <w:sz w:val="22"/>
          <w:szCs w:val="22"/>
        </w:rPr>
        <w:t xml:space="preserve"> </w:t>
      </w:r>
    </w:p>
    <w:p>
      <w:pPr>
        <w:spacing w:before="80"/>
        <w:jc w:val="left"/>
      </w:pPr>
      <w:r>
        <w:rPr>
          <w:rFonts w:ascii="Arial" w:cs="Arial" w:eastAsia="Arial" w:hAnsi="Arial"/>
        </w:rPr>
        <w:t xml:space="preserve">Name:        [_____________________________]</w:t>
      </w:r>
    </w:p>
    <w:p>
      <w:pPr>
        <w:jc w:val="left"/>
      </w:pPr>
      <w:r>
        <w:rPr>
          <w:rFonts w:ascii="Arial" w:cs="Arial" w:eastAsia="Arial" w:hAnsi="Arial"/>
        </w:rPr>
        <w:t xml:space="preserve">Title:           [_____________________________]</w:t>
      </w:r>
    </w:p>
    <w:p>
      <w:pPr>
        <w:jc w:val="left"/>
      </w:pPr>
      <w:r>
        <w:rPr>
          <w:rFonts w:ascii="Arial" w:cs="Arial" w:eastAsia="Arial" w:hAnsi="Arial"/>
        </w:rPr>
        <w:t xml:space="preserve">Date:          [_____________________________]</w:t>
      </w:r>
    </w:p>
    <w:p>
      <w:pPr>
        <w:spacing w:before="80"/>
        <w:jc w:val="left"/>
      </w:pPr>
      <w:r>
        <w:rPr>
          <w:rFonts w:ascii="Arial" w:cs="Arial" w:eastAsia="Arial" w:hAnsi="Arial"/>
          <w:i/>
          <w:iCs/>
          <w:color w:val="555555"/>
          <w:sz w:val="18"/>
          <w:szCs w:val="18"/>
        </w:rPr>
        <w:t xml:space="preserve">Signature &amp; company stamp</w:t>
      </w:r>
    </w:p>
    <w:p>
      <w:pPr>
        <w:pStyle w:val="Heading3"/>
        <w:spacing w:before="360"/>
      </w:pPr>
      <w:r>
        <w:rPr>
          <w:b/>
          <w:bCs/>
          <w:color w:val="0E1729"/>
          <w:sz w:val="23"/>
          <w:szCs w:val="23"/>
        </w:rPr>
        <w:t xml:space="preserve">Acceptance</w:t>
      </w:r>
    </w:p>
    <w:p>
      <w:pPr>
        <w:spacing w:after="240"/>
        <w:jc w:val="left"/>
      </w:pPr>
      <w:r>
        <w:rPr>
          <w:rFonts w:ascii="Arial" w:cs="Arial" w:eastAsia="Arial" w:hAnsi="Arial"/>
        </w:rPr>
        <w:t xml:space="preserve">I, the undersigned, accept this quotation on behalf of the Authority and authorise TechNexus MW to proceed with the NexusFine pilot phase as scoped above.</w:t>
      </w:r>
    </w:p>
    <w:p>
      <w:pPr>
        <w:pBdr>
          <w:bottom w:val="single" w:color="000000" w:sz="6" w:space="1"/>
        </w:pBdr>
      </w:pPr>
      <w:r>
        <w:rPr>
          <w:sz w:val="22"/>
          <w:szCs w:val="22"/>
        </w:rPr>
        <w:t xml:space="preserve"> </w:t>
      </w:r>
    </w:p>
    <w:p>
      <w:pPr>
        <w:spacing w:before="80"/>
        <w:jc w:val="left"/>
      </w:pPr>
      <w:r>
        <w:rPr>
          <w:rFonts w:ascii="Arial" w:cs="Arial" w:eastAsia="Arial" w:hAnsi="Arial"/>
        </w:rPr>
        <w:t xml:space="preserve">For the Authority:       Name [____________________]   Title [____________________]   Date [__________]</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55555"/>
        <w:sz w:val="16"/>
        <w:szCs w:val="16"/>
      </w:rPr>
      <w:t xml:space="preserve">TechNexus MW · NexusFine Proposal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E172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172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E172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2026-05-15T06:56:06.191Z</dcterms:created>
  <dcterms:modified xsi:type="dcterms:W3CDTF">2026-05-15T06:56:06.191Z</dcterms:modified>
</cp:coreProperties>
</file>

<file path=docProps/custom.xml><?xml version="1.0" encoding="utf-8"?>
<Properties xmlns="http://schemas.openxmlformats.org/officeDocument/2006/custom-properties" xmlns:vt="http://schemas.openxmlformats.org/officeDocument/2006/docPropsVTypes"/>
</file>