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f0e5d6621fdb6812e6413a03c4829f4adc6f61d"/>
    <w:p>
      <w:pPr>
        <w:pStyle w:val="Heading1"/>
      </w:pPr>
      <w:r>
        <w:t xml:space="preserve">ExecutionKit v0.1 – Initial Documentation and Updated Specification Plan</w:t>
      </w:r>
    </w:p>
    <w:p>
      <w:pPr>
        <w:pStyle w:val="FirstParagraph"/>
      </w:pPr>
      <w:r>
        <w:t xml:space="preserve">ExecutionKit is a minimal Python library designed for</w:t>
      </w:r>
      <w:r>
        <w:t xml:space="preserve"> </w:t>
      </w:r>
      <w:r>
        <w:rPr>
          <w:b/>
          <w:bCs/>
        </w:rPr>
        <w:t xml:space="preserve">pattern‑first execution</w:t>
      </w:r>
      <w:r>
        <w:t xml:space="preserve"> </w:t>
      </w:r>
      <w:r>
        <w:t xml:space="preserve">over any endpoint that implements the OpenAI‑compatible</w:t>
      </w:r>
      <w:r>
        <w:t xml:space="preserve"> </w:t>
      </w:r>
      <w:r>
        <w:rPr>
          <w:rStyle w:val="VerbatimChar"/>
        </w:rPr>
        <w:t xml:space="preserve">/chat/completions</w:t>
      </w:r>
      <w:r>
        <w:t xml:space="preserve"> </w:t>
      </w:r>
      <w:r>
        <w:t xml:space="preserve">API. It provides a small set of reusable reasoning patterns with built‑in budget awareness and a lightweight provider abstraction. This document summarises the core concepts of the library, outlines the features that ship in v0.1, notes what is deferred to v0.2, and lays out an updated specification plan to keep the scope tightly focused.</w:t>
      </w:r>
    </w:p>
    <w:bookmarkStart w:id="21" w:name="key-concepts"/>
    <w:p>
      <w:pPr>
        <w:pStyle w:val="Heading2"/>
      </w:pPr>
      <w:r>
        <w:t xml:space="preserve">Key Concepts</w:t>
      </w:r>
    </w:p>
    <w:p>
      <w:pPr>
        <w:pStyle w:val="Compact"/>
        <w:numPr>
          <w:ilvl w:val="0"/>
          <w:numId w:val="1001"/>
        </w:numPr>
      </w:pPr>
      <w:r>
        <w:rPr>
          <w:b/>
          <w:bCs/>
        </w:rPr>
        <w:t xml:space="preserve">Pattern‑First Execution</w:t>
      </w:r>
      <w:r>
        <w:t xml:space="preserve">: ExecutionKit packages three high‑level reasoning workflows—</w:t>
      </w:r>
      <w:r>
        <w:rPr>
          <w:rStyle w:val="VerbatimChar"/>
        </w:rPr>
        <w:t xml:space="preserve">consensus</w:t>
      </w:r>
      <w:r>
        <w:t xml:space="preserve">,</w:t>
      </w:r>
      <w:r>
        <w:t xml:space="preserve"> </w:t>
      </w:r>
      <w:r>
        <w:rPr>
          <w:rStyle w:val="VerbatimChar"/>
        </w:rPr>
        <w:t xml:space="preserve">refine_loop</w:t>
      </w:r>
      <w:r>
        <w:t xml:space="preserve">, and</w:t>
      </w:r>
      <w:r>
        <w:t xml:space="preserve"> </w:t>
      </w:r>
      <w:r>
        <w:rPr>
          <w:rStyle w:val="VerbatimChar"/>
        </w:rPr>
        <w:t xml:space="preserve">react_loop</w:t>
      </w:r>
      <w:r>
        <w:t xml:space="preserve">—as first‑class functions. Instead of building agents or workflows from scratch, developers can call these patterns to sample from multiple models, iteratively refine answers, or drive a bounded ReAct‑style tool loop.</w:t>
      </w:r>
    </w:p>
    <w:p>
      <w:pPr>
        <w:pStyle w:val="Compact"/>
        <w:numPr>
          <w:ilvl w:val="0"/>
          <w:numId w:val="1001"/>
        </w:numPr>
      </w:pPr>
      <w:r>
        <w:rPr>
          <w:b/>
          <w:bCs/>
        </w:rPr>
        <w:t xml:space="preserve">Budget‑Aware Composition</w:t>
      </w:r>
      <w:r>
        <w:t xml:space="preserve">: The library tracks token usage and call counts for each pattern. Using</w:t>
      </w:r>
      <w:r>
        <w:t xml:space="preserve"> </w:t>
      </w:r>
      <w:r>
        <w:rPr>
          <w:rStyle w:val="VerbatimChar"/>
        </w:rPr>
        <w:t xml:space="preserve">pipe()</w:t>
      </w:r>
      <w:r>
        <w:t xml:space="preserve"> </w:t>
      </w:r>
      <w:r>
        <w:t xml:space="preserve">you can chain patterns together while sharing a</w:t>
      </w:r>
      <w:r>
        <w:t xml:space="preserve"> </w:t>
      </w:r>
      <w:r>
        <w:rPr>
          <w:rStyle w:val="VerbatimChar"/>
        </w:rPr>
        <w:t xml:space="preserve">TokenUsage</w:t>
      </w:r>
      <w:r>
        <w:t xml:space="preserve"> </w:t>
      </w:r>
      <w:r>
        <w:t xml:space="preserve">budget, so you always know how much input, output, and call quota remains.</w:t>
      </w:r>
    </w:p>
    <w:p>
      <w:pPr>
        <w:pStyle w:val="Compact"/>
        <w:numPr>
          <w:ilvl w:val="0"/>
          <w:numId w:val="1001"/>
        </w:numPr>
      </w:pPr>
      <w:r>
        <w:rPr>
          <w:b/>
          <w:bCs/>
        </w:rPr>
        <w:t xml:space="preserve">OpenAI‑Compatible Transport</w:t>
      </w:r>
      <w:r>
        <w:t xml:space="preserve">: A single</w:t>
      </w:r>
      <w:r>
        <w:t xml:space="preserve"> </w:t>
      </w:r>
      <w:r>
        <w:rPr>
          <w:rStyle w:val="VerbatimChar"/>
        </w:rPr>
        <w:t xml:space="preserve">Provider</w:t>
      </w:r>
      <w:r>
        <w:t xml:space="preserve"> </w:t>
      </w:r>
      <w:r>
        <w:t xml:space="preserve">class wraps HTTP interactions with</w:t>
      </w:r>
      <w:r>
        <w:t xml:space="preserve"> </w:t>
      </w:r>
      <w:r>
        <w:rPr>
          <w:rStyle w:val="VerbatimChar"/>
        </w:rPr>
        <w:t xml:space="preserve">/chat/completions</w:t>
      </w:r>
      <w:r>
        <w:t xml:space="preserve"> </w:t>
      </w:r>
      <w:r>
        <w:t xml:space="preserve">endpoints. The provider takes a base URL, model name, and optional API key, then sends JSON payloads over the standard interface. This design works seamlessly with OpenAI, Azure, Groq, Together, Ollama, LM Studio and any local or cloud server that advertises OpenAI compatibility.</w:t>
      </w:r>
    </w:p>
    <w:p>
      <w:pPr>
        <w:pStyle w:val="Compact"/>
        <w:numPr>
          <w:ilvl w:val="0"/>
          <w:numId w:val="1001"/>
        </w:numPr>
      </w:pPr>
      <w:r>
        <w:rPr>
          <w:b/>
          <w:bCs/>
        </w:rPr>
        <w:t xml:space="preserve">Minimal Dependencies</w:t>
      </w:r>
      <w:r>
        <w:t xml:space="preserve">: ExecutionKit uses only the Python standard library for HTTP and JSON plus Pydantic for type validation. There are no heavy provider SDK dependencies.</w:t>
      </w:r>
    </w:p>
    <w:bookmarkEnd w:id="21"/>
    <w:bookmarkStart w:id="22" w:name="what-ships-in-v0.1"/>
    <w:p>
      <w:pPr>
        <w:pStyle w:val="Heading2"/>
      </w:pPr>
      <w:r>
        <w:t xml:space="preserve">What Ships in v0.1</w:t>
      </w:r>
    </w:p>
    <w:p>
      <w:pPr>
        <w:pStyle w:val="Compact"/>
        <w:numPr>
          <w:ilvl w:val="0"/>
          <w:numId w:val="1002"/>
        </w:numPr>
      </w:pPr>
      <w:r>
        <w:rPr>
          <w:b/>
          <w:bCs/>
        </w:rPr>
        <w:t xml:space="preserve">Patterns</w:t>
      </w:r>
      <w:r>
        <w:t xml:space="preserve">: </w:t>
      </w:r>
      <w:r>
        <w:rPr>
          <w:rStyle w:val="VerbatimChar"/>
        </w:rPr>
        <w:t xml:space="preserve">consensus</w:t>
      </w:r>
      <w:r>
        <w:t xml:space="preserve">,</w:t>
      </w:r>
      <w:r>
        <w:t xml:space="preserve"> </w:t>
      </w:r>
      <w:r>
        <w:rPr>
          <w:rStyle w:val="VerbatimChar"/>
        </w:rPr>
        <w:t xml:space="preserve">refine_loop</w:t>
      </w:r>
      <w:r>
        <w:t xml:space="preserve">,</w:t>
      </w:r>
      <w:r>
        <w:t xml:space="preserve"> </w:t>
      </w:r>
      <w:r>
        <w:rPr>
          <w:rStyle w:val="VerbatimChar"/>
        </w:rPr>
        <w:t xml:space="preserve">react_loop</w:t>
      </w:r>
    </w:p>
    <w:p>
      <w:pPr>
        <w:pStyle w:val="Compact"/>
        <w:numPr>
          <w:ilvl w:val="0"/>
          <w:numId w:val="1002"/>
        </w:numPr>
      </w:pPr>
      <w:r>
        <w:rPr>
          <w:b/>
          <w:bCs/>
        </w:rPr>
        <w:t xml:space="preserve">Composition</w:t>
      </w:r>
      <w:r>
        <w:t xml:space="preserve">: </w:t>
      </w:r>
      <w:r>
        <w:rPr>
          <w:rStyle w:val="VerbatimChar"/>
        </w:rPr>
        <w:t xml:space="preserve">pipe()</w:t>
      </w:r>
      <w:r>
        <w:t xml:space="preserve"> </w:t>
      </w:r>
      <w:r>
        <w:t xml:space="preserve">helper to chain patterns with a shared budget</w:t>
      </w:r>
    </w:p>
    <w:p>
      <w:pPr>
        <w:pStyle w:val="Compact"/>
        <w:numPr>
          <w:ilvl w:val="0"/>
          <w:numId w:val="1002"/>
        </w:numPr>
      </w:pPr>
      <w:r>
        <w:rPr>
          <w:b/>
          <w:bCs/>
        </w:rPr>
        <w:t xml:space="preserve">Session</w:t>
      </w:r>
      <w:r>
        <w:t xml:space="preserve">: </w:t>
      </w:r>
      <w:r>
        <w:rPr>
          <w:rStyle w:val="VerbatimChar"/>
        </w:rPr>
        <w:t xml:space="preserve">Kit</w:t>
      </w:r>
      <w:r>
        <w:t xml:space="preserve"> </w:t>
      </w:r>
      <w:r>
        <w:t xml:space="preserve">for managing pattern execution</w:t>
      </w:r>
    </w:p>
    <w:p>
      <w:pPr>
        <w:pStyle w:val="Compact"/>
        <w:numPr>
          <w:ilvl w:val="0"/>
          <w:numId w:val="1002"/>
        </w:numPr>
      </w:pPr>
      <w:r>
        <w:rPr>
          <w:b/>
          <w:bCs/>
        </w:rPr>
        <w:t xml:space="preserve">Provider</w:t>
      </w:r>
      <w:r>
        <w:t xml:space="preserve">: a single universal</w:t>
      </w:r>
      <w:r>
        <w:t xml:space="preserve"> </w:t>
      </w:r>
      <w:r>
        <w:rPr>
          <w:rStyle w:val="VerbatimChar"/>
        </w:rPr>
        <w:t xml:space="preserve">Provider</w:t>
      </w:r>
      <w:r>
        <w:t xml:space="preserve"> </w:t>
      </w:r>
      <w:r>
        <w:t xml:space="preserve">class (URL + model + API key)</w:t>
      </w:r>
    </w:p>
    <w:p>
      <w:pPr>
        <w:pStyle w:val="Compact"/>
        <w:numPr>
          <w:ilvl w:val="0"/>
          <w:numId w:val="1002"/>
        </w:numPr>
      </w:pPr>
      <w:r>
        <w:rPr>
          <w:b/>
          <w:bCs/>
        </w:rPr>
        <w:t xml:space="preserve">Engine</w:t>
      </w:r>
      <w:r>
        <w:t xml:space="preserve">: retry logic, parallel execution helpers, convergence detection, and a JSON extraction fallback for models that return ill‑formed JSON</w:t>
      </w:r>
    </w:p>
    <w:p>
      <w:pPr>
        <w:pStyle w:val="Compact"/>
        <w:numPr>
          <w:ilvl w:val="0"/>
          <w:numId w:val="1002"/>
        </w:numPr>
      </w:pPr>
      <w:r>
        <w:rPr>
          <w:b/>
          <w:bCs/>
        </w:rPr>
        <w:t xml:space="preserve">Types</w:t>
      </w:r>
      <w:r>
        <w:t xml:space="preserve">: </w:t>
      </w:r>
      <w:r>
        <w:rPr>
          <w:rStyle w:val="VerbatimChar"/>
        </w:rPr>
        <w:t xml:space="preserve">PatternResult[T]</w:t>
      </w:r>
      <w:r>
        <w:t xml:space="preserve">,</w:t>
      </w:r>
      <w:r>
        <w:t xml:space="preserve"> </w:t>
      </w:r>
      <w:r>
        <w:rPr>
          <w:rStyle w:val="VerbatimChar"/>
        </w:rPr>
        <w:t xml:space="preserve">TokenUsage</w:t>
      </w:r>
      <w:r>
        <w:t xml:space="preserve">,</w:t>
      </w:r>
      <w:r>
        <w:t xml:space="preserve"> </w:t>
      </w:r>
      <w:r>
        <w:rPr>
          <w:rStyle w:val="VerbatimChar"/>
        </w:rPr>
        <w:t xml:space="preserve">Tool</w:t>
      </w:r>
      <w:r>
        <w:t xml:space="preserve">,</w:t>
      </w:r>
      <w:r>
        <w:t xml:space="preserve"> </w:t>
      </w:r>
      <w:r>
        <w:rPr>
          <w:rStyle w:val="VerbatimChar"/>
        </w:rPr>
        <w:t xml:space="preserve">ToolCall</w:t>
      </w:r>
      <w:r>
        <w:t xml:space="preserve">,</w:t>
      </w:r>
      <w:r>
        <w:t xml:space="preserve"> </w:t>
      </w:r>
      <w:r>
        <w:rPr>
          <w:rStyle w:val="VerbatimChar"/>
        </w:rPr>
        <w:t xml:space="preserve">VotingStrategy</w:t>
      </w:r>
      <w:r>
        <w:t xml:space="preserve"> </w:t>
      </w:r>
      <w:r>
        <w:t xml:space="preserve">(majority and unanimous),</w:t>
      </w:r>
      <w:r>
        <w:t xml:space="preserve"> </w:t>
      </w:r>
      <w:r>
        <w:rPr>
          <w:rStyle w:val="VerbatimChar"/>
        </w:rPr>
        <w:t xml:space="preserve">Evaluator</w:t>
      </w:r>
      <w:r>
        <w:t xml:space="preserve">, and</w:t>
      </w:r>
      <w:r>
        <w:t xml:space="preserve"> </w:t>
      </w:r>
      <w:r>
        <w:rPr>
          <w:rStyle w:val="VerbatimChar"/>
        </w:rPr>
        <w:t xml:space="preserve">LLMResponse</w:t>
      </w:r>
    </w:p>
    <w:p>
      <w:pPr>
        <w:pStyle w:val="Compact"/>
        <w:numPr>
          <w:ilvl w:val="0"/>
          <w:numId w:val="1002"/>
        </w:numPr>
      </w:pPr>
      <w:r>
        <w:rPr>
          <w:b/>
          <w:bCs/>
        </w:rPr>
        <w:t xml:space="preserve">Errors</w:t>
      </w:r>
      <w:r>
        <w:t xml:space="preserve">: </w:t>
      </w:r>
      <w:r>
        <w:rPr>
          <w:rStyle w:val="VerbatimChar"/>
        </w:rPr>
        <w:t xml:space="preserve">ExecutionKitError</w:t>
      </w:r>
      <w:r>
        <w:t xml:space="preserve"> </w:t>
      </w:r>
      <w:r>
        <w:t xml:space="preserve">hierarchy covering rate limits, provider failures, budget exhaustion, consensus failures and max‑iteration conditions</w:t>
      </w:r>
    </w:p>
    <w:p>
      <w:pPr>
        <w:pStyle w:val="Compact"/>
        <w:numPr>
          <w:ilvl w:val="0"/>
          <w:numId w:val="1002"/>
        </w:numPr>
      </w:pPr>
      <w:r>
        <w:rPr>
          <w:b/>
          <w:bCs/>
        </w:rPr>
        <w:t xml:space="preserve">Features</w:t>
      </w:r>
      <w:r>
        <w:t xml:space="preserve">: </w:t>
      </w:r>
      <w:r>
        <w:rPr>
          <w:rStyle w:val="VerbatimChar"/>
        </w:rPr>
        <w:t xml:space="preserve">CostTracker</w:t>
      </w:r>
      <w:r>
        <w:t xml:space="preserve">,</w:t>
      </w:r>
      <w:r>
        <w:t xml:space="preserve"> </w:t>
      </w:r>
      <w:r>
        <w:rPr>
          <w:rStyle w:val="VerbatimChar"/>
        </w:rPr>
        <w:t xml:space="preserve">checked_complete</w:t>
      </w:r>
      <w:r>
        <w:t xml:space="preserve">,</w:t>
      </w:r>
      <w:r>
        <w:t xml:space="preserve"> </w:t>
      </w:r>
      <w:r>
        <w:rPr>
          <w:rStyle w:val="VerbatimChar"/>
        </w:rPr>
        <w:t xml:space="preserve">validate_score</w:t>
      </w:r>
      <w:r>
        <w:t xml:space="preserve">,</w:t>
      </w:r>
      <w:r>
        <w:t xml:space="preserve"> </w:t>
      </w:r>
      <w:r>
        <w:rPr>
          <w:rStyle w:val="VerbatimChar"/>
        </w:rPr>
        <w:t xml:space="preserve">agreement_ratio</w:t>
      </w:r>
      <w:r>
        <w:t xml:space="preserve">,</w:t>
      </w:r>
      <w:r>
        <w:t xml:space="preserve"> </w:t>
      </w:r>
      <w:r>
        <w:rPr>
          <w:rStyle w:val="VerbatimChar"/>
        </w:rPr>
        <w:t xml:space="preserve">was_truncated</w:t>
      </w:r>
      <w:r>
        <w:t xml:space="preserve">, and a</w:t>
      </w:r>
      <w:r>
        <w:t xml:space="preserve"> </w:t>
      </w:r>
      <w:r>
        <w:rPr>
          <w:rStyle w:val="VerbatimChar"/>
        </w:rPr>
        <w:t xml:space="preserve">ConvergenceDetector</w:t>
      </w:r>
    </w:p>
    <w:p>
      <w:pPr>
        <w:pStyle w:val="Compact"/>
        <w:numPr>
          <w:ilvl w:val="0"/>
          <w:numId w:val="1002"/>
        </w:numPr>
      </w:pPr>
      <w:r>
        <w:rPr>
          <w:b/>
          <w:bCs/>
        </w:rPr>
        <w:t xml:space="preserve">Infrastructure</w:t>
      </w:r>
      <w:r>
        <w:t xml:space="preserve">: CLI,</w:t>
      </w:r>
      <w:r>
        <w:t xml:space="preserve"> </w:t>
      </w:r>
      <w:r>
        <w:rPr>
          <w:rStyle w:val="VerbatimChar"/>
        </w:rPr>
        <w:t xml:space="preserve">pyproject.toml</w:t>
      </w:r>
      <w:r>
        <w:t xml:space="preserve">, examples, a README and CONTRIBUTING guide</w:t>
      </w:r>
    </w:p>
    <w:bookmarkEnd w:id="22"/>
    <w:bookmarkStart w:id="23" w:name="deferred-to-v0.2"/>
    <w:p>
      <w:pPr>
        <w:pStyle w:val="Heading2"/>
      </w:pPr>
      <w:r>
        <w:t xml:space="preserve">Deferred to v0.2</w:t>
      </w:r>
    </w:p>
    <w:p>
      <w:pPr>
        <w:pStyle w:val="Compact"/>
        <w:numPr>
          <w:ilvl w:val="0"/>
          <w:numId w:val="1003"/>
        </w:numPr>
      </w:pPr>
      <w:r>
        <w:t xml:space="preserve">Tree‑of‑thought / beam search</w:t>
      </w:r>
    </w:p>
    <w:p>
      <w:pPr>
        <w:pStyle w:val="Compact"/>
        <w:numPr>
          <w:ilvl w:val="0"/>
          <w:numId w:val="1003"/>
        </w:numPr>
      </w:pPr>
      <w:r>
        <w:t xml:space="preserve">Native Anthropic provider and message conversion</w:t>
      </w:r>
    </w:p>
    <w:p>
      <w:pPr>
        <w:pStyle w:val="Compact"/>
        <w:numPr>
          <w:ilvl w:val="0"/>
          <w:numId w:val="1003"/>
        </w:numPr>
      </w:pPr>
      <w:r>
        <w:rPr>
          <w:rStyle w:val="VerbatimChar"/>
        </w:rPr>
        <w:t xml:space="preserve">TraceEntry</w:t>
      </w:r>
      <w:r>
        <w:t xml:space="preserve"> </w:t>
      </w:r>
      <w:r>
        <w:t xml:space="preserve">and</w:t>
      </w:r>
      <w:r>
        <w:t xml:space="preserve"> </w:t>
      </w:r>
      <w:r>
        <w:rPr>
          <w:rStyle w:val="VerbatimChar"/>
        </w:rPr>
        <w:t xml:space="preserve">ProgressCallback</w:t>
      </w:r>
      <w:r>
        <w:t xml:space="preserve"> </w:t>
      </w:r>
      <w:r>
        <w:t xml:space="preserve">(observability hooks)</w:t>
      </w:r>
    </w:p>
    <w:p>
      <w:pPr>
        <w:pStyle w:val="Compact"/>
        <w:numPr>
          <w:ilvl w:val="0"/>
          <w:numId w:val="1003"/>
        </w:numPr>
      </w:pPr>
      <w:r>
        <w:rPr>
          <w:rStyle w:val="VerbatimChar"/>
        </w:rPr>
        <w:t xml:space="preserve">StreamingProvider</w:t>
      </w:r>
      <w:r>
        <w:t xml:space="preserve"> </w:t>
      </w:r>
      <w:r>
        <w:t xml:space="preserve">for real‑time output</w:t>
      </w:r>
    </w:p>
    <w:p>
      <w:pPr>
        <w:pStyle w:val="Compact"/>
        <w:numPr>
          <w:ilvl w:val="0"/>
          <w:numId w:val="1003"/>
        </w:numPr>
      </w:pPr>
      <w:r>
        <w:t xml:space="preserve">OpenTelemetry integration</w:t>
      </w:r>
    </w:p>
    <w:p>
      <w:pPr>
        <w:pStyle w:val="Compact"/>
        <w:numPr>
          <w:ilvl w:val="0"/>
          <w:numId w:val="1003"/>
        </w:numPr>
      </w:pPr>
      <w:r>
        <w:t xml:space="preserve">Dedicated documentation site (mkdocs)</w:t>
      </w:r>
    </w:p>
    <w:bookmarkEnd w:id="23"/>
    <w:bookmarkStart w:id="24" w:name="updated-specification-plan"/>
    <w:p>
      <w:pPr>
        <w:pStyle w:val="Heading2"/>
      </w:pPr>
      <w:r>
        <w:t xml:space="preserve">Updated Specification Plan</w:t>
      </w:r>
    </w:p>
    <w:p>
      <w:pPr>
        <w:pStyle w:val="FirstParagraph"/>
      </w:pPr>
      <w:r>
        <w:t xml:space="preserve">The crowded LLM tooling space already includes full agent frameworks, gateways, and orchestration runtimes. ExecutionKit differentiates itself by staying small and opinionated. To preserve that identity:</w:t>
      </w:r>
    </w:p>
    <w:p>
      <w:pPr>
        <w:pStyle w:val="Compact"/>
        <w:numPr>
          <w:ilvl w:val="0"/>
          <w:numId w:val="1004"/>
        </w:numPr>
      </w:pPr>
      <w:r>
        <w:rPr>
          <w:b/>
          <w:bCs/>
        </w:rPr>
        <w:t xml:space="preserve">v0.1 remains tightly scoped.</w:t>
      </w:r>
      <w:r>
        <w:t xml:space="preserve"> </w:t>
      </w:r>
      <w:r>
        <w:t xml:space="preserve">Only the core patterns (</w:t>
      </w:r>
      <w:r>
        <w:rPr>
          <w:rStyle w:val="VerbatimChar"/>
        </w:rPr>
        <w:t xml:space="preserve">consensus</w:t>
      </w:r>
      <w:r>
        <w:t xml:space="preserve">,</w:t>
      </w:r>
      <w:r>
        <w:t xml:space="preserve"> </w:t>
      </w:r>
      <w:r>
        <w:rPr>
          <w:rStyle w:val="VerbatimChar"/>
        </w:rPr>
        <w:t xml:space="preserve">refine_loop</w:t>
      </w:r>
      <w:r>
        <w:t xml:space="preserve">,</w:t>
      </w:r>
      <w:r>
        <w:t xml:space="preserve"> </w:t>
      </w:r>
      <w:r>
        <w:rPr>
          <w:rStyle w:val="VerbatimChar"/>
        </w:rPr>
        <w:t xml:space="preserve">react_loop</w:t>
      </w:r>
      <w:r>
        <w:t xml:space="preserve">), the</w:t>
      </w:r>
      <w:r>
        <w:t xml:space="preserve"> </w:t>
      </w:r>
      <w:r>
        <w:rPr>
          <w:rStyle w:val="VerbatimChar"/>
        </w:rPr>
        <w:t xml:space="preserve">pipe()</w:t>
      </w:r>
      <w:r>
        <w:t xml:space="preserve"> </w:t>
      </w:r>
      <w:r>
        <w:t xml:space="preserve">composition helper, the</w:t>
      </w:r>
      <w:r>
        <w:t xml:space="preserve"> </w:t>
      </w:r>
      <w:r>
        <w:rPr>
          <w:rStyle w:val="VerbatimChar"/>
        </w:rPr>
        <w:t xml:space="preserve">Provider</w:t>
      </w:r>
      <w:r>
        <w:t xml:space="preserve"> </w:t>
      </w:r>
      <w:r>
        <w:t xml:space="preserve">abstraction and essential engine utilities ship. There is no graph runtime, multi‑agent handoff, or provider‑specific adapter matrix. Observability and native Anthropic support are explicitly deferred.</w:t>
      </w:r>
    </w:p>
    <w:p>
      <w:pPr>
        <w:pStyle w:val="Compact"/>
        <w:numPr>
          <w:ilvl w:val="0"/>
          <w:numId w:val="1004"/>
        </w:numPr>
      </w:pPr>
      <w:r>
        <w:rPr>
          <w:b/>
          <w:bCs/>
        </w:rPr>
        <w:t xml:space="preserve">v0.2 enhancements focus on composition, not scope creep.</w:t>
      </w:r>
      <w:r>
        <w:t xml:space="preserve"> </w:t>
      </w:r>
      <w:r>
        <w:t xml:space="preserve">The next release should add richer composition ergonomics (policy objects for retries and budgets), optional progress callbacks, lightweight trace objects, streaming support, and optionally separate provider implementations via the</w:t>
      </w:r>
      <w:r>
        <w:t xml:space="preserve"> </w:t>
      </w:r>
      <w:r>
        <w:rPr>
          <w:rStyle w:val="VerbatimChar"/>
        </w:rPr>
        <w:t xml:space="preserve">LLMProvider</w:t>
      </w:r>
      <w:r>
        <w:t xml:space="preserve"> </w:t>
      </w:r>
      <w:r>
        <w:t xml:space="preserve">protocol. Graph runtimes, dashboards, governance features, and broad provider sprawl remain out of scope.</w:t>
      </w:r>
    </w:p>
    <w:p>
      <w:pPr>
        <w:pStyle w:val="FirstParagraph"/>
      </w:pPr>
      <w:r>
        <w:t xml:space="preserve">By following this plan, ExecutionKit stays a focused execution library rather than an orchestration framework. Its pattern‑first design and budget‑aware composition complement rather than compete with more complex agent platforms.</w:t>
      </w:r>
    </w:p>
    <w:bookmarkEnd w:id="24"/>
    <w:bookmarkStart w:id="25" w:name="hero-example"/>
    <w:p>
      <w:pPr>
        <w:pStyle w:val="Heading2"/>
      </w:pPr>
      <w:r>
        <w:t xml:space="preserve">Hero Example</w:t>
      </w:r>
    </w:p>
    <w:p>
      <w:pPr>
        <w:pStyle w:val="FirstParagraph"/>
      </w:pPr>
      <w:r>
        <w:t xml:space="preserve">Here is a concise example using</w:t>
      </w:r>
      <w:r>
        <w:t xml:space="preserve"> </w:t>
      </w:r>
      <w:r>
        <w:rPr>
          <w:rStyle w:val="VerbatimChar"/>
        </w:rPr>
        <w:t xml:space="preserve">consensus</w:t>
      </w:r>
      <w:r>
        <w:t xml:space="preserve"> </w:t>
      </w:r>
      <w:r>
        <w:t xml:space="preserve">with a local model served by Ollama:</w:t>
      </w:r>
    </w:p>
    <w:p>
      <w:pPr>
        <w:pStyle w:val="SourceCode"/>
      </w:pPr>
      <w:r>
        <w:rPr>
          <w:rStyle w:val="VerbatimChar"/>
        </w:rPr>
        <w:t xml:space="preserve">from executionkit import Provider, consensus</w:t>
      </w:r>
      <w:r>
        <w:br/>
      </w:r>
      <w:r>
        <w:br/>
      </w:r>
      <w:r>
        <w:rPr>
          <w:rStyle w:val="VerbatimChar"/>
        </w:rPr>
        <w:t xml:space="preserve"># Connect to a local Ollama server that exposes an OpenAI‑compatible API</w:t>
      </w:r>
      <w:r>
        <w:br/>
      </w:r>
      <w:r>
        <w:rPr>
          <w:rStyle w:val="VerbatimChar"/>
        </w:rPr>
        <w:t xml:space="preserve">provider = Provider("http://localhost:11434/v1", model="llama3.2")</w:t>
      </w:r>
      <w:r>
        <w:br/>
      </w:r>
      <w:r>
        <w:br/>
      </w:r>
      <w:r>
        <w:rPr>
          <w:rStyle w:val="VerbatimChar"/>
        </w:rPr>
        <w:t xml:space="preserve">result = await consensus(</w:t>
      </w:r>
      <w:r>
        <w:br/>
      </w:r>
      <w:r>
        <w:rPr>
          <w:rStyle w:val="VerbatimChar"/>
        </w:rPr>
        <w:t xml:space="preserve">    provider,</w:t>
      </w:r>
      <w:r>
        <w:br/>
      </w:r>
      <w:r>
        <w:rPr>
          <w:rStyle w:val="VerbatimChar"/>
        </w:rPr>
        <w:t xml:space="preserve">    "Classify this support ticket into billing, bug, or access.",</w:t>
      </w:r>
      <w:r>
        <w:br/>
      </w:r>
      <w:r>
        <w:rPr>
          <w:rStyle w:val="VerbatimChar"/>
        </w:rPr>
        <w:t xml:space="preserve">    num_samples=5,</w:t>
      </w:r>
      <w:r>
        <w:br/>
      </w:r>
      <w:r>
        <w:rPr>
          <w:rStyle w:val="VerbatimChar"/>
        </w:rPr>
        <w:t xml:space="preserve">)</w:t>
      </w:r>
      <w:r>
        <w:br/>
      </w:r>
      <w:r>
        <w:br/>
      </w:r>
      <w:r>
        <w:rPr>
          <w:rStyle w:val="VerbatimChar"/>
        </w:rPr>
        <w:t xml:space="preserve">print(result.value)  # The chosen classification</w:t>
      </w:r>
      <w:r>
        <w:br/>
      </w:r>
      <w:r>
        <w:rPr>
          <w:rStyle w:val="VerbatimChar"/>
        </w:rPr>
        <w:t xml:space="preserve">print(result.cost)   # TokenUsage(input_tokens=250, output_tokens=45, llm_calls=5)</w:t>
      </w:r>
      <w:r>
        <w:br/>
      </w:r>
      <w:r>
        <w:rPr>
          <w:rStyle w:val="VerbatimChar"/>
        </w:rPr>
        <w:t xml:space="preserve">print(result.metadata["agreement_ratio"])  # e.g., 0.8 (4 out of 5 agreed)</w:t>
      </w:r>
    </w:p>
    <w:p>
      <w:pPr>
        <w:pStyle w:val="FirstParagraph"/>
      </w:pPr>
      <w:r>
        <w:t xml:space="preserve">The same code can run against any OpenAI‑compatible endpoint—cloud or local—by changing the provider’s base URL and model name.</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2026-04-05T13:55:22Z</dcterms:created>
  <dcterms:modified xsi:type="dcterms:W3CDTF">2026-04-05T13:55:22Z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