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940" w:rsidRPr="00EE15F6" w:rsidRDefault="00B63208" w:rsidP="00B63208">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708E4E94" wp14:editId="1E6973A3">
                <wp:simplePos x="0" y="0"/>
                <wp:positionH relativeFrom="column">
                  <wp:posOffset>4123750</wp:posOffset>
                </wp:positionH>
                <wp:positionV relativeFrom="paragraph">
                  <wp:posOffset>-77122</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4940" w:rsidRPr="00ED3543" w:rsidRDefault="00B63208"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ことばの問題、危機言語、母語、ことばの文化性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 o:spid="_x0000_s1026" style="position:absolute;left:0;text-align:left;margin-left:324.7pt;margin-top:-6.05pt;width:144.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" filled="f" strokecolor="#243f60 [1604]" strokeweight="2pt">
                <v:textbox>
                  <w:txbxContent>
                    <w:p w:rsidR="00834940" w:rsidRPr="00ED3543" w:rsidRDefault="00B63208"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ことばの問題、危機言語、母語、ことばの文化性</w:t>
                      </w:r>
                    </w:p>
                  </w:txbxContent>
                </v:textbox>
              </v:roundrect>
            </w:pict>
          </mc:Fallback>
        </mc:AlternateContent>
      </w:r>
      <w:r w:rsidR="00EE15F6">
        <w:rPr>
          <w:rFonts w:ascii="ふみゴシック" w:eastAsia="ふみゴシック" w:hint="eastAsia"/>
          <w:b/>
        </w:rPr>
        <w:t>ことばをとりまく問題</w:t>
      </w:r>
    </w:p>
    <w:p w:rsidR="00834940" w:rsidRDefault="00EE15F6" w:rsidP="00EE15F6">
      <w:pPr>
        <w:tabs>
          <w:tab w:val="left" w:pos="8662"/>
          <w:tab w:val="left" w:pos="8804"/>
        </w:tabs>
        <w:autoSpaceDE w:val="0"/>
        <w:autoSpaceDN w:val="0"/>
        <w:adjustRightInd w:val="0"/>
        <w:spacing w:line="276" w:lineRule="auto"/>
        <w:ind w:right="-356" w:firstLineChars="100" w:firstLine="210"/>
        <w:jc w:val="left"/>
      </w:pPr>
      <w:r>
        <w:rPr>
          <w:rFonts w:hint="eastAsia"/>
        </w:rPr>
        <w:t>問題解決を一つの目標の基軸とする国際理解教育にとって、</w:t>
      </w:r>
      <w:r w:rsidR="009210AB">
        <w:rPr>
          <w:rFonts w:hint="eastAsia"/>
        </w:rPr>
        <w:t>「</w:t>
      </w:r>
      <w:r>
        <w:rPr>
          <w:rFonts w:hint="eastAsia"/>
        </w:rPr>
        <w:t>ことばをとりまく問題</w:t>
      </w:r>
      <w:r w:rsidR="009210AB">
        <w:rPr>
          <w:rFonts w:hint="eastAsia"/>
        </w:rPr>
        <w:t>」</w:t>
      </w:r>
      <w:r>
        <w:rPr>
          <w:rFonts w:hint="eastAsia"/>
        </w:rPr>
        <w:t>をどのように扱うかは、大きな課題となっている。この教材は、学習者がことばをとりまく状況を総合的に捉え</w:t>
      </w:r>
      <w:r w:rsidR="009210AB">
        <w:rPr>
          <w:rFonts w:hint="eastAsia"/>
        </w:rPr>
        <w:t>る中で</w:t>
      </w:r>
      <w:r>
        <w:rPr>
          <w:rFonts w:hint="eastAsia"/>
        </w:rPr>
        <w:t>、</w:t>
      </w:r>
      <w:r w:rsidR="00EE1F64">
        <w:rPr>
          <w:rFonts w:hint="eastAsia"/>
        </w:rPr>
        <w:t>それらの状況が自分そして</w:t>
      </w:r>
      <w:r w:rsidR="009210AB">
        <w:rPr>
          <w:rFonts w:hint="eastAsia"/>
        </w:rPr>
        <w:t>他者にとってなぜ問題なのか</w:t>
      </w:r>
      <w:r w:rsidR="00F37074">
        <w:rPr>
          <w:rFonts w:hint="eastAsia"/>
        </w:rPr>
        <w:t>、さらには社会的に何が問題なのかについて</w:t>
      </w:r>
      <w:r w:rsidR="009210AB">
        <w:rPr>
          <w:rFonts w:hint="eastAsia"/>
        </w:rPr>
        <w:t>共に考える</w:t>
      </w:r>
      <w:r>
        <w:rPr>
          <w:rFonts w:hint="eastAsia"/>
        </w:rPr>
        <w:t>ことを</w:t>
      </w:r>
      <w:r w:rsidR="00EE1F64">
        <w:rPr>
          <w:rFonts w:hint="eastAsia"/>
        </w:rPr>
        <w:t>通して、「ことばをとりまく問題」を多面的に捉えることを</w:t>
      </w:r>
      <w:r>
        <w:rPr>
          <w:rFonts w:hint="eastAsia"/>
        </w:rPr>
        <w:t>意図して作成されている。</w:t>
      </w:r>
    </w:p>
    <w:tbl>
      <w:tblPr>
        <w:tblStyle w:val="a3"/>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25"/>
        <w:gridCol w:w="7938"/>
      </w:tblGrid>
      <w:tr w:rsidR="00834940" w:rsidTr="00EE1F64">
        <w:tc>
          <w:tcPr>
            <w:tcW w:w="959"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425"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938" w:type="dxa"/>
          </w:tcPr>
          <w:p w:rsidR="009210AB" w:rsidRDefault="00834940" w:rsidP="00BB3021">
            <w:pPr>
              <w:tabs>
                <w:tab w:val="left" w:pos="8662"/>
                <w:tab w:val="left" w:pos="8804"/>
              </w:tabs>
              <w:autoSpaceDE w:val="0"/>
              <w:autoSpaceDN w:val="0"/>
              <w:adjustRightInd w:val="0"/>
              <w:spacing w:before="240" w:line="276" w:lineRule="auto"/>
              <w:ind w:left="210" w:right="-356" w:hangingChars="100" w:hanging="210"/>
              <w:jc w:val="left"/>
              <w:rPr>
                <w:rFonts w:asciiTheme="majorEastAsia" w:eastAsiaTheme="majorEastAsia" w:hAnsiTheme="majorEastAsia"/>
              </w:rPr>
            </w:pPr>
            <w:r>
              <w:rPr>
                <w:rFonts w:asciiTheme="majorEastAsia" w:eastAsiaTheme="majorEastAsia" w:hAnsiTheme="majorEastAsia" w:hint="eastAsia"/>
              </w:rPr>
              <w:t>・</w:t>
            </w:r>
            <w:r w:rsidR="00EE15F6">
              <w:rPr>
                <w:rFonts w:asciiTheme="majorEastAsia" w:eastAsiaTheme="majorEastAsia" w:hAnsiTheme="majorEastAsia" w:hint="eastAsia"/>
              </w:rPr>
              <w:t>ことばを</w:t>
            </w:r>
            <w:r w:rsidR="009210AB">
              <w:rPr>
                <w:rFonts w:asciiTheme="majorEastAsia" w:eastAsiaTheme="majorEastAsia" w:hAnsiTheme="majorEastAsia" w:hint="eastAsia"/>
              </w:rPr>
              <w:t>とりまく状況</w:t>
            </w:r>
            <w:r w:rsidR="00B63208">
              <w:rPr>
                <w:rFonts w:asciiTheme="majorEastAsia" w:eastAsiaTheme="majorEastAsia" w:hAnsiTheme="majorEastAsia" w:hint="eastAsia"/>
              </w:rPr>
              <w:t>への全体的な理解を深める</w:t>
            </w:r>
            <w:r w:rsidR="009210AB">
              <w:rPr>
                <w:rFonts w:asciiTheme="majorEastAsia" w:eastAsiaTheme="majorEastAsia" w:hAnsiTheme="majorEastAsia" w:hint="eastAsia"/>
              </w:rPr>
              <w:t>。</w:t>
            </w:r>
          </w:p>
          <w:p w:rsidR="009210AB" w:rsidRDefault="00834940" w:rsidP="009210AB">
            <w:pPr>
              <w:tabs>
                <w:tab w:val="left" w:pos="8662"/>
                <w:tab w:val="left" w:pos="8804"/>
              </w:tabs>
              <w:autoSpaceDE w:val="0"/>
              <w:autoSpaceDN w:val="0"/>
              <w:adjustRightInd w:val="0"/>
              <w:spacing w:before="240" w:line="276" w:lineRule="auto"/>
              <w:ind w:left="210" w:right="-356" w:hangingChars="100" w:hanging="210"/>
              <w:jc w:val="left"/>
            </w:pPr>
            <w:r>
              <w:rPr>
                <w:rFonts w:hint="eastAsia"/>
              </w:rPr>
              <w:t>・</w:t>
            </w:r>
            <w:r w:rsidR="00AE5E27">
              <w:rPr>
                <w:rFonts w:hint="eastAsia"/>
              </w:rPr>
              <w:t>ことばをとりまく状況</w:t>
            </w:r>
            <w:r w:rsidR="009210AB">
              <w:rPr>
                <w:rFonts w:hint="eastAsia"/>
              </w:rPr>
              <w:t>の中から、自分にとって何が問題なのかを考える。</w:t>
            </w:r>
          </w:p>
          <w:p w:rsidR="00834940" w:rsidRPr="00B03319" w:rsidRDefault="00834940" w:rsidP="009210AB">
            <w:pPr>
              <w:tabs>
                <w:tab w:val="left" w:pos="8662"/>
                <w:tab w:val="left" w:pos="8804"/>
              </w:tabs>
              <w:autoSpaceDE w:val="0"/>
              <w:autoSpaceDN w:val="0"/>
              <w:adjustRightInd w:val="0"/>
              <w:spacing w:before="240" w:line="276" w:lineRule="auto"/>
              <w:ind w:left="210" w:right="-356" w:hangingChars="100" w:hanging="210"/>
              <w:jc w:val="left"/>
              <w:rPr>
                <w:rFonts w:asciiTheme="majorEastAsia" w:eastAsiaTheme="majorEastAsia" w:hAnsiTheme="majorEastAsia"/>
                <w:b/>
              </w:rPr>
            </w:pPr>
            <w:r>
              <w:rPr>
                <w:rFonts w:hint="eastAsia"/>
              </w:rPr>
              <w:t>・</w:t>
            </w:r>
            <w:r w:rsidR="009210AB">
              <w:rPr>
                <w:rFonts w:hint="eastAsia"/>
              </w:rPr>
              <w:t>自分にとって</w:t>
            </w:r>
            <w:r w:rsidR="00F37074">
              <w:rPr>
                <w:rFonts w:hint="eastAsia"/>
              </w:rPr>
              <w:t>の</w:t>
            </w:r>
            <w:r w:rsidR="00EE1F64">
              <w:rPr>
                <w:rFonts w:hint="eastAsia"/>
              </w:rPr>
              <w:t>問題そして</w:t>
            </w:r>
            <w:r w:rsidR="009210AB">
              <w:rPr>
                <w:rFonts w:hint="eastAsia"/>
              </w:rPr>
              <w:t>他者にとっての問題を踏まえ、社会にとっての</w:t>
            </w:r>
            <w:r w:rsidR="00F37074">
              <w:rPr>
                <w:rFonts w:hint="eastAsia"/>
              </w:rPr>
              <w:t>「こ</w:t>
            </w:r>
            <w:r w:rsidR="009210AB">
              <w:rPr>
                <w:rFonts w:hint="eastAsia"/>
              </w:rPr>
              <w:t>とばをとりまく問題</w:t>
            </w:r>
            <w:r w:rsidR="00F37074">
              <w:rPr>
                <w:rFonts w:hint="eastAsia"/>
              </w:rPr>
              <w:t>」</w:t>
            </w:r>
            <w:r w:rsidR="00EE1F64">
              <w:rPr>
                <w:rFonts w:hint="eastAsia"/>
              </w:rPr>
              <w:t>を多面的に</w:t>
            </w:r>
            <w:r w:rsidR="009210AB">
              <w:rPr>
                <w:rFonts w:hint="eastAsia"/>
              </w:rPr>
              <w:t>考える。</w:t>
            </w:r>
          </w:p>
        </w:tc>
      </w:tr>
      <w:tr w:rsidR="00834940" w:rsidTr="00EE1F64">
        <w:tc>
          <w:tcPr>
            <w:tcW w:w="959"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425"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938" w:type="dxa"/>
          </w:tcPr>
          <w:p w:rsidR="00834940" w:rsidRPr="00B03319" w:rsidRDefault="00F37074" w:rsidP="00BB3021">
            <w:pPr>
              <w:tabs>
                <w:tab w:val="left" w:pos="8662"/>
                <w:tab w:val="left" w:pos="8804"/>
              </w:tabs>
              <w:autoSpaceDE w:val="0"/>
              <w:autoSpaceDN w:val="0"/>
              <w:adjustRightInd w:val="0"/>
              <w:spacing w:before="240" w:after="240" w:line="276" w:lineRule="auto"/>
              <w:ind w:right="-356"/>
              <w:jc w:val="left"/>
            </w:pPr>
            <w:r>
              <w:rPr>
                <w:rFonts w:hint="eastAsia"/>
              </w:rPr>
              <w:t>高校生以上</w:t>
            </w:r>
          </w:p>
        </w:tc>
      </w:tr>
      <w:tr w:rsidR="00834940" w:rsidTr="00EE1F64">
        <w:tc>
          <w:tcPr>
            <w:tcW w:w="959"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425"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rsidR="00834940" w:rsidRDefault="00F37074" w:rsidP="00BB3021">
            <w:pPr>
              <w:tabs>
                <w:tab w:val="left" w:pos="8662"/>
                <w:tab w:val="left" w:pos="8804"/>
              </w:tabs>
              <w:autoSpaceDE w:val="0"/>
              <w:autoSpaceDN w:val="0"/>
              <w:adjustRightInd w:val="0"/>
              <w:spacing w:before="240" w:after="240" w:line="276" w:lineRule="auto"/>
              <w:ind w:right="-356"/>
              <w:jc w:val="left"/>
            </w:pPr>
            <w:r>
              <w:rPr>
                <w:rFonts w:hint="eastAsia"/>
              </w:rPr>
              <w:t>３０</w:t>
            </w:r>
            <w:r w:rsidR="00834940">
              <w:rPr>
                <w:rFonts w:hint="eastAsia"/>
              </w:rPr>
              <w:t>分</w:t>
            </w:r>
            <w:r w:rsidR="00B63208">
              <w:rPr>
                <w:rFonts w:hint="eastAsia"/>
              </w:rPr>
              <w:t>～６０分</w:t>
            </w:r>
          </w:p>
        </w:tc>
      </w:tr>
      <w:tr w:rsidR="00834940" w:rsidTr="00EE1F64">
        <w:tc>
          <w:tcPr>
            <w:tcW w:w="959"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425"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rsidR="00AE5E27" w:rsidRDefault="00B63208" w:rsidP="00B63208">
            <w:pPr>
              <w:tabs>
                <w:tab w:val="left" w:pos="8662"/>
                <w:tab w:val="left" w:pos="8804"/>
              </w:tabs>
              <w:autoSpaceDE w:val="0"/>
              <w:autoSpaceDN w:val="0"/>
              <w:adjustRightInd w:val="0"/>
              <w:spacing w:before="240" w:after="240" w:line="276" w:lineRule="auto"/>
              <w:ind w:right="-356"/>
              <w:jc w:val="left"/>
            </w:pPr>
            <w:r>
              <w:rPr>
                <w:rFonts w:hint="eastAsia"/>
              </w:rPr>
              <w:t>ことばをとりまく状況への関心を高めておく</w:t>
            </w:r>
            <w:r w:rsidR="00AE5E27">
              <w:rPr>
                <w:rFonts w:hint="eastAsia"/>
              </w:rPr>
              <w:t>。</w:t>
            </w:r>
          </w:p>
          <w:p w:rsidR="00834940" w:rsidRDefault="00B63208" w:rsidP="00B63208">
            <w:pPr>
              <w:tabs>
                <w:tab w:val="left" w:pos="8662"/>
                <w:tab w:val="left" w:pos="8804"/>
              </w:tabs>
              <w:autoSpaceDE w:val="0"/>
              <w:autoSpaceDN w:val="0"/>
              <w:adjustRightInd w:val="0"/>
              <w:spacing w:before="240" w:after="240" w:line="276" w:lineRule="auto"/>
              <w:ind w:right="-356"/>
              <w:jc w:val="left"/>
            </w:pPr>
            <w:r>
              <w:rPr>
                <w:rFonts w:hint="eastAsia"/>
              </w:rPr>
              <w:t>ワークシート「ことばをとりまく状況」を人数分準備する。</w:t>
            </w:r>
          </w:p>
        </w:tc>
      </w:tr>
      <w:tr w:rsidR="00834940" w:rsidTr="00EE1F64">
        <w:tc>
          <w:tcPr>
            <w:tcW w:w="959"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進め方</w:t>
            </w:r>
          </w:p>
          <w:p w:rsidR="00834940" w:rsidRPr="00B03319" w:rsidRDefault="00834940" w:rsidP="00BB3021">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p>
        </w:tc>
        <w:tc>
          <w:tcPr>
            <w:tcW w:w="425"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rsidR="00F37074"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１．</w:t>
            </w:r>
            <w:r w:rsidR="00F37074">
              <w:rPr>
                <w:rFonts w:hint="eastAsia"/>
              </w:rPr>
              <w:t>教師は「ことばをとりまく状況｣</w:t>
            </w:r>
            <w:r w:rsidR="00B63208">
              <w:rPr>
                <w:rFonts w:hint="eastAsia"/>
              </w:rPr>
              <w:t>ワーク</w:t>
            </w:r>
            <w:r w:rsidR="00F37074">
              <w:rPr>
                <w:rFonts w:hint="eastAsia"/>
              </w:rPr>
              <w:t>シートを配布し、それぞれの項目について簡単に解説する。</w:t>
            </w:r>
          </w:p>
          <w:p w:rsidR="00AE5E27"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２．</w:t>
            </w:r>
            <w:r w:rsidR="00EE1F64">
              <w:rPr>
                <w:rFonts w:hint="eastAsia"/>
              </w:rPr>
              <w:t>学習者は、自分がそれらの状況の中から特に</w:t>
            </w:r>
            <w:r w:rsidR="00B63208">
              <w:rPr>
                <w:rFonts w:hint="eastAsia"/>
              </w:rPr>
              <w:t>問題だと考える項目を</w:t>
            </w:r>
            <w:r w:rsidR="00D57ED9">
              <w:rPr>
                <w:rFonts w:hint="eastAsia"/>
              </w:rPr>
              <w:t>３</w:t>
            </w:r>
            <w:r w:rsidR="00F37074">
              <w:rPr>
                <w:rFonts w:hint="eastAsia"/>
              </w:rPr>
              <w:t>つ選ぶ。（この選択時に</w:t>
            </w:r>
            <w:r w:rsidR="00D57ED9">
              <w:rPr>
                <w:rFonts w:hint="eastAsia"/>
              </w:rPr>
              <w:t>９</w:t>
            </w:r>
            <w:r w:rsidR="00F37074">
              <w:rPr>
                <w:rFonts w:hint="eastAsia"/>
              </w:rPr>
              <w:t>項目をランキングすることも可能</w:t>
            </w:r>
            <w:r w:rsidR="00EE1F64">
              <w:rPr>
                <w:rFonts w:hint="eastAsia"/>
              </w:rPr>
              <w:t>。</w:t>
            </w:r>
            <w:r w:rsidR="00F37074">
              <w:rPr>
                <w:rFonts w:hint="eastAsia"/>
              </w:rPr>
              <w:t>）</w:t>
            </w:r>
          </w:p>
          <w:p w:rsidR="00834940" w:rsidRDefault="00EE1F64" w:rsidP="00BB3021">
            <w:pPr>
              <w:tabs>
                <w:tab w:val="left" w:pos="8662"/>
                <w:tab w:val="left" w:pos="8804"/>
              </w:tabs>
              <w:autoSpaceDE w:val="0"/>
              <w:autoSpaceDN w:val="0"/>
              <w:adjustRightInd w:val="0"/>
              <w:spacing w:before="240" w:after="240" w:line="276" w:lineRule="auto"/>
              <w:ind w:right="-356"/>
              <w:jc w:val="left"/>
            </w:pPr>
            <w:r>
              <w:rPr>
                <w:rFonts w:hint="eastAsia"/>
              </w:rPr>
              <w:t>３．選ばれた問題について</w:t>
            </w:r>
            <w:r w:rsidR="00B63208">
              <w:rPr>
                <w:rFonts w:hint="eastAsia"/>
              </w:rPr>
              <w:t>みんな</w:t>
            </w:r>
            <w:r>
              <w:rPr>
                <w:rFonts w:hint="eastAsia"/>
              </w:rPr>
              <w:t>で共に話し合う。</w:t>
            </w:r>
          </w:p>
        </w:tc>
      </w:tr>
      <w:tr w:rsidR="00834940" w:rsidTr="00EE1F64">
        <w:tc>
          <w:tcPr>
            <w:tcW w:w="959"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留意点</w:t>
            </w:r>
          </w:p>
        </w:tc>
        <w:tc>
          <w:tcPr>
            <w:tcW w:w="425"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rsidR="00834940" w:rsidRDefault="00B63208" w:rsidP="00BB3021">
            <w:pPr>
              <w:tabs>
                <w:tab w:val="left" w:pos="8662"/>
                <w:tab w:val="left" w:pos="8804"/>
              </w:tabs>
              <w:autoSpaceDE w:val="0"/>
              <w:autoSpaceDN w:val="0"/>
              <w:adjustRightInd w:val="0"/>
              <w:spacing w:before="240" w:after="240" w:line="276" w:lineRule="auto"/>
              <w:ind w:right="-356"/>
              <w:jc w:val="left"/>
            </w:pPr>
            <w:r>
              <w:rPr>
                <w:rFonts w:hint="eastAsia"/>
              </w:rPr>
              <w:t>「ことばをとりまく問題」を多面的に考えることができるために、お互い、自分の問題にとどまらず他者の問題にも十分な関心を払えるような関係づくりに心がける。</w:t>
            </w:r>
          </w:p>
        </w:tc>
      </w:tr>
      <w:tr w:rsidR="00834940" w:rsidTr="00EE1F64">
        <w:tc>
          <w:tcPr>
            <w:tcW w:w="959"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発展</w:t>
            </w:r>
          </w:p>
        </w:tc>
        <w:tc>
          <w:tcPr>
            <w:tcW w:w="425" w:type="dxa"/>
          </w:tcPr>
          <w:p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：た</w:t>
            </w:r>
          </w:p>
        </w:tc>
        <w:tc>
          <w:tcPr>
            <w:tcW w:w="7938" w:type="dxa"/>
          </w:tcPr>
          <w:p w:rsidR="00834940" w:rsidRDefault="00B63208" w:rsidP="00BB3021">
            <w:pPr>
              <w:tabs>
                <w:tab w:val="left" w:pos="8662"/>
                <w:tab w:val="left" w:pos="8804"/>
              </w:tabs>
              <w:autoSpaceDE w:val="0"/>
              <w:autoSpaceDN w:val="0"/>
              <w:adjustRightInd w:val="0"/>
              <w:spacing w:before="240" w:after="240" w:line="276" w:lineRule="auto"/>
              <w:ind w:right="-356"/>
              <w:jc w:val="left"/>
            </w:pPr>
            <w:r>
              <w:rPr>
                <w:rFonts w:hint="eastAsia"/>
              </w:rPr>
              <w:t>とり上げた</w:t>
            </w:r>
            <w:r w:rsidR="00D57ED9">
              <w:rPr>
                <w:rFonts w:hint="eastAsia"/>
              </w:rPr>
              <w:t>９</w:t>
            </w:r>
            <w:r>
              <w:rPr>
                <w:rFonts w:hint="eastAsia"/>
              </w:rPr>
              <w:t>項目の中から、いくつかの項目を個別に</w:t>
            </w:r>
            <w:r w:rsidR="00AE5E27">
              <w:rPr>
                <w:rFonts w:hint="eastAsia"/>
              </w:rPr>
              <w:t>取り出し</w:t>
            </w:r>
            <w:r>
              <w:rPr>
                <w:rFonts w:hint="eastAsia"/>
              </w:rPr>
              <w:t>深めていくことができる。また</w:t>
            </w:r>
            <w:r w:rsidR="00D57ED9">
              <w:rPr>
                <w:rFonts w:hint="eastAsia"/>
              </w:rPr>
              <w:t>９</w:t>
            </w:r>
            <w:r>
              <w:rPr>
                <w:rFonts w:hint="eastAsia"/>
              </w:rPr>
              <w:t>項目以外の問題について意見を出し合うこともできる。</w:t>
            </w:r>
          </w:p>
        </w:tc>
      </w:tr>
    </w:tbl>
    <w:p w:rsidR="00834940" w:rsidRDefault="00834940"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rsidR="00EC666B" w:rsidRDefault="00EC666B" w:rsidP="00EC666B">
      <w:pPr>
        <w:rPr>
          <w:rFonts w:ascii="Century" w:eastAsia="ＭＳ 明朝" w:hAnsi="Century" w:cs="Times New Roman"/>
          <w:b/>
          <w:sz w:val="24"/>
          <w:szCs w:val="24"/>
        </w:rPr>
      </w:pPr>
    </w:p>
    <w:p w:rsidR="00EC666B" w:rsidRDefault="00EC666B" w:rsidP="00EC666B">
      <w:pPr>
        <w:rPr>
          <w:rFonts w:ascii="Century" w:eastAsia="ＭＳ 明朝" w:hAnsi="Century" w:cs="Times New Roman"/>
          <w:b/>
          <w:sz w:val="24"/>
          <w:szCs w:val="24"/>
        </w:rPr>
      </w:pPr>
    </w:p>
    <w:p w:rsidR="00EC666B" w:rsidRPr="00EC666B" w:rsidRDefault="00EC666B" w:rsidP="00EC666B">
      <w:pPr>
        <w:rPr>
          <w:rFonts w:ascii="Century" w:eastAsia="ＭＳ 明朝" w:hAnsi="Century" w:cs="Times New Roman"/>
          <w:b/>
          <w:sz w:val="24"/>
          <w:szCs w:val="24"/>
        </w:rPr>
      </w:pPr>
      <w:r w:rsidRPr="00EC666B">
        <w:rPr>
          <w:rFonts w:ascii="Century" w:eastAsia="ＭＳ 明朝" w:hAnsi="Century" w:cs="Times New Roman" w:hint="eastAsia"/>
          <w:b/>
          <w:sz w:val="24"/>
          <w:szCs w:val="24"/>
        </w:rPr>
        <w:t>＜ワークシート＞</w:t>
      </w:r>
    </w:p>
    <w:p w:rsidR="00EC666B" w:rsidRDefault="00EC666B" w:rsidP="00EC666B">
      <w:pPr>
        <w:ind w:firstLineChars="800" w:firstLine="2570"/>
        <w:rPr>
          <w:rFonts w:ascii="Century" w:eastAsia="ＭＳ 明朝" w:hAnsi="Century" w:cs="Times New Roman"/>
          <w:b/>
          <w:sz w:val="32"/>
          <w:szCs w:val="24"/>
          <w:u w:val="single"/>
        </w:rPr>
      </w:pPr>
    </w:p>
    <w:p w:rsidR="00EC666B" w:rsidRPr="00D57ED9" w:rsidRDefault="00D57ED9" w:rsidP="00D57ED9">
      <w:pPr>
        <w:ind w:firstLineChars="800" w:firstLine="2891"/>
        <w:rPr>
          <w:rFonts w:ascii="Century" w:eastAsia="ＭＳ 明朝" w:hAnsi="Century" w:cs="Times New Roman"/>
          <w:b/>
          <w:sz w:val="36"/>
          <w:szCs w:val="36"/>
        </w:rPr>
      </w:pPr>
      <w:bookmarkStart w:id="0" w:name="_GoBack"/>
      <w:bookmarkEnd w:id="0"/>
      <w:r w:rsidRPr="00D57ED9">
        <w:rPr>
          <w:rFonts w:ascii="Century" w:eastAsia="ＭＳ 明朝" w:hAnsi="Century" w:cs="Times New Roman" w:hint="eastAsia"/>
          <w:b/>
          <w:sz w:val="36"/>
          <w:szCs w:val="36"/>
        </w:rPr>
        <w:t>ことば</w:t>
      </w:r>
      <w:r w:rsidR="00EC666B" w:rsidRPr="00D57ED9">
        <w:rPr>
          <w:rFonts w:ascii="Century" w:eastAsia="ＭＳ 明朝" w:hAnsi="Century" w:cs="Times New Roman" w:hint="eastAsia"/>
          <w:b/>
          <w:sz w:val="36"/>
          <w:szCs w:val="36"/>
        </w:rPr>
        <w:t>をとりまく状況</w:t>
      </w:r>
    </w:p>
    <w:p w:rsidR="00EC666B" w:rsidRPr="00EC666B" w:rsidRDefault="00EC666B" w:rsidP="00EC666B">
      <w:pPr>
        <w:rPr>
          <w:rFonts w:ascii="Century" w:eastAsia="ＭＳ 明朝" w:hAnsi="Century" w:cs="Times New Roman"/>
          <w:b/>
          <w:sz w:val="28"/>
          <w:szCs w:val="24"/>
        </w:rPr>
      </w:pPr>
    </w:p>
    <w:p w:rsidR="00EC666B" w:rsidRPr="00EC666B" w:rsidRDefault="00EC666B" w:rsidP="00EC666B">
      <w:pPr>
        <w:rPr>
          <w:rFonts w:ascii="Century" w:eastAsia="ＭＳ 明朝" w:hAnsi="Century" w:cs="Times New Roman"/>
          <w:b/>
          <w:sz w:val="28"/>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文字文化･文字化社会が広がる中、無文字文化・口承文化は徐々にその姿が見えにくくなっている。</w:t>
      </w:r>
    </w:p>
    <w:p w:rsidR="00EC666B" w:rsidRPr="00EC666B" w:rsidRDefault="00EC666B" w:rsidP="00EC666B">
      <w:pPr>
        <w:ind w:left="180"/>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英語など主要な言語は世界の多くの地域で使われているが、世界の多くの少数言語は消滅の危機にある。</w:t>
      </w:r>
    </w:p>
    <w:p w:rsidR="00EC666B" w:rsidRPr="00EC666B" w:rsidRDefault="00EC666B" w:rsidP="00EC666B">
      <w:pPr>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日本の学校では、「外国語教育」「外国語活動」という名のもと、ほとんどが「英語教育」「英語活動」を行い、他の言語はあまり教えられていない。</w:t>
      </w:r>
    </w:p>
    <w:p w:rsidR="00EC666B" w:rsidRPr="00EC666B" w:rsidRDefault="00EC666B" w:rsidP="00EC666B">
      <w:pPr>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日本社会では、ネイティブの英語への志向が強く、ノンネイティブの英語への関心は低い。</w:t>
      </w:r>
    </w:p>
    <w:p w:rsidR="00EC666B" w:rsidRPr="00EC666B" w:rsidRDefault="00EC666B" w:rsidP="00EC666B">
      <w:pPr>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言語教育活動の中では、欧米言語のもつ論理性が重視され、日本語のもつあいまいさはあまり重視されない。</w:t>
      </w:r>
    </w:p>
    <w:p w:rsidR="00EC666B" w:rsidRPr="00EC666B" w:rsidRDefault="00EC666B" w:rsidP="00EC666B">
      <w:pPr>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日本の学校では標準語を学ぶことが多く、方言話者の数は減ってきている。</w:t>
      </w:r>
    </w:p>
    <w:p w:rsidR="00EC666B" w:rsidRPr="00EC666B" w:rsidRDefault="00EC666B" w:rsidP="00EC666B">
      <w:pPr>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日本の学校･地域では、外国につながる子ども･大人に日本語指導は行っているが、母語指導はほとんど行っていない。</w:t>
      </w:r>
    </w:p>
    <w:p w:rsidR="00EC666B" w:rsidRPr="00EC666B" w:rsidRDefault="00EC666B" w:rsidP="00EC666B">
      <w:pPr>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日本では文科省が「ことばの力」「言語力」を重視し始めているが、一方、非言語表現への関心は低い。</w:t>
      </w:r>
    </w:p>
    <w:p w:rsidR="00EC666B" w:rsidRPr="00EC666B" w:rsidRDefault="00EC666B" w:rsidP="00EC666B">
      <w:pPr>
        <w:rPr>
          <w:rFonts w:ascii="Century" w:eastAsia="ＭＳ 明朝" w:hAnsi="Century" w:cs="Times New Roman"/>
          <w:b/>
          <w:sz w:val="24"/>
          <w:szCs w:val="24"/>
        </w:rPr>
      </w:pPr>
    </w:p>
    <w:p w:rsidR="00EC666B" w:rsidRPr="00EC666B" w:rsidRDefault="00EC666B" w:rsidP="00EC666B">
      <w:pPr>
        <w:numPr>
          <w:ilvl w:val="0"/>
          <w:numId w:val="1"/>
        </w:numPr>
        <w:rPr>
          <w:rFonts w:ascii="Century" w:eastAsia="ＭＳ 明朝" w:hAnsi="Century" w:cs="Times New Roman"/>
          <w:b/>
          <w:sz w:val="24"/>
          <w:szCs w:val="24"/>
        </w:rPr>
      </w:pPr>
      <w:r w:rsidRPr="00EC666B">
        <w:rPr>
          <w:rFonts w:ascii="Century" w:eastAsia="ＭＳ 明朝" w:hAnsi="Century" w:cs="Times New Roman" w:hint="eastAsia"/>
          <w:b/>
          <w:sz w:val="24"/>
          <w:szCs w:val="24"/>
        </w:rPr>
        <w:t>携帯･インターネットが急速に普及する中、言語コミュニケーションのあり方自体が大きく変化してきている。</w:t>
      </w:r>
    </w:p>
    <w:p w:rsidR="00EC666B" w:rsidRPr="00EC666B" w:rsidRDefault="00EC666B" w:rsidP="003834BC">
      <w:pPr>
        <w:ind w:firstLineChars="500" w:firstLine="1205"/>
        <w:rPr>
          <w:rFonts w:ascii="Century" w:eastAsia="ＭＳ 明朝" w:hAnsi="Century" w:cs="Times New Roman"/>
          <w:b/>
          <w:sz w:val="24"/>
          <w:szCs w:val="24"/>
        </w:rPr>
      </w:pPr>
      <w:r w:rsidRPr="00EC666B">
        <w:rPr>
          <w:rFonts w:ascii="Century" w:eastAsia="ＭＳ 明朝" w:hAnsi="Century" w:cs="Times New Roman" w:hint="eastAsia"/>
          <w:b/>
          <w:sz w:val="24"/>
          <w:szCs w:val="24"/>
        </w:rPr>
        <w:t xml:space="preserve">　　　　　　　　　　　　　　　　　　　　　</w:t>
      </w:r>
    </w:p>
    <w:p w:rsidR="00EC666B" w:rsidRPr="003834BC" w:rsidRDefault="00EC666B" w:rsidP="00EC666B">
      <w:pPr>
        <w:ind w:firstLineChars="800" w:firstLine="1928"/>
        <w:rPr>
          <w:rFonts w:ascii="Century" w:eastAsia="ＭＳ 明朝" w:hAnsi="Century" w:cs="Times New Roman"/>
          <w:b/>
          <w:sz w:val="24"/>
          <w:szCs w:val="24"/>
        </w:rPr>
      </w:pPr>
    </w:p>
    <w:p w:rsidR="00D57ED9" w:rsidRDefault="00D57ED9" w:rsidP="00D57ED9">
      <w:pPr>
        <w:ind w:firstLineChars="1100" w:firstLine="2650"/>
        <w:rPr>
          <w:rFonts w:ascii="Century" w:eastAsia="ＭＳ 明朝" w:hAnsi="Century" w:cs="Times New Roman" w:hint="eastAsia"/>
          <w:b/>
          <w:sz w:val="24"/>
          <w:szCs w:val="24"/>
        </w:rPr>
      </w:pPr>
    </w:p>
    <w:p w:rsidR="00EC666B" w:rsidRPr="00EC666B" w:rsidRDefault="00D57ED9" w:rsidP="00D57ED9">
      <w:pPr>
        <w:ind w:firstLineChars="1100" w:firstLine="2650"/>
        <w:rPr>
          <w:rFonts w:ascii="Century" w:eastAsia="ＭＳ 明朝" w:hAnsi="Century" w:cs="Times New Roman"/>
          <w:b/>
          <w:sz w:val="24"/>
          <w:szCs w:val="24"/>
        </w:rPr>
      </w:pPr>
      <w:r>
        <w:rPr>
          <w:rFonts w:ascii="Century" w:eastAsia="ＭＳ 明朝" w:hAnsi="Century" w:cs="Times New Roman" w:hint="eastAsia"/>
          <w:b/>
          <w:sz w:val="24"/>
          <w:szCs w:val="24"/>
        </w:rPr>
        <w:t>（＊ことば＝コミュニケーションのための道具・手段</w:t>
      </w:r>
      <w:r w:rsidR="00EC666B" w:rsidRPr="00EC666B">
        <w:rPr>
          <w:rFonts w:ascii="Century" w:eastAsia="ＭＳ 明朝" w:hAnsi="Century" w:cs="Times New Roman" w:hint="eastAsia"/>
          <w:b/>
          <w:sz w:val="24"/>
          <w:szCs w:val="24"/>
        </w:rPr>
        <w:t>）</w:t>
      </w:r>
    </w:p>
    <w:p w:rsidR="00BB3021" w:rsidRPr="00EC666B" w:rsidRDefault="00BB3021"/>
    <w:sectPr w:rsidR="00BB3021" w:rsidRPr="00EC666B" w:rsidSect="00834940">
      <w:pgSz w:w="11906" w:h="16838"/>
      <w:pgMar w:top="1021" w:right="1701" w:bottom="510"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E87" w:rsidRDefault="00016E87" w:rsidP="00834940">
      <w:r>
        <w:separator/>
      </w:r>
    </w:p>
  </w:endnote>
  <w:endnote w:type="continuationSeparator" w:id="0">
    <w:p w:rsidR="00016E87" w:rsidRDefault="00016E87"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E87" w:rsidRDefault="00016E87" w:rsidP="00834940">
      <w:r>
        <w:separator/>
      </w:r>
    </w:p>
  </w:footnote>
  <w:footnote w:type="continuationSeparator" w:id="0">
    <w:p w:rsidR="00016E87" w:rsidRDefault="00016E87" w:rsidP="0083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E17EE"/>
    <w:multiLevelType w:val="hybridMultilevel"/>
    <w:tmpl w:val="CD48FCEC"/>
    <w:lvl w:ilvl="0" w:tplc="8FB6AA72">
      <w:start w:val="1"/>
      <w:numFmt w:val="decimalEnclosedCircle"/>
      <w:lvlText w:val="%1"/>
      <w:lvlJc w:val="left"/>
      <w:pPr>
        <w:tabs>
          <w:tab w:val="num" w:pos="540"/>
        </w:tabs>
        <w:ind w:left="540" w:hanging="360"/>
      </w:pPr>
      <w:rPr>
        <w:rFonts w:ascii="Times New Roman" w:eastAsia="Times New Roman" w:hAnsi="Times New Roman" w:cs="Times New Roman"/>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16E87"/>
    <w:rsid w:val="000B3173"/>
    <w:rsid w:val="00320444"/>
    <w:rsid w:val="003834BC"/>
    <w:rsid w:val="005966C0"/>
    <w:rsid w:val="005D426C"/>
    <w:rsid w:val="00683284"/>
    <w:rsid w:val="00834940"/>
    <w:rsid w:val="0083597B"/>
    <w:rsid w:val="009210AB"/>
    <w:rsid w:val="00AE5E27"/>
    <w:rsid w:val="00B63208"/>
    <w:rsid w:val="00BB3021"/>
    <w:rsid w:val="00D57ED9"/>
    <w:rsid w:val="00EC666B"/>
    <w:rsid w:val="00ED3EA1"/>
    <w:rsid w:val="00EE15F6"/>
    <w:rsid w:val="00EE1F64"/>
    <w:rsid w:val="00F002B6"/>
    <w:rsid w:val="00F37074"/>
    <w:rsid w:val="00FC3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FJ-USER</cp:lastModifiedBy>
  <cp:revision>2</cp:revision>
  <dcterms:created xsi:type="dcterms:W3CDTF">2014-01-28T13:27:00Z</dcterms:created>
  <dcterms:modified xsi:type="dcterms:W3CDTF">2014-01-28T13:27:00Z</dcterms:modified>
</cp:coreProperties>
</file>