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0EA8" w:rsidRDefault="00BD0EA8">
      <w:pPr>
        <w:spacing w:after="2200"/>
      </w:pPr>
    </w:p>
    <w:p w:rsidR="00BD0EA8" w:rsidRDefault="00C7158E">
      <w:pPr>
        <w:spacing w:after="200"/>
      </w:pPr>
      <w:r>
        <w:rPr>
          <w:b/>
          <w:bCs/>
          <w:color w:val="29B5E8"/>
          <w:spacing w:val="40"/>
          <w:sz w:val="26"/>
          <w:szCs w:val="26"/>
        </w:rPr>
        <w:t>DATA MIGRATION STRATEGY</w:t>
      </w:r>
    </w:p>
    <w:p w:rsidR="00BD0EA8" w:rsidRDefault="00C7158E">
      <w:pPr>
        <w:spacing w:after="60"/>
      </w:pPr>
      <w:r>
        <w:rPr>
          <w:b/>
          <w:bCs/>
          <w:color w:val="1F3A5F"/>
          <w:sz w:val="52"/>
          <w:szCs w:val="52"/>
        </w:rPr>
        <w:t>Microsoft SQL Server (On-Premises)</w:t>
      </w:r>
    </w:p>
    <w:p w:rsidR="00BD0EA8" w:rsidRDefault="00C7158E">
      <w:pPr>
        <w:pBdr>
          <w:bottom w:val="single" w:sz="12" w:space="12" w:color="29B5E8"/>
        </w:pBdr>
        <w:spacing w:after="300"/>
      </w:pPr>
      <w:r>
        <w:rPr>
          <w:b/>
          <w:bCs/>
          <w:color w:val="1F3A5F"/>
          <w:sz w:val="52"/>
          <w:szCs w:val="52"/>
        </w:rPr>
        <w:t>to Snowflake</w:t>
      </w:r>
    </w:p>
    <w:p w:rsidR="00BD0EA8" w:rsidRDefault="00C7158E">
      <w:pPr>
        <w:spacing w:after="120" w:line="276" w:lineRule="auto"/>
      </w:pPr>
      <w:r>
        <w:rPr>
          <w:color w:val="5F6B7A"/>
          <w:sz w:val="24"/>
          <w:szCs w:val="24"/>
        </w:rPr>
        <w:t>Options assessment, recommended approach, phased plan and validation strategy for migrating 3–4 TB of table data while the source system stays live.</w:t>
      </w:r>
    </w:p>
    <w:p w:rsidR="00BD0EA8" w:rsidRDefault="00BD0EA8">
      <w:pPr>
        <w:spacing w:after="16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BD0EA8">
        <w:tblPrEx>
          <w:tblCellMar>
            <w:top w:w="0" w:type="dxa"/>
            <w:bottom w:w="0" w:type="dxa"/>
          </w:tblCellMar>
        </w:tblPrEx>
        <w:trPr>
          <w:cantSplit/>
        </w:trPr>
        <w:tc>
          <w:tcPr>
            <w:tcW w:w="2600" w:type="dxa"/>
            <w:tcBorders>
              <w:top w:val="single" w:sz="4" w:space="0" w:color="C9D1DA"/>
              <w:left w:val="single" w:sz="4" w:space="0" w:color="C9D1DA"/>
              <w:bottom w:val="single" w:sz="4" w:space="0" w:color="C9D1DA"/>
              <w:right w:val="single" w:sz="4" w:space="0" w:color="C9D1DA"/>
            </w:tcBorders>
            <w:shd w:val="clear" w:color="auto" w:fill="F2F5F8"/>
            <w:tcMar>
              <w:top w:w="70" w:type="dxa"/>
              <w:left w:w="110" w:type="dxa"/>
              <w:bottom w:w="70" w:type="dxa"/>
              <w:right w:w="110" w:type="dxa"/>
            </w:tcMar>
          </w:tcPr>
          <w:p w:rsidR="00BD0EA8" w:rsidRDefault="00C7158E">
            <w:pPr>
              <w:spacing w:after="40"/>
            </w:pPr>
            <w:r>
              <w:rPr>
                <w:b/>
                <w:bCs/>
                <w:sz w:val="19"/>
                <w:szCs w:val="19"/>
              </w:rPr>
              <w:t>Prepared by</w:t>
            </w:r>
          </w:p>
        </w:tc>
        <w:tc>
          <w:tcPr>
            <w:tcW w:w="70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423D66">
            <w:pPr>
              <w:spacing w:after="40"/>
            </w:pPr>
            <w:r>
              <w:t>Lead</w:t>
            </w:r>
          </w:p>
        </w:tc>
      </w:tr>
      <w:tr w:rsidR="00BD0EA8">
        <w:tblPrEx>
          <w:tblCellMar>
            <w:top w:w="0" w:type="dxa"/>
            <w:bottom w:w="0" w:type="dxa"/>
          </w:tblCellMar>
        </w:tblPrEx>
        <w:trPr>
          <w:cantSplit/>
        </w:trPr>
        <w:tc>
          <w:tcPr>
            <w:tcW w:w="2600" w:type="dxa"/>
            <w:tcBorders>
              <w:top w:val="single" w:sz="4" w:space="0" w:color="C9D1DA"/>
              <w:left w:val="single" w:sz="4" w:space="0" w:color="C9D1DA"/>
              <w:bottom w:val="single" w:sz="4" w:space="0" w:color="C9D1DA"/>
              <w:right w:val="single" w:sz="4" w:space="0" w:color="C9D1DA"/>
            </w:tcBorders>
            <w:shd w:val="clear" w:color="auto" w:fill="F2F5F8"/>
            <w:tcMar>
              <w:top w:w="70" w:type="dxa"/>
              <w:left w:w="110" w:type="dxa"/>
              <w:bottom w:w="70" w:type="dxa"/>
              <w:right w:w="110" w:type="dxa"/>
            </w:tcMar>
          </w:tcPr>
          <w:p w:rsidR="00BD0EA8" w:rsidRDefault="00C7158E">
            <w:pPr>
              <w:spacing w:after="40"/>
            </w:pPr>
            <w:r>
              <w:rPr>
                <w:b/>
                <w:bCs/>
                <w:sz w:val="19"/>
                <w:szCs w:val="19"/>
              </w:rPr>
              <w:t>Version</w:t>
            </w:r>
          </w:p>
        </w:tc>
        <w:tc>
          <w:tcPr>
            <w:tcW w:w="70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1.0 – Draft for discussion</w:t>
            </w:r>
          </w:p>
        </w:tc>
      </w:tr>
      <w:tr w:rsidR="00BD0EA8">
        <w:tblPrEx>
          <w:tblCellMar>
            <w:top w:w="0" w:type="dxa"/>
            <w:bottom w:w="0" w:type="dxa"/>
          </w:tblCellMar>
        </w:tblPrEx>
        <w:trPr>
          <w:cantSplit/>
        </w:trPr>
        <w:tc>
          <w:tcPr>
            <w:tcW w:w="2600" w:type="dxa"/>
            <w:tcBorders>
              <w:top w:val="single" w:sz="4" w:space="0" w:color="C9D1DA"/>
              <w:left w:val="single" w:sz="4" w:space="0" w:color="C9D1DA"/>
              <w:bottom w:val="single" w:sz="4" w:space="0" w:color="C9D1DA"/>
              <w:right w:val="single" w:sz="4" w:space="0" w:color="C9D1DA"/>
            </w:tcBorders>
            <w:shd w:val="clear" w:color="auto" w:fill="F2F5F8"/>
            <w:tcMar>
              <w:top w:w="70" w:type="dxa"/>
              <w:left w:w="110" w:type="dxa"/>
              <w:bottom w:w="70" w:type="dxa"/>
              <w:right w:w="110" w:type="dxa"/>
            </w:tcMar>
          </w:tcPr>
          <w:p w:rsidR="00BD0EA8" w:rsidRDefault="00C7158E">
            <w:pPr>
              <w:spacing w:after="40"/>
            </w:pPr>
            <w:r>
              <w:rPr>
                <w:b/>
                <w:bCs/>
                <w:sz w:val="19"/>
                <w:szCs w:val="19"/>
              </w:rPr>
              <w:t>Date</w:t>
            </w:r>
          </w:p>
        </w:tc>
        <w:tc>
          <w:tcPr>
            <w:tcW w:w="70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14 October 2026</w:t>
            </w:r>
          </w:p>
        </w:tc>
      </w:tr>
    </w:tbl>
    <w:p w:rsidR="00BD0EA8" w:rsidRDefault="00C7158E">
      <w:r>
        <w:br w:type="page"/>
      </w:r>
    </w:p>
    <w:p w:rsidR="00BD0EA8" w:rsidRDefault="00C7158E">
      <w:pPr>
        <w:pStyle w:val="Heading1"/>
      </w:pPr>
      <w:r>
        <w:lastRenderedPageBreak/>
        <w:t>Contents</w:t>
      </w:r>
    </w:p>
    <w:p w:rsidR="00BD0EA8" w:rsidRDefault="00C7158E">
      <w:pPr>
        <w:spacing w:after="90"/>
      </w:pPr>
      <w:r>
        <w:rPr>
          <w:color w:val="333F4C"/>
          <w:sz w:val="22"/>
          <w:szCs w:val="22"/>
        </w:rPr>
        <w:t>1. Executive Summary</w:t>
      </w:r>
    </w:p>
    <w:p w:rsidR="00BD0EA8" w:rsidRDefault="00C7158E">
      <w:pPr>
        <w:spacing w:after="90"/>
      </w:pPr>
      <w:r>
        <w:rPr>
          <w:color w:val="333F4C"/>
          <w:sz w:val="22"/>
          <w:szCs w:val="22"/>
        </w:rPr>
        <w:t>2. Scope and Assumptions</w:t>
      </w:r>
    </w:p>
    <w:p w:rsidR="00BD0EA8" w:rsidRDefault="00C7158E">
      <w:pPr>
        <w:spacing w:after="90"/>
      </w:pPr>
      <w:r>
        <w:rPr>
          <w:color w:val="333F4C"/>
          <w:sz w:val="22"/>
          <w:szCs w:val="22"/>
        </w:rPr>
        <w:t>3. Guiding Principles</w:t>
      </w:r>
    </w:p>
    <w:p w:rsidR="00BD0EA8" w:rsidRDefault="00C7158E">
      <w:pPr>
        <w:spacing w:after="90"/>
      </w:pPr>
      <w:r>
        <w:rPr>
          <w:color w:val="333F4C"/>
          <w:sz w:val="22"/>
          <w:szCs w:val="22"/>
        </w:rPr>
        <w:t>4. Target Architecture</w:t>
      </w:r>
    </w:p>
    <w:p w:rsidR="00BD0EA8" w:rsidRDefault="00C7158E">
      <w:pPr>
        <w:spacing w:after="90"/>
      </w:pPr>
      <w:r>
        <w:rPr>
          <w:color w:val="333F4C"/>
          <w:sz w:val="22"/>
          <w:szCs w:val="22"/>
        </w:rPr>
        <w:t>5. Historical Load Options</w:t>
      </w:r>
    </w:p>
    <w:p w:rsidR="00BD0EA8" w:rsidRDefault="00C7158E">
      <w:pPr>
        <w:spacing w:after="90"/>
      </w:pPr>
      <w:r>
        <w:rPr>
          <w:color w:val="333F4C"/>
          <w:sz w:val="22"/>
          <w:szCs w:val="22"/>
        </w:rPr>
        <w:t>6. Delta (Ongoing Sync) Options</w:t>
      </w:r>
    </w:p>
    <w:p w:rsidR="00BD0EA8" w:rsidRDefault="00C7158E">
      <w:pPr>
        <w:spacing w:after="90"/>
      </w:pPr>
      <w:r>
        <w:rPr>
          <w:color w:val="333F4C"/>
          <w:sz w:val="22"/>
          <w:szCs w:val="22"/>
        </w:rPr>
        <w:t>7. Recommendation – What to Use and What to Avoid</w:t>
      </w:r>
    </w:p>
    <w:p w:rsidR="00BD0EA8" w:rsidRDefault="00C7158E">
      <w:pPr>
        <w:spacing w:after="90"/>
      </w:pPr>
      <w:r>
        <w:rPr>
          <w:color w:val="333F4C"/>
          <w:sz w:val="22"/>
          <w:szCs w:val="22"/>
        </w:rPr>
        <w:t>8. Data Type Mapping</w:t>
      </w:r>
    </w:p>
    <w:p w:rsidR="00BD0EA8" w:rsidRDefault="00C7158E">
      <w:pPr>
        <w:spacing w:after="90"/>
      </w:pPr>
      <w:r>
        <w:rPr>
          <w:color w:val="333F4C"/>
          <w:sz w:val="22"/>
          <w:szCs w:val="22"/>
        </w:rPr>
        <w:t>9. Snowflake Foundation Setup</w:t>
      </w:r>
    </w:p>
    <w:p w:rsidR="00BD0EA8" w:rsidRDefault="00C7158E">
      <w:pPr>
        <w:spacing w:after="90"/>
      </w:pPr>
      <w:r>
        <w:rPr>
          <w:color w:val="333F4C"/>
          <w:sz w:val="22"/>
          <w:szCs w:val="22"/>
        </w:rPr>
        <w:t>10. Network and Security</w:t>
      </w:r>
    </w:p>
    <w:p w:rsidR="00BD0EA8" w:rsidRDefault="00C7158E">
      <w:pPr>
        <w:spacing w:after="90"/>
      </w:pPr>
      <w:r>
        <w:rPr>
          <w:color w:val="333F4C"/>
          <w:sz w:val="22"/>
          <w:szCs w:val="22"/>
        </w:rPr>
        <w:t>11. Validation and Reconciliation</w:t>
      </w:r>
    </w:p>
    <w:p w:rsidR="00BD0EA8" w:rsidRDefault="00C7158E">
      <w:pPr>
        <w:spacing w:after="90"/>
      </w:pPr>
      <w:r>
        <w:rPr>
          <w:color w:val="333F4C"/>
          <w:sz w:val="22"/>
          <w:szCs w:val="22"/>
        </w:rPr>
        <w:t>12. Phased Plan and Indicative Timeline</w:t>
      </w:r>
    </w:p>
    <w:p w:rsidR="00BD0EA8" w:rsidRDefault="00C7158E">
      <w:pPr>
        <w:spacing w:after="90"/>
      </w:pPr>
      <w:r>
        <w:rPr>
          <w:color w:val="333F4C"/>
          <w:sz w:val="22"/>
          <w:szCs w:val="22"/>
        </w:rPr>
        <w:t>13. Cost Considerations</w:t>
      </w:r>
    </w:p>
    <w:p w:rsidR="00BD0EA8" w:rsidRDefault="00C7158E">
      <w:pPr>
        <w:spacing w:after="90"/>
      </w:pPr>
      <w:r>
        <w:rPr>
          <w:color w:val="333F4C"/>
          <w:sz w:val="22"/>
          <w:szCs w:val="22"/>
        </w:rPr>
        <w:t>14. Risks and Mitigations</w:t>
      </w:r>
    </w:p>
    <w:p w:rsidR="00BD0EA8" w:rsidRDefault="00C7158E">
      <w:pPr>
        <w:spacing w:after="90"/>
      </w:pPr>
      <w:r>
        <w:rPr>
          <w:color w:val="333F4C"/>
          <w:sz w:val="22"/>
          <w:szCs w:val="22"/>
        </w:rPr>
        <w:t xml:space="preserve">15. Decisions and Inputs Needed from </w:t>
      </w:r>
      <w:r w:rsidR="00423D66">
        <w:rPr>
          <w:color w:val="333F4C"/>
          <w:sz w:val="22"/>
          <w:szCs w:val="22"/>
        </w:rPr>
        <w:t>Team</w:t>
      </w:r>
    </w:p>
    <w:p w:rsidR="00BD0EA8" w:rsidRDefault="00C7158E">
      <w:pPr>
        <w:spacing w:after="90"/>
      </w:pPr>
      <w:r>
        <w:rPr>
          <w:color w:val="333F4C"/>
          <w:sz w:val="22"/>
          <w:szCs w:val="22"/>
        </w:rPr>
        <w:t>16. Next Steps</w:t>
      </w:r>
    </w:p>
    <w:p w:rsidR="00BD0EA8" w:rsidRDefault="00C7158E">
      <w:pPr>
        <w:spacing w:after="90"/>
      </w:pPr>
      <w:r>
        <w:rPr>
          <w:color w:val="333F4C"/>
          <w:sz w:val="22"/>
          <w:szCs w:val="22"/>
        </w:rPr>
        <w:t>Appendix – Process Flow Diagram and References</w:t>
      </w:r>
    </w:p>
    <w:p w:rsidR="00BD0EA8" w:rsidRDefault="00C7158E">
      <w:r>
        <w:br w:type="page"/>
      </w:r>
    </w:p>
    <w:p w:rsidR="00BD0EA8" w:rsidRDefault="00C7158E">
      <w:pPr>
        <w:pStyle w:val="Heading1"/>
      </w:pPr>
      <w:r>
        <w:lastRenderedPageBreak/>
        <w:t>1. Executive Summary</w:t>
      </w:r>
    </w:p>
    <w:p w:rsidR="00BD0EA8" w:rsidRDefault="00C7158E">
      <w:pPr>
        <w:spacing w:after="120" w:line="276" w:lineRule="auto"/>
      </w:pPr>
      <w:r>
        <w:t xml:space="preserve">The </w:t>
      </w:r>
      <w:r w:rsidR="00423D66">
        <w:t>Team</w:t>
      </w:r>
      <w:r>
        <w:t xml:space="preserve"> plans to copy all data from its on-premises Microsoft SQL Server into Snowflake. Only data</w:t>
      </w:r>
      <w:r>
        <w:t xml:space="preserve"> is in scope – no code, procedures or reports – and the SQL Server system will keep running during and after the migration. The source holds about </w:t>
      </w:r>
      <w:r>
        <w:rPr>
          <w:b/>
          <w:bCs/>
        </w:rPr>
        <w:t>3–4 TB</w:t>
      </w:r>
      <w:r>
        <w:t xml:space="preserve"> in tables only, with at most 16 columns per table and ten simple data types. This is the </w:t>
      </w:r>
      <w:r w:rsidR="00423D66">
        <w:t>Team</w:t>
      </w:r>
      <w:r>
        <w:t>’s firs</w:t>
      </w:r>
      <w:r>
        <w:t>t Snowflake purchase, so the approach also covers account setup and cost control.</w:t>
      </w:r>
    </w:p>
    <w:p w:rsidR="00BD0EA8" w:rsidRDefault="00C7158E">
      <w:pPr>
        <w:spacing w:after="120" w:line="276" w:lineRule="auto"/>
      </w:pPr>
      <w:r>
        <w:t xml:space="preserve">Because the source stays live, the work is split into two parts: a </w:t>
      </w:r>
      <w:r>
        <w:rPr>
          <w:b/>
          <w:bCs/>
        </w:rPr>
        <w:t>one-time historical load</w:t>
      </w:r>
      <w:r>
        <w:t xml:space="preserve"> of all existing data, followed by an </w:t>
      </w:r>
      <w:r>
        <w:rPr>
          <w:b/>
          <w:bCs/>
        </w:rPr>
        <w:t>ongoing delta sync</w:t>
      </w:r>
      <w:r>
        <w:t xml:space="preserve"> that keeps Snowflake up to</w:t>
      </w:r>
      <w:r>
        <w:t xml:space="preserve"> date until any future cutover.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0EA8">
        <w:tblPrEx>
          <w:tblCellMar>
            <w:top w:w="0" w:type="dxa"/>
            <w:bottom w:w="0" w:type="dxa"/>
          </w:tblCellMar>
        </w:tblPrEx>
        <w:tc>
          <w:tcPr>
            <w:tcW w:w="9638" w:type="dxa"/>
            <w:tcBorders>
              <w:top w:val="none" w:sz="0" w:space="0" w:color="FFFFFF"/>
              <w:left w:val="single" w:sz="18" w:space="0" w:color="29B5E8"/>
              <w:bottom w:val="none" w:sz="0" w:space="0" w:color="FFFFFF"/>
              <w:right w:val="none" w:sz="0" w:space="0" w:color="FFFFFF"/>
            </w:tcBorders>
            <w:shd w:val="clear" w:color="auto" w:fill="EAF6FC"/>
            <w:tcMar>
              <w:top w:w="120" w:type="dxa"/>
              <w:left w:w="200" w:type="dxa"/>
              <w:bottom w:w="120" w:type="dxa"/>
              <w:right w:w="200" w:type="dxa"/>
            </w:tcMar>
          </w:tcPr>
          <w:p w:rsidR="00BD0EA8" w:rsidRDefault="00C7158E">
            <w:pPr>
              <w:spacing w:after="40"/>
            </w:pPr>
            <w:r>
              <w:rPr>
                <w:b/>
                <w:bCs/>
              </w:rPr>
              <w:t>Recommended approach</w:t>
            </w:r>
          </w:p>
          <w:p w:rsidR="00BD0EA8" w:rsidRDefault="00C7158E">
            <w:pPr>
              <w:pStyle w:val="ListParagraph"/>
              <w:numPr>
                <w:ilvl w:val="0"/>
                <w:numId w:val="2"/>
              </w:numPr>
              <w:spacing w:after="30"/>
            </w:pPr>
            <w:r>
              <w:rPr>
                <w:b/>
                <w:bCs/>
              </w:rPr>
              <w:t>Historical load:</w:t>
            </w:r>
            <w:r>
              <w:t xml:space="preserve"> metadata-driven Python extract to Parquet files, uploaded to a Snowflake internal stage and loaded with COPY INTO. bcp is used selectively for very large numeric-only tables.</w:t>
            </w:r>
          </w:p>
          <w:p w:rsidR="00BD0EA8" w:rsidRDefault="00C7158E">
            <w:pPr>
              <w:pStyle w:val="ListParagraph"/>
              <w:numPr>
                <w:ilvl w:val="0"/>
                <w:numId w:val="2"/>
              </w:numPr>
              <w:spacing w:after="30"/>
            </w:pPr>
            <w:r>
              <w:rPr>
                <w:b/>
                <w:bCs/>
              </w:rPr>
              <w:t>Ongoing del</w:t>
            </w:r>
            <w:r>
              <w:rPr>
                <w:b/>
                <w:bCs/>
              </w:rPr>
              <w:t>ta:</w:t>
            </w:r>
            <w:r>
              <w:t xml:space="preserve"> SQL Server Change Tracking, picked up by Python jobs scheduled in Apache Airflow and applied to Snowflake with MERGE (Option B).</w:t>
            </w:r>
          </w:p>
          <w:p w:rsidR="00BD0EA8" w:rsidRDefault="00C7158E">
            <w:pPr>
              <w:pStyle w:val="ListParagraph"/>
              <w:numPr>
                <w:ilvl w:val="0"/>
                <w:numId w:val="2"/>
              </w:numPr>
              <w:spacing w:after="30"/>
            </w:pPr>
            <w:r>
              <w:rPr>
                <w:b/>
                <w:bCs/>
              </w:rPr>
              <w:t>Kept open as alternatives:</w:t>
            </w:r>
            <w:r>
              <w:t xml:space="preserve"> Snowflake Openflow connector if near real-time data is required; Fivetran/HVR or Qlik Replicate </w:t>
            </w:r>
            <w:r>
              <w:t xml:space="preserve">if the </w:t>
            </w:r>
            <w:r w:rsidR="00423D66">
              <w:t>Team</w:t>
            </w:r>
            <w:r>
              <w:t xml:space="preserve"> prefers a licensed, managed tool.</w:t>
            </w:r>
          </w:p>
          <w:p w:rsidR="00BD0EA8" w:rsidRDefault="00C7158E">
            <w:pPr>
              <w:pStyle w:val="ListParagraph"/>
              <w:numPr>
                <w:ilvl w:val="0"/>
                <w:numId w:val="2"/>
              </w:numPr>
              <w:spacing w:after="30"/>
            </w:pPr>
            <w:r>
              <w:rPr>
                <w:b/>
                <w:bCs/>
              </w:rPr>
              <w:t>Not recommended:</w:t>
            </w:r>
            <w:r>
              <w:t xml:space="preserve"> Azure Data Factory / SSIS, watermark-only incremental loads, daily full reloads, and connector snapshots for the 3–4 TB history.</w:t>
            </w:r>
          </w:p>
          <w:p w:rsidR="00BD0EA8" w:rsidRDefault="00C7158E">
            <w:pPr>
              <w:pStyle w:val="ListParagraph"/>
              <w:numPr>
                <w:ilvl w:val="0"/>
                <w:numId w:val="2"/>
              </w:numPr>
              <w:spacing w:after="30"/>
            </w:pPr>
            <w:r>
              <w:rPr>
                <w:b/>
                <w:bCs/>
              </w:rPr>
              <w:t>Indicative timeline:</w:t>
            </w:r>
            <w:r>
              <w:t xml:space="preserve"> 8–14 weeks to parallel-run sign-off, refi</w:t>
            </w:r>
            <w:r>
              <w:t>ned after the assessment phase.</w:t>
            </w:r>
          </w:p>
        </w:tc>
      </w:tr>
    </w:tbl>
    <w:p w:rsidR="00BD0EA8" w:rsidRDefault="00BD0EA8">
      <w:pPr>
        <w:spacing w:after="200"/>
      </w:pPr>
    </w:p>
    <w:p w:rsidR="00BD0EA8" w:rsidRDefault="00C7158E">
      <w:pPr>
        <w:pStyle w:val="Heading1"/>
      </w:pPr>
      <w:r>
        <w:t>2. Scope and Assumptions</w:t>
      </w:r>
    </w:p>
    <w:p w:rsidR="00BD0EA8" w:rsidRDefault="00C7158E">
      <w:pPr>
        <w:pStyle w:val="Heading2"/>
      </w:pPr>
      <w:r>
        <w:t>2.1 Source profile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BD0EA8">
        <w:tblPrEx>
          <w:tblCellMar>
            <w:top w:w="0" w:type="dxa"/>
            <w:bottom w:w="0" w:type="dxa"/>
          </w:tblCellMar>
        </w:tblPrEx>
        <w:trPr>
          <w:tblHeader/>
        </w:trPr>
        <w:tc>
          <w:tcPr>
            <w:tcW w:w="28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tcPr>
          <w:p w:rsidR="00BD0EA8" w:rsidRDefault="00C7158E">
            <w:pPr>
              <w:spacing w:after="40"/>
            </w:pPr>
            <w:r>
              <w:rPr>
                <w:b/>
                <w:bCs/>
                <w:color w:val="FFFFFF"/>
                <w:sz w:val="19"/>
                <w:szCs w:val="19"/>
              </w:rPr>
              <w:t>Item</w:t>
            </w:r>
          </w:p>
        </w:tc>
        <w:tc>
          <w:tcPr>
            <w:tcW w:w="6838"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tcPr>
          <w:p w:rsidR="00BD0EA8" w:rsidRDefault="00C7158E">
            <w:pPr>
              <w:spacing w:after="40"/>
            </w:pPr>
            <w:r>
              <w:rPr>
                <w:b/>
                <w:bCs/>
                <w:color w:val="FFFFFF"/>
                <w:sz w:val="19"/>
                <w:szCs w:val="19"/>
              </w:rPr>
              <w:t>Detail</w:t>
            </w:r>
          </w:p>
        </w:tc>
      </w:tr>
      <w:tr w:rsidR="00BD0EA8">
        <w:tblPrEx>
          <w:tblCellMar>
            <w:top w:w="0" w:type="dxa"/>
            <w:bottom w:w="0" w:type="dxa"/>
          </w:tblCellMar>
        </w:tblPrEx>
        <w:trPr>
          <w:cantSplit/>
        </w:trPr>
        <w:tc>
          <w:tcPr>
            <w:tcW w:w="28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b/>
                <w:bCs/>
                <w:sz w:val="19"/>
                <w:szCs w:val="19"/>
              </w:rPr>
              <w:t>Source</w:t>
            </w:r>
          </w:p>
        </w:tc>
        <w:tc>
          <w:tcPr>
            <w:tcW w:w="68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Microsoft SQL Server, on-premises</w:t>
            </w:r>
          </w:p>
        </w:tc>
      </w:tr>
      <w:tr w:rsidR="00BD0EA8">
        <w:tblPrEx>
          <w:tblCellMar>
            <w:top w:w="0" w:type="dxa"/>
            <w:bottom w:w="0" w:type="dxa"/>
          </w:tblCellMar>
        </w:tblPrEx>
        <w:trPr>
          <w:cantSplit/>
        </w:trPr>
        <w:tc>
          <w:tcPr>
            <w:tcW w:w="28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b/>
                <w:bCs/>
                <w:sz w:val="19"/>
                <w:szCs w:val="19"/>
              </w:rPr>
              <w:t>Objects to migrate</w:t>
            </w:r>
          </w:p>
        </w:tc>
        <w:tc>
          <w:tcPr>
            <w:tcW w:w="6838"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Tables only</w:t>
            </w:r>
          </w:p>
        </w:tc>
      </w:tr>
      <w:tr w:rsidR="00BD0EA8">
        <w:tblPrEx>
          <w:tblCellMar>
            <w:top w:w="0" w:type="dxa"/>
            <w:bottom w:w="0" w:type="dxa"/>
          </w:tblCellMar>
        </w:tblPrEx>
        <w:trPr>
          <w:cantSplit/>
        </w:trPr>
        <w:tc>
          <w:tcPr>
            <w:tcW w:w="28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b/>
                <w:bCs/>
                <w:sz w:val="19"/>
                <w:szCs w:val="19"/>
              </w:rPr>
              <w:t>Total volume</w:t>
            </w:r>
          </w:p>
        </w:tc>
        <w:tc>
          <w:tcPr>
            <w:tcW w:w="68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Approximately 3–4 TB</w:t>
            </w:r>
          </w:p>
        </w:tc>
      </w:tr>
      <w:tr w:rsidR="00BD0EA8">
        <w:tblPrEx>
          <w:tblCellMar>
            <w:top w:w="0" w:type="dxa"/>
            <w:bottom w:w="0" w:type="dxa"/>
          </w:tblCellMar>
        </w:tblPrEx>
        <w:trPr>
          <w:cantSplit/>
        </w:trPr>
        <w:tc>
          <w:tcPr>
            <w:tcW w:w="28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b/>
                <w:bCs/>
                <w:sz w:val="19"/>
                <w:szCs w:val="19"/>
              </w:rPr>
              <w:t>Table width</w:t>
            </w:r>
          </w:p>
        </w:tc>
        <w:tc>
          <w:tcPr>
            <w:tcW w:w="6838"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Maximum 16 columns per table</w:t>
            </w:r>
          </w:p>
        </w:tc>
      </w:tr>
      <w:tr w:rsidR="00BD0EA8">
        <w:tblPrEx>
          <w:tblCellMar>
            <w:top w:w="0" w:type="dxa"/>
            <w:bottom w:w="0" w:type="dxa"/>
          </w:tblCellMar>
        </w:tblPrEx>
        <w:trPr>
          <w:cantSplit/>
        </w:trPr>
        <w:tc>
          <w:tcPr>
            <w:tcW w:w="28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b/>
                <w:bCs/>
                <w:sz w:val="19"/>
                <w:szCs w:val="19"/>
              </w:rPr>
              <w:t>Data types used</w:t>
            </w:r>
          </w:p>
        </w:tc>
        <w:tc>
          <w:tcPr>
            <w:tcW w:w="68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bigint, int, bit, decimal, numeric, datetime, char, varchar, nvarchar, varbinary</w:t>
            </w:r>
          </w:p>
        </w:tc>
      </w:tr>
      <w:tr w:rsidR="00BD0EA8">
        <w:tblPrEx>
          <w:tblCellMar>
            <w:top w:w="0" w:type="dxa"/>
            <w:bottom w:w="0" w:type="dxa"/>
          </w:tblCellMar>
        </w:tblPrEx>
        <w:trPr>
          <w:cantSplit/>
        </w:trPr>
        <w:tc>
          <w:tcPr>
            <w:tcW w:w="28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b/>
                <w:bCs/>
                <w:sz w:val="19"/>
                <w:szCs w:val="19"/>
              </w:rPr>
              <w:t>Source after migration</w:t>
            </w:r>
          </w:p>
        </w:tc>
        <w:tc>
          <w:tcPr>
            <w:tcW w:w="6838"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Remains live; SQL Server continues to be the system of record for now</w:t>
            </w:r>
          </w:p>
        </w:tc>
      </w:tr>
      <w:tr w:rsidR="00BD0EA8">
        <w:tblPrEx>
          <w:tblCellMar>
            <w:top w:w="0" w:type="dxa"/>
            <w:bottom w:w="0" w:type="dxa"/>
          </w:tblCellMar>
        </w:tblPrEx>
        <w:trPr>
          <w:cantSplit/>
        </w:trPr>
        <w:tc>
          <w:tcPr>
            <w:tcW w:w="28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b/>
                <w:bCs/>
                <w:sz w:val="19"/>
                <w:szCs w:val="19"/>
              </w:rPr>
              <w:t>Target</w:t>
            </w:r>
          </w:p>
        </w:tc>
        <w:tc>
          <w:tcPr>
            <w:tcW w:w="68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New Snowflake account (</w:t>
            </w:r>
            <w:r w:rsidR="00423D66">
              <w:rPr>
                <w:sz w:val="19"/>
                <w:szCs w:val="19"/>
              </w:rPr>
              <w:t>Team</w:t>
            </w:r>
            <w:r>
              <w:rPr>
                <w:sz w:val="19"/>
                <w:szCs w:val="19"/>
              </w:rPr>
              <w:t>’s first purchase)</w:t>
            </w:r>
          </w:p>
        </w:tc>
      </w:tr>
    </w:tbl>
    <w:p w:rsidR="00BD0EA8" w:rsidRDefault="00BD0EA8">
      <w:pPr>
        <w:spacing w:after="120"/>
      </w:pPr>
    </w:p>
    <w:p w:rsidR="00BD0EA8" w:rsidRDefault="00C7158E">
      <w:pPr>
        <w:pStyle w:val="Heading2"/>
      </w:pPr>
      <w:r>
        <w:t>2.2 In scope</w:t>
      </w:r>
    </w:p>
    <w:p w:rsidR="00BD0EA8" w:rsidRDefault="00C7158E">
      <w:pPr>
        <w:pStyle w:val="ListParagraph"/>
        <w:numPr>
          <w:ilvl w:val="0"/>
          <w:numId w:val="3"/>
        </w:numPr>
        <w:spacing w:after="60" w:line="264" w:lineRule="auto"/>
      </w:pPr>
      <w:r>
        <w:t>Snowflake account foundation: databases, roles, warehouses, cost controls</w:t>
      </w:r>
    </w:p>
    <w:p w:rsidR="00BD0EA8" w:rsidRDefault="00C7158E">
      <w:pPr>
        <w:pStyle w:val="ListParagraph"/>
        <w:numPr>
          <w:ilvl w:val="0"/>
          <w:numId w:val="3"/>
        </w:numPr>
        <w:spacing w:after="60" w:line="264" w:lineRule="auto"/>
      </w:pPr>
      <w:r>
        <w:t>Snowflake table structures generated from SQL Server metadata</w:t>
      </w:r>
    </w:p>
    <w:p w:rsidR="00BD0EA8" w:rsidRDefault="00C7158E">
      <w:pPr>
        <w:pStyle w:val="ListParagraph"/>
        <w:numPr>
          <w:ilvl w:val="0"/>
          <w:numId w:val="3"/>
        </w:numPr>
        <w:spacing w:after="60" w:line="264" w:lineRule="auto"/>
      </w:pPr>
      <w:r>
        <w:t>One-time historical load of all tables</w:t>
      </w:r>
    </w:p>
    <w:p w:rsidR="00BD0EA8" w:rsidRDefault="00C7158E">
      <w:pPr>
        <w:pStyle w:val="ListParagraph"/>
        <w:numPr>
          <w:ilvl w:val="0"/>
          <w:numId w:val="3"/>
        </w:numPr>
        <w:spacing w:after="60" w:line="264" w:lineRule="auto"/>
      </w:pPr>
      <w:r>
        <w:t>Ongoing delta sync (inserts, updates and deletes) at an agreed frequ</w:t>
      </w:r>
      <w:r>
        <w:t>ency</w:t>
      </w:r>
    </w:p>
    <w:p w:rsidR="00BD0EA8" w:rsidRDefault="00C7158E">
      <w:pPr>
        <w:pStyle w:val="ListParagraph"/>
        <w:numPr>
          <w:ilvl w:val="0"/>
          <w:numId w:val="3"/>
        </w:numPr>
        <w:spacing w:after="60" w:line="264" w:lineRule="auto"/>
      </w:pPr>
      <w:r>
        <w:t>Validation, reconciliation reporting and a parallel-run period with sign-off</w:t>
      </w:r>
    </w:p>
    <w:p w:rsidR="00BD0EA8" w:rsidRDefault="00C7158E">
      <w:pPr>
        <w:pStyle w:val="ListParagraph"/>
        <w:numPr>
          <w:ilvl w:val="0"/>
          <w:numId w:val="3"/>
        </w:numPr>
        <w:spacing w:after="60" w:line="264" w:lineRule="auto"/>
      </w:pPr>
      <w:r>
        <w:t xml:space="preserve">Runbooks and knowledge transfer to the </w:t>
      </w:r>
      <w:r w:rsidR="00423D66">
        <w:t>Team</w:t>
      </w:r>
      <w:r>
        <w:t xml:space="preserve"> team</w:t>
      </w:r>
    </w:p>
    <w:p w:rsidR="00BD0EA8" w:rsidRDefault="00C7158E">
      <w:pPr>
        <w:pStyle w:val="Heading2"/>
      </w:pPr>
      <w:r>
        <w:t>2.3 Out of scope</w:t>
      </w:r>
    </w:p>
    <w:p w:rsidR="00BD0EA8" w:rsidRDefault="00C7158E">
      <w:pPr>
        <w:pStyle w:val="ListParagraph"/>
        <w:numPr>
          <w:ilvl w:val="0"/>
          <w:numId w:val="3"/>
        </w:numPr>
        <w:spacing w:after="60" w:line="264" w:lineRule="auto"/>
      </w:pPr>
      <w:r>
        <w:lastRenderedPageBreak/>
        <w:t>Migration of stored procedures, views, functions, SSIS packages, jobs or reports</w:t>
      </w:r>
    </w:p>
    <w:p w:rsidR="00BD0EA8" w:rsidRDefault="00C7158E">
      <w:pPr>
        <w:pStyle w:val="ListParagraph"/>
        <w:numPr>
          <w:ilvl w:val="0"/>
          <w:numId w:val="3"/>
        </w:numPr>
        <w:spacing w:after="60" w:line="264" w:lineRule="auto"/>
      </w:pPr>
      <w:r>
        <w:t>Decommissioning SQL Serve</w:t>
      </w:r>
      <w:r>
        <w:t>r or moving applications to Snowflake (future cutover)</w:t>
      </w:r>
    </w:p>
    <w:p w:rsidR="00BD0EA8" w:rsidRDefault="00C7158E">
      <w:pPr>
        <w:pStyle w:val="ListParagraph"/>
        <w:numPr>
          <w:ilvl w:val="0"/>
          <w:numId w:val="3"/>
        </w:numPr>
        <w:spacing w:after="60" w:line="264" w:lineRule="auto"/>
      </w:pPr>
      <w:r>
        <w:t>Downstream data modelling, BI dashboards or data marts</w:t>
      </w:r>
    </w:p>
    <w:p w:rsidR="00BD0EA8" w:rsidRDefault="00C7158E">
      <w:pPr>
        <w:pStyle w:val="Heading2"/>
      </w:pPr>
      <w:r>
        <w:t>2.4 Assumptions</w:t>
      </w:r>
    </w:p>
    <w:p w:rsidR="00BD0EA8" w:rsidRDefault="00C7158E">
      <w:pPr>
        <w:pStyle w:val="ListParagraph"/>
        <w:numPr>
          <w:ilvl w:val="0"/>
          <w:numId w:val="3"/>
        </w:numPr>
        <w:spacing w:after="60" w:line="264" w:lineRule="auto"/>
      </w:pPr>
      <w:r>
        <w:t>Every table has a primary key or a reliable unique key (to be confirmed in assessment)</w:t>
      </w:r>
    </w:p>
    <w:p w:rsidR="00BD0EA8" w:rsidRDefault="00C7158E">
      <w:pPr>
        <w:pStyle w:val="ListParagraph"/>
        <w:numPr>
          <w:ilvl w:val="0"/>
          <w:numId w:val="3"/>
        </w:numPr>
        <w:spacing w:after="60" w:line="264" w:lineRule="auto"/>
      </w:pPr>
      <w:r>
        <w:t xml:space="preserve">The </w:t>
      </w:r>
      <w:r w:rsidR="00423D66">
        <w:t>Team</w:t>
      </w:r>
      <w:r>
        <w:t xml:space="preserve"> DBA can enable Change Tracking o</w:t>
      </w:r>
      <w:r>
        <w:t>n the source database and tables</w:t>
      </w:r>
    </w:p>
    <w:p w:rsidR="00BD0EA8" w:rsidRDefault="00C7158E">
      <w:pPr>
        <w:pStyle w:val="ListParagraph"/>
        <w:numPr>
          <w:ilvl w:val="0"/>
          <w:numId w:val="3"/>
        </w:numPr>
        <w:spacing w:after="60" w:line="264" w:lineRule="auto"/>
      </w:pPr>
      <w:r>
        <w:t>An on-premises Linux or Windows server is available to run extract and orchestration jobs</w:t>
      </w:r>
    </w:p>
    <w:p w:rsidR="00BD0EA8" w:rsidRDefault="00C7158E">
      <w:pPr>
        <w:pStyle w:val="ListParagraph"/>
        <w:numPr>
          <w:ilvl w:val="0"/>
          <w:numId w:val="3"/>
        </w:numPr>
        <w:spacing w:after="60" w:line="264" w:lineRule="auto"/>
      </w:pPr>
      <w:r>
        <w:t>Outbound HTTPS (port 443) from that server to Snowflake is allowed</w:t>
      </w:r>
    </w:p>
    <w:p w:rsidR="00BD0EA8" w:rsidRDefault="00C7158E">
      <w:pPr>
        <w:pStyle w:val="ListParagraph"/>
        <w:numPr>
          <w:ilvl w:val="0"/>
          <w:numId w:val="3"/>
        </w:numPr>
        <w:spacing w:after="60" w:line="264" w:lineRule="auto"/>
      </w:pPr>
      <w:r>
        <w:t>Volumes and timelines are indicative and will be confirmed in Phas</w:t>
      </w:r>
      <w:r>
        <w:t>e 0</w:t>
      </w:r>
    </w:p>
    <w:p w:rsidR="00BD0EA8" w:rsidRDefault="00C7158E">
      <w:pPr>
        <w:pStyle w:val="Heading1"/>
      </w:pPr>
      <w:r>
        <w:t>3. Guiding Principles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738"/>
      </w:tblGrid>
      <w:tr w:rsidR="00BD0EA8">
        <w:tblPrEx>
          <w:tblCellMar>
            <w:top w:w="0" w:type="dxa"/>
            <w:bottom w:w="0" w:type="dxa"/>
          </w:tblCellMar>
        </w:tblPrEx>
        <w:trPr>
          <w:tblHeader/>
        </w:trPr>
        <w:tc>
          <w:tcPr>
            <w:tcW w:w="29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tcPr>
          <w:p w:rsidR="00BD0EA8" w:rsidRDefault="00C7158E">
            <w:pPr>
              <w:spacing w:after="40"/>
            </w:pPr>
            <w:r>
              <w:rPr>
                <w:b/>
                <w:bCs/>
                <w:color w:val="FFFFFF"/>
                <w:sz w:val="19"/>
                <w:szCs w:val="19"/>
              </w:rPr>
              <w:t>Principle</w:t>
            </w:r>
          </w:p>
        </w:tc>
        <w:tc>
          <w:tcPr>
            <w:tcW w:w="6738"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tcPr>
          <w:p w:rsidR="00BD0EA8" w:rsidRDefault="00C7158E">
            <w:pPr>
              <w:spacing w:after="40"/>
            </w:pPr>
            <w:r>
              <w:rPr>
                <w:b/>
                <w:bCs/>
                <w:color w:val="FFFFFF"/>
                <w:sz w:val="19"/>
                <w:szCs w:val="19"/>
              </w:rPr>
              <w:t>What it means in practice</w:t>
            </w:r>
          </w:p>
        </w:tc>
      </w:tr>
      <w:tr w:rsidR="00BD0EA8">
        <w:tblPrEx>
          <w:tblCellMar>
            <w:top w:w="0" w:type="dxa"/>
            <w:bottom w:w="0" w:type="dxa"/>
          </w:tblCellMar>
        </w:tblPrEx>
        <w:trPr>
          <w:cantSplit/>
        </w:trPr>
        <w:tc>
          <w:tcPr>
            <w:tcW w:w="29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b/>
                <w:bCs/>
                <w:sz w:val="19"/>
                <w:szCs w:val="19"/>
              </w:rPr>
              <w:t>No impact on the live source</w:t>
            </w:r>
          </w:p>
        </w:tc>
        <w:tc>
          <w:tcPr>
            <w:tcW w:w="67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Read-only access, chunked extracts, heavy work scheduled off-peak</w:t>
            </w:r>
          </w:p>
        </w:tc>
      </w:tr>
      <w:tr w:rsidR="00BD0EA8">
        <w:tblPrEx>
          <w:tblCellMar>
            <w:top w:w="0" w:type="dxa"/>
            <w:bottom w:w="0" w:type="dxa"/>
          </w:tblCellMar>
        </w:tblPrEx>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b/>
                <w:bCs/>
                <w:sz w:val="19"/>
                <w:szCs w:val="19"/>
              </w:rPr>
              <w:t>No data loss</w:t>
            </w:r>
          </w:p>
        </w:tc>
        <w:tc>
          <w:tcPr>
            <w:tcW w:w="6738"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Change position recorded before the historical extract, so no change is missed; any overlap is absorbed by MERGE</w:t>
            </w:r>
          </w:p>
        </w:tc>
      </w:tr>
      <w:tr w:rsidR="00BD0EA8">
        <w:tblPrEx>
          <w:tblCellMar>
            <w:top w:w="0" w:type="dxa"/>
            <w:bottom w:w="0" w:type="dxa"/>
          </w:tblCellMar>
        </w:tblPrEx>
        <w:trPr>
          <w:cantSplit/>
        </w:trPr>
        <w:tc>
          <w:tcPr>
            <w:tcW w:w="29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b/>
                <w:bCs/>
                <w:sz w:val="19"/>
                <w:szCs w:val="19"/>
              </w:rPr>
              <w:t>Restartable by design</w:t>
            </w:r>
          </w:p>
        </w:tc>
        <w:tc>
          <w:tcPr>
            <w:tcW w:w="67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Every table and chunk can be re-run on its own without starting over</w:t>
            </w:r>
          </w:p>
        </w:tc>
      </w:tr>
      <w:tr w:rsidR="00BD0EA8">
        <w:tblPrEx>
          <w:tblCellMar>
            <w:top w:w="0" w:type="dxa"/>
            <w:bottom w:w="0" w:type="dxa"/>
          </w:tblCellMar>
        </w:tblPrEx>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b/>
                <w:bCs/>
                <w:sz w:val="19"/>
                <w:szCs w:val="19"/>
              </w:rPr>
              <w:t>Metadata-driven automation</w:t>
            </w:r>
          </w:p>
        </w:tc>
        <w:tc>
          <w:tcPr>
            <w:tcW w:w="6738"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DDL, extract, load and validation are generated from SQL Server metadata, not written table by table</w:t>
            </w:r>
          </w:p>
        </w:tc>
      </w:tr>
      <w:tr w:rsidR="00BD0EA8">
        <w:tblPrEx>
          <w:tblCellMar>
            <w:top w:w="0" w:type="dxa"/>
            <w:bottom w:w="0" w:type="dxa"/>
          </w:tblCellMar>
        </w:tblPrEx>
        <w:trPr>
          <w:cantSplit/>
        </w:trPr>
        <w:tc>
          <w:tcPr>
            <w:tcW w:w="29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b/>
                <w:bCs/>
                <w:sz w:val="19"/>
                <w:szCs w:val="19"/>
              </w:rPr>
              <w:t>Verify every load</w:t>
            </w:r>
          </w:p>
        </w:tc>
        <w:tc>
          <w:tcPr>
            <w:tcW w:w="67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Automated reconciliation after each historical chunk and each delta run</w:t>
            </w:r>
          </w:p>
        </w:tc>
      </w:tr>
      <w:tr w:rsidR="00BD0EA8">
        <w:tblPrEx>
          <w:tblCellMar>
            <w:top w:w="0" w:type="dxa"/>
            <w:bottom w:w="0" w:type="dxa"/>
          </w:tblCellMar>
        </w:tblPrEx>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b/>
                <w:bCs/>
                <w:sz w:val="19"/>
                <w:szCs w:val="19"/>
              </w:rPr>
              <w:t>Cost-aware from day one</w:t>
            </w:r>
          </w:p>
        </w:tc>
        <w:tc>
          <w:tcPr>
            <w:tcW w:w="6738"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Auto-suspend, right-sized warehouses and resource monitors before any data is loaded</w:t>
            </w:r>
          </w:p>
        </w:tc>
      </w:tr>
      <w:tr w:rsidR="00BD0EA8">
        <w:tblPrEx>
          <w:tblCellMar>
            <w:top w:w="0" w:type="dxa"/>
            <w:bottom w:w="0" w:type="dxa"/>
          </w:tblCellMar>
        </w:tblPrEx>
        <w:trPr>
          <w:cantSplit/>
        </w:trPr>
        <w:tc>
          <w:tcPr>
            <w:tcW w:w="29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b/>
                <w:bCs/>
                <w:sz w:val="19"/>
                <w:szCs w:val="19"/>
              </w:rPr>
              <w:t xml:space="preserve">Keep it simple for a new Snowflake </w:t>
            </w:r>
            <w:r w:rsidR="00423D66">
              <w:rPr>
                <w:b/>
                <w:bCs/>
                <w:sz w:val="19"/>
                <w:szCs w:val="19"/>
              </w:rPr>
              <w:t>Team</w:t>
            </w:r>
          </w:p>
        </w:tc>
        <w:tc>
          <w:tcPr>
            <w:tcW w:w="67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Few moving parts, standard Snowflake features, clear runbooks</w:t>
            </w:r>
          </w:p>
        </w:tc>
      </w:tr>
    </w:tbl>
    <w:p w:rsidR="00BD0EA8" w:rsidRDefault="00C7158E">
      <w:pPr>
        <w:pStyle w:val="Heading1"/>
      </w:pPr>
      <w:r>
        <w:t>4. Target Architecture</w:t>
      </w:r>
    </w:p>
    <w:p w:rsidR="00BD0EA8" w:rsidRDefault="00C7158E">
      <w:pPr>
        <w:spacing w:after="120" w:line="276" w:lineRule="auto"/>
      </w:pPr>
      <w:r>
        <w:t xml:space="preserve">Data flows in one direction, from the </w:t>
      </w:r>
      <w:r w:rsidR="00423D66">
        <w:t>Team</w:t>
      </w:r>
      <w:r>
        <w:t xml:space="preserve"> network to Snowflake. All connections start from the </w:t>
      </w:r>
      <w:r w:rsidR="00423D66">
        <w:t>Team</w:t>
      </w:r>
      <w:r>
        <w:t xml:space="preserve"> side (outbound HTTPS), so no inbound firewall rules are needed for the recommended approach.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BD0EA8">
        <w:tblPrEx>
          <w:tblCellMar>
            <w:top w:w="0" w:type="dxa"/>
            <w:bottom w:w="0" w:type="dxa"/>
          </w:tblCellMar>
        </w:tblPrEx>
        <w:trPr>
          <w:tblHeader/>
        </w:trPr>
        <w:tc>
          <w:tcPr>
            <w:tcW w:w="23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tcPr>
          <w:p w:rsidR="00BD0EA8" w:rsidRDefault="00C7158E">
            <w:pPr>
              <w:spacing w:after="40"/>
            </w:pPr>
            <w:r>
              <w:rPr>
                <w:b/>
                <w:bCs/>
                <w:color w:val="FFFFFF"/>
                <w:sz w:val="19"/>
                <w:szCs w:val="19"/>
              </w:rPr>
              <w:t>Component</w:t>
            </w:r>
          </w:p>
        </w:tc>
        <w:tc>
          <w:tcPr>
            <w:tcW w:w="7338"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tcPr>
          <w:p w:rsidR="00BD0EA8" w:rsidRDefault="00C7158E">
            <w:pPr>
              <w:spacing w:after="40"/>
            </w:pPr>
            <w:r>
              <w:rPr>
                <w:b/>
                <w:bCs/>
                <w:color w:val="FFFFFF"/>
                <w:sz w:val="19"/>
                <w:szCs w:val="19"/>
              </w:rPr>
              <w:t>Role</w:t>
            </w:r>
          </w:p>
        </w:tc>
      </w:tr>
      <w:tr w:rsidR="00BD0EA8">
        <w:tblPrEx>
          <w:tblCellMar>
            <w:top w:w="0" w:type="dxa"/>
            <w:bottom w:w="0" w:type="dxa"/>
          </w:tblCellMar>
        </w:tblPrEx>
        <w:trPr>
          <w:cantSplit/>
        </w:trPr>
        <w:tc>
          <w:tcPr>
            <w:tcW w:w="23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b/>
                <w:bCs/>
                <w:sz w:val="19"/>
                <w:szCs w:val="19"/>
              </w:rPr>
              <w:t>SQL Server (on-prem)</w:t>
            </w:r>
          </w:p>
        </w:tc>
        <w:tc>
          <w:tcPr>
            <w:tcW w:w="73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Live source. Change T</w:t>
            </w:r>
            <w:r>
              <w:rPr>
                <w:sz w:val="19"/>
                <w:szCs w:val="19"/>
              </w:rPr>
              <w:t>racking enabled on migrated tables.</w:t>
            </w:r>
          </w:p>
        </w:tc>
      </w:tr>
      <w:tr w:rsidR="00BD0EA8">
        <w:tblPrEx>
          <w:tblCellMar>
            <w:top w:w="0" w:type="dxa"/>
            <w:bottom w:w="0" w:type="dxa"/>
          </w:tblCellMar>
        </w:tblPrEx>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b/>
                <w:bCs/>
                <w:sz w:val="19"/>
                <w:szCs w:val="19"/>
              </w:rPr>
              <w:t>Extract server (on-prem)</w:t>
            </w:r>
          </w:p>
        </w:tc>
        <w:tc>
          <w:tcPr>
            <w:tcW w:w="7338"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Runs Python extract jobs and Apache Airflow. Writes Parquet files and uploads them to Snowflake.</w:t>
            </w:r>
          </w:p>
        </w:tc>
      </w:tr>
      <w:tr w:rsidR="00BD0EA8">
        <w:tblPrEx>
          <w:tblCellMar>
            <w:top w:w="0" w:type="dxa"/>
            <w:bottom w:w="0" w:type="dxa"/>
          </w:tblCellMar>
        </w:tblPrEx>
        <w:trPr>
          <w:cantSplit/>
        </w:trPr>
        <w:tc>
          <w:tcPr>
            <w:tcW w:w="23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b/>
                <w:bCs/>
                <w:sz w:val="19"/>
                <w:szCs w:val="19"/>
              </w:rPr>
              <w:t>Internal stage</w:t>
            </w:r>
          </w:p>
        </w:tc>
        <w:tc>
          <w:tcPr>
            <w:tcW w:w="73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Snowflake-managed landing area for uploaded files. No separate cloud storage account needed.</w:t>
            </w:r>
          </w:p>
        </w:tc>
      </w:tr>
      <w:tr w:rsidR="00BD0EA8">
        <w:tblPrEx>
          <w:tblCellMar>
            <w:top w:w="0" w:type="dxa"/>
            <w:bottom w:w="0" w:type="dxa"/>
          </w:tblCellMar>
        </w:tblPrEx>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b/>
                <w:bCs/>
                <w:sz w:val="19"/>
                <w:szCs w:val="19"/>
              </w:rPr>
              <w:t>RAW schema</w:t>
            </w:r>
          </w:p>
        </w:tc>
        <w:tc>
          <w:tcPr>
            <w:tcW w:w="7338"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Landing tables for historical files and delta change batches.</w:t>
            </w:r>
          </w:p>
        </w:tc>
      </w:tr>
      <w:tr w:rsidR="00BD0EA8">
        <w:tblPrEx>
          <w:tblCellMar>
            <w:top w:w="0" w:type="dxa"/>
            <w:bottom w:w="0" w:type="dxa"/>
          </w:tblCellMar>
        </w:tblPrEx>
        <w:trPr>
          <w:cantSplit/>
        </w:trPr>
        <w:tc>
          <w:tcPr>
            <w:tcW w:w="23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b/>
                <w:bCs/>
                <w:sz w:val="19"/>
                <w:szCs w:val="19"/>
              </w:rPr>
              <w:t>CURATED schema</w:t>
            </w:r>
          </w:p>
        </w:tc>
        <w:tc>
          <w:tcPr>
            <w:tcW w:w="73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Final tables that mirror SQL Server, kept current with MERGE (inserts, updates, deletes).</w:t>
            </w:r>
          </w:p>
        </w:tc>
      </w:tr>
      <w:tr w:rsidR="00BD0EA8">
        <w:tblPrEx>
          <w:tblCellMar>
            <w:top w:w="0" w:type="dxa"/>
            <w:bottom w:w="0" w:type="dxa"/>
          </w:tblCellMar>
        </w:tblPrEx>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b/>
                <w:bCs/>
                <w:sz w:val="19"/>
                <w:szCs w:val="19"/>
              </w:rPr>
              <w:t>AUDIT schema</w:t>
            </w:r>
          </w:p>
        </w:tc>
        <w:tc>
          <w:tcPr>
            <w:tcW w:w="7338"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Load log, Change Tracking versions, row counts and reconciliation results.</w:t>
            </w:r>
          </w:p>
        </w:tc>
      </w:tr>
    </w:tbl>
    <w:p w:rsidR="00BD0EA8" w:rsidRDefault="00BD0EA8">
      <w:pPr>
        <w:spacing w:after="120"/>
      </w:pPr>
    </w:p>
    <w:p w:rsidR="00BD0EA8" w:rsidRDefault="00C7158E">
      <w:pPr>
        <w:spacing w:after="120" w:line="276" w:lineRule="auto"/>
      </w:pPr>
      <w:r>
        <w:lastRenderedPageBreak/>
        <w:t>The flow is: SQL Server → Python extract → Parquet files → PUT to internal stage → COPY INTO RAW → MERGE into CURATED → reconciliation. The process flow diagram (Appendix) shows the full picture, including the alternative delta options.</w:t>
      </w:r>
    </w:p>
    <w:p w:rsidR="00BD0EA8" w:rsidRDefault="00C7158E">
      <w:r>
        <w:br w:type="page"/>
      </w:r>
    </w:p>
    <w:p w:rsidR="00BD0EA8" w:rsidRDefault="00C7158E">
      <w:pPr>
        <w:pStyle w:val="Heading1"/>
      </w:pPr>
      <w:r>
        <w:lastRenderedPageBreak/>
        <w:t>5. Historical Loa</w:t>
      </w:r>
      <w:r>
        <w:t>d Options</w:t>
      </w:r>
    </w:p>
    <w:p w:rsidR="00BD0EA8" w:rsidRDefault="00C7158E">
      <w:pPr>
        <w:spacing w:after="120" w:line="276" w:lineRule="auto"/>
      </w:pPr>
      <w:r>
        <w:t xml:space="preserve">The historical load moves all existing data once. At 3–4 TB, the main concerns are speed, </w:t>
      </w:r>
      <w:r w:rsidR="00423D66">
        <w:t>restart ability</w:t>
      </w:r>
      <w:bookmarkStart w:id="0" w:name="_GoBack"/>
      <w:bookmarkEnd w:id="0"/>
      <w:r>
        <w:t>, data accuracy (especially Unicode and binary columns), and keeping load off the live source.</w:t>
      </w:r>
    </w:p>
    <w:p w:rsidR="00BD0EA8" w:rsidRDefault="00C7158E">
      <w:pPr>
        <w:pStyle w:val="Heading3"/>
      </w:pPr>
      <w:r>
        <w:t>H1 · Python extract → Parquet → PUT → COPY INTO</w:t>
      </w:r>
    </w:p>
    <w:p w:rsidR="00BD0EA8" w:rsidRDefault="00C7158E">
      <w:pPr>
        <w:spacing w:after="100"/>
      </w:pPr>
      <w:r>
        <w:rPr>
          <w:b/>
          <w:bCs/>
          <w:color w:val="5F6B7A"/>
          <w:sz w:val="20"/>
          <w:szCs w:val="20"/>
        </w:rPr>
        <w:t xml:space="preserve">Verdict: </w:t>
      </w:r>
      <w:r>
        <w:rPr>
          <w:b/>
          <w:bCs/>
          <w:color w:val="2E7D32"/>
          <w:sz w:val="20"/>
          <w:szCs w:val="20"/>
        </w:rPr>
        <w:t>RECOMMENDED</w:t>
      </w:r>
    </w:p>
    <w:p w:rsidR="00BD0EA8" w:rsidRDefault="00C7158E">
      <w:pPr>
        <w:spacing w:after="120" w:line="276" w:lineRule="auto"/>
      </w:pPr>
      <w:r>
        <w:t>Python (pyodbc + pyarrow) reads each table in chunks by date or key range and writes compressed Parquet files of 100–250 MB. Files are uploaded to a Snowflake internal stage with PUT and loaded with COPY INTO.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D0EA8">
        <w:tblPrEx>
          <w:tblCellMar>
            <w:top w:w="0" w:type="dxa"/>
            <w:bottom w:w="0" w:type="dxa"/>
          </w:tblCellMar>
        </w:tblPrEx>
        <w:tc>
          <w:tcPr>
            <w:tcW w:w="4819" w:type="dxa"/>
            <w:tcBorders>
              <w:top w:val="single" w:sz="4" w:space="0" w:color="C9D1DA"/>
              <w:left w:val="single" w:sz="4" w:space="0" w:color="C9D1DA"/>
              <w:bottom w:val="single" w:sz="4" w:space="0" w:color="C9D1DA"/>
              <w:right w:val="single" w:sz="4" w:space="0" w:color="C9D1DA"/>
            </w:tcBorders>
            <w:shd w:val="clear" w:color="auto" w:fill="E8F5E9"/>
            <w:tcMar>
              <w:top w:w="70" w:type="dxa"/>
              <w:left w:w="110" w:type="dxa"/>
              <w:bottom w:w="70" w:type="dxa"/>
              <w:right w:w="110" w:type="dxa"/>
            </w:tcMar>
          </w:tcPr>
          <w:p w:rsidR="00BD0EA8" w:rsidRDefault="00C7158E">
            <w:pPr>
              <w:spacing w:after="40"/>
            </w:pPr>
            <w:r>
              <w:rPr>
                <w:b/>
                <w:bCs/>
                <w:color w:val="2E7D32"/>
                <w:sz w:val="19"/>
                <w:szCs w:val="19"/>
              </w:rPr>
              <w:t>Pros</w:t>
            </w:r>
          </w:p>
        </w:tc>
        <w:tc>
          <w:tcPr>
            <w:tcW w:w="4819" w:type="dxa"/>
            <w:tcBorders>
              <w:top w:val="single" w:sz="4" w:space="0" w:color="C9D1DA"/>
              <w:left w:val="single" w:sz="4" w:space="0" w:color="C9D1DA"/>
              <w:bottom w:val="single" w:sz="4" w:space="0" w:color="C9D1DA"/>
              <w:right w:val="single" w:sz="4" w:space="0" w:color="C9D1DA"/>
            </w:tcBorders>
            <w:shd w:val="clear" w:color="auto" w:fill="FDF2F1"/>
            <w:tcMar>
              <w:top w:w="70" w:type="dxa"/>
              <w:left w:w="110" w:type="dxa"/>
              <w:bottom w:w="70" w:type="dxa"/>
              <w:right w:w="110" w:type="dxa"/>
            </w:tcMar>
          </w:tcPr>
          <w:p w:rsidR="00BD0EA8" w:rsidRDefault="00C7158E">
            <w:pPr>
              <w:spacing w:after="40"/>
            </w:pPr>
            <w:r>
              <w:rPr>
                <w:b/>
                <w:bCs/>
                <w:color w:val="B42318"/>
                <w:sz w:val="19"/>
                <w:szCs w:val="19"/>
              </w:rPr>
              <w:t>Cons</w:t>
            </w:r>
          </w:p>
        </w:tc>
      </w:tr>
      <w:tr w:rsidR="00BD0EA8">
        <w:tblPrEx>
          <w:tblCellMar>
            <w:top w:w="0" w:type="dxa"/>
            <w:bottom w:w="0" w:type="dxa"/>
          </w:tblCellMar>
        </w:tblPrEx>
        <w:tc>
          <w:tcPr>
            <w:tcW w:w="4819"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pStyle w:val="ListParagraph"/>
              <w:numPr>
                <w:ilvl w:val="0"/>
                <w:numId w:val="2"/>
              </w:numPr>
              <w:spacing w:after="30"/>
            </w:pPr>
            <w:r>
              <w:rPr>
                <w:sz w:val="19"/>
                <w:szCs w:val="19"/>
              </w:rPr>
              <w:t>Parquet keeps data types, so nvarchar (Unicode), varbinary and decimals arrive exactly as stored</w:t>
            </w:r>
          </w:p>
          <w:p w:rsidR="00BD0EA8" w:rsidRDefault="00C7158E">
            <w:pPr>
              <w:pStyle w:val="ListParagraph"/>
              <w:numPr>
                <w:ilvl w:val="0"/>
                <w:numId w:val="2"/>
              </w:numPr>
              <w:spacing w:after="30"/>
            </w:pPr>
            <w:r>
              <w:rPr>
                <w:sz w:val="19"/>
                <w:szCs w:val="19"/>
              </w:rPr>
              <w:t>No delimiter, quoting or line-break issues in text data</w:t>
            </w:r>
          </w:p>
          <w:p w:rsidR="00BD0EA8" w:rsidRDefault="00C7158E">
            <w:pPr>
              <w:pStyle w:val="ListParagraph"/>
              <w:numPr>
                <w:ilvl w:val="0"/>
                <w:numId w:val="2"/>
              </w:numPr>
              <w:spacing w:after="30"/>
            </w:pPr>
            <w:r>
              <w:rPr>
                <w:sz w:val="19"/>
                <w:szCs w:val="19"/>
              </w:rPr>
              <w:t>3–5× compression reduces upload volume to roughly 0.8–1.3 TB</w:t>
            </w:r>
          </w:p>
          <w:p w:rsidR="00BD0EA8" w:rsidRDefault="00C7158E">
            <w:pPr>
              <w:pStyle w:val="ListParagraph"/>
              <w:numPr>
                <w:ilvl w:val="0"/>
                <w:numId w:val="2"/>
              </w:numPr>
              <w:spacing w:after="30"/>
            </w:pPr>
            <w:r>
              <w:rPr>
                <w:sz w:val="19"/>
                <w:szCs w:val="19"/>
              </w:rPr>
              <w:t>Chunked and restartable; failed chunks are</w:t>
            </w:r>
            <w:r>
              <w:rPr>
                <w:sz w:val="19"/>
                <w:szCs w:val="19"/>
              </w:rPr>
              <w:t xml:space="preserve"> re-run on their own</w:t>
            </w:r>
          </w:p>
          <w:p w:rsidR="00BD0EA8" w:rsidRDefault="00C7158E">
            <w:pPr>
              <w:pStyle w:val="ListParagraph"/>
              <w:numPr>
                <w:ilvl w:val="0"/>
                <w:numId w:val="2"/>
              </w:numPr>
              <w:spacing w:after="30"/>
            </w:pPr>
            <w:r>
              <w:rPr>
                <w:sz w:val="19"/>
                <w:szCs w:val="19"/>
              </w:rPr>
              <w:t>No licence cost; same code base reused for the delta sync</w:t>
            </w:r>
          </w:p>
          <w:p w:rsidR="00BD0EA8" w:rsidRDefault="00C7158E">
            <w:pPr>
              <w:pStyle w:val="ListParagraph"/>
              <w:numPr>
                <w:ilvl w:val="0"/>
                <w:numId w:val="2"/>
              </w:numPr>
              <w:spacing w:after="30"/>
            </w:pPr>
            <w:r>
              <w:rPr>
                <w:sz w:val="19"/>
                <w:szCs w:val="19"/>
              </w:rPr>
              <w:t>No intermediate cloud storage needed</w:t>
            </w:r>
          </w:p>
        </w:tc>
        <w:tc>
          <w:tcPr>
            <w:tcW w:w="4819"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pStyle w:val="ListParagraph"/>
              <w:numPr>
                <w:ilvl w:val="0"/>
                <w:numId w:val="2"/>
              </w:numPr>
              <w:spacing w:after="30"/>
            </w:pPr>
            <w:r>
              <w:rPr>
                <w:sz w:val="19"/>
                <w:szCs w:val="19"/>
              </w:rPr>
              <w:t>Framework must be built and tested (about 2–3 weeks)</w:t>
            </w:r>
          </w:p>
          <w:p w:rsidR="00BD0EA8" w:rsidRDefault="00C7158E">
            <w:pPr>
              <w:pStyle w:val="ListParagraph"/>
              <w:numPr>
                <w:ilvl w:val="0"/>
                <w:numId w:val="2"/>
              </w:numPr>
              <w:spacing w:after="30"/>
            </w:pPr>
            <w:r>
              <w:rPr>
                <w:sz w:val="19"/>
                <w:szCs w:val="19"/>
              </w:rPr>
              <w:t>Somewhat slower than bcp for raw extraction on very large tables</w:t>
            </w:r>
          </w:p>
          <w:p w:rsidR="00BD0EA8" w:rsidRDefault="00C7158E">
            <w:pPr>
              <w:pStyle w:val="ListParagraph"/>
              <w:numPr>
                <w:ilvl w:val="0"/>
                <w:numId w:val="2"/>
              </w:numPr>
              <w:spacing w:after="30"/>
            </w:pPr>
            <w:r>
              <w:rPr>
                <w:sz w:val="19"/>
                <w:szCs w:val="19"/>
              </w:rPr>
              <w:t>Needs a server with en</w:t>
            </w:r>
            <w:r>
              <w:rPr>
                <w:sz w:val="19"/>
                <w:szCs w:val="19"/>
              </w:rPr>
              <w:t>ough local disk for in-flight files</w:t>
            </w:r>
          </w:p>
        </w:tc>
      </w:tr>
    </w:tbl>
    <w:p w:rsidR="00BD0EA8" w:rsidRDefault="00C7158E">
      <w:pPr>
        <w:spacing w:before="100" w:after="200"/>
      </w:pPr>
      <w:r>
        <w:rPr>
          <w:b/>
          <w:bCs/>
          <w:color w:val="333F4C"/>
          <w:sz w:val="20"/>
          <w:szCs w:val="20"/>
        </w:rPr>
        <w:t xml:space="preserve">When it fits: </w:t>
      </w:r>
      <w:r>
        <w:rPr>
          <w:color w:val="333F4C"/>
          <w:sz w:val="20"/>
          <w:szCs w:val="20"/>
        </w:rPr>
        <w:t>Default choice for all tables in this migration.</w:t>
      </w:r>
    </w:p>
    <w:p w:rsidR="00BD0EA8" w:rsidRDefault="00C7158E">
      <w:pPr>
        <w:pStyle w:val="Heading3"/>
      </w:pPr>
      <w:r>
        <w:t>H2 · bcp export → delimited text → PUT → COPY INTO</w:t>
      </w:r>
    </w:p>
    <w:p w:rsidR="00BD0EA8" w:rsidRDefault="00C7158E">
      <w:pPr>
        <w:spacing w:after="100"/>
      </w:pPr>
      <w:r>
        <w:rPr>
          <w:b/>
          <w:bCs/>
          <w:color w:val="5F6B7A"/>
          <w:sz w:val="20"/>
          <w:szCs w:val="20"/>
        </w:rPr>
        <w:t xml:space="preserve">Verdict: </w:t>
      </w:r>
      <w:r>
        <w:rPr>
          <w:b/>
          <w:bCs/>
          <w:color w:val="B26A00"/>
          <w:sz w:val="20"/>
          <w:szCs w:val="20"/>
        </w:rPr>
        <w:t>USE SELECTIVELY</w:t>
      </w:r>
    </w:p>
    <w:p w:rsidR="00BD0EA8" w:rsidRDefault="00C7158E">
      <w:pPr>
        <w:spacing w:after="120" w:line="276" w:lineRule="auto"/>
      </w:pPr>
      <w:r>
        <w:t>bcp is Microsoft’s built-in bulk export utility. It writes tables or query results to flat files very quickly.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D0EA8">
        <w:tblPrEx>
          <w:tblCellMar>
            <w:top w:w="0" w:type="dxa"/>
            <w:bottom w:w="0" w:type="dxa"/>
          </w:tblCellMar>
        </w:tblPrEx>
        <w:tc>
          <w:tcPr>
            <w:tcW w:w="4819" w:type="dxa"/>
            <w:tcBorders>
              <w:top w:val="single" w:sz="4" w:space="0" w:color="C9D1DA"/>
              <w:left w:val="single" w:sz="4" w:space="0" w:color="C9D1DA"/>
              <w:bottom w:val="single" w:sz="4" w:space="0" w:color="C9D1DA"/>
              <w:right w:val="single" w:sz="4" w:space="0" w:color="C9D1DA"/>
            </w:tcBorders>
            <w:shd w:val="clear" w:color="auto" w:fill="E8F5E9"/>
            <w:tcMar>
              <w:top w:w="70" w:type="dxa"/>
              <w:left w:w="110" w:type="dxa"/>
              <w:bottom w:w="70" w:type="dxa"/>
              <w:right w:w="110" w:type="dxa"/>
            </w:tcMar>
          </w:tcPr>
          <w:p w:rsidR="00BD0EA8" w:rsidRDefault="00C7158E">
            <w:pPr>
              <w:spacing w:after="40"/>
            </w:pPr>
            <w:r>
              <w:rPr>
                <w:b/>
                <w:bCs/>
                <w:color w:val="2E7D32"/>
                <w:sz w:val="19"/>
                <w:szCs w:val="19"/>
              </w:rPr>
              <w:t>Pros</w:t>
            </w:r>
          </w:p>
        </w:tc>
        <w:tc>
          <w:tcPr>
            <w:tcW w:w="4819" w:type="dxa"/>
            <w:tcBorders>
              <w:top w:val="single" w:sz="4" w:space="0" w:color="C9D1DA"/>
              <w:left w:val="single" w:sz="4" w:space="0" w:color="C9D1DA"/>
              <w:bottom w:val="single" w:sz="4" w:space="0" w:color="C9D1DA"/>
              <w:right w:val="single" w:sz="4" w:space="0" w:color="C9D1DA"/>
            </w:tcBorders>
            <w:shd w:val="clear" w:color="auto" w:fill="FDF2F1"/>
            <w:tcMar>
              <w:top w:w="70" w:type="dxa"/>
              <w:left w:w="110" w:type="dxa"/>
              <w:bottom w:w="70" w:type="dxa"/>
              <w:right w:w="110" w:type="dxa"/>
            </w:tcMar>
          </w:tcPr>
          <w:p w:rsidR="00BD0EA8" w:rsidRDefault="00C7158E">
            <w:pPr>
              <w:spacing w:after="40"/>
            </w:pPr>
            <w:r>
              <w:rPr>
                <w:b/>
                <w:bCs/>
                <w:color w:val="B42318"/>
                <w:sz w:val="19"/>
                <w:szCs w:val="19"/>
              </w:rPr>
              <w:t>Cons</w:t>
            </w:r>
          </w:p>
        </w:tc>
      </w:tr>
      <w:tr w:rsidR="00BD0EA8">
        <w:tblPrEx>
          <w:tblCellMar>
            <w:top w:w="0" w:type="dxa"/>
            <w:bottom w:w="0" w:type="dxa"/>
          </w:tblCellMar>
        </w:tblPrEx>
        <w:tc>
          <w:tcPr>
            <w:tcW w:w="4819"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pStyle w:val="ListParagraph"/>
              <w:numPr>
                <w:ilvl w:val="0"/>
                <w:numId w:val="2"/>
              </w:numPr>
              <w:spacing w:after="30"/>
            </w:pPr>
            <w:r>
              <w:rPr>
                <w:sz w:val="19"/>
                <w:szCs w:val="19"/>
              </w:rPr>
              <w:t>Fastest raw export from SQL Server</w:t>
            </w:r>
          </w:p>
          <w:p w:rsidR="00BD0EA8" w:rsidRDefault="00C7158E">
            <w:pPr>
              <w:pStyle w:val="ListParagraph"/>
              <w:numPr>
                <w:ilvl w:val="0"/>
                <w:numId w:val="2"/>
              </w:numPr>
              <w:spacing w:after="30"/>
            </w:pPr>
            <w:r>
              <w:rPr>
                <w:sz w:val="19"/>
                <w:szCs w:val="19"/>
              </w:rPr>
              <w:t>Built in – nothing to install on Windows</w:t>
            </w:r>
          </w:p>
          <w:p w:rsidR="00BD0EA8" w:rsidRDefault="00C7158E">
            <w:pPr>
              <w:pStyle w:val="ListParagraph"/>
              <w:numPr>
                <w:ilvl w:val="0"/>
                <w:numId w:val="2"/>
              </w:numPr>
              <w:spacing w:after="30"/>
            </w:pPr>
            <w:r>
              <w:rPr>
                <w:sz w:val="19"/>
                <w:szCs w:val="19"/>
              </w:rPr>
              <w:t>Simple to script</w:t>
            </w:r>
          </w:p>
        </w:tc>
        <w:tc>
          <w:tcPr>
            <w:tcW w:w="4819"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pStyle w:val="ListParagraph"/>
              <w:numPr>
                <w:ilvl w:val="0"/>
                <w:numId w:val="2"/>
              </w:numPr>
              <w:spacing w:after="30"/>
            </w:pPr>
            <w:r>
              <w:rPr>
                <w:sz w:val="19"/>
                <w:szCs w:val="19"/>
              </w:rPr>
              <w:t>Text output only: no Parquet, no proper CSV quoting</w:t>
            </w:r>
          </w:p>
          <w:p w:rsidR="00BD0EA8" w:rsidRDefault="00C7158E">
            <w:pPr>
              <w:pStyle w:val="ListParagraph"/>
              <w:numPr>
                <w:ilvl w:val="0"/>
                <w:numId w:val="2"/>
              </w:numPr>
              <w:spacing w:after="30"/>
            </w:pPr>
            <w:r>
              <w:rPr>
                <w:sz w:val="19"/>
                <w:szCs w:val="19"/>
              </w:rPr>
              <w:t>Unicode (nvarchar) needs careful encoding settings or characters can be corrupted</w:t>
            </w:r>
          </w:p>
          <w:p w:rsidR="00BD0EA8" w:rsidRDefault="00C7158E">
            <w:pPr>
              <w:pStyle w:val="ListParagraph"/>
              <w:numPr>
                <w:ilvl w:val="0"/>
                <w:numId w:val="2"/>
              </w:numPr>
              <w:spacing w:after="30"/>
            </w:pPr>
            <w:r>
              <w:rPr>
                <w:sz w:val="19"/>
                <w:szCs w:val="19"/>
              </w:rPr>
              <w:t>varbinary is written as hex; char columns keep trailing-space padding</w:t>
            </w:r>
          </w:p>
          <w:p w:rsidR="00BD0EA8" w:rsidRDefault="00C7158E">
            <w:pPr>
              <w:pStyle w:val="ListParagraph"/>
              <w:numPr>
                <w:ilvl w:val="0"/>
                <w:numId w:val="2"/>
              </w:numPr>
              <w:spacing w:after="30"/>
            </w:pPr>
            <w:r>
              <w:rPr>
                <w:sz w:val="19"/>
                <w:szCs w:val="19"/>
              </w:rPr>
              <w:t>Files must be compressed separately; more file-forma</w:t>
            </w:r>
            <w:r>
              <w:rPr>
                <w:sz w:val="19"/>
                <w:szCs w:val="19"/>
              </w:rPr>
              <w:t>t tuning in Snowflake</w:t>
            </w:r>
          </w:p>
        </w:tc>
      </w:tr>
    </w:tbl>
    <w:p w:rsidR="00BD0EA8" w:rsidRDefault="00C7158E">
      <w:pPr>
        <w:spacing w:before="100" w:after="200"/>
      </w:pPr>
      <w:r>
        <w:rPr>
          <w:b/>
          <w:bCs/>
          <w:color w:val="333F4C"/>
          <w:sz w:val="20"/>
          <w:szCs w:val="20"/>
        </w:rPr>
        <w:t xml:space="preserve">When it fits: </w:t>
      </w:r>
      <w:r>
        <w:rPr>
          <w:color w:val="333F4C"/>
          <w:sz w:val="20"/>
          <w:szCs w:val="20"/>
        </w:rPr>
        <w:t>Very large tables that contain only numeric and date columns, where export speed matters most.</w:t>
      </w:r>
    </w:p>
    <w:p w:rsidR="00BD0EA8" w:rsidRDefault="00C7158E">
      <w:pPr>
        <w:pStyle w:val="Heading3"/>
      </w:pPr>
      <w:r>
        <w:t>H3 · Built-in snapshot of a connector (Openflow, Fivetran/HVR, Qlik)</w:t>
      </w:r>
    </w:p>
    <w:p w:rsidR="00BD0EA8" w:rsidRDefault="00C7158E">
      <w:pPr>
        <w:spacing w:after="100"/>
      </w:pPr>
      <w:r>
        <w:rPr>
          <w:b/>
          <w:bCs/>
          <w:color w:val="5F6B7A"/>
          <w:sz w:val="20"/>
          <w:szCs w:val="20"/>
        </w:rPr>
        <w:t xml:space="preserve">Verdict: </w:t>
      </w:r>
      <w:r>
        <w:rPr>
          <w:b/>
          <w:bCs/>
          <w:color w:val="B42318"/>
          <w:sz w:val="20"/>
          <w:szCs w:val="20"/>
        </w:rPr>
        <w:t>NOT RECOMMENDED</w:t>
      </w:r>
    </w:p>
    <w:p w:rsidR="00BD0EA8" w:rsidRDefault="00C7158E">
      <w:pPr>
        <w:spacing w:after="120" w:line="276" w:lineRule="auto"/>
      </w:pPr>
      <w:r>
        <w:t>Replication tools start with a full snapshot of each table before switching to change capture.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D0EA8">
        <w:tblPrEx>
          <w:tblCellMar>
            <w:top w:w="0" w:type="dxa"/>
            <w:bottom w:w="0" w:type="dxa"/>
          </w:tblCellMar>
        </w:tblPrEx>
        <w:tc>
          <w:tcPr>
            <w:tcW w:w="4819" w:type="dxa"/>
            <w:tcBorders>
              <w:top w:val="single" w:sz="4" w:space="0" w:color="C9D1DA"/>
              <w:left w:val="single" w:sz="4" w:space="0" w:color="C9D1DA"/>
              <w:bottom w:val="single" w:sz="4" w:space="0" w:color="C9D1DA"/>
              <w:right w:val="single" w:sz="4" w:space="0" w:color="C9D1DA"/>
            </w:tcBorders>
            <w:shd w:val="clear" w:color="auto" w:fill="E8F5E9"/>
            <w:tcMar>
              <w:top w:w="70" w:type="dxa"/>
              <w:left w:w="110" w:type="dxa"/>
              <w:bottom w:w="70" w:type="dxa"/>
              <w:right w:w="110" w:type="dxa"/>
            </w:tcMar>
          </w:tcPr>
          <w:p w:rsidR="00BD0EA8" w:rsidRDefault="00C7158E">
            <w:pPr>
              <w:spacing w:after="40"/>
            </w:pPr>
            <w:r>
              <w:rPr>
                <w:b/>
                <w:bCs/>
                <w:color w:val="2E7D32"/>
                <w:sz w:val="19"/>
                <w:szCs w:val="19"/>
              </w:rPr>
              <w:t>Pros</w:t>
            </w:r>
          </w:p>
        </w:tc>
        <w:tc>
          <w:tcPr>
            <w:tcW w:w="4819" w:type="dxa"/>
            <w:tcBorders>
              <w:top w:val="single" w:sz="4" w:space="0" w:color="C9D1DA"/>
              <w:left w:val="single" w:sz="4" w:space="0" w:color="C9D1DA"/>
              <w:bottom w:val="single" w:sz="4" w:space="0" w:color="C9D1DA"/>
              <w:right w:val="single" w:sz="4" w:space="0" w:color="C9D1DA"/>
            </w:tcBorders>
            <w:shd w:val="clear" w:color="auto" w:fill="FDF2F1"/>
            <w:tcMar>
              <w:top w:w="70" w:type="dxa"/>
              <w:left w:w="110" w:type="dxa"/>
              <w:bottom w:w="70" w:type="dxa"/>
              <w:right w:w="110" w:type="dxa"/>
            </w:tcMar>
          </w:tcPr>
          <w:p w:rsidR="00BD0EA8" w:rsidRDefault="00C7158E">
            <w:pPr>
              <w:spacing w:after="40"/>
            </w:pPr>
            <w:r>
              <w:rPr>
                <w:b/>
                <w:bCs/>
                <w:color w:val="B42318"/>
                <w:sz w:val="19"/>
                <w:szCs w:val="19"/>
              </w:rPr>
              <w:t>Cons</w:t>
            </w:r>
          </w:p>
        </w:tc>
      </w:tr>
      <w:tr w:rsidR="00BD0EA8">
        <w:tblPrEx>
          <w:tblCellMar>
            <w:top w:w="0" w:type="dxa"/>
            <w:bottom w:w="0" w:type="dxa"/>
          </w:tblCellMar>
        </w:tblPrEx>
        <w:tc>
          <w:tcPr>
            <w:tcW w:w="4819"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pStyle w:val="ListParagraph"/>
              <w:numPr>
                <w:ilvl w:val="0"/>
                <w:numId w:val="2"/>
              </w:numPr>
              <w:spacing w:after="30"/>
            </w:pPr>
            <w:r>
              <w:rPr>
                <w:sz w:val="19"/>
                <w:szCs w:val="19"/>
              </w:rPr>
              <w:t>One tool for history and delta</w:t>
            </w:r>
          </w:p>
          <w:p w:rsidR="00BD0EA8" w:rsidRDefault="00C7158E">
            <w:pPr>
              <w:pStyle w:val="ListParagraph"/>
              <w:numPr>
                <w:ilvl w:val="0"/>
                <w:numId w:val="2"/>
              </w:numPr>
              <w:spacing w:after="30"/>
            </w:pPr>
            <w:r>
              <w:rPr>
                <w:sz w:val="19"/>
                <w:szCs w:val="19"/>
              </w:rPr>
              <w:t>Tool handles the switch from snapshot to changes automatically</w:t>
            </w:r>
          </w:p>
        </w:tc>
        <w:tc>
          <w:tcPr>
            <w:tcW w:w="4819"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pStyle w:val="ListParagraph"/>
              <w:numPr>
                <w:ilvl w:val="0"/>
                <w:numId w:val="2"/>
              </w:numPr>
              <w:spacing w:after="30"/>
            </w:pPr>
            <w:r>
              <w:rPr>
                <w:sz w:val="19"/>
                <w:szCs w:val="19"/>
              </w:rPr>
              <w:t>Reads the live source continuously for a long period at 3–4 TB</w:t>
            </w:r>
          </w:p>
          <w:p w:rsidR="00BD0EA8" w:rsidRDefault="00C7158E">
            <w:pPr>
              <w:pStyle w:val="ListParagraph"/>
              <w:numPr>
                <w:ilvl w:val="0"/>
                <w:numId w:val="2"/>
              </w:numPr>
              <w:spacing w:after="30"/>
            </w:pPr>
            <w:r>
              <w:rPr>
                <w:sz w:val="19"/>
                <w:szCs w:val="19"/>
              </w:rPr>
              <w:t>Hard to control chunking, scheduling windows and partial re-runs</w:t>
            </w:r>
          </w:p>
          <w:p w:rsidR="00BD0EA8" w:rsidRDefault="00C7158E">
            <w:pPr>
              <w:pStyle w:val="ListParagraph"/>
              <w:numPr>
                <w:ilvl w:val="0"/>
                <w:numId w:val="2"/>
              </w:numPr>
              <w:spacing w:after="30"/>
            </w:pPr>
            <w:r>
              <w:rPr>
                <w:sz w:val="19"/>
                <w:szCs w:val="19"/>
              </w:rPr>
              <w:t>Long snapshots are more likely to fail and restart</w:t>
            </w:r>
          </w:p>
          <w:p w:rsidR="00BD0EA8" w:rsidRDefault="00C7158E">
            <w:pPr>
              <w:pStyle w:val="ListParagraph"/>
              <w:numPr>
                <w:ilvl w:val="0"/>
                <w:numId w:val="2"/>
              </w:numPr>
              <w:spacing w:after="30"/>
            </w:pPr>
            <w:r>
              <w:rPr>
                <w:sz w:val="19"/>
                <w:szCs w:val="19"/>
              </w:rPr>
              <w:t>For licensed tools, the historical volume can add significant cost</w:t>
            </w:r>
          </w:p>
        </w:tc>
      </w:tr>
    </w:tbl>
    <w:p w:rsidR="00BD0EA8" w:rsidRDefault="00C7158E">
      <w:pPr>
        <w:spacing w:before="100" w:after="200"/>
      </w:pPr>
      <w:r>
        <w:rPr>
          <w:b/>
          <w:bCs/>
          <w:color w:val="333F4C"/>
          <w:sz w:val="20"/>
          <w:szCs w:val="20"/>
        </w:rPr>
        <w:t xml:space="preserve">When it fits: </w:t>
      </w:r>
      <w:r>
        <w:rPr>
          <w:color w:val="333F4C"/>
          <w:sz w:val="20"/>
          <w:szCs w:val="20"/>
        </w:rPr>
        <w:t>Small to medium volumes (up to a few hundred GB). Not suitable here.</w:t>
      </w:r>
    </w:p>
    <w:p w:rsidR="00BD0EA8" w:rsidRDefault="00C7158E">
      <w:pPr>
        <w:pStyle w:val="Heading3"/>
      </w:pPr>
      <w:r>
        <w:lastRenderedPageBreak/>
        <w:t>H4 · Azure Data Factory or SSIS</w:t>
      </w:r>
    </w:p>
    <w:p w:rsidR="00BD0EA8" w:rsidRDefault="00C7158E">
      <w:pPr>
        <w:spacing w:after="100"/>
      </w:pPr>
      <w:r>
        <w:rPr>
          <w:b/>
          <w:bCs/>
          <w:color w:val="5F6B7A"/>
          <w:sz w:val="20"/>
          <w:szCs w:val="20"/>
        </w:rPr>
        <w:t xml:space="preserve">Verdict: </w:t>
      </w:r>
      <w:r>
        <w:rPr>
          <w:b/>
          <w:bCs/>
          <w:color w:val="B42318"/>
          <w:sz w:val="20"/>
          <w:szCs w:val="20"/>
        </w:rPr>
        <w:t>NOT RECOMMENDED</w:t>
      </w:r>
    </w:p>
    <w:p w:rsidR="00BD0EA8" w:rsidRDefault="00C7158E">
      <w:pPr>
        <w:spacing w:after="120" w:line="276" w:lineRule="auto"/>
      </w:pPr>
      <w:r>
        <w:t>Microsoft ETL tools with Snowflake connectors.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D0EA8">
        <w:tblPrEx>
          <w:tblCellMar>
            <w:top w:w="0" w:type="dxa"/>
            <w:bottom w:w="0" w:type="dxa"/>
          </w:tblCellMar>
        </w:tblPrEx>
        <w:tc>
          <w:tcPr>
            <w:tcW w:w="4819" w:type="dxa"/>
            <w:tcBorders>
              <w:top w:val="single" w:sz="4" w:space="0" w:color="C9D1DA"/>
              <w:left w:val="single" w:sz="4" w:space="0" w:color="C9D1DA"/>
              <w:bottom w:val="single" w:sz="4" w:space="0" w:color="C9D1DA"/>
              <w:right w:val="single" w:sz="4" w:space="0" w:color="C9D1DA"/>
            </w:tcBorders>
            <w:shd w:val="clear" w:color="auto" w:fill="E8F5E9"/>
            <w:tcMar>
              <w:top w:w="70" w:type="dxa"/>
              <w:left w:w="110" w:type="dxa"/>
              <w:bottom w:w="70" w:type="dxa"/>
              <w:right w:w="110" w:type="dxa"/>
            </w:tcMar>
          </w:tcPr>
          <w:p w:rsidR="00BD0EA8" w:rsidRDefault="00C7158E">
            <w:pPr>
              <w:spacing w:after="40"/>
            </w:pPr>
            <w:r>
              <w:rPr>
                <w:b/>
                <w:bCs/>
                <w:color w:val="2E7D32"/>
                <w:sz w:val="19"/>
                <w:szCs w:val="19"/>
              </w:rPr>
              <w:t>Pros</w:t>
            </w:r>
          </w:p>
        </w:tc>
        <w:tc>
          <w:tcPr>
            <w:tcW w:w="4819" w:type="dxa"/>
            <w:tcBorders>
              <w:top w:val="single" w:sz="4" w:space="0" w:color="C9D1DA"/>
              <w:left w:val="single" w:sz="4" w:space="0" w:color="C9D1DA"/>
              <w:bottom w:val="single" w:sz="4" w:space="0" w:color="C9D1DA"/>
              <w:right w:val="single" w:sz="4" w:space="0" w:color="C9D1DA"/>
            </w:tcBorders>
            <w:shd w:val="clear" w:color="auto" w:fill="FDF2F1"/>
            <w:tcMar>
              <w:top w:w="70" w:type="dxa"/>
              <w:left w:w="110" w:type="dxa"/>
              <w:bottom w:w="70" w:type="dxa"/>
              <w:right w:w="110" w:type="dxa"/>
            </w:tcMar>
          </w:tcPr>
          <w:p w:rsidR="00BD0EA8" w:rsidRDefault="00C7158E">
            <w:pPr>
              <w:spacing w:after="40"/>
            </w:pPr>
            <w:r>
              <w:rPr>
                <w:b/>
                <w:bCs/>
                <w:color w:val="B42318"/>
                <w:sz w:val="19"/>
                <w:szCs w:val="19"/>
              </w:rPr>
              <w:t>Cons</w:t>
            </w:r>
          </w:p>
        </w:tc>
      </w:tr>
      <w:tr w:rsidR="00BD0EA8">
        <w:tblPrEx>
          <w:tblCellMar>
            <w:top w:w="0" w:type="dxa"/>
            <w:bottom w:w="0" w:type="dxa"/>
          </w:tblCellMar>
        </w:tblPrEx>
        <w:tc>
          <w:tcPr>
            <w:tcW w:w="4819"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pStyle w:val="ListParagraph"/>
              <w:numPr>
                <w:ilvl w:val="0"/>
                <w:numId w:val="2"/>
              </w:numPr>
              <w:spacing w:after="30"/>
            </w:pPr>
            <w:r>
              <w:rPr>
                <w:sz w:val="19"/>
                <w:szCs w:val="19"/>
              </w:rPr>
              <w:t>Familiar to SQL Server teams</w:t>
            </w:r>
          </w:p>
          <w:p w:rsidR="00BD0EA8" w:rsidRDefault="00C7158E">
            <w:pPr>
              <w:pStyle w:val="ListParagraph"/>
              <w:numPr>
                <w:ilvl w:val="0"/>
                <w:numId w:val="2"/>
              </w:numPr>
              <w:spacing w:after="30"/>
            </w:pPr>
            <w:r>
              <w:rPr>
                <w:sz w:val="19"/>
                <w:szCs w:val="19"/>
              </w:rPr>
              <w:t>Visual development</w:t>
            </w:r>
          </w:p>
        </w:tc>
        <w:tc>
          <w:tcPr>
            <w:tcW w:w="4819"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pStyle w:val="ListParagraph"/>
              <w:numPr>
                <w:ilvl w:val="0"/>
                <w:numId w:val="2"/>
              </w:numPr>
              <w:spacing w:after="30"/>
            </w:pPr>
            <w:r>
              <w:rPr>
                <w:sz w:val="19"/>
                <w:szCs w:val="19"/>
              </w:rPr>
              <w:t>ADF’s Snowflake copy needs Azure Blob Storage as an intermediate stage – an extra cloud component to buy and secure</w:t>
            </w:r>
          </w:p>
          <w:p w:rsidR="00BD0EA8" w:rsidRDefault="00C7158E">
            <w:pPr>
              <w:pStyle w:val="ListParagraph"/>
              <w:numPr>
                <w:ilvl w:val="0"/>
                <w:numId w:val="2"/>
              </w:numPr>
              <w:spacing w:after="30"/>
            </w:pPr>
            <w:r>
              <w:rPr>
                <w:sz w:val="19"/>
                <w:szCs w:val="19"/>
              </w:rPr>
              <w:t>SSIS needs third-party Snowflake components or slow row-by-row ODBC loads</w:t>
            </w:r>
          </w:p>
          <w:p w:rsidR="00BD0EA8" w:rsidRDefault="00C7158E">
            <w:pPr>
              <w:pStyle w:val="ListParagraph"/>
              <w:numPr>
                <w:ilvl w:val="0"/>
                <w:numId w:val="2"/>
              </w:numPr>
              <w:spacing w:after="30"/>
            </w:pPr>
            <w:r>
              <w:rPr>
                <w:sz w:val="19"/>
                <w:szCs w:val="19"/>
              </w:rPr>
              <w:t>Adds a tool the team must learn alongside Snowflake, for no gain o</w:t>
            </w:r>
            <w:r>
              <w:rPr>
                <w:sz w:val="19"/>
                <w:szCs w:val="19"/>
              </w:rPr>
              <w:t>ver H1</w:t>
            </w:r>
          </w:p>
        </w:tc>
      </w:tr>
    </w:tbl>
    <w:p w:rsidR="00BD0EA8" w:rsidRDefault="00C7158E">
      <w:pPr>
        <w:spacing w:before="100" w:after="200"/>
      </w:pPr>
      <w:r>
        <w:rPr>
          <w:b/>
          <w:bCs/>
          <w:color w:val="333F4C"/>
          <w:sz w:val="20"/>
          <w:szCs w:val="20"/>
        </w:rPr>
        <w:t xml:space="preserve">When it fits: </w:t>
      </w:r>
      <w:r>
        <w:rPr>
          <w:color w:val="333F4C"/>
          <w:sz w:val="20"/>
          <w:szCs w:val="20"/>
        </w:rPr>
        <w:t xml:space="preserve">Only if the </w:t>
      </w:r>
      <w:r w:rsidR="00423D66">
        <w:rPr>
          <w:color w:val="333F4C"/>
          <w:sz w:val="20"/>
          <w:szCs w:val="20"/>
        </w:rPr>
        <w:t>Team</w:t>
      </w:r>
      <w:r>
        <w:rPr>
          <w:color w:val="333F4C"/>
          <w:sz w:val="20"/>
          <w:szCs w:val="20"/>
        </w:rPr>
        <w:t xml:space="preserve"> has already standardised on ADF and accepts Blob staging.</w:t>
      </w:r>
    </w:p>
    <w:p w:rsidR="00BD0EA8" w:rsidRDefault="00C7158E">
      <w:pPr>
        <w:pStyle w:val="Heading2"/>
      </w:pPr>
      <w:r>
        <w:t>5.1 Historical load – summary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00"/>
        <w:gridCol w:w="1600"/>
        <w:gridCol w:w="2038"/>
      </w:tblGrid>
      <w:tr w:rsidR="00BD0EA8">
        <w:tblPrEx>
          <w:tblCellMar>
            <w:top w:w="0" w:type="dxa"/>
            <w:bottom w:w="0" w:type="dxa"/>
          </w:tblCellMar>
        </w:tblPrEx>
        <w:trPr>
          <w:tblHeader/>
        </w:trPr>
        <w:tc>
          <w:tcPr>
            <w:tcW w:w="30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tcPr>
          <w:p w:rsidR="00BD0EA8" w:rsidRDefault="00C7158E">
            <w:pPr>
              <w:spacing w:after="40"/>
            </w:pPr>
            <w:r>
              <w:rPr>
                <w:b/>
                <w:bCs/>
                <w:color w:val="FFFFFF"/>
                <w:sz w:val="19"/>
                <w:szCs w:val="19"/>
              </w:rPr>
              <w:t>Option</w:t>
            </w:r>
          </w:p>
        </w:tc>
        <w:tc>
          <w:tcPr>
            <w:tcW w:w="15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tcPr>
          <w:p w:rsidR="00BD0EA8" w:rsidRDefault="00C7158E">
            <w:pPr>
              <w:spacing w:after="40"/>
            </w:pPr>
            <w:r>
              <w:rPr>
                <w:b/>
                <w:bCs/>
                <w:color w:val="FFFFFF"/>
                <w:sz w:val="19"/>
                <w:szCs w:val="19"/>
              </w:rPr>
              <w:t>Speed</w:t>
            </w:r>
          </w:p>
        </w:tc>
        <w:tc>
          <w:tcPr>
            <w:tcW w:w="15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tcPr>
          <w:p w:rsidR="00BD0EA8" w:rsidRDefault="00C7158E">
            <w:pPr>
              <w:spacing w:after="40"/>
            </w:pPr>
            <w:r>
              <w:rPr>
                <w:b/>
                <w:bCs/>
                <w:color w:val="FFFFFF"/>
                <w:sz w:val="19"/>
                <w:szCs w:val="19"/>
              </w:rPr>
              <w:t>Data accuracy</w:t>
            </w:r>
          </w:p>
        </w:tc>
        <w:tc>
          <w:tcPr>
            <w:tcW w:w="16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tcPr>
          <w:p w:rsidR="00BD0EA8" w:rsidRDefault="00C7158E">
            <w:pPr>
              <w:spacing w:after="40"/>
            </w:pPr>
            <w:r>
              <w:rPr>
                <w:b/>
                <w:bCs/>
                <w:color w:val="FFFFFF"/>
                <w:sz w:val="19"/>
                <w:szCs w:val="19"/>
              </w:rPr>
              <w:t>Cost</w:t>
            </w:r>
          </w:p>
        </w:tc>
        <w:tc>
          <w:tcPr>
            <w:tcW w:w="2038"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tcPr>
          <w:p w:rsidR="00BD0EA8" w:rsidRDefault="00C7158E">
            <w:pPr>
              <w:spacing w:after="40"/>
            </w:pPr>
            <w:r>
              <w:rPr>
                <w:b/>
                <w:bCs/>
                <w:color w:val="FFFFFF"/>
                <w:sz w:val="19"/>
                <w:szCs w:val="19"/>
              </w:rPr>
              <w:t>Verdict</w:t>
            </w:r>
          </w:p>
        </w:tc>
      </w:tr>
      <w:tr w:rsidR="00BD0EA8">
        <w:tblPrEx>
          <w:tblCellMar>
            <w:top w:w="0" w:type="dxa"/>
            <w:bottom w:w="0" w:type="dxa"/>
          </w:tblCellMar>
        </w:tblPrEx>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EEF7EF"/>
            <w:tcMar>
              <w:top w:w="70" w:type="dxa"/>
              <w:left w:w="110" w:type="dxa"/>
              <w:bottom w:w="70" w:type="dxa"/>
              <w:right w:w="110" w:type="dxa"/>
            </w:tcMar>
          </w:tcPr>
          <w:p w:rsidR="00BD0EA8" w:rsidRDefault="00C7158E">
            <w:pPr>
              <w:spacing w:after="40"/>
            </w:pPr>
            <w:r>
              <w:rPr>
                <w:b/>
                <w:bCs/>
                <w:sz w:val="19"/>
                <w:szCs w:val="19"/>
              </w:rPr>
              <w:t>H1 · Python → Parquet</w:t>
            </w:r>
          </w:p>
        </w:tc>
        <w:tc>
          <w:tcPr>
            <w:tcW w:w="1500" w:type="dxa"/>
            <w:tcBorders>
              <w:top w:val="single" w:sz="4" w:space="0" w:color="C9D1DA"/>
              <w:left w:val="single" w:sz="4" w:space="0" w:color="C9D1DA"/>
              <w:bottom w:val="single" w:sz="4" w:space="0" w:color="C9D1DA"/>
              <w:right w:val="single" w:sz="4" w:space="0" w:color="C9D1DA"/>
            </w:tcBorders>
            <w:shd w:val="clear" w:color="auto" w:fill="EEF7EF"/>
            <w:tcMar>
              <w:top w:w="70" w:type="dxa"/>
              <w:left w:w="110" w:type="dxa"/>
              <w:bottom w:w="70" w:type="dxa"/>
              <w:right w:w="110" w:type="dxa"/>
            </w:tcMar>
          </w:tcPr>
          <w:p w:rsidR="00BD0EA8" w:rsidRDefault="00C7158E">
            <w:pPr>
              <w:spacing w:after="40"/>
            </w:pPr>
            <w:r>
              <w:rPr>
                <w:sz w:val="19"/>
                <w:szCs w:val="19"/>
              </w:rPr>
              <w:t>High</w:t>
            </w:r>
          </w:p>
        </w:tc>
        <w:tc>
          <w:tcPr>
            <w:tcW w:w="1500" w:type="dxa"/>
            <w:tcBorders>
              <w:top w:val="single" w:sz="4" w:space="0" w:color="C9D1DA"/>
              <w:left w:val="single" w:sz="4" w:space="0" w:color="C9D1DA"/>
              <w:bottom w:val="single" w:sz="4" w:space="0" w:color="C9D1DA"/>
              <w:right w:val="single" w:sz="4" w:space="0" w:color="C9D1DA"/>
            </w:tcBorders>
            <w:shd w:val="clear" w:color="auto" w:fill="EEF7EF"/>
            <w:tcMar>
              <w:top w:w="70" w:type="dxa"/>
              <w:left w:w="110" w:type="dxa"/>
              <w:bottom w:w="70" w:type="dxa"/>
              <w:right w:w="110" w:type="dxa"/>
            </w:tcMar>
          </w:tcPr>
          <w:p w:rsidR="00BD0EA8" w:rsidRDefault="00C7158E">
            <w:pPr>
              <w:spacing w:after="40"/>
            </w:pPr>
            <w:r>
              <w:rPr>
                <w:sz w:val="19"/>
                <w:szCs w:val="19"/>
              </w:rPr>
              <w:t>Excellent</w:t>
            </w:r>
          </w:p>
        </w:tc>
        <w:tc>
          <w:tcPr>
            <w:tcW w:w="1600" w:type="dxa"/>
            <w:tcBorders>
              <w:top w:val="single" w:sz="4" w:space="0" w:color="C9D1DA"/>
              <w:left w:val="single" w:sz="4" w:space="0" w:color="C9D1DA"/>
              <w:bottom w:val="single" w:sz="4" w:space="0" w:color="C9D1DA"/>
              <w:right w:val="single" w:sz="4" w:space="0" w:color="C9D1DA"/>
            </w:tcBorders>
            <w:shd w:val="clear" w:color="auto" w:fill="EEF7EF"/>
            <w:tcMar>
              <w:top w:w="70" w:type="dxa"/>
              <w:left w:w="110" w:type="dxa"/>
              <w:bottom w:w="70" w:type="dxa"/>
              <w:right w:w="110" w:type="dxa"/>
            </w:tcMar>
          </w:tcPr>
          <w:p w:rsidR="00BD0EA8" w:rsidRDefault="00C7158E">
            <w:pPr>
              <w:spacing w:after="40"/>
            </w:pPr>
            <w:r>
              <w:rPr>
                <w:sz w:val="19"/>
                <w:szCs w:val="19"/>
              </w:rPr>
              <w:t>No licence</w:t>
            </w:r>
          </w:p>
        </w:tc>
        <w:tc>
          <w:tcPr>
            <w:tcW w:w="2038" w:type="dxa"/>
            <w:tcBorders>
              <w:top w:val="single" w:sz="4" w:space="0" w:color="C9D1DA"/>
              <w:left w:val="single" w:sz="4" w:space="0" w:color="C9D1DA"/>
              <w:bottom w:val="single" w:sz="4" w:space="0" w:color="C9D1DA"/>
              <w:right w:val="single" w:sz="4" w:space="0" w:color="C9D1DA"/>
            </w:tcBorders>
            <w:shd w:val="clear" w:color="auto" w:fill="EEF7EF"/>
            <w:tcMar>
              <w:top w:w="70" w:type="dxa"/>
              <w:left w:w="110" w:type="dxa"/>
              <w:bottom w:w="70" w:type="dxa"/>
              <w:right w:w="110" w:type="dxa"/>
            </w:tcMar>
          </w:tcPr>
          <w:p w:rsidR="00BD0EA8" w:rsidRDefault="00C7158E">
            <w:pPr>
              <w:spacing w:after="40"/>
            </w:pPr>
            <w:r>
              <w:rPr>
                <w:b/>
                <w:bCs/>
                <w:sz w:val="19"/>
                <w:szCs w:val="19"/>
              </w:rPr>
              <w:t>Recommended</w:t>
            </w:r>
          </w:p>
        </w:tc>
      </w:tr>
      <w:tr w:rsidR="00BD0EA8">
        <w:tblPrEx>
          <w:tblCellMar>
            <w:top w:w="0" w:type="dxa"/>
            <w:bottom w:w="0" w:type="dxa"/>
          </w:tblCellMar>
        </w:tblPrEx>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b/>
                <w:bCs/>
                <w:sz w:val="19"/>
                <w:szCs w:val="19"/>
              </w:rPr>
              <w:t>H2 · bcp → text</w:t>
            </w:r>
          </w:p>
        </w:tc>
        <w:tc>
          <w:tcPr>
            <w:tcW w:w="15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Very high</w:t>
            </w:r>
          </w:p>
        </w:tc>
        <w:tc>
          <w:tcPr>
            <w:tcW w:w="15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Needs care</w:t>
            </w:r>
          </w:p>
        </w:tc>
        <w:tc>
          <w:tcPr>
            <w:tcW w:w="16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No licence</w:t>
            </w:r>
          </w:p>
        </w:tc>
        <w:tc>
          <w:tcPr>
            <w:tcW w:w="2038"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Selective use</w:t>
            </w:r>
          </w:p>
        </w:tc>
      </w:tr>
      <w:tr w:rsidR="00BD0EA8">
        <w:tblPrEx>
          <w:tblCellMar>
            <w:top w:w="0" w:type="dxa"/>
            <w:bottom w:w="0" w:type="dxa"/>
          </w:tblCellMar>
        </w:tblPrEx>
        <w:trPr>
          <w:cantSplit/>
        </w:trPr>
        <w:tc>
          <w:tcPr>
            <w:tcW w:w="30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b/>
                <w:bCs/>
                <w:sz w:val="19"/>
                <w:szCs w:val="19"/>
              </w:rPr>
              <w:t>H3 · Connector snapshot</w:t>
            </w:r>
          </w:p>
        </w:tc>
        <w:tc>
          <w:tcPr>
            <w:tcW w:w="15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Medium</w:t>
            </w:r>
          </w:p>
        </w:tc>
        <w:tc>
          <w:tcPr>
            <w:tcW w:w="15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Good</w:t>
            </w:r>
          </w:p>
        </w:tc>
        <w:tc>
          <w:tcPr>
            <w:tcW w:w="16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Tool-dependent</w:t>
            </w:r>
          </w:p>
        </w:tc>
        <w:tc>
          <w:tcPr>
            <w:tcW w:w="20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Not recommended</w:t>
            </w:r>
          </w:p>
        </w:tc>
      </w:tr>
      <w:tr w:rsidR="00BD0EA8">
        <w:tblPrEx>
          <w:tblCellMar>
            <w:top w:w="0" w:type="dxa"/>
            <w:bottom w:w="0" w:type="dxa"/>
          </w:tblCellMar>
        </w:tblPrEx>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b/>
                <w:bCs/>
                <w:sz w:val="19"/>
                <w:szCs w:val="19"/>
              </w:rPr>
              <w:t>H4 · ADF / SSIS</w:t>
            </w:r>
          </w:p>
        </w:tc>
        <w:tc>
          <w:tcPr>
            <w:tcW w:w="15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Medium</w:t>
            </w:r>
          </w:p>
        </w:tc>
        <w:tc>
          <w:tcPr>
            <w:tcW w:w="15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Good</w:t>
            </w:r>
          </w:p>
        </w:tc>
        <w:tc>
          <w:tcPr>
            <w:tcW w:w="16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Extra cloud / licences</w:t>
            </w:r>
          </w:p>
        </w:tc>
        <w:tc>
          <w:tcPr>
            <w:tcW w:w="2038"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Not recommended</w:t>
            </w:r>
          </w:p>
        </w:tc>
      </w:tr>
    </w:tbl>
    <w:p w:rsidR="00BD0EA8" w:rsidRDefault="00C7158E">
      <w:r>
        <w:br w:type="page"/>
      </w:r>
    </w:p>
    <w:p w:rsidR="00BD0EA8" w:rsidRDefault="00C7158E">
      <w:pPr>
        <w:pStyle w:val="Heading1"/>
      </w:pPr>
      <w:r>
        <w:lastRenderedPageBreak/>
        <w:t>6. Delta (Ongoing Sync) Options</w:t>
      </w:r>
    </w:p>
    <w:p w:rsidR="00BD0EA8" w:rsidRDefault="00C7158E">
      <w:pPr>
        <w:spacing w:after="120" w:line="276" w:lineRule="auto"/>
      </w:pPr>
      <w:r>
        <w:t xml:space="preserve">After the historical load, Snowflake must keep receiving new rows, updates and deletes from the live SQL Server. The right option depends mainly on how fresh the data must be, what network access is allowed, and whether the </w:t>
      </w:r>
      <w:r w:rsidR="00423D66">
        <w:t>Team</w:t>
      </w:r>
      <w:r>
        <w:t xml:space="preserve"> prefers to build or buy.</w:t>
      </w:r>
    </w:p>
    <w:p w:rsidR="00BD0EA8" w:rsidRDefault="00C7158E">
      <w:pPr>
        <w:spacing w:after="120" w:line="276" w:lineRule="auto"/>
      </w:pPr>
      <w:r>
        <w:t xml:space="preserve">SQL Server offers two built-in ways to detect changes: </w:t>
      </w:r>
      <w:r>
        <w:rPr>
          <w:b/>
          <w:bCs/>
        </w:rPr>
        <w:t>Change Tracking</w:t>
      </w:r>
      <w:r>
        <w:t xml:space="preserve"> (lightweight; records which rows changed) and </w:t>
      </w:r>
      <w:r>
        <w:rPr>
          <w:b/>
          <w:bCs/>
        </w:rPr>
        <w:t>Change Data Capture</w:t>
      </w:r>
      <w:r>
        <w:t xml:space="preserve"> (heavier; records every change with full before/after values). For keeping a mirror copy current, Change Tracking is us</w:t>
      </w:r>
      <w:r>
        <w:t>ually enough and puts less load on the source.</w:t>
      </w:r>
    </w:p>
    <w:p w:rsidR="00BD0EA8" w:rsidRDefault="00C7158E">
      <w:pPr>
        <w:pStyle w:val="Heading3"/>
      </w:pPr>
      <w:r>
        <w:t>Option A · Snowflake Openflow – SQL Server connector</w:t>
      </w:r>
    </w:p>
    <w:p w:rsidR="00BD0EA8" w:rsidRDefault="00C7158E">
      <w:pPr>
        <w:spacing w:after="100"/>
      </w:pPr>
      <w:r>
        <w:rPr>
          <w:b/>
          <w:bCs/>
          <w:color w:val="5F6B7A"/>
          <w:sz w:val="20"/>
          <w:szCs w:val="20"/>
        </w:rPr>
        <w:t xml:space="preserve">Verdict: </w:t>
      </w:r>
      <w:r>
        <w:rPr>
          <w:b/>
          <w:bCs/>
          <w:color w:val="0B6E99"/>
          <w:sz w:val="20"/>
          <w:szCs w:val="20"/>
        </w:rPr>
        <w:t>ALTERNATIVE – KEEP OPEN</w:t>
      </w:r>
    </w:p>
    <w:p w:rsidR="00BD0EA8" w:rsidRDefault="00C7158E">
      <w:pPr>
        <w:spacing w:after="120" w:line="276" w:lineRule="auto"/>
      </w:pPr>
      <w:r>
        <w:t>Snowflake’s own data integration service. The SQL Server connector became generally available in August 2026 and supports initial snapshot, incremental sync using CDC or Change Tracking, and schema evolution, in near real-time or on a schedule.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D0EA8">
        <w:tblPrEx>
          <w:tblCellMar>
            <w:top w:w="0" w:type="dxa"/>
            <w:bottom w:w="0" w:type="dxa"/>
          </w:tblCellMar>
        </w:tblPrEx>
        <w:tc>
          <w:tcPr>
            <w:tcW w:w="4819" w:type="dxa"/>
            <w:tcBorders>
              <w:top w:val="single" w:sz="4" w:space="0" w:color="C9D1DA"/>
              <w:left w:val="single" w:sz="4" w:space="0" w:color="C9D1DA"/>
              <w:bottom w:val="single" w:sz="4" w:space="0" w:color="C9D1DA"/>
              <w:right w:val="single" w:sz="4" w:space="0" w:color="C9D1DA"/>
            </w:tcBorders>
            <w:shd w:val="clear" w:color="auto" w:fill="E8F5E9"/>
            <w:tcMar>
              <w:top w:w="70" w:type="dxa"/>
              <w:left w:w="110" w:type="dxa"/>
              <w:bottom w:w="70" w:type="dxa"/>
              <w:right w:w="110" w:type="dxa"/>
            </w:tcMar>
          </w:tcPr>
          <w:p w:rsidR="00BD0EA8" w:rsidRDefault="00C7158E">
            <w:pPr>
              <w:spacing w:after="40"/>
            </w:pPr>
            <w:r>
              <w:rPr>
                <w:b/>
                <w:bCs/>
                <w:color w:val="2E7D32"/>
                <w:sz w:val="19"/>
                <w:szCs w:val="19"/>
              </w:rPr>
              <w:t>Pros</w:t>
            </w:r>
          </w:p>
        </w:tc>
        <w:tc>
          <w:tcPr>
            <w:tcW w:w="4819" w:type="dxa"/>
            <w:tcBorders>
              <w:top w:val="single" w:sz="4" w:space="0" w:color="C9D1DA"/>
              <w:left w:val="single" w:sz="4" w:space="0" w:color="C9D1DA"/>
              <w:bottom w:val="single" w:sz="4" w:space="0" w:color="C9D1DA"/>
              <w:right w:val="single" w:sz="4" w:space="0" w:color="C9D1DA"/>
            </w:tcBorders>
            <w:shd w:val="clear" w:color="auto" w:fill="FDF2F1"/>
            <w:tcMar>
              <w:top w:w="70" w:type="dxa"/>
              <w:left w:w="110" w:type="dxa"/>
              <w:bottom w:w="70" w:type="dxa"/>
              <w:right w:w="110" w:type="dxa"/>
            </w:tcMar>
          </w:tcPr>
          <w:p w:rsidR="00BD0EA8" w:rsidRDefault="00C7158E">
            <w:pPr>
              <w:spacing w:after="40"/>
            </w:pPr>
            <w:r>
              <w:rPr>
                <w:b/>
                <w:bCs/>
                <w:color w:val="B42318"/>
                <w:sz w:val="19"/>
                <w:szCs w:val="19"/>
              </w:rPr>
              <w:t>Cons</w:t>
            </w:r>
          </w:p>
        </w:tc>
      </w:tr>
      <w:tr w:rsidR="00BD0EA8">
        <w:tblPrEx>
          <w:tblCellMar>
            <w:top w:w="0" w:type="dxa"/>
            <w:bottom w:w="0" w:type="dxa"/>
          </w:tblCellMar>
        </w:tblPrEx>
        <w:tc>
          <w:tcPr>
            <w:tcW w:w="4819"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pStyle w:val="ListParagraph"/>
              <w:numPr>
                <w:ilvl w:val="0"/>
                <w:numId w:val="2"/>
              </w:numPr>
              <w:spacing w:after="30"/>
            </w:pPr>
            <w:r>
              <w:rPr>
                <w:sz w:val="19"/>
                <w:szCs w:val="19"/>
              </w:rPr>
              <w:t>Snowflake-native; no third-party contract</w:t>
            </w:r>
          </w:p>
          <w:p w:rsidR="00BD0EA8" w:rsidRDefault="00C7158E">
            <w:pPr>
              <w:pStyle w:val="ListParagraph"/>
              <w:numPr>
                <w:ilvl w:val="0"/>
                <w:numId w:val="2"/>
              </w:numPr>
              <w:spacing w:after="30"/>
            </w:pPr>
            <w:r>
              <w:rPr>
                <w:sz w:val="19"/>
                <w:szCs w:val="19"/>
              </w:rPr>
              <w:t>Near real-time replication possible</w:t>
            </w:r>
          </w:p>
          <w:p w:rsidR="00BD0EA8" w:rsidRDefault="00C7158E">
            <w:pPr>
              <w:pStyle w:val="ListParagraph"/>
              <w:numPr>
                <w:ilvl w:val="0"/>
                <w:numId w:val="2"/>
              </w:numPr>
              <w:spacing w:after="30"/>
            </w:pPr>
            <w:r>
              <w:rPr>
                <w:sz w:val="19"/>
                <w:szCs w:val="19"/>
              </w:rPr>
              <w:t>Handles schema changes and deletes automatically</w:t>
            </w:r>
          </w:p>
          <w:p w:rsidR="00BD0EA8" w:rsidRDefault="00C7158E">
            <w:pPr>
              <w:pStyle w:val="ListParagraph"/>
              <w:numPr>
                <w:ilvl w:val="0"/>
                <w:numId w:val="2"/>
              </w:numPr>
              <w:spacing w:after="30"/>
            </w:pPr>
            <w:r>
              <w:rPr>
                <w:sz w:val="19"/>
                <w:szCs w:val="19"/>
              </w:rPr>
              <w:t>Managed through Snowflake, with built-in monitoring</w:t>
            </w:r>
          </w:p>
        </w:tc>
        <w:tc>
          <w:tcPr>
            <w:tcW w:w="4819"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pStyle w:val="ListParagraph"/>
              <w:numPr>
                <w:ilvl w:val="0"/>
                <w:numId w:val="2"/>
              </w:numPr>
              <w:spacing w:after="30"/>
            </w:pPr>
            <w:r>
              <w:rPr>
                <w:sz w:val="19"/>
                <w:szCs w:val="19"/>
              </w:rPr>
              <w:t>Openflow must be able to reach the on-prem SQL Server – needs VPN, private co</w:t>
            </w:r>
            <w:r>
              <w:rPr>
                <w:sz w:val="19"/>
                <w:szCs w:val="19"/>
              </w:rPr>
              <w:t>nnectivity or firewall changes, often the slowest approval</w:t>
            </w:r>
          </w:p>
          <w:p w:rsidR="00BD0EA8" w:rsidRDefault="00C7158E">
            <w:pPr>
              <w:pStyle w:val="ListParagraph"/>
              <w:numPr>
                <w:ilvl w:val="0"/>
                <w:numId w:val="2"/>
              </w:numPr>
              <w:spacing w:after="30"/>
            </w:pPr>
            <w:r>
              <w:rPr>
                <w:sz w:val="19"/>
                <w:szCs w:val="19"/>
              </w:rPr>
              <w:t>Runs continuously, so it consumes compute credits even when changes are few</w:t>
            </w:r>
          </w:p>
          <w:p w:rsidR="00BD0EA8" w:rsidRDefault="00C7158E">
            <w:pPr>
              <w:pStyle w:val="ListParagraph"/>
              <w:numPr>
                <w:ilvl w:val="0"/>
                <w:numId w:val="2"/>
              </w:numPr>
              <w:spacing w:after="30"/>
            </w:pPr>
            <w:r>
              <w:rPr>
                <w:sz w:val="19"/>
                <w:szCs w:val="19"/>
              </w:rPr>
              <w:t>Newer product; fewer reference implementations and skilled people</w:t>
            </w:r>
          </w:p>
          <w:p w:rsidR="00BD0EA8" w:rsidRDefault="00C7158E">
            <w:pPr>
              <w:pStyle w:val="ListParagraph"/>
              <w:numPr>
                <w:ilvl w:val="0"/>
                <w:numId w:val="2"/>
              </w:numPr>
              <w:spacing w:after="30"/>
            </w:pPr>
            <w:r>
              <w:rPr>
                <w:sz w:val="19"/>
                <w:szCs w:val="19"/>
              </w:rPr>
              <w:t xml:space="preserve">Availability must be confirmed for the </w:t>
            </w:r>
            <w:r w:rsidR="00423D66">
              <w:rPr>
                <w:sz w:val="19"/>
                <w:szCs w:val="19"/>
              </w:rPr>
              <w:t>Team</w:t>
            </w:r>
            <w:r>
              <w:rPr>
                <w:sz w:val="19"/>
                <w:szCs w:val="19"/>
              </w:rPr>
              <w:t>’s Snowfla</w:t>
            </w:r>
            <w:r>
              <w:rPr>
                <w:sz w:val="19"/>
                <w:szCs w:val="19"/>
              </w:rPr>
              <w:t>ke cloud and region</w:t>
            </w:r>
          </w:p>
        </w:tc>
      </w:tr>
    </w:tbl>
    <w:p w:rsidR="00BD0EA8" w:rsidRDefault="00C7158E">
      <w:pPr>
        <w:spacing w:before="100" w:after="200"/>
      </w:pPr>
      <w:r>
        <w:rPr>
          <w:b/>
          <w:bCs/>
          <w:color w:val="333F4C"/>
          <w:sz w:val="20"/>
          <w:szCs w:val="20"/>
        </w:rPr>
        <w:t xml:space="preserve">When it fits: </w:t>
      </w:r>
      <w:r>
        <w:rPr>
          <w:color w:val="333F4C"/>
          <w:sz w:val="20"/>
          <w:szCs w:val="20"/>
        </w:rPr>
        <w:t>The business needs data within minutes, and the network team approves a connection to the source.</w:t>
      </w:r>
    </w:p>
    <w:p w:rsidR="00BD0EA8" w:rsidRDefault="00C7158E">
      <w:pPr>
        <w:pStyle w:val="Heading3"/>
      </w:pPr>
      <w:r>
        <w:t>Option B · Change Tracking + Python + Airflow → MERGE</w:t>
      </w:r>
    </w:p>
    <w:p w:rsidR="00BD0EA8" w:rsidRDefault="00C7158E">
      <w:pPr>
        <w:spacing w:after="100"/>
      </w:pPr>
      <w:r>
        <w:rPr>
          <w:b/>
          <w:bCs/>
          <w:color w:val="5F6B7A"/>
          <w:sz w:val="20"/>
          <w:szCs w:val="20"/>
        </w:rPr>
        <w:t xml:space="preserve">Verdict: </w:t>
      </w:r>
      <w:r>
        <w:rPr>
          <w:b/>
          <w:bCs/>
          <w:color w:val="2E7D32"/>
          <w:sz w:val="20"/>
          <w:szCs w:val="20"/>
        </w:rPr>
        <w:t>RECOMMENDED</w:t>
      </w:r>
    </w:p>
    <w:p w:rsidR="00BD0EA8" w:rsidRDefault="00C7158E">
      <w:pPr>
        <w:spacing w:after="120" w:line="276" w:lineRule="auto"/>
      </w:pPr>
      <w:r>
        <w:t>Change Tracking is enabled on each table. A scheduled Python job reads changed rows since the last recorded version, writes Parquet files, uploads them to the internal stage, and runs MERGE into the CURATED tables (including deletes). Airflow schedules, re</w:t>
      </w:r>
      <w:r>
        <w:t>tries and alerts.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D0EA8">
        <w:tblPrEx>
          <w:tblCellMar>
            <w:top w:w="0" w:type="dxa"/>
            <w:bottom w:w="0" w:type="dxa"/>
          </w:tblCellMar>
        </w:tblPrEx>
        <w:tc>
          <w:tcPr>
            <w:tcW w:w="4819" w:type="dxa"/>
            <w:tcBorders>
              <w:top w:val="single" w:sz="4" w:space="0" w:color="C9D1DA"/>
              <w:left w:val="single" w:sz="4" w:space="0" w:color="C9D1DA"/>
              <w:bottom w:val="single" w:sz="4" w:space="0" w:color="C9D1DA"/>
              <w:right w:val="single" w:sz="4" w:space="0" w:color="C9D1DA"/>
            </w:tcBorders>
            <w:shd w:val="clear" w:color="auto" w:fill="E8F5E9"/>
            <w:tcMar>
              <w:top w:w="70" w:type="dxa"/>
              <w:left w:w="110" w:type="dxa"/>
              <w:bottom w:w="70" w:type="dxa"/>
              <w:right w:w="110" w:type="dxa"/>
            </w:tcMar>
          </w:tcPr>
          <w:p w:rsidR="00BD0EA8" w:rsidRDefault="00C7158E">
            <w:pPr>
              <w:spacing w:after="40"/>
            </w:pPr>
            <w:r>
              <w:rPr>
                <w:b/>
                <w:bCs/>
                <w:color w:val="2E7D32"/>
                <w:sz w:val="19"/>
                <w:szCs w:val="19"/>
              </w:rPr>
              <w:t>Pros</w:t>
            </w:r>
          </w:p>
        </w:tc>
        <w:tc>
          <w:tcPr>
            <w:tcW w:w="4819" w:type="dxa"/>
            <w:tcBorders>
              <w:top w:val="single" w:sz="4" w:space="0" w:color="C9D1DA"/>
              <w:left w:val="single" w:sz="4" w:space="0" w:color="C9D1DA"/>
              <w:bottom w:val="single" w:sz="4" w:space="0" w:color="C9D1DA"/>
              <w:right w:val="single" w:sz="4" w:space="0" w:color="C9D1DA"/>
            </w:tcBorders>
            <w:shd w:val="clear" w:color="auto" w:fill="FDF2F1"/>
            <w:tcMar>
              <w:top w:w="70" w:type="dxa"/>
              <w:left w:w="110" w:type="dxa"/>
              <w:bottom w:w="70" w:type="dxa"/>
              <w:right w:w="110" w:type="dxa"/>
            </w:tcMar>
          </w:tcPr>
          <w:p w:rsidR="00BD0EA8" w:rsidRDefault="00C7158E">
            <w:pPr>
              <w:spacing w:after="40"/>
            </w:pPr>
            <w:r>
              <w:rPr>
                <w:b/>
                <w:bCs/>
                <w:color w:val="B42318"/>
                <w:sz w:val="19"/>
                <w:szCs w:val="19"/>
              </w:rPr>
              <w:t>Cons</w:t>
            </w:r>
          </w:p>
        </w:tc>
      </w:tr>
      <w:tr w:rsidR="00BD0EA8">
        <w:tblPrEx>
          <w:tblCellMar>
            <w:top w:w="0" w:type="dxa"/>
            <w:bottom w:w="0" w:type="dxa"/>
          </w:tblCellMar>
        </w:tblPrEx>
        <w:tc>
          <w:tcPr>
            <w:tcW w:w="4819"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pStyle w:val="ListParagraph"/>
              <w:numPr>
                <w:ilvl w:val="0"/>
                <w:numId w:val="2"/>
              </w:numPr>
              <w:spacing w:after="30"/>
            </w:pPr>
            <w:r>
              <w:rPr>
                <w:sz w:val="19"/>
                <w:szCs w:val="19"/>
              </w:rPr>
              <w:t>No licence cost</w:t>
            </w:r>
          </w:p>
          <w:p w:rsidR="00BD0EA8" w:rsidRDefault="00C7158E">
            <w:pPr>
              <w:pStyle w:val="ListParagraph"/>
              <w:numPr>
                <w:ilvl w:val="0"/>
                <w:numId w:val="2"/>
              </w:numPr>
              <w:spacing w:after="30"/>
            </w:pPr>
            <w:r>
              <w:rPr>
                <w:sz w:val="19"/>
                <w:szCs w:val="19"/>
              </w:rPr>
              <w:t>Same framework and team as the historical load – one code base</w:t>
            </w:r>
          </w:p>
          <w:p w:rsidR="00BD0EA8" w:rsidRDefault="00C7158E">
            <w:pPr>
              <w:pStyle w:val="ListParagraph"/>
              <w:numPr>
                <w:ilvl w:val="0"/>
                <w:numId w:val="2"/>
              </w:numPr>
              <w:spacing w:after="30"/>
            </w:pPr>
            <w:r>
              <w:rPr>
                <w:sz w:val="19"/>
                <w:szCs w:val="19"/>
              </w:rPr>
              <w:t>Outbound-only connection; no inbound firewall changes</w:t>
            </w:r>
          </w:p>
          <w:p w:rsidR="00BD0EA8" w:rsidRDefault="00C7158E">
            <w:pPr>
              <w:pStyle w:val="ListParagraph"/>
              <w:numPr>
                <w:ilvl w:val="0"/>
                <w:numId w:val="2"/>
              </w:numPr>
              <w:spacing w:after="30"/>
            </w:pPr>
            <w:r>
              <w:rPr>
                <w:sz w:val="19"/>
                <w:szCs w:val="19"/>
              </w:rPr>
              <w:t>Change Tracking is lightweight on the source and captures deletes</w:t>
            </w:r>
          </w:p>
          <w:p w:rsidR="00BD0EA8" w:rsidRDefault="00C7158E">
            <w:pPr>
              <w:pStyle w:val="ListParagraph"/>
              <w:numPr>
                <w:ilvl w:val="0"/>
                <w:numId w:val="2"/>
              </w:numPr>
              <w:spacing w:after="30"/>
            </w:pPr>
            <w:r>
              <w:rPr>
                <w:sz w:val="19"/>
                <w:szCs w:val="19"/>
              </w:rPr>
              <w:t>Full control over schedule, batching and error handling</w:t>
            </w:r>
          </w:p>
          <w:p w:rsidR="00BD0EA8" w:rsidRDefault="00C7158E">
            <w:pPr>
              <w:pStyle w:val="ListParagraph"/>
              <w:numPr>
                <w:ilvl w:val="0"/>
                <w:numId w:val="2"/>
              </w:numPr>
              <w:spacing w:after="30"/>
            </w:pPr>
            <w:r>
              <w:rPr>
                <w:sz w:val="19"/>
                <w:szCs w:val="19"/>
              </w:rPr>
              <w:t xml:space="preserve">Builds Snowflake skills inside the </w:t>
            </w:r>
            <w:r w:rsidR="00423D66">
              <w:rPr>
                <w:sz w:val="19"/>
                <w:szCs w:val="19"/>
              </w:rPr>
              <w:t>Team</w:t>
            </w:r>
            <w:r>
              <w:rPr>
                <w:sz w:val="19"/>
                <w:szCs w:val="19"/>
              </w:rPr>
              <w:t xml:space="preserve"> team</w:t>
            </w:r>
          </w:p>
        </w:tc>
        <w:tc>
          <w:tcPr>
            <w:tcW w:w="4819"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pStyle w:val="ListParagraph"/>
              <w:numPr>
                <w:ilvl w:val="0"/>
                <w:numId w:val="2"/>
              </w:numPr>
              <w:spacing w:after="30"/>
            </w:pPr>
            <w:r>
              <w:rPr>
                <w:sz w:val="19"/>
                <w:szCs w:val="19"/>
              </w:rPr>
              <w:t>Must be built, tested and maintained by the team</w:t>
            </w:r>
          </w:p>
          <w:p w:rsidR="00BD0EA8" w:rsidRDefault="00C7158E">
            <w:pPr>
              <w:pStyle w:val="ListParagraph"/>
              <w:numPr>
                <w:ilvl w:val="0"/>
                <w:numId w:val="2"/>
              </w:numPr>
              <w:spacing w:after="30"/>
            </w:pPr>
            <w:r>
              <w:rPr>
                <w:sz w:val="19"/>
                <w:szCs w:val="19"/>
              </w:rPr>
              <w:t>Batch latency (typically every 15 minutes to daily), not real-time</w:t>
            </w:r>
          </w:p>
          <w:p w:rsidR="00BD0EA8" w:rsidRDefault="00C7158E">
            <w:pPr>
              <w:pStyle w:val="ListParagraph"/>
              <w:numPr>
                <w:ilvl w:val="0"/>
                <w:numId w:val="2"/>
              </w:numPr>
              <w:spacing w:after="30"/>
            </w:pPr>
            <w:r>
              <w:rPr>
                <w:sz w:val="19"/>
                <w:szCs w:val="19"/>
              </w:rPr>
              <w:t>Source schema changes need a controll</w:t>
            </w:r>
            <w:r>
              <w:rPr>
                <w:sz w:val="19"/>
                <w:szCs w:val="19"/>
              </w:rPr>
              <w:t>ed process (framework detects them)</w:t>
            </w:r>
          </w:p>
          <w:p w:rsidR="00BD0EA8" w:rsidRDefault="00C7158E">
            <w:pPr>
              <w:pStyle w:val="ListParagraph"/>
              <w:numPr>
                <w:ilvl w:val="0"/>
                <w:numId w:val="2"/>
              </w:numPr>
              <w:spacing w:after="30"/>
            </w:pPr>
            <w:r>
              <w:rPr>
                <w:sz w:val="19"/>
                <w:szCs w:val="19"/>
              </w:rPr>
              <w:t>Needs an on-prem server to host Airflow and jobs</w:t>
            </w:r>
          </w:p>
          <w:p w:rsidR="00BD0EA8" w:rsidRDefault="00C7158E">
            <w:pPr>
              <w:pStyle w:val="ListParagraph"/>
              <w:numPr>
                <w:ilvl w:val="0"/>
                <w:numId w:val="2"/>
              </w:numPr>
              <w:spacing w:after="30"/>
            </w:pPr>
            <w:r>
              <w:rPr>
                <w:sz w:val="19"/>
                <w:szCs w:val="19"/>
              </w:rPr>
              <w:t>Risk of key-person dependency – reduced through runbooks and knowledge transfer</w:t>
            </w:r>
          </w:p>
        </w:tc>
      </w:tr>
    </w:tbl>
    <w:p w:rsidR="00BD0EA8" w:rsidRDefault="00C7158E">
      <w:pPr>
        <w:spacing w:before="100" w:after="200"/>
      </w:pPr>
      <w:r>
        <w:rPr>
          <w:b/>
          <w:bCs/>
          <w:color w:val="333F4C"/>
          <w:sz w:val="20"/>
          <w:szCs w:val="20"/>
        </w:rPr>
        <w:t xml:space="preserve">When it fits: </w:t>
      </w:r>
      <w:r>
        <w:rPr>
          <w:color w:val="333F4C"/>
          <w:sz w:val="20"/>
          <w:szCs w:val="20"/>
        </w:rPr>
        <w:t xml:space="preserve">Daily or hourly freshness is enough – the expected case for this </w:t>
      </w:r>
      <w:r w:rsidR="00423D66">
        <w:rPr>
          <w:color w:val="333F4C"/>
          <w:sz w:val="20"/>
          <w:szCs w:val="20"/>
        </w:rPr>
        <w:t>Team</w:t>
      </w:r>
      <w:r>
        <w:rPr>
          <w:color w:val="333F4C"/>
          <w:sz w:val="20"/>
          <w:szCs w:val="20"/>
        </w:rPr>
        <w:t>.</w:t>
      </w:r>
    </w:p>
    <w:p w:rsidR="00BD0EA8" w:rsidRDefault="00C7158E">
      <w:pPr>
        <w:pStyle w:val="Heading3"/>
      </w:pPr>
      <w:r>
        <w:t>Option C · Licensed CDC tool (Fivetran/HVR, Qlik Replicate)</w:t>
      </w:r>
    </w:p>
    <w:p w:rsidR="00BD0EA8" w:rsidRDefault="00C7158E">
      <w:pPr>
        <w:spacing w:after="100"/>
      </w:pPr>
      <w:r>
        <w:rPr>
          <w:b/>
          <w:bCs/>
          <w:color w:val="5F6B7A"/>
          <w:sz w:val="20"/>
          <w:szCs w:val="20"/>
        </w:rPr>
        <w:t xml:space="preserve">Verdict: </w:t>
      </w:r>
      <w:r>
        <w:rPr>
          <w:b/>
          <w:bCs/>
          <w:color w:val="0B6E99"/>
          <w:sz w:val="20"/>
          <w:szCs w:val="20"/>
        </w:rPr>
        <w:t>ALTERNATIVE – KEEP OPEN</w:t>
      </w:r>
    </w:p>
    <w:p w:rsidR="00BD0EA8" w:rsidRDefault="00C7158E">
      <w:pPr>
        <w:spacing w:after="120" w:line="276" w:lineRule="auto"/>
      </w:pPr>
      <w:r>
        <w:t xml:space="preserve">A commercial replication product. An agent inside the </w:t>
      </w:r>
      <w:r w:rsidR="00423D66">
        <w:t>Team</w:t>
      </w:r>
      <w:r>
        <w:t xml:space="preserve"> network reads changes and pushes them to Snowflake.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D0EA8">
        <w:tblPrEx>
          <w:tblCellMar>
            <w:top w:w="0" w:type="dxa"/>
            <w:bottom w:w="0" w:type="dxa"/>
          </w:tblCellMar>
        </w:tblPrEx>
        <w:tc>
          <w:tcPr>
            <w:tcW w:w="4819" w:type="dxa"/>
            <w:tcBorders>
              <w:top w:val="single" w:sz="4" w:space="0" w:color="C9D1DA"/>
              <w:left w:val="single" w:sz="4" w:space="0" w:color="C9D1DA"/>
              <w:bottom w:val="single" w:sz="4" w:space="0" w:color="C9D1DA"/>
              <w:right w:val="single" w:sz="4" w:space="0" w:color="C9D1DA"/>
            </w:tcBorders>
            <w:shd w:val="clear" w:color="auto" w:fill="E8F5E9"/>
            <w:tcMar>
              <w:top w:w="70" w:type="dxa"/>
              <w:left w:w="110" w:type="dxa"/>
              <w:bottom w:w="70" w:type="dxa"/>
              <w:right w:w="110" w:type="dxa"/>
            </w:tcMar>
          </w:tcPr>
          <w:p w:rsidR="00BD0EA8" w:rsidRDefault="00C7158E">
            <w:pPr>
              <w:spacing w:after="40"/>
            </w:pPr>
            <w:r>
              <w:rPr>
                <w:b/>
                <w:bCs/>
                <w:color w:val="2E7D32"/>
                <w:sz w:val="19"/>
                <w:szCs w:val="19"/>
              </w:rPr>
              <w:lastRenderedPageBreak/>
              <w:t>Pros</w:t>
            </w:r>
          </w:p>
        </w:tc>
        <w:tc>
          <w:tcPr>
            <w:tcW w:w="4819" w:type="dxa"/>
            <w:tcBorders>
              <w:top w:val="single" w:sz="4" w:space="0" w:color="C9D1DA"/>
              <w:left w:val="single" w:sz="4" w:space="0" w:color="C9D1DA"/>
              <w:bottom w:val="single" w:sz="4" w:space="0" w:color="C9D1DA"/>
              <w:right w:val="single" w:sz="4" w:space="0" w:color="C9D1DA"/>
            </w:tcBorders>
            <w:shd w:val="clear" w:color="auto" w:fill="FDF2F1"/>
            <w:tcMar>
              <w:top w:w="70" w:type="dxa"/>
              <w:left w:w="110" w:type="dxa"/>
              <w:bottom w:w="70" w:type="dxa"/>
              <w:right w:w="110" w:type="dxa"/>
            </w:tcMar>
          </w:tcPr>
          <w:p w:rsidR="00BD0EA8" w:rsidRDefault="00C7158E">
            <w:pPr>
              <w:spacing w:after="40"/>
            </w:pPr>
            <w:r>
              <w:rPr>
                <w:b/>
                <w:bCs/>
                <w:color w:val="B42318"/>
                <w:sz w:val="19"/>
                <w:szCs w:val="19"/>
              </w:rPr>
              <w:t>Cons</w:t>
            </w:r>
          </w:p>
        </w:tc>
      </w:tr>
      <w:tr w:rsidR="00BD0EA8">
        <w:tblPrEx>
          <w:tblCellMar>
            <w:top w:w="0" w:type="dxa"/>
            <w:bottom w:w="0" w:type="dxa"/>
          </w:tblCellMar>
        </w:tblPrEx>
        <w:tc>
          <w:tcPr>
            <w:tcW w:w="4819"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pStyle w:val="ListParagraph"/>
              <w:numPr>
                <w:ilvl w:val="0"/>
                <w:numId w:val="2"/>
              </w:numPr>
              <w:spacing w:after="30"/>
            </w:pPr>
            <w:r>
              <w:rPr>
                <w:sz w:val="19"/>
                <w:szCs w:val="19"/>
              </w:rPr>
              <w:t>Quickest to set up; little code to maintain</w:t>
            </w:r>
          </w:p>
          <w:p w:rsidR="00BD0EA8" w:rsidRDefault="00C7158E">
            <w:pPr>
              <w:pStyle w:val="ListParagraph"/>
              <w:numPr>
                <w:ilvl w:val="0"/>
                <w:numId w:val="2"/>
              </w:numPr>
              <w:spacing w:after="30"/>
            </w:pPr>
            <w:r>
              <w:rPr>
                <w:sz w:val="19"/>
                <w:szCs w:val="19"/>
              </w:rPr>
              <w:t>Mature, with monitoring, alerting and schema-drift handling</w:t>
            </w:r>
          </w:p>
          <w:p w:rsidR="00BD0EA8" w:rsidRDefault="00C7158E">
            <w:pPr>
              <w:pStyle w:val="ListParagraph"/>
              <w:numPr>
                <w:ilvl w:val="0"/>
                <w:numId w:val="2"/>
              </w:numPr>
              <w:spacing w:after="30"/>
            </w:pPr>
            <w:r>
              <w:rPr>
                <w:sz w:val="19"/>
                <w:szCs w:val="19"/>
              </w:rPr>
              <w:t>Agent connects outbound only</w:t>
            </w:r>
          </w:p>
          <w:p w:rsidR="00BD0EA8" w:rsidRDefault="00C7158E">
            <w:pPr>
              <w:pStyle w:val="ListParagraph"/>
              <w:numPr>
                <w:ilvl w:val="0"/>
                <w:numId w:val="2"/>
              </w:numPr>
              <w:spacing w:after="30"/>
            </w:pPr>
            <w:r>
              <w:rPr>
                <w:sz w:val="19"/>
                <w:szCs w:val="19"/>
              </w:rPr>
              <w:t>Handles high change volumes and near real-time needs</w:t>
            </w:r>
          </w:p>
        </w:tc>
        <w:tc>
          <w:tcPr>
            <w:tcW w:w="4819"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pStyle w:val="ListParagraph"/>
              <w:numPr>
                <w:ilvl w:val="0"/>
                <w:numId w:val="2"/>
              </w:numPr>
              <w:spacing w:after="30"/>
            </w:pPr>
            <w:r>
              <w:rPr>
                <w:sz w:val="19"/>
                <w:szCs w:val="19"/>
              </w:rPr>
              <w:t>Recurring licence cost (for example, Fivetran bills by monthly active rows)</w:t>
            </w:r>
          </w:p>
          <w:p w:rsidR="00BD0EA8" w:rsidRDefault="00C7158E">
            <w:pPr>
              <w:pStyle w:val="ListParagraph"/>
              <w:numPr>
                <w:ilvl w:val="0"/>
                <w:numId w:val="2"/>
              </w:numPr>
              <w:spacing w:after="30"/>
            </w:pPr>
            <w:r>
              <w:rPr>
                <w:sz w:val="19"/>
                <w:szCs w:val="19"/>
              </w:rPr>
              <w:t>Vendor dependency and lock-in</w:t>
            </w:r>
          </w:p>
          <w:p w:rsidR="00BD0EA8" w:rsidRDefault="00C7158E">
            <w:pPr>
              <w:pStyle w:val="ListParagraph"/>
              <w:numPr>
                <w:ilvl w:val="0"/>
                <w:numId w:val="2"/>
              </w:numPr>
              <w:spacing w:after="30"/>
            </w:pPr>
            <w:r>
              <w:rPr>
                <w:sz w:val="19"/>
                <w:szCs w:val="19"/>
              </w:rPr>
              <w:t>Extra security and procurement review</w:t>
            </w:r>
          </w:p>
          <w:p w:rsidR="00BD0EA8" w:rsidRDefault="00C7158E">
            <w:pPr>
              <w:pStyle w:val="ListParagraph"/>
              <w:numPr>
                <w:ilvl w:val="0"/>
                <w:numId w:val="2"/>
              </w:numPr>
              <w:spacing w:after="30"/>
            </w:pPr>
            <w:r>
              <w:rPr>
                <w:sz w:val="19"/>
                <w:szCs w:val="19"/>
              </w:rPr>
              <w:t>Less control over how data is processed</w:t>
            </w:r>
          </w:p>
        </w:tc>
      </w:tr>
    </w:tbl>
    <w:p w:rsidR="00BD0EA8" w:rsidRDefault="00C7158E">
      <w:pPr>
        <w:spacing w:before="100" w:after="200"/>
      </w:pPr>
      <w:r>
        <w:rPr>
          <w:b/>
          <w:bCs/>
          <w:color w:val="333F4C"/>
          <w:sz w:val="20"/>
          <w:szCs w:val="20"/>
        </w:rPr>
        <w:t xml:space="preserve">When it fits: </w:t>
      </w:r>
      <w:r>
        <w:rPr>
          <w:color w:val="333F4C"/>
          <w:sz w:val="20"/>
          <w:szCs w:val="20"/>
        </w:rPr>
        <w:t xml:space="preserve">The </w:t>
      </w:r>
      <w:r w:rsidR="00423D66">
        <w:rPr>
          <w:color w:val="333F4C"/>
          <w:sz w:val="20"/>
          <w:szCs w:val="20"/>
        </w:rPr>
        <w:t>Team</w:t>
      </w:r>
      <w:r>
        <w:rPr>
          <w:color w:val="333F4C"/>
          <w:sz w:val="20"/>
          <w:szCs w:val="20"/>
        </w:rPr>
        <w:t xml:space="preserve"> prefers buying a managed product over building, has budget, or the table count grows a lot.</w:t>
      </w:r>
    </w:p>
    <w:p w:rsidR="00BD0EA8" w:rsidRDefault="00C7158E">
      <w:pPr>
        <w:pStyle w:val="Heading3"/>
      </w:pPr>
      <w:r>
        <w:t>Option D · Azure Data Factory or SSIS incremental pipelines</w:t>
      </w:r>
    </w:p>
    <w:p w:rsidR="00BD0EA8" w:rsidRDefault="00C7158E">
      <w:pPr>
        <w:spacing w:after="100"/>
      </w:pPr>
      <w:r>
        <w:rPr>
          <w:b/>
          <w:bCs/>
          <w:color w:val="5F6B7A"/>
          <w:sz w:val="20"/>
          <w:szCs w:val="20"/>
        </w:rPr>
        <w:t xml:space="preserve">Verdict: </w:t>
      </w:r>
      <w:r>
        <w:rPr>
          <w:b/>
          <w:bCs/>
          <w:color w:val="B42318"/>
          <w:sz w:val="20"/>
          <w:szCs w:val="20"/>
        </w:rPr>
        <w:t>NOT RECOMMENDED</w:t>
      </w:r>
    </w:p>
    <w:p w:rsidR="00BD0EA8" w:rsidRDefault="00C7158E">
      <w:pPr>
        <w:spacing w:after="120" w:line="276" w:lineRule="auto"/>
      </w:pPr>
      <w:r>
        <w:t>Incremental pipelines built in Microsoft ETL tools.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D0EA8">
        <w:tblPrEx>
          <w:tblCellMar>
            <w:top w:w="0" w:type="dxa"/>
            <w:bottom w:w="0" w:type="dxa"/>
          </w:tblCellMar>
        </w:tblPrEx>
        <w:tc>
          <w:tcPr>
            <w:tcW w:w="4819" w:type="dxa"/>
            <w:tcBorders>
              <w:top w:val="single" w:sz="4" w:space="0" w:color="C9D1DA"/>
              <w:left w:val="single" w:sz="4" w:space="0" w:color="C9D1DA"/>
              <w:bottom w:val="single" w:sz="4" w:space="0" w:color="C9D1DA"/>
              <w:right w:val="single" w:sz="4" w:space="0" w:color="C9D1DA"/>
            </w:tcBorders>
            <w:shd w:val="clear" w:color="auto" w:fill="E8F5E9"/>
            <w:tcMar>
              <w:top w:w="70" w:type="dxa"/>
              <w:left w:w="110" w:type="dxa"/>
              <w:bottom w:w="70" w:type="dxa"/>
              <w:right w:w="110" w:type="dxa"/>
            </w:tcMar>
          </w:tcPr>
          <w:p w:rsidR="00BD0EA8" w:rsidRDefault="00C7158E">
            <w:pPr>
              <w:spacing w:after="40"/>
            </w:pPr>
            <w:r>
              <w:rPr>
                <w:b/>
                <w:bCs/>
                <w:color w:val="2E7D32"/>
                <w:sz w:val="19"/>
                <w:szCs w:val="19"/>
              </w:rPr>
              <w:t>Pros</w:t>
            </w:r>
          </w:p>
        </w:tc>
        <w:tc>
          <w:tcPr>
            <w:tcW w:w="4819" w:type="dxa"/>
            <w:tcBorders>
              <w:top w:val="single" w:sz="4" w:space="0" w:color="C9D1DA"/>
              <w:left w:val="single" w:sz="4" w:space="0" w:color="C9D1DA"/>
              <w:bottom w:val="single" w:sz="4" w:space="0" w:color="C9D1DA"/>
              <w:right w:val="single" w:sz="4" w:space="0" w:color="C9D1DA"/>
            </w:tcBorders>
            <w:shd w:val="clear" w:color="auto" w:fill="FDF2F1"/>
            <w:tcMar>
              <w:top w:w="70" w:type="dxa"/>
              <w:left w:w="110" w:type="dxa"/>
              <w:bottom w:w="70" w:type="dxa"/>
              <w:right w:w="110" w:type="dxa"/>
            </w:tcMar>
          </w:tcPr>
          <w:p w:rsidR="00BD0EA8" w:rsidRDefault="00C7158E">
            <w:pPr>
              <w:spacing w:after="40"/>
            </w:pPr>
            <w:r>
              <w:rPr>
                <w:b/>
                <w:bCs/>
                <w:color w:val="B42318"/>
                <w:sz w:val="19"/>
                <w:szCs w:val="19"/>
              </w:rPr>
              <w:t>Cons</w:t>
            </w:r>
          </w:p>
        </w:tc>
      </w:tr>
      <w:tr w:rsidR="00BD0EA8">
        <w:tblPrEx>
          <w:tblCellMar>
            <w:top w:w="0" w:type="dxa"/>
            <w:bottom w:w="0" w:type="dxa"/>
          </w:tblCellMar>
        </w:tblPrEx>
        <w:tc>
          <w:tcPr>
            <w:tcW w:w="4819"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pStyle w:val="ListParagraph"/>
              <w:numPr>
                <w:ilvl w:val="0"/>
                <w:numId w:val="2"/>
              </w:numPr>
              <w:spacing w:after="30"/>
            </w:pPr>
            <w:r>
              <w:rPr>
                <w:sz w:val="19"/>
                <w:szCs w:val="19"/>
              </w:rPr>
              <w:t>Familiar tooling for SQL Server teams</w:t>
            </w:r>
          </w:p>
        </w:tc>
        <w:tc>
          <w:tcPr>
            <w:tcW w:w="4819"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pStyle w:val="ListParagraph"/>
              <w:numPr>
                <w:ilvl w:val="0"/>
                <w:numId w:val="2"/>
              </w:numPr>
              <w:spacing w:after="30"/>
            </w:pPr>
            <w:r>
              <w:rPr>
                <w:sz w:val="19"/>
                <w:szCs w:val="19"/>
              </w:rPr>
              <w:t>Same Blob-staging and third-party component issues as H4</w:t>
            </w:r>
          </w:p>
          <w:p w:rsidR="00BD0EA8" w:rsidRDefault="00C7158E">
            <w:pPr>
              <w:pStyle w:val="ListParagraph"/>
              <w:numPr>
                <w:ilvl w:val="0"/>
                <w:numId w:val="2"/>
              </w:numPr>
              <w:spacing w:after="30"/>
            </w:pPr>
            <w:r>
              <w:rPr>
                <w:sz w:val="19"/>
                <w:szCs w:val="19"/>
              </w:rPr>
              <w:t>No built-in pattern for Change Tracking plus MERGE into Snowflake – custom logic still needed</w:t>
            </w:r>
          </w:p>
          <w:p w:rsidR="00BD0EA8" w:rsidRDefault="00C7158E">
            <w:pPr>
              <w:pStyle w:val="ListParagraph"/>
              <w:numPr>
                <w:ilvl w:val="0"/>
                <w:numId w:val="2"/>
              </w:numPr>
              <w:spacing w:after="30"/>
            </w:pPr>
            <w:r>
              <w:rPr>
                <w:sz w:val="19"/>
                <w:szCs w:val="19"/>
              </w:rPr>
              <w:t>Two platforms to operate instead of one</w:t>
            </w:r>
          </w:p>
        </w:tc>
      </w:tr>
    </w:tbl>
    <w:p w:rsidR="00BD0EA8" w:rsidRDefault="00BD0EA8">
      <w:pPr>
        <w:spacing w:after="160"/>
      </w:pPr>
    </w:p>
    <w:p w:rsidR="00BD0EA8" w:rsidRDefault="00C7158E">
      <w:pPr>
        <w:pStyle w:val="Heading3"/>
      </w:pPr>
      <w:r>
        <w:t>Option E · Watermark-only incremental (for example, “updated_at” column)</w:t>
      </w:r>
    </w:p>
    <w:p w:rsidR="00BD0EA8" w:rsidRDefault="00C7158E">
      <w:pPr>
        <w:spacing w:after="100"/>
      </w:pPr>
      <w:r>
        <w:rPr>
          <w:b/>
          <w:bCs/>
          <w:color w:val="5F6B7A"/>
          <w:sz w:val="20"/>
          <w:szCs w:val="20"/>
        </w:rPr>
        <w:t xml:space="preserve">Verdict: </w:t>
      </w:r>
      <w:r>
        <w:rPr>
          <w:b/>
          <w:bCs/>
          <w:color w:val="B42318"/>
          <w:sz w:val="20"/>
          <w:szCs w:val="20"/>
        </w:rPr>
        <w:t>NOT RECOMMENDED</w:t>
      </w:r>
    </w:p>
    <w:p w:rsidR="00BD0EA8" w:rsidRDefault="00C7158E">
      <w:pPr>
        <w:spacing w:after="120" w:line="276" w:lineRule="auto"/>
      </w:pPr>
      <w:r>
        <w:t>Each run picks up rows where a last-modified column is newer than the previous run.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D0EA8">
        <w:tblPrEx>
          <w:tblCellMar>
            <w:top w:w="0" w:type="dxa"/>
            <w:bottom w:w="0" w:type="dxa"/>
          </w:tblCellMar>
        </w:tblPrEx>
        <w:tc>
          <w:tcPr>
            <w:tcW w:w="4819" w:type="dxa"/>
            <w:tcBorders>
              <w:top w:val="single" w:sz="4" w:space="0" w:color="C9D1DA"/>
              <w:left w:val="single" w:sz="4" w:space="0" w:color="C9D1DA"/>
              <w:bottom w:val="single" w:sz="4" w:space="0" w:color="C9D1DA"/>
              <w:right w:val="single" w:sz="4" w:space="0" w:color="C9D1DA"/>
            </w:tcBorders>
            <w:shd w:val="clear" w:color="auto" w:fill="E8F5E9"/>
            <w:tcMar>
              <w:top w:w="70" w:type="dxa"/>
              <w:left w:w="110" w:type="dxa"/>
              <w:bottom w:w="70" w:type="dxa"/>
              <w:right w:w="110" w:type="dxa"/>
            </w:tcMar>
          </w:tcPr>
          <w:p w:rsidR="00BD0EA8" w:rsidRDefault="00C7158E">
            <w:pPr>
              <w:spacing w:after="40"/>
            </w:pPr>
            <w:r>
              <w:rPr>
                <w:b/>
                <w:bCs/>
                <w:color w:val="2E7D32"/>
                <w:sz w:val="19"/>
                <w:szCs w:val="19"/>
              </w:rPr>
              <w:t>Pros</w:t>
            </w:r>
          </w:p>
        </w:tc>
        <w:tc>
          <w:tcPr>
            <w:tcW w:w="4819" w:type="dxa"/>
            <w:tcBorders>
              <w:top w:val="single" w:sz="4" w:space="0" w:color="C9D1DA"/>
              <w:left w:val="single" w:sz="4" w:space="0" w:color="C9D1DA"/>
              <w:bottom w:val="single" w:sz="4" w:space="0" w:color="C9D1DA"/>
              <w:right w:val="single" w:sz="4" w:space="0" w:color="C9D1DA"/>
            </w:tcBorders>
            <w:shd w:val="clear" w:color="auto" w:fill="FDF2F1"/>
            <w:tcMar>
              <w:top w:w="70" w:type="dxa"/>
              <w:left w:w="110" w:type="dxa"/>
              <w:bottom w:w="70" w:type="dxa"/>
              <w:right w:w="110" w:type="dxa"/>
            </w:tcMar>
          </w:tcPr>
          <w:p w:rsidR="00BD0EA8" w:rsidRDefault="00C7158E">
            <w:pPr>
              <w:spacing w:after="40"/>
            </w:pPr>
            <w:r>
              <w:rPr>
                <w:b/>
                <w:bCs/>
                <w:color w:val="B42318"/>
                <w:sz w:val="19"/>
                <w:szCs w:val="19"/>
              </w:rPr>
              <w:t>Cons</w:t>
            </w:r>
          </w:p>
        </w:tc>
      </w:tr>
      <w:tr w:rsidR="00BD0EA8">
        <w:tblPrEx>
          <w:tblCellMar>
            <w:top w:w="0" w:type="dxa"/>
            <w:bottom w:w="0" w:type="dxa"/>
          </w:tblCellMar>
        </w:tblPrEx>
        <w:tc>
          <w:tcPr>
            <w:tcW w:w="4819"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pStyle w:val="ListParagraph"/>
              <w:numPr>
                <w:ilvl w:val="0"/>
                <w:numId w:val="2"/>
              </w:numPr>
              <w:spacing w:after="30"/>
            </w:pPr>
            <w:r>
              <w:rPr>
                <w:sz w:val="19"/>
                <w:szCs w:val="19"/>
              </w:rPr>
              <w:t>Very simple; no source configuration needed</w:t>
            </w:r>
          </w:p>
        </w:tc>
        <w:tc>
          <w:tcPr>
            <w:tcW w:w="4819"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pStyle w:val="ListParagraph"/>
              <w:numPr>
                <w:ilvl w:val="0"/>
                <w:numId w:val="2"/>
              </w:numPr>
              <w:spacing w:after="30"/>
            </w:pPr>
            <w:r>
              <w:rPr>
                <w:b/>
                <w:bCs/>
                <w:sz w:val="19"/>
                <w:szCs w:val="19"/>
              </w:rPr>
              <w:t>Misses hard deletes</w:t>
            </w:r>
            <w:r>
              <w:rPr>
                <w:sz w:val="19"/>
                <w:szCs w:val="19"/>
              </w:rPr>
              <w:t xml:space="preserve"> – deleted rows stay in Snowflake</w:t>
            </w:r>
          </w:p>
          <w:p w:rsidR="00BD0EA8" w:rsidRDefault="00C7158E">
            <w:pPr>
              <w:pStyle w:val="ListParagraph"/>
              <w:numPr>
                <w:ilvl w:val="0"/>
                <w:numId w:val="2"/>
              </w:numPr>
              <w:spacing w:after="30"/>
            </w:pPr>
            <w:r>
              <w:rPr>
                <w:sz w:val="19"/>
                <w:szCs w:val="19"/>
              </w:rPr>
              <w:t>Depends on every application updating the column correctly; often it is missing or unreliable</w:t>
            </w:r>
          </w:p>
          <w:p w:rsidR="00BD0EA8" w:rsidRDefault="00C7158E">
            <w:pPr>
              <w:pStyle w:val="ListParagraph"/>
              <w:numPr>
                <w:ilvl w:val="0"/>
                <w:numId w:val="2"/>
              </w:numPr>
              <w:spacing w:after="30"/>
            </w:pPr>
            <w:r>
              <w:rPr>
                <w:sz w:val="19"/>
                <w:szCs w:val="19"/>
              </w:rPr>
              <w:t>Silent data drift that is hard to detect</w:t>
            </w:r>
          </w:p>
        </w:tc>
      </w:tr>
    </w:tbl>
    <w:p w:rsidR="00BD0EA8" w:rsidRDefault="00C7158E">
      <w:pPr>
        <w:spacing w:before="100" w:after="200"/>
      </w:pPr>
      <w:r>
        <w:rPr>
          <w:b/>
          <w:bCs/>
          <w:color w:val="333F4C"/>
          <w:sz w:val="20"/>
          <w:szCs w:val="20"/>
        </w:rPr>
        <w:t xml:space="preserve">When it fits: </w:t>
      </w:r>
      <w:r>
        <w:rPr>
          <w:color w:val="333F4C"/>
          <w:sz w:val="20"/>
          <w:szCs w:val="20"/>
        </w:rPr>
        <w:t>Only as a fallback for a specific table where Change Tracking cannot be enabled, with periodic full reconciliation.</w:t>
      </w:r>
    </w:p>
    <w:p w:rsidR="00BD0EA8" w:rsidRDefault="00C7158E">
      <w:pPr>
        <w:pStyle w:val="Heading3"/>
      </w:pPr>
      <w:r>
        <w:t>Option F · Daily full reload</w:t>
      </w:r>
    </w:p>
    <w:p w:rsidR="00BD0EA8" w:rsidRDefault="00C7158E">
      <w:pPr>
        <w:spacing w:after="100"/>
      </w:pPr>
      <w:r>
        <w:rPr>
          <w:b/>
          <w:bCs/>
          <w:color w:val="5F6B7A"/>
          <w:sz w:val="20"/>
          <w:szCs w:val="20"/>
        </w:rPr>
        <w:t xml:space="preserve">Verdict: </w:t>
      </w:r>
      <w:r>
        <w:rPr>
          <w:b/>
          <w:bCs/>
          <w:color w:val="B42318"/>
          <w:sz w:val="20"/>
          <w:szCs w:val="20"/>
        </w:rPr>
        <w:t>NOT RECOMMENDED</w:t>
      </w:r>
    </w:p>
    <w:p w:rsidR="00BD0EA8" w:rsidRDefault="00C7158E">
      <w:pPr>
        <w:spacing w:after="120" w:line="276" w:lineRule="auto"/>
      </w:pPr>
      <w:r>
        <w:t>Reload every table completely each day.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D0EA8">
        <w:tblPrEx>
          <w:tblCellMar>
            <w:top w:w="0" w:type="dxa"/>
            <w:bottom w:w="0" w:type="dxa"/>
          </w:tblCellMar>
        </w:tblPrEx>
        <w:tc>
          <w:tcPr>
            <w:tcW w:w="4819" w:type="dxa"/>
            <w:tcBorders>
              <w:top w:val="single" w:sz="4" w:space="0" w:color="C9D1DA"/>
              <w:left w:val="single" w:sz="4" w:space="0" w:color="C9D1DA"/>
              <w:bottom w:val="single" w:sz="4" w:space="0" w:color="C9D1DA"/>
              <w:right w:val="single" w:sz="4" w:space="0" w:color="C9D1DA"/>
            </w:tcBorders>
            <w:shd w:val="clear" w:color="auto" w:fill="E8F5E9"/>
            <w:tcMar>
              <w:top w:w="70" w:type="dxa"/>
              <w:left w:w="110" w:type="dxa"/>
              <w:bottom w:w="70" w:type="dxa"/>
              <w:right w:w="110" w:type="dxa"/>
            </w:tcMar>
          </w:tcPr>
          <w:p w:rsidR="00BD0EA8" w:rsidRDefault="00C7158E">
            <w:pPr>
              <w:spacing w:after="40"/>
            </w:pPr>
            <w:r>
              <w:rPr>
                <w:b/>
                <w:bCs/>
                <w:color w:val="2E7D32"/>
                <w:sz w:val="19"/>
                <w:szCs w:val="19"/>
              </w:rPr>
              <w:t>Pros</w:t>
            </w:r>
          </w:p>
        </w:tc>
        <w:tc>
          <w:tcPr>
            <w:tcW w:w="4819" w:type="dxa"/>
            <w:tcBorders>
              <w:top w:val="single" w:sz="4" w:space="0" w:color="C9D1DA"/>
              <w:left w:val="single" w:sz="4" w:space="0" w:color="C9D1DA"/>
              <w:bottom w:val="single" w:sz="4" w:space="0" w:color="C9D1DA"/>
              <w:right w:val="single" w:sz="4" w:space="0" w:color="C9D1DA"/>
            </w:tcBorders>
            <w:shd w:val="clear" w:color="auto" w:fill="FDF2F1"/>
            <w:tcMar>
              <w:top w:w="70" w:type="dxa"/>
              <w:left w:w="110" w:type="dxa"/>
              <w:bottom w:w="70" w:type="dxa"/>
              <w:right w:w="110" w:type="dxa"/>
            </w:tcMar>
          </w:tcPr>
          <w:p w:rsidR="00BD0EA8" w:rsidRDefault="00C7158E">
            <w:pPr>
              <w:spacing w:after="40"/>
            </w:pPr>
            <w:r>
              <w:rPr>
                <w:b/>
                <w:bCs/>
                <w:color w:val="B42318"/>
                <w:sz w:val="19"/>
                <w:szCs w:val="19"/>
              </w:rPr>
              <w:t>Cons</w:t>
            </w:r>
          </w:p>
        </w:tc>
      </w:tr>
      <w:tr w:rsidR="00BD0EA8">
        <w:tblPrEx>
          <w:tblCellMar>
            <w:top w:w="0" w:type="dxa"/>
            <w:bottom w:w="0" w:type="dxa"/>
          </w:tblCellMar>
        </w:tblPrEx>
        <w:tc>
          <w:tcPr>
            <w:tcW w:w="4819"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pStyle w:val="ListParagraph"/>
              <w:numPr>
                <w:ilvl w:val="0"/>
                <w:numId w:val="2"/>
              </w:numPr>
              <w:spacing w:after="30"/>
            </w:pPr>
            <w:r>
              <w:rPr>
                <w:sz w:val="19"/>
                <w:szCs w:val="19"/>
              </w:rPr>
              <w:t>Simplest logic</w:t>
            </w:r>
          </w:p>
        </w:tc>
        <w:tc>
          <w:tcPr>
            <w:tcW w:w="4819"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pStyle w:val="ListParagraph"/>
              <w:numPr>
                <w:ilvl w:val="0"/>
                <w:numId w:val="2"/>
              </w:numPr>
              <w:spacing w:after="30"/>
            </w:pPr>
            <w:r>
              <w:rPr>
                <w:sz w:val="19"/>
                <w:szCs w:val="19"/>
              </w:rPr>
              <w:t>Moves 3–4 TB every day – bandwidth, source load and Snowflake cost are all excessive</w:t>
            </w:r>
          </w:p>
          <w:p w:rsidR="00BD0EA8" w:rsidRDefault="00C7158E">
            <w:pPr>
              <w:pStyle w:val="ListParagraph"/>
              <w:numPr>
                <w:ilvl w:val="0"/>
                <w:numId w:val="2"/>
              </w:numPr>
              <w:spacing w:after="30"/>
            </w:pPr>
            <w:r>
              <w:rPr>
                <w:sz w:val="19"/>
                <w:szCs w:val="19"/>
              </w:rPr>
              <w:t>Long load windows; data unavailable or inconsistent during reloads</w:t>
            </w:r>
          </w:p>
        </w:tc>
      </w:tr>
    </w:tbl>
    <w:p w:rsidR="00BD0EA8" w:rsidRDefault="00C7158E">
      <w:pPr>
        <w:spacing w:before="100" w:after="200"/>
      </w:pPr>
      <w:r>
        <w:rPr>
          <w:b/>
          <w:bCs/>
          <w:color w:val="333F4C"/>
          <w:sz w:val="20"/>
          <w:szCs w:val="20"/>
        </w:rPr>
        <w:t xml:space="preserve">When it fits: </w:t>
      </w:r>
      <w:r>
        <w:rPr>
          <w:color w:val="333F4C"/>
          <w:sz w:val="20"/>
          <w:szCs w:val="20"/>
        </w:rPr>
        <w:t>Acceptable only for small reference tables (a few GB or less).</w:t>
      </w:r>
    </w:p>
    <w:p w:rsidR="00BD0EA8" w:rsidRDefault="00C7158E">
      <w:r>
        <w:br w:type="page"/>
      </w:r>
    </w:p>
    <w:p w:rsidR="00BD0EA8" w:rsidRDefault="00C7158E">
      <w:pPr>
        <w:pStyle w:val="Heading2"/>
      </w:pPr>
      <w:r>
        <w:lastRenderedPageBreak/>
        <w:t>6.1 Delta options – comparison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8"/>
        <w:gridCol w:w="2333"/>
        <w:gridCol w:w="2333"/>
        <w:gridCol w:w="2334"/>
      </w:tblGrid>
      <w:tr w:rsidR="00BD0EA8">
        <w:tblPrEx>
          <w:tblCellMar>
            <w:top w:w="0" w:type="dxa"/>
            <w:bottom w:w="0" w:type="dxa"/>
          </w:tblCellMar>
        </w:tblPrEx>
        <w:trPr>
          <w:tblHeader/>
        </w:trPr>
        <w:tc>
          <w:tcPr>
            <w:tcW w:w="2638"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tcPr>
          <w:p w:rsidR="00BD0EA8" w:rsidRDefault="00C7158E">
            <w:pPr>
              <w:spacing w:after="40"/>
            </w:pPr>
            <w:r>
              <w:rPr>
                <w:b/>
                <w:bCs/>
                <w:color w:val="FFFFFF"/>
                <w:sz w:val="19"/>
                <w:szCs w:val="19"/>
              </w:rPr>
              <w:t>Criterion</w:t>
            </w:r>
          </w:p>
        </w:tc>
        <w:tc>
          <w:tcPr>
            <w:tcW w:w="2333"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tcPr>
          <w:p w:rsidR="00BD0EA8" w:rsidRDefault="00C7158E">
            <w:pPr>
              <w:spacing w:after="40"/>
            </w:pPr>
            <w:r>
              <w:rPr>
                <w:b/>
                <w:bCs/>
                <w:color w:val="FFFFFF"/>
                <w:sz w:val="19"/>
                <w:szCs w:val="19"/>
              </w:rPr>
              <w:t>A · Openflow</w:t>
            </w:r>
          </w:p>
        </w:tc>
        <w:tc>
          <w:tcPr>
            <w:tcW w:w="2333"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tcPr>
          <w:p w:rsidR="00BD0EA8" w:rsidRDefault="00C7158E">
            <w:pPr>
              <w:spacing w:after="40"/>
            </w:pPr>
            <w:r>
              <w:rPr>
                <w:b/>
                <w:bCs/>
                <w:color w:val="FFFFFF"/>
                <w:sz w:val="19"/>
                <w:szCs w:val="19"/>
              </w:rPr>
              <w:t>B · CT + Python + Airflow</w:t>
            </w:r>
          </w:p>
        </w:tc>
        <w:tc>
          <w:tcPr>
            <w:tcW w:w="2334"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tcPr>
          <w:p w:rsidR="00BD0EA8" w:rsidRDefault="00C7158E">
            <w:pPr>
              <w:spacing w:after="40"/>
            </w:pPr>
            <w:r>
              <w:rPr>
                <w:b/>
                <w:bCs/>
                <w:color w:val="FFFFFF"/>
                <w:sz w:val="19"/>
                <w:szCs w:val="19"/>
              </w:rPr>
              <w:t>C · Fivetran/HVR, Qlik</w:t>
            </w:r>
          </w:p>
        </w:tc>
      </w:tr>
      <w:tr w:rsidR="00BD0EA8">
        <w:tblPrEx>
          <w:tblCellMar>
            <w:top w:w="0" w:type="dxa"/>
            <w:bottom w:w="0" w:type="dxa"/>
          </w:tblCellMar>
        </w:tblPrEx>
        <w:trPr>
          <w:cantSplit/>
        </w:trPr>
        <w:tc>
          <w:tcPr>
            <w:tcW w:w="26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b/>
                <w:bCs/>
                <w:sz w:val="19"/>
                <w:szCs w:val="19"/>
              </w:rPr>
              <w:t>Data freshness</w:t>
            </w:r>
          </w:p>
        </w:tc>
        <w:tc>
          <w:tcPr>
            <w:tcW w:w="2333"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Minutes</w:t>
            </w:r>
          </w:p>
        </w:tc>
        <w:tc>
          <w:tcPr>
            <w:tcW w:w="2333"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15 min – daily</w:t>
            </w:r>
          </w:p>
        </w:tc>
        <w:tc>
          <w:tcPr>
            <w:tcW w:w="2334"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Minutes</w:t>
            </w:r>
          </w:p>
        </w:tc>
      </w:tr>
      <w:tr w:rsidR="00BD0EA8">
        <w:tblPrEx>
          <w:tblCellMar>
            <w:top w:w="0" w:type="dxa"/>
            <w:bottom w:w="0" w:type="dxa"/>
          </w:tblCellMar>
        </w:tblPrEx>
        <w:trPr>
          <w:cantSplit/>
        </w:trPr>
        <w:tc>
          <w:tcPr>
            <w:tcW w:w="2638"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b/>
                <w:bCs/>
                <w:sz w:val="19"/>
                <w:szCs w:val="19"/>
              </w:rPr>
              <w:t>Licence cost</w:t>
            </w:r>
          </w:p>
        </w:tc>
        <w:tc>
          <w:tcPr>
            <w:tcW w:w="2333"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None (Snowflake credits)</w:t>
            </w:r>
          </w:p>
        </w:tc>
        <w:tc>
          <w:tcPr>
            <w:tcW w:w="2333"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None</w:t>
            </w:r>
          </w:p>
        </w:tc>
        <w:tc>
          <w:tcPr>
            <w:tcW w:w="2334"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Recurring licence</w:t>
            </w:r>
          </w:p>
        </w:tc>
      </w:tr>
      <w:tr w:rsidR="00BD0EA8">
        <w:tblPrEx>
          <w:tblCellMar>
            <w:top w:w="0" w:type="dxa"/>
            <w:bottom w:w="0" w:type="dxa"/>
          </w:tblCellMar>
        </w:tblPrEx>
        <w:trPr>
          <w:cantSplit/>
        </w:trPr>
        <w:tc>
          <w:tcPr>
            <w:tcW w:w="26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b/>
                <w:bCs/>
                <w:sz w:val="19"/>
                <w:szCs w:val="19"/>
              </w:rPr>
              <w:t>Snowflake compute</w:t>
            </w:r>
          </w:p>
        </w:tc>
        <w:tc>
          <w:tcPr>
            <w:tcW w:w="2333"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Continuous</w:t>
            </w:r>
          </w:p>
        </w:tc>
        <w:tc>
          <w:tcPr>
            <w:tcW w:w="2333"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Per scheduled run</w:t>
            </w:r>
          </w:p>
        </w:tc>
        <w:tc>
          <w:tcPr>
            <w:tcW w:w="2334"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Per sync</w:t>
            </w:r>
          </w:p>
        </w:tc>
      </w:tr>
      <w:tr w:rsidR="00BD0EA8">
        <w:tblPrEx>
          <w:tblCellMar>
            <w:top w:w="0" w:type="dxa"/>
            <w:bottom w:w="0" w:type="dxa"/>
          </w:tblCellMar>
        </w:tblPrEx>
        <w:trPr>
          <w:cantSplit/>
        </w:trPr>
        <w:tc>
          <w:tcPr>
            <w:tcW w:w="2638"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b/>
                <w:bCs/>
                <w:sz w:val="19"/>
                <w:szCs w:val="19"/>
              </w:rPr>
              <w:t>Build effort</w:t>
            </w:r>
          </w:p>
        </w:tc>
        <w:tc>
          <w:tcPr>
            <w:tcW w:w="2333"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Low–medium</w:t>
            </w:r>
          </w:p>
        </w:tc>
        <w:tc>
          <w:tcPr>
            <w:tcW w:w="2333"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Medium</w:t>
            </w:r>
          </w:p>
        </w:tc>
        <w:tc>
          <w:tcPr>
            <w:tcW w:w="2334"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Low</w:t>
            </w:r>
          </w:p>
        </w:tc>
      </w:tr>
      <w:tr w:rsidR="00BD0EA8">
        <w:tblPrEx>
          <w:tblCellMar>
            <w:top w:w="0" w:type="dxa"/>
            <w:bottom w:w="0" w:type="dxa"/>
          </w:tblCellMar>
        </w:tblPrEx>
        <w:trPr>
          <w:cantSplit/>
        </w:trPr>
        <w:tc>
          <w:tcPr>
            <w:tcW w:w="26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b/>
                <w:bCs/>
                <w:sz w:val="19"/>
                <w:szCs w:val="19"/>
              </w:rPr>
              <w:t>Ongoing maintenance</w:t>
            </w:r>
          </w:p>
        </w:tc>
        <w:tc>
          <w:tcPr>
            <w:tcW w:w="2333"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Low</w:t>
            </w:r>
          </w:p>
        </w:tc>
        <w:tc>
          <w:tcPr>
            <w:tcW w:w="2333"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Medium</w:t>
            </w:r>
          </w:p>
        </w:tc>
        <w:tc>
          <w:tcPr>
            <w:tcW w:w="2334"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Low</w:t>
            </w:r>
          </w:p>
        </w:tc>
      </w:tr>
      <w:tr w:rsidR="00BD0EA8">
        <w:tblPrEx>
          <w:tblCellMar>
            <w:top w:w="0" w:type="dxa"/>
            <w:bottom w:w="0" w:type="dxa"/>
          </w:tblCellMar>
        </w:tblPrEx>
        <w:trPr>
          <w:cantSplit/>
        </w:trPr>
        <w:tc>
          <w:tcPr>
            <w:tcW w:w="2638"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b/>
                <w:bCs/>
                <w:sz w:val="19"/>
                <w:szCs w:val="19"/>
              </w:rPr>
              <w:t>Network needs</w:t>
            </w:r>
          </w:p>
        </w:tc>
        <w:tc>
          <w:tcPr>
            <w:tcW w:w="2333"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Snowflake → on-prem path</w:t>
            </w:r>
          </w:p>
        </w:tc>
        <w:tc>
          <w:tcPr>
            <w:tcW w:w="2333"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Outbound HTTPS only</w:t>
            </w:r>
          </w:p>
        </w:tc>
        <w:tc>
          <w:tcPr>
            <w:tcW w:w="2334"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Outbound (agent)</w:t>
            </w:r>
          </w:p>
        </w:tc>
      </w:tr>
      <w:tr w:rsidR="00BD0EA8">
        <w:tblPrEx>
          <w:tblCellMar>
            <w:top w:w="0" w:type="dxa"/>
            <w:bottom w:w="0" w:type="dxa"/>
          </w:tblCellMar>
        </w:tblPrEx>
        <w:trPr>
          <w:cantSplit/>
        </w:trPr>
        <w:tc>
          <w:tcPr>
            <w:tcW w:w="26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b/>
                <w:bCs/>
                <w:sz w:val="19"/>
                <w:szCs w:val="19"/>
              </w:rPr>
              <w:t>Deletes captured</w:t>
            </w:r>
          </w:p>
        </w:tc>
        <w:tc>
          <w:tcPr>
            <w:tcW w:w="2333"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Yes</w:t>
            </w:r>
          </w:p>
        </w:tc>
        <w:tc>
          <w:tcPr>
            <w:tcW w:w="2333"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Yes</w:t>
            </w:r>
          </w:p>
        </w:tc>
        <w:tc>
          <w:tcPr>
            <w:tcW w:w="2334"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Yes</w:t>
            </w:r>
          </w:p>
        </w:tc>
      </w:tr>
      <w:tr w:rsidR="00BD0EA8">
        <w:tblPrEx>
          <w:tblCellMar>
            <w:top w:w="0" w:type="dxa"/>
            <w:bottom w:w="0" w:type="dxa"/>
          </w:tblCellMar>
        </w:tblPrEx>
        <w:trPr>
          <w:cantSplit/>
        </w:trPr>
        <w:tc>
          <w:tcPr>
            <w:tcW w:w="2638"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b/>
                <w:bCs/>
                <w:sz w:val="19"/>
                <w:szCs w:val="19"/>
              </w:rPr>
              <w:t>Schema changes</w:t>
            </w:r>
          </w:p>
        </w:tc>
        <w:tc>
          <w:tcPr>
            <w:tcW w:w="2333"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Automatic</w:t>
            </w:r>
          </w:p>
        </w:tc>
        <w:tc>
          <w:tcPr>
            <w:tcW w:w="2333"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Detected; controlled process</w:t>
            </w:r>
          </w:p>
        </w:tc>
        <w:tc>
          <w:tcPr>
            <w:tcW w:w="2334"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Automatic</w:t>
            </w:r>
          </w:p>
        </w:tc>
      </w:tr>
      <w:tr w:rsidR="00BD0EA8">
        <w:tblPrEx>
          <w:tblCellMar>
            <w:top w:w="0" w:type="dxa"/>
            <w:bottom w:w="0" w:type="dxa"/>
          </w:tblCellMar>
        </w:tblPrEx>
        <w:trPr>
          <w:cantSplit/>
        </w:trPr>
        <w:tc>
          <w:tcPr>
            <w:tcW w:w="26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b/>
                <w:bCs/>
                <w:sz w:val="19"/>
                <w:szCs w:val="19"/>
              </w:rPr>
              <w:t>Vendor dependency</w:t>
            </w:r>
          </w:p>
        </w:tc>
        <w:tc>
          <w:tcPr>
            <w:tcW w:w="2333"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Snowflake only</w:t>
            </w:r>
          </w:p>
        </w:tc>
        <w:tc>
          <w:tcPr>
            <w:tcW w:w="2333"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None (open source)</w:t>
            </w:r>
          </w:p>
        </w:tc>
        <w:tc>
          <w:tcPr>
            <w:tcW w:w="2334"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Third-party vendor</w:t>
            </w:r>
          </w:p>
        </w:tc>
      </w:tr>
      <w:tr w:rsidR="00BD0EA8">
        <w:tblPrEx>
          <w:tblCellMar>
            <w:top w:w="0" w:type="dxa"/>
            <w:bottom w:w="0" w:type="dxa"/>
          </w:tblCellMar>
        </w:tblPrEx>
        <w:trPr>
          <w:cantSplit/>
        </w:trPr>
        <w:tc>
          <w:tcPr>
            <w:tcW w:w="2638"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b/>
                <w:bCs/>
                <w:sz w:val="19"/>
                <w:szCs w:val="19"/>
              </w:rPr>
              <w:t xml:space="preserve">Fit for this </w:t>
            </w:r>
            <w:r w:rsidR="00423D66">
              <w:rPr>
                <w:b/>
                <w:bCs/>
                <w:sz w:val="19"/>
                <w:szCs w:val="19"/>
              </w:rPr>
              <w:t>Team</w:t>
            </w:r>
          </w:p>
        </w:tc>
        <w:tc>
          <w:tcPr>
            <w:tcW w:w="2333"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If near real-time needed</w:t>
            </w:r>
          </w:p>
        </w:tc>
        <w:tc>
          <w:tcPr>
            <w:tcW w:w="2333"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b/>
                <w:bCs/>
                <w:sz w:val="19"/>
                <w:szCs w:val="19"/>
              </w:rPr>
              <w:t>Best fit</w:t>
            </w:r>
          </w:p>
        </w:tc>
        <w:tc>
          <w:tcPr>
            <w:tcW w:w="2334"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If buying preferred</w:t>
            </w:r>
          </w:p>
        </w:tc>
      </w:tr>
    </w:tbl>
    <w:p w:rsidR="00BD0EA8" w:rsidRDefault="00BD0EA8">
      <w:pPr>
        <w:spacing w:after="200"/>
      </w:pPr>
    </w:p>
    <w:p w:rsidR="00BD0EA8" w:rsidRDefault="00C7158E">
      <w:pPr>
        <w:pStyle w:val="Heading1"/>
      </w:pPr>
      <w:r>
        <w:t>7. Recommendation – What to Use and What to Avoid</w:t>
      </w:r>
    </w:p>
    <w:p w:rsidR="00BD0EA8" w:rsidRDefault="00C7158E">
      <w:pPr>
        <w:pStyle w:val="Heading2"/>
      </w:pPr>
      <w:r>
        <w:t>7.1 Recommended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0EA8">
        <w:tblPrEx>
          <w:tblCellMar>
            <w:top w:w="0" w:type="dxa"/>
            <w:bottom w:w="0" w:type="dxa"/>
          </w:tblCellMar>
        </w:tblPrEx>
        <w:tc>
          <w:tcPr>
            <w:tcW w:w="9638" w:type="dxa"/>
            <w:tcBorders>
              <w:top w:val="none" w:sz="0" w:space="0" w:color="FFFFFF"/>
              <w:left w:val="single" w:sz="18" w:space="0" w:color="2E7D32"/>
              <w:bottom w:val="none" w:sz="0" w:space="0" w:color="FFFFFF"/>
              <w:right w:val="none" w:sz="0" w:space="0" w:color="FFFFFF"/>
            </w:tcBorders>
            <w:shd w:val="clear" w:color="auto" w:fill="EEF7EF"/>
            <w:tcMar>
              <w:top w:w="120" w:type="dxa"/>
              <w:left w:w="200" w:type="dxa"/>
              <w:bottom w:w="120" w:type="dxa"/>
              <w:right w:w="200" w:type="dxa"/>
            </w:tcMar>
          </w:tcPr>
          <w:p w:rsidR="00BD0EA8" w:rsidRDefault="00C7158E">
            <w:pPr>
              <w:spacing w:after="40"/>
            </w:pPr>
            <w:r>
              <w:rPr>
                <w:b/>
                <w:bCs/>
              </w:rPr>
              <w:t>Historical load: H1 (Python → Parquet → COPY INTO), with H2 (bcp) for large numeric-only tables</w:t>
            </w:r>
          </w:p>
          <w:p w:rsidR="00BD0EA8" w:rsidRDefault="00C7158E">
            <w:pPr>
              <w:spacing w:after="40"/>
            </w:pPr>
            <w:r>
              <w:rPr>
                <w:b/>
                <w:bCs/>
              </w:rPr>
              <w:t>Delta sync: Option B (Change Tracking + Python + Airflow → MERGE)</w:t>
            </w:r>
          </w:p>
        </w:tc>
      </w:tr>
    </w:tbl>
    <w:p w:rsidR="00BD0EA8" w:rsidRDefault="00BD0EA8">
      <w:pPr>
        <w:spacing w:after="120"/>
      </w:pPr>
    </w:p>
    <w:p w:rsidR="00BD0EA8" w:rsidRDefault="00C7158E">
      <w:pPr>
        <w:spacing w:after="120" w:line="276" w:lineRule="auto"/>
      </w:pPr>
      <w:r>
        <w:rPr>
          <w:b/>
          <w:bCs/>
        </w:rPr>
        <w:t>Why this combination:</w:t>
      </w:r>
    </w:p>
    <w:p w:rsidR="00BD0EA8" w:rsidRDefault="00C7158E">
      <w:pPr>
        <w:pStyle w:val="ListParagraph"/>
        <w:numPr>
          <w:ilvl w:val="0"/>
          <w:numId w:val="3"/>
        </w:numPr>
        <w:spacing w:after="60" w:line="264" w:lineRule="auto"/>
      </w:pPr>
      <w:r>
        <w:t>One framework, one code base and one team for both phases – simpler to run and support</w:t>
      </w:r>
    </w:p>
    <w:p w:rsidR="00BD0EA8" w:rsidRDefault="00C7158E">
      <w:pPr>
        <w:pStyle w:val="ListParagraph"/>
        <w:numPr>
          <w:ilvl w:val="0"/>
          <w:numId w:val="3"/>
        </w:numPr>
        <w:spacing w:after="60" w:line="264" w:lineRule="auto"/>
      </w:pPr>
      <w:r>
        <w:t>No licence costs and no extra cloud services, which suits a first-time Snowflake buyer</w:t>
      </w:r>
    </w:p>
    <w:p w:rsidR="00BD0EA8" w:rsidRDefault="00C7158E">
      <w:pPr>
        <w:pStyle w:val="ListParagraph"/>
        <w:numPr>
          <w:ilvl w:val="0"/>
          <w:numId w:val="3"/>
        </w:numPr>
        <w:spacing w:after="60" w:line="264" w:lineRule="auto"/>
      </w:pPr>
      <w:r>
        <w:t xml:space="preserve">Outbound-only network design avoids the longest approval cycle (inbound access to </w:t>
      </w:r>
      <w:r>
        <w:t>production databases)</w:t>
      </w:r>
    </w:p>
    <w:p w:rsidR="00BD0EA8" w:rsidRDefault="00C7158E">
      <w:pPr>
        <w:pStyle w:val="ListParagraph"/>
        <w:numPr>
          <w:ilvl w:val="0"/>
          <w:numId w:val="3"/>
        </w:numPr>
        <w:spacing w:after="60" w:line="264" w:lineRule="auto"/>
      </w:pPr>
      <w:r>
        <w:t>Parquet removes the Unicode, binary and padding risks found in this source’s data types</w:t>
      </w:r>
    </w:p>
    <w:p w:rsidR="00BD0EA8" w:rsidRDefault="00C7158E">
      <w:pPr>
        <w:pStyle w:val="ListParagraph"/>
        <w:numPr>
          <w:ilvl w:val="0"/>
          <w:numId w:val="3"/>
        </w:numPr>
        <w:spacing w:after="60" w:line="264" w:lineRule="auto"/>
      </w:pPr>
      <w:r>
        <w:t>Change Tracking captures deletes with low source overhead</w:t>
      </w:r>
    </w:p>
    <w:p w:rsidR="00BD0EA8" w:rsidRDefault="00C7158E">
      <w:pPr>
        <w:pStyle w:val="ListParagraph"/>
        <w:numPr>
          <w:ilvl w:val="0"/>
          <w:numId w:val="3"/>
        </w:numPr>
        <w:spacing w:after="60" w:line="264" w:lineRule="auto"/>
      </w:pPr>
      <w:r>
        <w:t xml:space="preserve">The </w:t>
      </w:r>
      <w:r w:rsidR="00423D66">
        <w:t>Team</w:t>
      </w:r>
      <w:r>
        <w:t xml:space="preserve"> team learns standard Snowflake loading patterns (stages, COPY INTO, MERGE) th</w:t>
      </w:r>
      <w:r>
        <w:t>at apply to future projects</w:t>
      </w:r>
    </w:p>
    <w:p w:rsidR="00BD0EA8" w:rsidRDefault="00C7158E">
      <w:pPr>
        <w:pStyle w:val="Heading2"/>
      </w:pPr>
      <w:r>
        <w:t>7.2 Alternatives kept open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BD0EA8">
        <w:tblPrEx>
          <w:tblCellMar>
            <w:top w:w="0" w:type="dxa"/>
            <w:bottom w:w="0" w:type="dxa"/>
          </w:tblCellMar>
        </w:tblPrEx>
        <w:trPr>
          <w:tblHeader/>
        </w:trPr>
        <w:tc>
          <w:tcPr>
            <w:tcW w:w="24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tcPr>
          <w:p w:rsidR="00BD0EA8" w:rsidRDefault="00C7158E">
            <w:pPr>
              <w:spacing w:after="40"/>
            </w:pPr>
            <w:r>
              <w:rPr>
                <w:b/>
                <w:bCs/>
                <w:color w:val="FFFFFF"/>
                <w:sz w:val="19"/>
                <w:szCs w:val="19"/>
              </w:rPr>
              <w:t>Switch to…</w:t>
            </w:r>
          </w:p>
        </w:tc>
        <w:tc>
          <w:tcPr>
            <w:tcW w:w="7238"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tcPr>
          <w:p w:rsidR="00BD0EA8" w:rsidRDefault="00C7158E">
            <w:pPr>
              <w:spacing w:after="40"/>
            </w:pPr>
            <w:r>
              <w:rPr>
                <w:b/>
                <w:bCs/>
                <w:color w:val="FFFFFF"/>
                <w:sz w:val="19"/>
                <w:szCs w:val="19"/>
              </w:rPr>
              <w:t>If…</w:t>
            </w:r>
          </w:p>
        </w:tc>
      </w:tr>
      <w:tr w:rsidR="00BD0EA8">
        <w:tblPrEx>
          <w:tblCellMar>
            <w:top w:w="0" w:type="dxa"/>
            <w:bottom w:w="0" w:type="dxa"/>
          </w:tblCellMar>
        </w:tblPrEx>
        <w:trPr>
          <w:cantSplit/>
        </w:trPr>
        <w:tc>
          <w:tcPr>
            <w:tcW w:w="24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b/>
                <w:bCs/>
                <w:sz w:val="19"/>
                <w:szCs w:val="19"/>
              </w:rPr>
              <w:t>Option A · Openflow</w:t>
            </w:r>
          </w:p>
        </w:tc>
        <w:tc>
          <w:tcPr>
            <w:tcW w:w="72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The business needs data within minutes, and the network team approves Snowflake reaching the on-prem SQL Server. The historical load still uses H1.</w:t>
            </w:r>
          </w:p>
        </w:tc>
      </w:tr>
      <w:tr w:rsidR="00BD0EA8">
        <w:tblPrEx>
          <w:tblCellMar>
            <w:top w:w="0" w:type="dxa"/>
            <w:bottom w:w="0" w:type="dxa"/>
          </w:tblCellMar>
        </w:tblPrEx>
        <w:trPr>
          <w:cantSplit/>
        </w:trPr>
        <w:tc>
          <w:tcPr>
            <w:tcW w:w="24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b/>
                <w:bCs/>
                <w:sz w:val="19"/>
                <w:szCs w:val="19"/>
              </w:rPr>
              <w:t>Option C · Fivetran/HVR or Qlik</w:t>
            </w:r>
          </w:p>
        </w:tc>
        <w:tc>
          <w:tcPr>
            <w:tcW w:w="7238"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 xml:space="preserve">The </w:t>
            </w:r>
            <w:r w:rsidR="00423D66">
              <w:rPr>
                <w:sz w:val="19"/>
                <w:szCs w:val="19"/>
              </w:rPr>
              <w:t>Team</w:t>
            </w:r>
            <w:r>
              <w:rPr>
                <w:sz w:val="19"/>
                <w:szCs w:val="19"/>
              </w:rPr>
              <w:t xml:space="preserve"> prefers a managed product over building one, has budget for licences, or expects many more tables and sources soon. The historical load still uses H1.</w:t>
            </w:r>
          </w:p>
        </w:tc>
      </w:tr>
    </w:tbl>
    <w:p w:rsidR="00BD0EA8" w:rsidRDefault="00BD0EA8">
      <w:pPr>
        <w:spacing w:after="120"/>
      </w:pPr>
    </w:p>
    <w:p w:rsidR="00BD0EA8" w:rsidRDefault="00C7158E">
      <w:pPr>
        <w:spacing w:after="120" w:line="276" w:lineRule="auto"/>
      </w:pPr>
      <w:r>
        <w:lastRenderedPageBreak/>
        <w:t>Because the historical load (H1) and the Snowflake design st</w:t>
      </w:r>
      <w:r>
        <w:t>ay the same, switching the delta option later does not mean redoing the migration.</w:t>
      </w:r>
    </w:p>
    <w:p w:rsidR="00BD0EA8" w:rsidRDefault="00C7158E">
      <w:pPr>
        <w:pStyle w:val="Heading2"/>
      </w:pPr>
      <w:r>
        <w:t>7.3 Not recommended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738"/>
      </w:tblGrid>
      <w:tr w:rsidR="00BD0EA8">
        <w:tblPrEx>
          <w:tblCellMar>
            <w:top w:w="0" w:type="dxa"/>
            <w:bottom w:w="0" w:type="dxa"/>
          </w:tblCellMar>
        </w:tblPrEx>
        <w:trPr>
          <w:tblHeader/>
        </w:trPr>
        <w:tc>
          <w:tcPr>
            <w:tcW w:w="29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tcPr>
          <w:p w:rsidR="00BD0EA8" w:rsidRDefault="00C7158E">
            <w:pPr>
              <w:spacing w:after="40"/>
            </w:pPr>
            <w:r>
              <w:rPr>
                <w:b/>
                <w:bCs/>
                <w:color w:val="FFFFFF"/>
                <w:sz w:val="19"/>
                <w:szCs w:val="19"/>
              </w:rPr>
              <w:t>Option</w:t>
            </w:r>
          </w:p>
        </w:tc>
        <w:tc>
          <w:tcPr>
            <w:tcW w:w="6738"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tcPr>
          <w:p w:rsidR="00BD0EA8" w:rsidRDefault="00C7158E">
            <w:pPr>
              <w:spacing w:after="40"/>
            </w:pPr>
            <w:r>
              <w:rPr>
                <w:b/>
                <w:bCs/>
                <w:color w:val="FFFFFF"/>
                <w:sz w:val="19"/>
                <w:szCs w:val="19"/>
              </w:rPr>
              <w:t>Why not</w:t>
            </w:r>
          </w:p>
        </w:tc>
      </w:tr>
      <w:tr w:rsidR="00BD0EA8">
        <w:tblPrEx>
          <w:tblCellMar>
            <w:top w:w="0" w:type="dxa"/>
            <w:bottom w:w="0" w:type="dxa"/>
          </w:tblCellMar>
        </w:tblPrEx>
        <w:trPr>
          <w:cantSplit/>
        </w:trPr>
        <w:tc>
          <w:tcPr>
            <w:tcW w:w="29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b/>
                <w:bCs/>
                <w:sz w:val="19"/>
                <w:szCs w:val="19"/>
              </w:rPr>
              <w:t>ADF / SSIS (H4, D)</w:t>
            </w:r>
          </w:p>
        </w:tc>
        <w:tc>
          <w:tcPr>
            <w:tcW w:w="67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Needs Azure Blob staging or third-party components; adds a platform with no benefit over the recommended approach</w:t>
            </w:r>
          </w:p>
        </w:tc>
      </w:tr>
      <w:tr w:rsidR="00BD0EA8">
        <w:tblPrEx>
          <w:tblCellMar>
            <w:top w:w="0" w:type="dxa"/>
            <w:bottom w:w="0" w:type="dxa"/>
          </w:tblCellMar>
        </w:tblPrEx>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b/>
                <w:bCs/>
                <w:sz w:val="19"/>
                <w:szCs w:val="19"/>
              </w:rPr>
              <w:t>Connector snapshot for history (H3)</w:t>
            </w:r>
          </w:p>
        </w:tc>
        <w:tc>
          <w:tcPr>
            <w:tcW w:w="6738"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Too slow and hard to control at 3–4 TB; long, heavy load on the live source</w:t>
            </w:r>
          </w:p>
        </w:tc>
      </w:tr>
      <w:tr w:rsidR="00BD0EA8">
        <w:tblPrEx>
          <w:tblCellMar>
            <w:top w:w="0" w:type="dxa"/>
            <w:bottom w:w="0" w:type="dxa"/>
          </w:tblCellMar>
        </w:tblPrEx>
        <w:trPr>
          <w:cantSplit/>
        </w:trPr>
        <w:tc>
          <w:tcPr>
            <w:tcW w:w="29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b/>
                <w:bCs/>
                <w:sz w:val="19"/>
                <w:szCs w:val="19"/>
              </w:rPr>
              <w:t>Watermark-only delta (E)</w:t>
            </w:r>
          </w:p>
        </w:tc>
        <w:tc>
          <w:tcPr>
            <w:tcW w:w="67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Misses deletes and depends on unreliable “last updated” columns – silent data drift</w:t>
            </w:r>
          </w:p>
        </w:tc>
      </w:tr>
      <w:tr w:rsidR="00BD0EA8">
        <w:tblPrEx>
          <w:tblCellMar>
            <w:top w:w="0" w:type="dxa"/>
            <w:bottom w:w="0" w:type="dxa"/>
          </w:tblCellMar>
        </w:tblPrEx>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b/>
                <w:bCs/>
                <w:sz w:val="19"/>
                <w:szCs w:val="19"/>
              </w:rPr>
              <w:t>Daily full reload (F)</w:t>
            </w:r>
          </w:p>
        </w:tc>
        <w:tc>
          <w:tcPr>
            <w:tcW w:w="6738"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Moves 3–4 TB every day; wasteful in bandwidth, source load and Snowflake cost</w:t>
            </w:r>
          </w:p>
        </w:tc>
      </w:tr>
    </w:tbl>
    <w:p w:rsidR="00BD0EA8" w:rsidRDefault="00C7158E">
      <w:pPr>
        <w:pStyle w:val="Heading1"/>
      </w:pPr>
      <w:r>
        <w:t>8. Data Type Mapping</w:t>
      </w:r>
    </w:p>
    <w:p w:rsidR="00BD0EA8" w:rsidRDefault="00C7158E">
      <w:pPr>
        <w:spacing w:after="120" w:line="276" w:lineRule="auto"/>
      </w:pPr>
      <w:r>
        <w:t>All ten source data types map directly to Snowflake. Four need specific handling, marked below.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5038"/>
      </w:tblGrid>
      <w:tr w:rsidR="00BD0EA8">
        <w:tblPrEx>
          <w:tblCellMar>
            <w:top w:w="0" w:type="dxa"/>
            <w:bottom w:w="0" w:type="dxa"/>
          </w:tblCellMar>
        </w:tblPrEx>
        <w:trPr>
          <w:tblHeader/>
        </w:trPr>
        <w:tc>
          <w:tcPr>
            <w:tcW w:w="22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tcPr>
          <w:p w:rsidR="00BD0EA8" w:rsidRDefault="00C7158E">
            <w:pPr>
              <w:spacing w:after="40"/>
            </w:pPr>
            <w:r>
              <w:rPr>
                <w:b/>
                <w:bCs/>
                <w:color w:val="FFFFFF"/>
                <w:sz w:val="19"/>
                <w:szCs w:val="19"/>
              </w:rPr>
              <w:t>SQL Server</w:t>
            </w:r>
          </w:p>
        </w:tc>
        <w:tc>
          <w:tcPr>
            <w:tcW w:w="24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tcPr>
          <w:p w:rsidR="00BD0EA8" w:rsidRDefault="00C7158E">
            <w:pPr>
              <w:spacing w:after="40"/>
            </w:pPr>
            <w:r>
              <w:rPr>
                <w:b/>
                <w:bCs/>
                <w:color w:val="FFFFFF"/>
                <w:sz w:val="19"/>
                <w:szCs w:val="19"/>
              </w:rPr>
              <w:t>Snowflake</w:t>
            </w:r>
          </w:p>
        </w:tc>
        <w:tc>
          <w:tcPr>
            <w:tcW w:w="5038"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tcPr>
          <w:p w:rsidR="00BD0EA8" w:rsidRDefault="00C7158E">
            <w:pPr>
              <w:spacing w:after="40"/>
            </w:pPr>
            <w:r>
              <w:rPr>
                <w:b/>
                <w:bCs/>
                <w:color w:val="FFFFFF"/>
                <w:sz w:val="19"/>
                <w:szCs w:val="19"/>
              </w:rPr>
              <w:t>Notes</w:t>
            </w:r>
          </w:p>
        </w:tc>
      </w:tr>
      <w:tr w:rsidR="00BD0EA8">
        <w:tblPrEx>
          <w:tblCellMar>
            <w:top w:w="0" w:type="dxa"/>
            <w:bottom w:w="0" w:type="dxa"/>
          </w:tblCellMar>
        </w:tblPrEx>
        <w:trPr>
          <w:cantSplit/>
        </w:trPr>
        <w:tc>
          <w:tcPr>
            <w:tcW w:w="22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bigint</w:t>
            </w:r>
          </w:p>
        </w:tc>
        <w:tc>
          <w:tcPr>
            <w:tcW w:w="24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NUMBER(19,0)</w:t>
            </w:r>
          </w:p>
        </w:tc>
        <w:tc>
          <w:tcPr>
            <w:tcW w:w="50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Direct</w:t>
            </w:r>
          </w:p>
        </w:tc>
      </w:tr>
      <w:tr w:rsidR="00BD0EA8">
        <w:tblPrEx>
          <w:tblCellMar>
            <w:top w:w="0" w:type="dxa"/>
            <w:bottom w:w="0" w:type="dxa"/>
          </w:tblCellMar>
        </w:tblPrEx>
        <w:trPr>
          <w:cantSplit/>
        </w:trPr>
        <w:tc>
          <w:tcPr>
            <w:tcW w:w="22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int</w:t>
            </w:r>
          </w:p>
        </w:tc>
        <w:tc>
          <w:tcPr>
            <w:tcW w:w="24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NUMBER(10,0)</w:t>
            </w:r>
          </w:p>
        </w:tc>
        <w:tc>
          <w:tcPr>
            <w:tcW w:w="5038"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Direct</w:t>
            </w:r>
          </w:p>
        </w:tc>
      </w:tr>
      <w:tr w:rsidR="00BD0EA8">
        <w:tblPrEx>
          <w:tblCellMar>
            <w:top w:w="0" w:type="dxa"/>
            <w:bottom w:w="0" w:type="dxa"/>
          </w:tblCellMar>
        </w:tblPrEx>
        <w:trPr>
          <w:cantSplit/>
        </w:trPr>
        <w:tc>
          <w:tcPr>
            <w:tcW w:w="22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decimal(p,s) / numeric(p,s)</w:t>
            </w:r>
          </w:p>
        </w:tc>
        <w:tc>
          <w:tcPr>
            <w:tcW w:w="24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NUMBER(p,s)</w:t>
            </w:r>
          </w:p>
        </w:tc>
        <w:tc>
          <w:tcPr>
            <w:tcW w:w="50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Same maximum precision (38)</w:t>
            </w:r>
          </w:p>
        </w:tc>
      </w:tr>
      <w:tr w:rsidR="00BD0EA8">
        <w:tblPrEx>
          <w:tblCellMar>
            <w:top w:w="0" w:type="dxa"/>
            <w:bottom w:w="0" w:type="dxa"/>
          </w:tblCellMar>
        </w:tblPrEx>
        <w:trPr>
          <w:cantSplit/>
        </w:trPr>
        <w:tc>
          <w:tcPr>
            <w:tcW w:w="22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bit</w:t>
            </w:r>
          </w:p>
        </w:tc>
        <w:tc>
          <w:tcPr>
            <w:tcW w:w="24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BOOLEAN</w:t>
            </w:r>
          </w:p>
        </w:tc>
        <w:tc>
          <w:tcPr>
            <w:tcW w:w="5038"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1/0 become TRUE/FALSE</w:t>
            </w:r>
          </w:p>
        </w:tc>
      </w:tr>
      <w:tr w:rsidR="00BD0EA8">
        <w:tblPrEx>
          <w:tblCellMar>
            <w:top w:w="0" w:type="dxa"/>
            <w:bottom w:w="0" w:type="dxa"/>
          </w:tblCellMar>
        </w:tblPrEx>
        <w:trPr>
          <w:cantSplit/>
        </w:trPr>
        <w:tc>
          <w:tcPr>
            <w:tcW w:w="22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datetime</w:t>
            </w:r>
          </w:p>
        </w:tc>
        <w:tc>
          <w:tcPr>
            <w:tcW w:w="24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TIMESTAMP_NTZ(3)</w:t>
            </w:r>
          </w:p>
        </w:tc>
        <w:tc>
          <w:tcPr>
            <w:tcW w:w="50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No time zone; millisecond precision. SQL Server rounds to about 3 ms, so values match.</w:t>
            </w:r>
          </w:p>
        </w:tc>
      </w:tr>
      <w:tr w:rsidR="00BD0EA8">
        <w:tblPrEx>
          <w:tblCellMar>
            <w:top w:w="0" w:type="dxa"/>
            <w:bottom w:w="0" w:type="dxa"/>
          </w:tblCellMar>
        </w:tblPrEx>
        <w:trPr>
          <w:cantSplit/>
        </w:trPr>
        <w:tc>
          <w:tcPr>
            <w:tcW w:w="22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varchar(n)</w:t>
            </w:r>
          </w:p>
        </w:tc>
        <w:tc>
          <w:tcPr>
            <w:tcW w:w="24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VARCHAR(n)</w:t>
            </w:r>
          </w:p>
        </w:tc>
        <w:tc>
          <w:tcPr>
            <w:tcW w:w="5038"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Direct</w:t>
            </w:r>
          </w:p>
        </w:tc>
      </w:tr>
      <w:tr w:rsidR="00BD0EA8">
        <w:tblPrEx>
          <w:tblCellMar>
            <w:top w:w="0" w:type="dxa"/>
            <w:bottom w:w="0" w:type="dxa"/>
          </w:tblCellMar>
        </w:tblPrEx>
        <w:trPr>
          <w:cantSplit/>
        </w:trPr>
        <w:tc>
          <w:tcPr>
            <w:tcW w:w="22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b/>
                <w:bCs/>
                <w:sz w:val="19"/>
                <w:szCs w:val="19"/>
              </w:rPr>
              <w:t>char(n)</w:t>
            </w:r>
            <w:r>
              <w:rPr>
                <w:sz w:val="19"/>
                <w:szCs w:val="19"/>
              </w:rPr>
              <w:t xml:space="preserve"> ⚠</w:t>
            </w:r>
          </w:p>
        </w:tc>
        <w:tc>
          <w:tcPr>
            <w:tcW w:w="24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VARCHAR(n)</w:t>
            </w:r>
          </w:p>
        </w:tc>
        <w:tc>
          <w:tcPr>
            <w:tcW w:w="50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SQL Server pads values with trailing spaces. Trim on load (or compare trimmed values) so joins and validation match.</w:t>
            </w:r>
          </w:p>
        </w:tc>
      </w:tr>
      <w:tr w:rsidR="00BD0EA8">
        <w:tblPrEx>
          <w:tblCellMar>
            <w:top w:w="0" w:type="dxa"/>
            <w:bottom w:w="0" w:type="dxa"/>
          </w:tblCellMar>
        </w:tblPrEx>
        <w:trPr>
          <w:cantSplit/>
        </w:trPr>
        <w:tc>
          <w:tcPr>
            <w:tcW w:w="22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b/>
                <w:bCs/>
                <w:sz w:val="19"/>
                <w:szCs w:val="19"/>
              </w:rPr>
              <w:t>nvarchar(n)</w:t>
            </w:r>
            <w:r>
              <w:rPr>
                <w:sz w:val="19"/>
                <w:szCs w:val="19"/>
              </w:rPr>
              <w:t xml:space="preserve"> ⚠</w:t>
            </w:r>
          </w:p>
        </w:tc>
        <w:tc>
          <w:tcPr>
            <w:tcW w:w="24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VARCHAR</w:t>
            </w:r>
          </w:p>
        </w:tc>
        <w:tc>
          <w:tcPr>
            <w:tcW w:w="5038"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Unicode. Snowflake stores text as UTF-8. Parquet extract keeps characters intact; plain bcp text export can corrupt them.</w:t>
            </w:r>
          </w:p>
        </w:tc>
      </w:tr>
      <w:tr w:rsidR="00BD0EA8">
        <w:tblPrEx>
          <w:tblCellMar>
            <w:top w:w="0" w:type="dxa"/>
            <w:bottom w:w="0" w:type="dxa"/>
          </w:tblCellMar>
        </w:tblPrEx>
        <w:trPr>
          <w:cantSplit/>
        </w:trPr>
        <w:tc>
          <w:tcPr>
            <w:tcW w:w="22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b/>
                <w:bCs/>
                <w:sz w:val="19"/>
                <w:szCs w:val="19"/>
              </w:rPr>
              <w:t>varbinary(n)</w:t>
            </w:r>
            <w:r>
              <w:rPr>
                <w:sz w:val="19"/>
                <w:szCs w:val="19"/>
              </w:rPr>
              <w:t xml:space="preserve"> ⚠</w:t>
            </w:r>
          </w:p>
        </w:tc>
        <w:tc>
          <w:tcPr>
            <w:tcW w:w="24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BINARY</w:t>
            </w:r>
          </w:p>
        </w:tc>
        <w:tc>
          <w:tcPr>
            <w:tcW w:w="50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Parquet keeps bytes as-is. Check maximum varbinary(max) sizes against Snowflake’s BINARY size limit during assessment.</w:t>
            </w:r>
          </w:p>
        </w:tc>
      </w:tr>
      <w:tr w:rsidR="00BD0EA8">
        <w:tblPrEx>
          <w:tblCellMar>
            <w:top w:w="0" w:type="dxa"/>
            <w:bottom w:w="0" w:type="dxa"/>
          </w:tblCellMar>
        </w:tblPrEx>
        <w:trPr>
          <w:cantSplit/>
        </w:trPr>
        <w:tc>
          <w:tcPr>
            <w:tcW w:w="22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b/>
                <w:bCs/>
                <w:sz w:val="19"/>
                <w:szCs w:val="19"/>
              </w:rPr>
              <w:t>Collation</w:t>
            </w:r>
            <w:r>
              <w:rPr>
                <w:sz w:val="19"/>
                <w:szCs w:val="19"/>
              </w:rPr>
              <w:t xml:space="preserve"> ⚠</w:t>
            </w:r>
          </w:p>
        </w:tc>
        <w:tc>
          <w:tcPr>
            <w:tcW w:w="24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w:t>
            </w:r>
          </w:p>
        </w:tc>
        <w:tc>
          <w:tcPr>
            <w:tcW w:w="5038"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SQL Server is usually case-insensitive; Snowflake comparisons are case-sensitive by default. Affects queries on the data, not the copy itself.</w:t>
            </w:r>
          </w:p>
        </w:tc>
      </w:tr>
    </w:tbl>
    <w:p w:rsidR="00BD0EA8" w:rsidRDefault="00C7158E">
      <w:pPr>
        <w:pStyle w:val="Heading1"/>
      </w:pPr>
      <w:r>
        <w:t>9. Snowflake Foundation Setup</w:t>
      </w:r>
    </w:p>
    <w:p w:rsidR="00BD0EA8" w:rsidRDefault="00C7158E">
      <w:pPr>
        <w:spacing w:after="120" w:line="276" w:lineRule="auto"/>
      </w:pPr>
      <w:r>
        <w:t xml:space="preserve">As this is the </w:t>
      </w:r>
      <w:r w:rsidR="00423D66">
        <w:t>Team</w:t>
      </w:r>
      <w:r>
        <w:t>’s first Snowflake account, the foundation is set up before any data is loaded.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BD0EA8">
        <w:tblPrEx>
          <w:tblCellMar>
            <w:top w:w="0" w:type="dxa"/>
            <w:bottom w:w="0" w:type="dxa"/>
          </w:tblCellMar>
        </w:tblPrEx>
        <w:trPr>
          <w:tblHeader/>
        </w:trPr>
        <w:tc>
          <w:tcPr>
            <w:tcW w:w="25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tcPr>
          <w:p w:rsidR="00BD0EA8" w:rsidRDefault="00C7158E">
            <w:pPr>
              <w:spacing w:after="40"/>
            </w:pPr>
            <w:r>
              <w:rPr>
                <w:b/>
                <w:bCs/>
                <w:color w:val="FFFFFF"/>
                <w:sz w:val="19"/>
                <w:szCs w:val="19"/>
              </w:rPr>
              <w:t>Area</w:t>
            </w:r>
          </w:p>
        </w:tc>
        <w:tc>
          <w:tcPr>
            <w:tcW w:w="7138"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tcPr>
          <w:p w:rsidR="00BD0EA8" w:rsidRDefault="00C7158E">
            <w:pPr>
              <w:spacing w:after="40"/>
            </w:pPr>
            <w:r>
              <w:rPr>
                <w:b/>
                <w:bCs/>
                <w:color w:val="FFFFFF"/>
                <w:sz w:val="19"/>
                <w:szCs w:val="19"/>
              </w:rPr>
              <w:t>Recommendation</w:t>
            </w:r>
          </w:p>
        </w:tc>
      </w:tr>
      <w:tr w:rsidR="00BD0EA8">
        <w:tblPrEx>
          <w:tblCellMar>
            <w:top w:w="0" w:type="dxa"/>
            <w:bottom w:w="0" w:type="dxa"/>
          </w:tblCellMar>
        </w:tblPrEx>
        <w:trPr>
          <w:cantSplit/>
        </w:trPr>
        <w:tc>
          <w:tcPr>
            <w:tcW w:w="25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b/>
                <w:bCs/>
                <w:sz w:val="19"/>
                <w:szCs w:val="19"/>
              </w:rPr>
              <w:t>Edition</w:t>
            </w:r>
          </w:p>
        </w:tc>
        <w:tc>
          <w:tcPr>
            <w:tcW w:w="71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Enterprise (longer Time Travel, multi-cluster warehouses). Business Critical only if regulated data or private connectivity is required.</w:t>
            </w:r>
          </w:p>
        </w:tc>
      </w:tr>
      <w:tr w:rsidR="00BD0EA8">
        <w:tblPrEx>
          <w:tblCellMar>
            <w:top w:w="0" w:type="dxa"/>
            <w:bottom w:w="0" w:type="dxa"/>
          </w:tblCellMar>
        </w:tblPrEx>
        <w:trPr>
          <w:cantSplit/>
        </w:trPr>
        <w:tc>
          <w:tcPr>
            <w:tcW w:w="25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b/>
                <w:bCs/>
                <w:sz w:val="19"/>
                <w:szCs w:val="19"/>
              </w:rPr>
              <w:lastRenderedPageBreak/>
              <w:t>Cloud and region</w:t>
            </w:r>
          </w:p>
        </w:tc>
        <w:tc>
          <w:tcPr>
            <w:tcW w:w="7138"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 xml:space="preserve">Same cloud and region as the </w:t>
            </w:r>
            <w:r w:rsidR="00423D66">
              <w:rPr>
                <w:sz w:val="19"/>
                <w:szCs w:val="19"/>
              </w:rPr>
              <w:t>Team</w:t>
            </w:r>
            <w:r>
              <w:rPr>
                <w:sz w:val="19"/>
                <w:szCs w:val="19"/>
              </w:rPr>
              <w:t>’s other systems, or an India region if data residency applies.</w:t>
            </w:r>
          </w:p>
        </w:tc>
      </w:tr>
      <w:tr w:rsidR="00BD0EA8">
        <w:tblPrEx>
          <w:tblCellMar>
            <w:top w:w="0" w:type="dxa"/>
            <w:bottom w:w="0" w:type="dxa"/>
          </w:tblCellMar>
        </w:tblPrEx>
        <w:trPr>
          <w:cantSplit/>
        </w:trPr>
        <w:tc>
          <w:tcPr>
            <w:tcW w:w="25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b/>
                <w:bCs/>
                <w:sz w:val="19"/>
                <w:szCs w:val="19"/>
              </w:rPr>
              <w:t>Database layout</w:t>
            </w:r>
          </w:p>
        </w:tc>
        <w:tc>
          <w:tcPr>
            <w:tcW w:w="71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One migration database with RAW, CURATED and AUDIT schemas. Lower Time Travel retention on RAW to save storage.</w:t>
            </w:r>
          </w:p>
        </w:tc>
      </w:tr>
      <w:tr w:rsidR="00BD0EA8">
        <w:tblPrEx>
          <w:tblCellMar>
            <w:top w:w="0" w:type="dxa"/>
            <w:bottom w:w="0" w:type="dxa"/>
          </w:tblCellMar>
        </w:tblPrEx>
        <w:trPr>
          <w:cantSplit/>
        </w:trPr>
        <w:tc>
          <w:tcPr>
            <w:tcW w:w="25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b/>
                <w:bCs/>
                <w:sz w:val="19"/>
                <w:szCs w:val="19"/>
              </w:rPr>
              <w:t>Roles (RBAC)</w:t>
            </w:r>
          </w:p>
        </w:tc>
        <w:tc>
          <w:tcPr>
            <w:tcW w:w="7138"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Separate roles for loading, administration and read access. Jobs never run as ACCOUNTADMIN.</w:t>
            </w:r>
          </w:p>
        </w:tc>
      </w:tr>
      <w:tr w:rsidR="00BD0EA8">
        <w:tblPrEx>
          <w:tblCellMar>
            <w:top w:w="0" w:type="dxa"/>
            <w:bottom w:w="0" w:type="dxa"/>
          </w:tblCellMar>
        </w:tblPrEx>
        <w:trPr>
          <w:cantSplit/>
        </w:trPr>
        <w:tc>
          <w:tcPr>
            <w:tcW w:w="25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b/>
                <w:bCs/>
                <w:sz w:val="19"/>
                <w:szCs w:val="19"/>
              </w:rPr>
              <w:t>Authentication</w:t>
            </w:r>
          </w:p>
        </w:tc>
        <w:tc>
          <w:tcPr>
            <w:tcW w:w="71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Key-pair authentication for the service user; SSO and MFA for people.</w:t>
            </w:r>
          </w:p>
        </w:tc>
      </w:tr>
      <w:tr w:rsidR="00BD0EA8">
        <w:tblPrEx>
          <w:tblCellMar>
            <w:top w:w="0" w:type="dxa"/>
            <w:bottom w:w="0" w:type="dxa"/>
          </w:tblCellMar>
        </w:tblPrEx>
        <w:trPr>
          <w:cantSplit/>
        </w:trPr>
        <w:tc>
          <w:tcPr>
            <w:tcW w:w="25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b/>
                <w:bCs/>
                <w:sz w:val="19"/>
                <w:szCs w:val="19"/>
              </w:rPr>
              <w:t>Warehouses</w:t>
            </w:r>
          </w:p>
        </w:tc>
        <w:tc>
          <w:tcPr>
            <w:tcW w:w="7138"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LOAD_WH (Medium during historical load, X-Small/Small for delta) and QUERY_WH, each with 60-second auto-suspend.</w:t>
            </w:r>
          </w:p>
        </w:tc>
      </w:tr>
      <w:tr w:rsidR="00BD0EA8">
        <w:tblPrEx>
          <w:tblCellMar>
            <w:top w:w="0" w:type="dxa"/>
            <w:bottom w:w="0" w:type="dxa"/>
          </w:tblCellMar>
        </w:tblPrEx>
        <w:trPr>
          <w:cantSplit/>
        </w:trPr>
        <w:tc>
          <w:tcPr>
            <w:tcW w:w="25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b/>
                <w:bCs/>
                <w:sz w:val="19"/>
                <w:szCs w:val="19"/>
              </w:rPr>
              <w:t>Cost control</w:t>
            </w:r>
          </w:p>
        </w:tc>
        <w:tc>
          <w:tcPr>
            <w:tcW w:w="71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Resource monitors and budgets with alerts at 50/75/90% of monthly quota.</w:t>
            </w:r>
          </w:p>
        </w:tc>
      </w:tr>
      <w:tr w:rsidR="00BD0EA8">
        <w:tblPrEx>
          <w:tblCellMar>
            <w:top w:w="0" w:type="dxa"/>
            <w:bottom w:w="0" w:type="dxa"/>
          </w:tblCellMar>
        </w:tblPrEx>
        <w:trPr>
          <w:cantSplit/>
        </w:trPr>
        <w:tc>
          <w:tcPr>
            <w:tcW w:w="25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b/>
                <w:bCs/>
                <w:sz w:val="19"/>
                <w:szCs w:val="19"/>
              </w:rPr>
              <w:t>Network policy</w:t>
            </w:r>
          </w:p>
        </w:tc>
        <w:tc>
          <w:tcPr>
            <w:tcW w:w="7138"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 xml:space="preserve">Allow access only from the </w:t>
            </w:r>
            <w:r w:rsidR="00423D66">
              <w:rPr>
                <w:sz w:val="19"/>
                <w:szCs w:val="19"/>
              </w:rPr>
              <w:t>Team</w:t>
            </w:r>
            <w:r>
              <w:rPr>
                <w:sz w:val="19"/>
                <w:szCs w:val="19"/>
              </w:rPr>
              <w:t>’s known IP addresses.</w:t>
            </w:r>
          </w:p>
        </w:tc>
      </w:tr>
    </w:tbl>
    <w:p w:rsidR="00BD0EA8" w:rsidRDefault="00C7158E">
      <w:pPr>
        <w:pStyle w:val="Heading1"/>
      </w:pPr>
      <w:r>
        <w:t>10. Network and Security</w:t>
      </w:r>
    </w:p>
    <w:p w:rsidR="00BD0EA8" w:rsidRDefault="00C7158E">
      <w:pPr>
        <w:pStyle w:val="ListParagraph"/>
        <w:numPr>
          <w:ilvl w:val="0"/>
          <w:numId w:val="3"/>
        </w:numPr>
        <w:spacing w:after="60" w:line="264" w:lineRule="auto"/>
      </w:pPr>
      <w:r>
        <w:rPr>
          <w:b/>
          <w:bCs/>
        </w:rPr>
        <w:t>Direction:</w:t>
      </w:r>
      <w:r>
        <w:t xml:space="preserve"> all traffic starts from the </w:t>
      </w:r>
      <w:r w:rsidR="00423D66">
        <w:t>Team</w:t>
      </w:r>
      <w:r>
        <w:t xml:space="preserve"> network over HTTPS (port 443). No inbound access to SQL Server for Options B and C.</w:t>
      </w:r>
    </w:p>
    <w:p w:rsidR="00BD0EA8" w:rsidRDefault="00C7158E">
      <w:pPr>
        <w:pStyle w:val="ListParagraph"/>
        <w:numPr>
          <w:ilvl w:val="0"/>
          <w:numId w:val="3"/>
        </w:numPr>
        <w:spacing w:after="60" w:line="264" w:lineRule="auto"/>
      </w:pPr>
      <w:r>
        <w:rPr>
          <w:b/>
          <w:bCs/>
        </w:rPr>
        <w:t>Encryption:</w:t>
      </w:r>
      <w:r>
        <w:t xml:space="preserve"> data is encrypted in transit (TLS) and at rest in Snowflake; files uploaded with PUT are encrypted automatically.</w:t>
      </w:r>
    </w:p>
    <w:p w:rsidR="00BD0EA8" w:rsidRDefault="00C7158E">
      <w:pPr>
        <w:pStyle w:val="ListParagraph"/>
        <w:numPr>
          <w:ilvl w:val="0"/>
          <w:numId w:val="3"/>
        </w:numPr>
        <w:spacing w:after="60" w:line="264" w:lineRule="auto"/>
      </w:pPr>
      <w:r>
        <w:rPr>
          <w:b/>
          <w:bCs/>
        </w:rPr>
        <w:t>Credential</w:t>
      </w:r>
      <w:r>
        <w:rPr>
          <w:b/>
          <w:bCs/>
        </w:rPr>
        <w:t>s:</w:t>
      </w:r>
      <w:r>
        <w:t xml:space="preserve"> stored in a secrets vault or protected configuration, never in scripts.</w:t>
      </w:r>
    </w:p>
    <w:p w:rsidR="00BD0EA8" w:rsidRDefault="00C7158E">
      <w:pPr>
        <w:pStyle w:val="ListParagraph"/>
        <w:numPr>
          <w:ilvl w:val="0"/>
          <w:numId w:val="3"/>
        </w:numPr>
        <w:spacing w:after="60" w:line="264" w:lineRule="auto"/>
      </w:pPr>
      <w:r>
        <w:rPr>
          <w:b/>
          <w:bCs/>
        </w:rPr>
        <w:t>Least privilege:</w:t>
      </w:r>
      <w:r>
        <w:t xml:space="preserve"> the SQL Server extract login is read-only, plus permission to read Change Tracking.</w:t>
      </w:r>
    </w:p>
    <w:p w:rsidR="00BD0EA8" w:rsidRDefault="00C7158E">
      <w:pPr>
        <w:pStyle w:val="ListParagraph"/>
        <w:numPr>
          <w:ilvl w:val="0"/>
          <w:numId w:val="3"/>
        </w:numPr>
        <w:spacing w:after="60" w:line="264" w:lineRule="auto"/>
      </w:pPr>
      <w:r>
        <w:rPr>
          <w:b/>
          <w:bCs/>
        </w:rPr>
        <w:t>Private connectivity:</w:t>
      </w:r>
      <w:r>
        <w:t xml:space="preserve"> optional and only needed for Option A or strict security p</w:t>
      </w:r>
      <w:r>
        <w:t>olicies (Business Critical edition).</w:t>
      </w:r>
    </w:p>
    <w:p w:rsidR="00BD0EA8" w:rsidRDefault="00C7158E">
      <w:pPr>
        <w:pStyle w:val="Heading2"/>
      </w:pPr>
      <w:r>
        <w:t>10.1 Upload bandwidth – the main timeline driver</w:t>
      </w:r>
    </w:p>
    <w:p w:rsidR="00BD0EA8" w:rsidRDefault="00C7158E">
      <w:pPr>
        <w:spacing w:after="120" w:line="276" w:lineRule="auto"/>
      </w:pPr>
      <w:r>
        <w:t xml:space="preserve">With 0.8–1.3 TB of compressed Parquet files to upload, the </w:t>
      </w:r>
      <w:r w:rsidR="00423D66">
        <w:t>Team</w:t>
      </w:r>
      <w:r>
        <w:t>’s sustained upload speed largely decides the historical load duration.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38"/>
      </w:tblGrid>
      <w:tr w:rsidR="00BD0EA8">
        <w:tblPrEx>
          <w:tblCellMar>
            <w:top w:w="0" w:type="dxa"/>
            <w:bottom w:w="0" w:type="dxa"/>
          </w:tblCellMar>
        </w:tblPrEx>
        <w:trPr>
          <w:tblHeader/>
        </w:trPr>
        <w:tc>
          <w:tcPr>
            <w:tcW w:w="32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tcPr>
          <w:p w:rsidR="00BD0EA8" w:rsidRDefault="00C7158E">
            <w:pPr>
              <w:spacing w:after="40"/>
            </w:pPr>
            <w:r>
              <w:rPr>
                <w:b/>
                <w:bCs/>
                <w:color w:val="FFFFFF"/>
                <w:sz w:val="19"/>
                <w:szCs w:val="19"/>
              </w:rPr>
              <w:t>Sustained upload speed</w:t>
            </w:r>
          </w:p>
        </w:tc>
        <w:tc>
          <w:tcPr>
            <w:tcW w:w="32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tcPr>
          <w:p w:rsidR="00BD0EA8" w:rsidRDefault="00C7158E">
            <w:pPr>
              <w:spacing w:after="40"/>
            </w:pPr>
            <w:r>
              <w:rPr>
                <w:b/>
                <w:bCs/>
                <w:color w:val="FFFFFF"/>
                <w:sz w:val="19"/>
                <w:szCs w:val="19"/>
              </w:rPr>
              <w:t>Time per 1</w:t>
            </w:r>
            <w:r>
              <w:rPr>
                <w:b/>
                <w:bCs/>
                <w:color w:val="FFFFFF"/>
                <w:sz w:val="19"/>
                <w:szCs w:val="19"/>
              </w:rPr>
              <w:t xml:space="preserve"> TB</w:t>
            </w:r>
          </w:p>
        </w:tc>
        <w:tc>
          <w:tcPr>
            <w:tcW w:w="3238"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tcPr>
          <w:p w:rsidR="00BD0EA8" w:rsidRDefault="00C7158E">
            <w:pPr>
              <w:spacing w:after="40"/>
            </w:pPr>
            <w:r>
              <w:rPr>
                <w:b/>
                <w:bCs/>
                <w:color w:val="FFFFFF"/>
                <w:sz w:val="19"/>
                <w:szCs w:val="19"/>
              </w:rPr>
              <w:t>Approx. total (0.8–1.3 TB)</w:t>
            </w:r>
          </w:p>
        </w:tc>
      </w:tr>
      <w:tr w:rsidR="00BD0EA8">
        <w:tblPrEx>
          <w:tblCellMar>
            <w:top w:w="0" w:type="dxa"/>
            <w:bottom w:w="0" w:type="dxa"/>
          </w:tblCellMar>
        </w:tblPrEx>
        <w:trPr>
          <w:cantSplit/>
        </w:trPr>
        <w:tc>
          <w:tcPr>
            <w:tcW w:w="32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100 Mbps</w:t>
            </w:r>
          </w:p>
        </w:tc>
        <w:tc>
          <w:tcPr>
            <w:tcW w:w="32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~23 hours</w:t>
            </w:r>
          </w:p>
        </w:tc>
        <w:tc>
          <w:tcPr>
            <w:tcW w:w="32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~1–1.5 days</w:t>
            </w:r>
          </w:p>
        </w:tc>
      </w:tr>
      <w:tr w:rsidR="00BD0EA8">
        <w:tblPrEx>
          <w:tblCellMar>
            <w:top w:w="0" w:type="dxa"/>
            <w:bottom w:w="0" w:type="dxa"/>
          </w:tblCellMar>
        </w:tblPrEx>
        <w:trPr>
          <w:cantSplit/>
        </w:trPr>
        <w:tc>
          <w:tcPr>
            <w:tcW w:w="32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500 Mbps</w:t>
            </w:r>
          </w:p>
        </w:tc>
        <w:tc>
          <w:tcPr>
            <w:tcW w:w="32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~5 hours</w:t>
            </w:r>
          </w:p>
        </w:tc>
        <w:tc>
          <w:tcPr>
            <w:tcW w:w="3238"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~4–6 hours</w:t>
            </w:r>
          </w:p>
        </w:tc>
      </w:tr>
      <w:tr w:rsidR="00BD0EA8">
        <w:tblPrEx>
          <w:tblCellMar>
            <w:top w:w="0" w:type="dxa"/>
            <w:bottom w:w="0" w:type="dxa"/>
          </w:tblCellMar>
        </w:tblPrEx>
        <w:trPr>
          <w:cantSplit/>
        </w:trPr>
        <w:tc>
          <w:tcPr>
            <w:tcW w:w="32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1 Gbps</w:t>
            </w:r>
          </w:p>
        </w:tc>
        <w:tc>
          <w:tcPr>
            <w:tcW w:w="32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~2.5 hours</w:t>
            </w:r>
          </w:p>
        </w:tc>
        <w:tc>
          <w:tcPr>
            <w:tcW w:w="32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~2–3 hours</w:t>
            </w:r>
          </w:p>
        </w:tc>
      </w:tr>
    </w:tbl>
    <w:p w:rsidR="00BD0EA8" w:rsidRDefault="00BD0EA8">
      <w:pPr>
        <w:spacing w:after="60"/>
      </w:pPr>
    </w:p>
    <w:p w:rsidR="00BD0EA8" w:rsidRDefault="00C7158E">
      <w:pPr>
        <w:spacing w:after="120" w:line="276" w:lineRule="auto"/>
      </w:pPr>
      <w:r>
        <w:rPr>
          <w:i/>
          <w:iCs/>
          <w:color w:val="5F6B7A"/>
          <w:sz w:val="19"/>
          <w:szCs w:val="19"/>
        </w:rPr>
        <w:t>Figures are theoretical at full speed; real throughput is often 60–80% of this. A bandwidth test in Phase 0 confirms the plan.</w:t>
      </w:r>
    </w:p>
    <w:p w:rsidR="00BD0EA8" w:rsidRDefault="00C7158E">
      <w:pPr>
        <w:pStyle w:val="Heading1"/>
      </w:pPr>
      <w:r>
        <w:t>11. Validation and Reconciliation</w:t>
      </w:r>
    </w:p>
    <w:p w:rsidR="00BD0EA8" w:rsidRDefault="00C7158E">
      <w:pPr>
        <w:spacing w:after="120" w:line="276" w:lineRule="auto"/>
      </w:pPr>
      <w:r>
        <w:t>Every load is checked automatically. Results are stored in the AUDIT schema and summarised in a reconciliation report.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500"/>
        <w:gridCol w:w="4538"/>
      </w:tblGrid>
      <w:tr w:rsidR="00BD0EA8">
        <w:tblPrEx>
          <w:tblCellMar>
            <w:top w:w="0" w:type="dxa"/>
            <w:bottom w:w="0" w:type="dxa"/>
          </w:tblCellMar>
        </w:tblPrEx>
        <w:trPr>
          <w:tblHeader/>
        </w:trPr>
        <w:tc>
          <w:tcPr>
            <w:tcW w:w="16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tcPr>
          <w:p w:rsidR="00BD0EA8" w:rsidRDefault="00C7158E">
            <w:pPr>
              <w:spacing w:after="40"/>
            </w:pPr>
            <w:r>
              <w:rPr>
                <w:b/>
                <w:bCs/>
                <w:color w:val="FFFFFF"/>
                <w:sz w:val="19"/>
                <w:szCs w:val="19"/>
              </w:rPr>
              <w:t>Level</w:t>
            </w:r>
          </w:p>
        </w:tc>
        <w:tc>
          <w:tcPr>
            <w:tcW w:w="35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tcPr>
          <w:p w:rsidR="00BD0EA8" w:rsidRDefault="00C7158E">
            <w:pPr>
              <w:spacing w:after="40"/>
            </w:pPr>
            <w:r>
              <w:rPr>
                <w:b/>
                <w:bCs/>
                <w:color w:val="FFFFFF"/>
                <w:sz w:val="19"/>
                <w:szCs w:val="19"/>
              </w:rPr>
              <w:t>Check</w:t>
            </w:r>
          </w:p>
        </w:tc>
        <w:tc>
          <w:tcPr>
            <w:tcW w:w="4538"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tcPr>
          <w:p w:rsidR="00BD0EA8" w:rsidRDefault="00C7158E">
            <w:pPr>
              <w:spacing w:after="40"/>
            </w:pPr>
            <w:r>
              <w:rPr>
                <w:b/>
                <w:bCs/>
                <w:color w:val="FFFFFF"/>
                <w:sz w:val="19"/>
                <w:szCs w:val="19"/>
              </w:rPr>
              <w:t>When</w:t>
            </w:r>
          </w:p>
        </w:tc>
      </w:tr>
      <w:tr w:rsidR="00BD0EA8">
        <w:tblPrEx>
          <w:tblCellMar>
            <w:top w:w="0" w:type="dxa"/>
            <w:bottom w:w="0" w:type="dxa"/>
          </w:tblCellMar>
        </w:tblPrEx>
        <w:trPr>
          <w:cantSplit/>
        </w:trPr>
        <w:tc>
          <w:tcPr>
            <w:tcW w:w="16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b/>
                <w:bCs/>
                <w:sz w:val="19"/>
                <w:szCs w:val="19"/>
              </w:rPr>
              <w:t>L1</w:t>
            </w:r>
          </w:p>
        </w:tc>
        <w:tc>
          <w:tcPr>
            <w:tcW w:w="35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Row counts per table (and per chunk / partition)</w:t>
            </w:r>
          </w:p>
        </w:tc>
        <w:tc>
          <w:tcPr>
            <w:tcW w:w="45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After every historical chunk and every delta run</w:t>
            </w:r>
          </w:p>
        </w:tc>
      </w:tr>
      <w:tr w:rsidR="00BD0EA8">
        <w:tblPrEx>
          <w:tblCellMar>
            <w:top w:w="0" w:type="dxa"/>
            <w:bottom w:w="0" w:type="dxa"/>
          </w:tblCellMar>
        </w:tblPrEx>
        <w:trPr>
          <w:cantSplit/>
        </w:trPr>
        <w:tc>
          <w:tcPr>
            <w:tcW w:w="16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b/>
                <w:bCs/>
                <w:sz w:val="19"/>
                <w:szCs w:val="19"/>
              </w:rPr>
              <w:lastRenderedPageBreak/>
              <w:t>L2</w:t>
            </w:r>
          </w:p>
        </w:tc>
        <w:tc>
          <w:tcPr>
            <w:tcW w:w="35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Sum of numeric columns; min/max of dates and keys; null counts per column</w:t>
            </w:r>
          </w:p>
        </w:tc>
        <w:tc>
          <w:tcPr>
            <w:tcW w:w="4538"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After each table load; daily during parallel run</w:t>
            </w:r>
          </w:p>
        </w:tc>
      </w:tr>
      <w:tr w:rsidR="00BD0EA8">
        <w:tblPrEx>
          <w:tblCellMar>
            <w:top w:w="0" w:type="dxa"/>
            <w:bottom w:w="0" w:type="dxa"/>
          </w:tblCellMar>
        </w:tblPrEx>
        <w:trPr>
          <w:cantSplit/>
        </w:trPr>
        <w:tc>
          <w:tcPr>
            <w:tcW w:w="16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b/>
                <w:bCs/>
                <w:sz w:val="19"/>
                <w:szCs w:val="19"/>
              </w:rPr>
              <w:t>L3</w:t>
            </w:r>
          </w:p>
        </w:tc>
        <w:tc>
          <w:tcPr>
            <w:tcW w:w="35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Row-level comparison on a sample, using the same hash logic in Python on both sides</w:t>
            </w:r>
          </w:p>
        </w:tc>
        <w:tc>
          <w:tcPr>
            <w:tcW w:w="45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Per table after historical load; weekly during parallel run</w:t>
            </w:r>
          </w:p>
        </w:tc>
      </w:tr>
    </w:tbl>
    <w:p w:rsidR="00BD0EA8" w:rsidRDefault="00BD0EA8">
      <w:pPr>
        <w:spacing w:after="120"/>
      </w:pPr>
    </w:p>
    <w:p w:rsidR="00BD0EA8" w:rsidRDefault="00C7158E">
      <w:pPr>
        <w:spacing w:after="120" w:line="276" w:lineRule="auto"/>
      </w:pPr>
      <w:r>
        <w:rPr>
          <w:b/>
          <w:bCs/>
        </w:rPr>
        <w:t>Parallel run and sign-off:</w:t>
      </w:r>
      <w:r>
        <w:t xml:space="preserve"> both systems run side by side while the daily reconciliation report is reviewed. Suggested acceptance criteria: 100% row-count match and zero aggregate differences for an agreed number of consecutive business days (for example, 10).</w:t>
      </w:r>
    </w:p>
    <w:p w:rsidR="00BD0EA8" w:rsidRDefault="00BD0EA8">
      <w:pPr>
        <w:spacing w:after="160"/>
      </w:pPr>
    </w:p>
    <w:p w:rsidR="00BD0EA8" w:rsidRDefault="00C7158E">
      <w:pPr>
        <w:pStyle w:val="Heading1"/>
      </w:pPr>
      <w:r>
        <w:t>12. Phased Plan and I</w:t>
      </w:r>
      <w:r>
        <w:t>ndicative Timeline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700"/>
        <w:gridCol w:w="1300"/>
        <w:gridCol w:w="1338"/>
      </w:tblGrid>
      <w:tr w:rsidR="00BD0EA8">
        <w:tblPrEx>
          <w:tblCellMar>
            <w:top w:w="0" w:type="dxa"/>
            <w:bottom w:w="0" w:type="dxa"/>
          </w:tblCellMar>
        </w:tblPrEx>
        <w:trPr>
          <w:tblHeader/>
        </w:trPr>
        <w:tc>
          <w:tcPr>
            <w:tcW w:w="23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tcPr>
          <w:p w:rsidR="00BD0EA8" w:rsidRDefault="00C7158E">
            <w:pPr>
              <w:spacing w:after="40"/>
            </w:pPr>
            <w:r>
              <w:rPr>
                <w:b/>
                <w:bCs/>
                <w:color w:val="FFFFFF"/>
                <w:sz w:val="19"/>
                <w:szCs w:val="19"/>
              </w:rPr>
              <w:t>Phase</w:t>
            </w:r>
          </w:p>
        </w:tc>
        <w:tc>
          <w:tcPr>
            <w:tcW w:w="47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tcPr>
          <w:p w:rsidR="00BD0EA8" w:rsidRDefault="00C7158E">
            <w:pPr>
              <w:spacing w:after="40"/>
            </w:pPr>
            <w:r>
              <w:rPr>
                <w:b/>
                <w:bCs/>
                <w:color w:val="FFFFFF"/>
                <w:sz w:val="19"/>
                <w:szCs w:val="19"/>
              </w:rPr>
              <w:t>Key activities</w:t>
            </w:r>
          </w:p>
        </w:tc>
        <w:tc>
          <w:tcPr>
            <w:tcW w:w="13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tcPr>
          <w:p w:rsidR="00BD0EA8" w:rsidRDefault="00C7158E">
            <w:pPr>
              <w:spacing w:after="40"/>
            </w:pPr>
            <w:r>
              <w:rPr>
                <w:b/>
                <w:bCs/>
                <w:color w:val="FFFFFF"/>
                <w:sz w:val="19"/>
                <w:szCs w:val="19"/>
              </w:rPr>
              <w:t>Duration</w:t>
            </w:r>
          </w:p>
        </w:tc>
        <w:tc>
          <w:tcPr>
            <w:tcW w:w="1338"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tcPr>
          <w:p w:rsidR="00BD0EA8" w:rsidRDefault="00C7158E">
            <w:pPr>
              <w:spacing w:after="40"/>
            </w:pPr>
            <w:r>
              <w:rPr>
                <w:b/>
                <w:bCs/>
                <w:color w:val="FFFFFF"/>
                <w:sz w:val="19"/>
                <w:szCs w:val="19"/>
              </w:rPr>
              <w:t>Output</w:t>
            </w:r>
          </w:p>
        </w:tc>
      </w:tr>
      <w:tr w:rsidR="00BD0EA8">
        <w:tblPrEx>
          <w:tblCellMar>
            <w:top w:w="0" w:type="dxa"/>
            <w:bottom w:w="0" w:type="dxa"/>
          </w:tblCellMar>
        </w:tblPrEx>
        <w:trPr>
          <w:cantSplit/>
        </w:trPr>
        <w:tc>
          <w:tcPr>
            <w:tcW w:w="23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b/>
                <w:bCs/>
                <w:sz w:val="19"/>
                <w:szCs w:val="19"/>
              </w:rPr>
              <w:t>0 · Assess &amp; discover</w:t>
            </w:r>
          </w:p>
        </w:tc>
        <w:tc>
          <w:tcPr>
            <w:tcW w:w="47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Table inventory, sizes, row counts, primary keys, change volumes, bandwidth test, Change Tracking readiness, confirm delta option</w:t>
            </w:r>
          </w:p>
        </w:tc>
        <w:tc>
          <w:tcPr>
            <w:tcW w:w="13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1–2 weeks</w:t>
            </w:r>
          </w:p>
        </w:tc>
        <w:tc>
          <w:tcPr>
            <w:tcW w:w="13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Assessment report</w:t>
            </w:r>
          </w:p>
        </w:tc>
      </w:tr>
      <w:tr w:rsidR="00BD0EA8">
        <w:tblPrEx>
          <w:tblCellMar>
            <w:top w:w="0" w:type="dxa"/>
            <w:bottom w:w="0" w:type="dxa"/>
          </w:tblCellMar>
        </w:tblPrEx>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b/>
                <w:bCs/>
                <w:sz w:val="19"/>
                <w:szCs w:val="19"/>
              </w:rPr>
              <w:t>1 · Snowflake setup</w:t>
            </w:r>
          </w:p>
        </w:tc>
        <w:tc>
          <w:tcPr>
            <w:tcW w:w="47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Account, roles, warehouses, schemas, network policy, resource monitors</w:t>
            </w:r>
          </w:p>
        </w:tc>
        <w:tc>
          <w:tcPr>
            <w:tcW w:w="13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~1 week (parallel)</w:t>
            </w:r>
          </w:p>
        </w:tc>
        <w:tc>
          <w:tcPr>
            <w:tcW w:w="1338"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Ready account</w:t>
            </w:r>
          </w:p>
        </w:tc>
      </w:tr>
      <w:tr w:rsidR="00BD0EA8">
        <w:tblPrEx>
          <w:tblCellMar>
            <w:top w:w="0" w:type="dxa"/>
            <w:bottom w:w="0" w:type="dxa"/>
          </w:tblCellMar>
        </w:tblPrEx>
        <w:trPr>
          <w:cantSplit/>
        </w:trPr>
        <w:tc>
          <w:tcPr>
            <w:tcW w:w="23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b/>
                <w:bCs/>
                <w:sz w:val="19"/>
                <w:szCs w:val="19"/>
              </w:rPr>
              <w:t>2 · Build framework</w:t>
            </w:r>
          </w:p>
        </w:tc>
        <w:tc>
          <w:tcPr>
            <w:tcW w:w="47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Metadata-driven DDL, extract, load, MERGE and validation; test on sample tables</w:t>
            </w:r>
          </w:p>
        </w:tc>
        <w:tc>
          <w:tcPr>
            <w:tcW w:w="13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2–3 weeks</w:t>
            </w:r>
          </w:p>
        </w:tc>
        <w:tc>
          <w:tcPr>
            <w:tcW w:w="13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Tested framework</w:t>
            </w:r>
          </w:p>
        </w:tc>
      </w:tr>
      <w:tr w:rsidR="00BD0EA8">
        <w:tblPrEx>
          <w:tblCellMar>
            <w:top w:w="0" w:type="dxa"/>
            <w:bottom w:w="0" w:type="dxa"/>
          </w:tblCellMar>
        </w:tblPrEx>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b/>
                <w:bCs/>
                <w:sz w:val="19"/>
                <w:szCs w:val="19"/>
              </w:rPr>
              <w:t>3 · Historical load</w:t>
            </w:r>
          </w:p>
        </w:tc>
        <w:tc>
          <w:tcPr>
            <w:tcW w:w="47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Record Change Tracking version, chunked extract, upload, COPY INTO, reconcile</w:t>
            </w:r>
          </w:p>
        </w:tc>
        <w:tc>
          <w:tcPr>
            <w:tcW w:w="13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1–2 weeks</w:t>
            </w:r>
          </w:p>
        </w:tc>
        <w:tc>
          <w:tcPr>
            <w:tcW w:w="1338"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History loaded and reconciled</w:t>
            </w:r>
          </w:p>
        </w:tc>
      </w:tr>
      <w:tr w:rsidR="00BD0EA8">
        <w:tblPrEx>
          <w:tblCellMar>
            <w:top w:w="0" w:type="dxa"/>
            <w:bottom w:w="0" w:type="dxa"/>
          </w:tblCellMar>
        </w:tblPrEx>
        <w:trPr>
          <w:cantSplit/>
        </w:trPr>
        <w:tc>
          <w:tcPr>
            <w:tcW w:w="23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b/>
                <w:bCs/>
                <w:sz w:val="19"/>
                <w:szCs w:val="19"/>
              </w:rPr>
              <w:t>4 · Delta sync</w:t>
            </w:r>
          </w:p>
        </w:tc>
        <w:tc>
          <w:tcPr>
            <w:tcW w:w="47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Enable scheduled delta jobs, MERGE, monitoring and alerts</w:t>
            </w:r>
          </w:p>
        </w:tc>
        <w:tc>
          <w:tcPr>
            <w:tcW w:w="13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1–2 weeks</w:t>
            </w:r>
          </w:p>
        </w:tc>
        <w:tc>
          <w:tcPr>
            <w:tcW w:w="13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Live delta sync</w:t>
            </w:r>
          </w:p>
        </w:tc>
      </w:tr>
      <w:tr w:rsidR="00BD0EA8">
        <w:tblPrEx>
          <w:tblCellMar>
            <w:top w:w="0" w:type="dxa"/>
            <w:bottom w:w="0" w:type="dxa"/>
          </w:tblCellMar>
        </w:tblPrEx>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b/>
                <w:bCs/>
                <w:sz w:val="19"/>
                <w:szCs w:val="19"/>
              </w:rPr>
              <w:t>5 · Parallel run &amp; sign-off</w:t>
            </w:r>
          </w:p>
        </w:tc>
        <w:tc>
          <w:tcPr>
            <w:tcW w:w="47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Daily reconciliation, issue fixes, acceptance</w:t>
            </w:r>
          </w:p>
        </w:tc>
        <w:tc>
          <w:tcPr>
            <w:tcW w:w="13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2–4 weeks</w:t>
            </w:r>
          </w:p>
        </w:tc>
        <w:tc>
          <w:tcPr>
            <w:tcW w:w="1338"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Signed acceptance</w:t>
            </w:r>
          </w:p>
        </w:tc>
      </w:tr>
      <w:tr w:rsidR="00BD0EA8">
        <w:tblPrEx>
          <w:tblCellMar>
            <w:top w:w="0" w:type="dxa"/>
            <w:bottom w:w="0" w:type="dxa"/>
          </w:tblCellMar>
        </w:tblPrEx>
        <w:trPr>
          <w:cantSplit/>
        </w:trPr>
        <w:tc>
          <w:tcPr>
            <w:tcW w:w="23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b/>
                <w:bCs/>
                <w:sz w:val="19"/>
                <w:szCs w:val="19"/>
              </w:rPr>
              <w:t>6 · Cutover (future)</w:t>
            </w:r>
          </w:p>
        </w:tc>
        <w:tc>
          <w:tcPr>
            <w:tcW w:w="47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When applications move to Snowflake – separate plan</w:t>
            </w:r>
          </w:p>
        </w:tc>
        <w:tc>
          <w:tcPr>
            <w:tcW w:w="13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TBD</w:t>
            </w:r>
          </w:p>
        </w:tc>
        <w:tc>
          <w:tcPr>
            <w:tcW w:w="13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w:t>
            </w:r>
          </w:p>
        </w:tc>
      </w:tr>
    </w:tbl>
    <w:p w:rsidR="00BD0EA8" w:rsidRDefault="00BD0EA8">
      <w:pPr>
        <w:spacing w:after="120"/>
      </w:pPr>
    </w:p>
    <w:p w:rsidR="00BD0EA8" w:rsidRDefault="00C7158E">
      <w:pPr>
        <w:spacing w:after="120" w:line="276" w:lineRule="auto"/>
      </w:pPr>
      <w:r>
        <w:rPr>
          <w:b/>
          <w:bCs/>
        </w:rPr>
        <w:t>Indicative total: 8–14 weeks</w:t>
      </w:r>
      <w:r>
        <w:t xml:space="preserve"> to parallel-run sign-off. The range depends mainly on table count, upload bandwidth and access approvals, and will be firmed up after Phase 0.</w:t>
      </w:r>
    </w:p>
    <w:p w:rsidR="00BD0EA8" w:rsidRDefault="00C7158E">
      <w:pPr>
        <w:pStyle w:val="Heading1"/>
      </w:pPr>
      <w:r>
        <w:t>13. Cost Considerations</w:t>
      </w:r>
    </w:p>
    <w:p w:rsidR="00BD0EA8" w:rsidRDefault="00C7158E">
      <w:pPr>
        <w:spacing w:after="120" w:line="276" w:lineRule="auto"/>
      </w:pPr>
      <w:r>
        <w:t xml:space="preserve">Exact costs depend on the </w:t>
      </w:r>
      <w:r w:rsidR="00423D66">
        <w:t>Team</w:t>
      </w:r>
      <w:r>
        <w:t>’s Snowflake contract and usage. The main cost drivers a</w:t>
      </w:r>
      <w:r>
        <w:t>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938"/>
      </w:tblGrid>
      <w:tr w:rsidR="00BD0EA8">
        <w:tblPrEx>
          <w:tblCellMar>
            <w:top w:w="0" w:type="dxa"/>
            <w:bottom w:w="0" w:type="dxa"/>
          </w:tblCellMar>
        </w:tblPrEx>
        <w:trPr>
          <w:tblHeader/>
        </w:trPr>
        <w:tc>
          <w:tcPr>
            <w:tcW w:w="27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tcPr>
          <w:p w:rsidR="00BD0EA8" w:rsidRDefault="00C7158E">
            <w:pPr>
              <w:spacing w:after="40"/>
            </w:pPr>
            <w:r>
              <w:rPr>
                <w:b/>
                <w:bCs/>
                <w:color w:val="FFFFFF"/>
                <w:sz w:val="19"/>
                <w:szCs w:val="19"/>
              </w:rPr>
              <w:t>Cost item</w:t>
            </w:r>
          </w:p>
        </w:tc>
        <w:tc>
          <w:tcPr>
            <w:tcW w:w="6938"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tcPr>
          <w:p w:rsidR="00BD0EA8" w:rsidRDefault="00C7158E">
            <w:pPr>
              <w:spacing w:after="40"/>
            </w:pPr>
            <w:r>
              <w:rPr>
                <w:b/>
                <w:bCs/>
                <w:color w:val="FFFFFF"/>
                <w:sz w:val="19"/>
                <w:szCs w:val="19"/>
              </w:rPr>
              <w:t>Notes</w:t>
            </w:r>
          </w:p>
        </w:tc>
      </w:tr>
      <w:tr w:rsidR="00BD0EA8">
        <w:tblPrEx>
          <w:tblCellMar>
            <w:top w:w="0" w:type="dxa"/>
            <w:bottom w:w="0" w:type="dxa"/>
          </w:tblCellMar>
        </w:tblPrEx>
        <w:trPr>
          <w:cantSplit/>
        </w:trPr>
        <w:tc>
          <w:tcPr>
            <w:tcW w:w="27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b/>
                <w:bCs/>
                <w:sz w:val="19"/>
                <w:szCs w:val="19"/>
              </w:rPr>
              <w:t>Snowflake storage</w:t>
            </w:r>
          </w:p>
        </w:tc>
        <w:tc>
          <w:tcPr>
            <w:tcW w:w="69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Based on compressed size in Snowflake (typically well below the 3–4 TB source size), plus Time Travel and Fail-safe</w:t>
            </w:r>
          </w:p>
        </w:tc>
      </w:tr>
      <w:tr w:rsidR="00BD0EA8">
        <w:tblPrEx>
          <w:tblCellMar>
            <w:top w:w="0" w:type="dxa"/>
            <w:bottom w:w="0" w:type="dxa"/>
          </w:tblCellMar>
        </w:tblPrEx>
        <w:trPr>
          <w:cantSplit/>
        </w:trPr>
        <w:tc>
          <w:tcPr>
            <w:tcW w:w="27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b/>
                <w:bCs/>
                <w:sz w:val="19"/>
                <w:szCs w:val="19"/>
              </w:rPr>
              <w:t>Snowflake compute</w:t>
            </w:r>
          </w:p>
        </w:tc>
        <w:tc>
          <w:tcPr>
            <w:tcW w:w="6938"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Short-lived during the historical load; small, scheduled runs for delta. Auto-suspend keeps idle cost near zero.</w:t>
            </w:r>
          </w:p>
        </w:tc>
      </w:tr>
      <w:tr w:rsidR="00BD0EA8">
        <w:tblPrEx>
          <w:tblCellMar>
            <w:top w:w="0" w:type="dxa"/>
            <w:bottom w:w="0" w:type="dxa"/>
          </w:tblCellMar>
        </w:tblPrEx>
        <w:trPr>
          <w:cantSplit/>
        </w:trPr>
        <w:tc>
          <w:tcPr>
            <w:tcW w:w="27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b/>
                <w:bCs/>
                <w:sz w:val="19"/>
                <w:szCs w:val="19"/>
              </w:rPr>
              <w:t>Openflow (Option A only)</w:t>
            </w:r>
          </w:p>
        </w:tc>
        <w:tc>
          <w:tcPr>
            <w:tcW w:w="69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Continuous runtime compute while the connector runs</w:t>
            </w:r>
          </w:p>
        </w:tc>
      </w:tr>
      <w:tr w:rsidR="00BD0EA8">
        <w:tblPrEx>
          <w:tblCellMar>
            <w:top w:w="0" w:type="dxa"/>
            <w:bottom w:w="0" w:type="dxa"/>
          </w:tblCellMar>
        </w:tblPrEx>
        <w:trPr>
          <w:cantSplit/>
        </w:trPr>
        <w:tc>
          <w:tcPr>
            <w:tcW w:w="27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b/>
                <w:bCs/>
                <w:sz w:val="19"/>
                <w:szCs w:val="19"/>
              </w:rPr>
              <w:lastRenderedPageBreak/>
              <w:t>Tool licences (Option C only)</w:t>
            </w:r>
          </w:p>
        </w:tc>
        <w:tc>
          <w:tcPr>
            <w:tcW w:w="6938"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Recurring vendor fees, usually based on rows changed or capacity</w:t>
            </w:r>
          </w:p>
        </w:tc>
      </w:tr>
      <w:tr w:rsidR="00BD0EA8">
        <w:tblPrEx>
          <w:tblCellMar>
            <w:top w:w="0" w:type="dxa"/>
            <w:bottom w:w="0" w:type="dxa"/>
          </w:tblCellMar>
        </w:tblPrEx>
        <w:trPr>
          <w:cantSplit/>
        </w:trPr>
        <w:tc>
          <w:tcPr>
            <w:tcW w:w="27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b/>
                <w:bCs/>
                <w:sz w:val="19"/>
                <w:szCs w:val="19"/>
              </w:rPr>
              <w:t>On-prem server (Option B)</w:t>
            </w:r>
          </w:p>
        </w:tc>
        <w:tc>
          <w:tcPr>
            <w:tcW w:w="69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One server or VM for extract jobs and Airflow; can reuse existing infrastructure</w:t>
            </w:r>
          </w:p>
        </w:tc>
      </w:tr>
      <w:tr w:rsidR="00BD0EA8">
        <w:tblPrEx>
          <w:tblCellMar>
            <w:top w:w="0" w:type="dxa"/>
            <w:bottom w:w="0" w:type="dxa"/>
          </w:tblCellMar>
        </w:tblPrEx>
        <w:trPr>
          <w:cantSplit/>
        </w:trPr>
        <w:tc>
          <w:tcPr>
            <w:tcW w:w="27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b/>
                <w:bCs/>
                <w:sz w:val="19"/>
                <w:szCs w:val="19"/>
              </w:rPr>
              <w:t>People</w:t>
            </w:r>
          </w:p>
        </w:tc>
        <w:tc>
          <w:tcPr>
            <w:tcW w:w="6938"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Build effort is higher for Option B, lower for A and C; ongoing support is modest for all</w:t>
            </w:r>
          </w:p>
        </w:tc>
      </w:tr>
    </w:tbl>
    <w:p w:rsidR="00BD0EA8" w:rsidRDefault="00BD0EA8">
      <w:pPr>
        <w:spacing w:after="120"/>
      </w:pPr>
    </w:p>
    <w:p w:rsidR="00BD0EA8" w:rsidRDefault="00C7158E">
      <w:pPr>
        <w:spacing w:after="120" w:line="276" w:lineRule="auto"/>
      </w:pPr>
      <w:r>
        <w:t>Suggestion: start on on-demand pricing for the first months, measure real usage during the parallel run, then decide on a capacity commitment.</w:t>
      </w:r>
    </w:p>
    <w:p w:rsidR="00BD0EA8" w:rsidRDefault="00BD0EA8">
      <w:pPr>
        <w:spacing w:after="160"/>
      </w:pPr>
    </w:p>
    <w:p w:rsidR="00BD0EA8" w:rsidRDefault="00C7158E">
      <w:pPr>
        <w:pStyle w:val="Heading1"/>
      </w:pPr>
      <w:r>
        <w:t>14. Risks and Mitigations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5238"/>
      </w:tblGrid>
      <w:tr w:rsidR="00BD0EA8">
        <w:tblPrEx>
          <w:tblCellMar>
            <w:top w:w="0" w:type="dxa"/>
            <w:bottom w:w="0" w:type="dxa"/>
          </w:tblCellMar>
        </w:tblPrEx>
        <w:trPr>
          <w:tblHeader/>
        </w:trPr>
        <w:tc>
          <w:tcPr>
            <w:tcW w:w="32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tcPr>
          <w:p w:rsidR="00BD0EA8" w:rsidRDefault="00C7158E">
            <w:pPr>
              <w:spacing w:after="40"/>
            </w:pPr>
            <w:r>
              <w:rPr>
                <w:b/>
                <w:bCs/>
                <w:color w:val="FFFFFF"/>
                <w:sz w:val="19"/>
                <w:szCs w:val="19"/>
              </w:rPr>
              <w:t>Risk</w:t>
            </w:r>
          </w:p>
        </w:tc>
        <w:tc>
          <w:tcPr>
            <w:tcW w:w="12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tcPr>
          <w:p w:rsidR="00BD0EA8" w:rsidRDefault="00C7158E">
            <w:pPr>
              <w:spacing w:after="40"/>
            </w:pPr>
            <w:r>
              <w:rPr>
                <w:b/>
                <w:bCs/>
                <w:color w:val="FFFFFF"/>
                <w:sz w:val="19"/>
                <w:szCs w:val="19"/>
              </w:rPr>
              <w:t>Impact</w:t>
            </w:r>
          </w:p>
        </w:tc>
        <w:tc>
          <w:tcPr>
            <w:tcW w:w="5238"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tcPr>
          <w:p w:rsidR="00BD0EA8" w:rsidRDefault="00C7158E">
            <w:pPr>
              <w:spacing w:after="40"/>
            </w:pPr>
            <w:r>
              <w:rPr>
                <w:b/>
                <w:bCs/>
                <w:color w:val="FFFFFF"/>
                <w:sz w:val="19"/>
                <w:szCs w:val="19"/>
              </w:rPr>
              <w:t>Mitigation</w:t>
            </w:r>
          </w:p>
        </w:tc>
      </w:tr>
      <w:tr w:rsidR="00BD0EA8">
        <w:tblPrEx>
          <w:tblCellMar>
            <w:top w:w="0" w:type="dxa"/>
            <w:bottom w:w="0" w:type="dxa"/>
          </w:tblCellMar>
        </w:tblPrEx>
        <w:trPr>
          <w:cantSplit/>
        </w:trPr>
        <w:tc>
          <w:tcPr>
            <w:tcW w:w="32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b/>
                <w:bCs/>
                <w:sz w:val="19"/>
                <w:szCs w:val="19"/>
              </w:rPr>
              <w:t>Low or unstable upload bandwidth</w:t>
            </w:r>
          </w:p>
        </w:tc>
        <w:tc>
          <w:tcPr>
            <w:tcW w:w="12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High</w:t>
            </w:r>
          </w:p>
        </w:tc>
        <w:tc>
          <w:tcPr>
            <w:tcW w:w="52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Measure in Phase 0; compress; upload off-hours; prioritise large tables early</w:t>
            </w:r>
          </w:p>
        </w:tc>
      </w:tr>
      <w:tr w:rsidR="00BD0EA8">
        <w:tblPrEx>
          <w:tblCellMar>
            <w:top w:w="0" w:type="dxa"/>
            <w:bottom w:w="0" w:type="dxa"/>
          </w:tblCellMar>
        </w:tblPrEx>
        <w:trPr>
          <w:cantSplit/>
        </w:trPr>
        <w:tc>
          <w:tcPr>
            <w:tcW w:w="32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b/>
                <w:bCs/>
                <w:sz w:val="19"/>
                <w:szCs w:val="19"/>
              </w:rPr>
              <w:t>Extract slows the live source</w:t>
            </w:r>
          </w:p>
        </w:tc>
        <w:tc>
          <w:tcPr>
            <w:tcW w:w="12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Medium</w:t>
            </w:r>
          </w:p>
        </w:tc>
        <w:tc>
          <w:tcPr>
            <w:tcW w:w="5238"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Chunked reads, off-peak windows, throttled parallelism; use a replica or restored backup if available</w:t>
            </w:r>
          </w:p>
        </w:tc>
      </w:tr>
      <w:tr w:rsidR="00BD0EA8">
        <w:tblPrEx>
          <w:tblCellMar>
            <w:top w:w="0" w:type="dxa"/>
            <w:bottom w:w="0" w:type="dxa"/>
          </w:tblCellMar>
        </w:tblPrEx>
        <w:trPr>
          <w:cantSplit/>
        </w:trPr>
        <w:tc>
          <w:tcPr>
            <w:tcW w:w="32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b/>
                <w:bCs/>
                <w:sz w:val="19"/>
                <w:szCs w:val="19"/>
              </w:rPr>
              <w:t>Tables without a primary key</w:t>
            </w:r>
          </w:p>
        </w:tc>
        <w:tc>
          <w:tcPr>
            <w:tcW w:w="12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Medium</w:t>
            </w:r>
          </w:p>
        </w:tc>
        <w:tc>
          <w:tcPr>
            <w:tcW w:w="52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Identify in Phase 0; use a unique index, or full reload if the table is small</w:t>
            </w:r>
          </w:p>
        </w:tc>
      </w:tr>
      <w:tr w:rsidR="00BD0EA8">
        <w:tblPrEx>
          <w:tblCellMar>
            <w:top w:w="0" w:type="dxa"/>
            <w:bottom w:w="0" w:type="dxa"/>
          </w:tblCellMar>
        </w:tblPrEx>
        <w:trPr>
          <w:cantSplit/>
        </w:trPr>
        <w:tc>
          <w:tcPr>
            <w:tcW w:w="32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b/>
                <w:bCs/>
                <w:sz w:val="19"/>
                <w:szCs w:val="19"/>
              </w:rPr>
              <w:t>Change Tracking data expires if delta jobs stop for too long</w:t>
            </w:r>
          </w:p>
        </w:tc>
        <w:tc>
          <w:tcPr>
            <w:tcW w:w="12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High</w:t>
            </w:r>
          </w:p>
        </w:tc>
        <w:tc>
          <w:tcPr>
            <w:tcW w:w="5238"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Set retention longer than the worst expected outage (e.g., 7 days); alert on failures; documented re-snapshot procedure</w:t>
            </w:r>
          </w:p>
        </w:tc>
      </w:tr>
      <w:tr w:rsidR="00BD0EA8">
        <w:tblPrEx>
          <w:tblCellMar>
            <w:top w:w="0" w:type="dxa"/>
            <w:bottom w:w="0" w:type="dxa"/>
          </w:tblCellMar>
        </w:tblPrEx>
        <w:trPr>
          <w:cantSplit/>
        </w:trPr>
        <w:tc>
          <w:tcPr>
            <w:tcW w:w="32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b/>
                <w:bCs/>
                <w:sz w:val="19"/>
                <w:szCs w:val="19"/>
              </w:rPr>
              <w:t>Unicode, char padding or binary mismatches</w:t>
            </w:r>
          </w:p>
        </w:tc>
        <w:tc>
          <w:tcPr>
            <w:tcW w:w="12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Medium</w:t>
            </w:r>
          </w:p>
        </w:tc>
        <w:tc>
          <w:tcPr>
            <w:tcW w:w="52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Parquet extract, trimming rules, targeted test cases</w:t>
            </w:r>
          </w:p>
        </w:tc>
      </w:tr>
      <w:tr w:rsidR="00BD0EA8">
        <w:tblPrEx>
          <w:tblCellMar>
            <w:top w:w="0" w:type="dxa"/>
            <w:bottom w:w="0" w:type="dxa"/>
          </w:tblCellMar>
        </w:tblPrEx>
        <w:trPr>
          <w:cantSplit/>
        </w:trPr>
        <w:tc>
          <w:tcPr>
            <w:tcW w:w="32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b/>
                <w:bCs/>
                <w:sz w:val="19"/>
                <w:szCs w:val="19"/>
              </w:rPr>
              <w:t>Source schema changes</w:t>
            </w:r>
          </w:p>
        </w:tc>
        <w:tc>
          <w:tcPr>
            <w:tcW w:w="12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Medium</w:t>
            </w:r>
          </w:p>
        </w:tc>
        <w:tc>
          <w:tcPr>
            <w:tcW w:w="5238"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Daily metadata comparison; agreed change process with the source team</w:t>
            </w:r>
          </w:p>
        </w:tc>
      </w:tr>
      <w:tr w:rsidR="00BD0EA8">
        <w:tblPrEx>
          <w:tblCellMar>
            <w:top w:w="0" w:type="dxa"/>
            <w:bottom w:w="0" w:type="dxa"/>
          </w:tblCellMar>
        </w:tblPrEx>
        <w:trPr>
          <w:cantSplit/>
        </w:trPr>
        <w:tc>
          <w:tcPr>
            <w:tcW w:w="32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b/>
                <w:bCs/>
                <w:sz w:val="19"/>
                <w:szCs w:val="19"/>
              </w:rPr>
              <w:t>Unexpected Snowflake cost</w:t>
            </w:r>
          </w:p>
        </w:tc>
        <w:tc>
          <w:tcPr>
            <w:tcW w:w="12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Medium</w:t>
            </w:r>
          </w:p>
        </w:tc>
        <w:tc>
          <w:tcPr>
            <w:tcW w:w="5238"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tcPr>
          <w:p w:rsidR="00BD0EA8" w:rsidRDefault="00C7158E">
            <w:pPr>
              <w:spacing w:after="40"/>
            </w:pPr>
            <w:r>
              <w:rPr>
                <w:sz w:val="19"/>
                <w:szCs w:val="19"/>
              </w:rPr>
              <w:t>Resource monitors, auto-suspend, right-sized warehouses, monthly review</w:t>
            </w:r>
          </w:p>
        </w:tc>
      </w:tr>
      <w:tr w:rsidR="00BD0EA8">
        <w:tblPrEx>
          <w:tblCellMar>
            <w:top w:w="0" w:type="dxa"/>
            <w:bottom w:w="0" w:type="dxa"/>
          </w:tblCellMar>
        </w:tblPrEx>
        <w:trPr>
          <w:cantSplit/>
        </w:trPr>
        <w:tc>
          <w:tcPr>
            <w:tcW w:w="32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b/>
                <w:bCs/>
                <w:sz w:val="19"/>
                <w:szCs w:val="19"/>
              </w:rPr>
              <w:t>Key-person dependency (Option B)</w:t>
            </w:r>
          </w:p>
        </w:tc>
        <w:tc>
          <w:tcPr>
            <w:tcW w:w="1200"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Medium</w:t>
            </w:r>
          </w:p>
        </w:tc>
        <w:tc>
          <w:tcPr>
            <w:tcW w:w="5238" w:type="dxa"/>
            <w:tcBorders>
              <w:top w:val="single" w:sz="4" w:space="0" w:color="C9D1DA"/>
              <w:left w:val="single" w:sz="4" w:space="0" w:color="C9D1DA"/>
              <w:bottom w:val="single" w:sz="4" w:space="0" w:color="C9D1DA"/>
              <w:right w:val="single" w:sz="4" w:space="0" w:color="C9D1DA"/>
            </w:tcBorders>
            <w:shd w:val="clear" w:color="auto" w:fill="F7F9FB"/>
            <w:tcMar>
              <w:top w:w="70" w:type="dxa"/>
              <w:left w:w="110" w:type="dxa"/>
              <w:bottom w:w="70" w:type="dxa"/>
              <w:right w:w="110" w:type="dxa"/>
            </w:tcMar>
          </w:tcPr>
          <w:p w:rsidR="00BD0EA8" w:rsidRDefault="00C7158E">
            <w:pPr>
              <w:spacing w:after="40"/>
            </w:pPr>
            <w:r>
              <w:rPr>
                <w:sz w:val="19"/>
                <w:szCs w:val="19"/>
              </w:rPr>
              <w:t>Runbooks, code in version control, knowledge transfer sessions</w:t>
            </w:r>
          </w:p>
        </w:tc>
      </w:tr>
    </w:tbl>
    <w:p w:rsidR="00BD0EA8" w:rsidRDefault="00C7158E">
      <w:pPr>
        <w:pStyle w:val="Heading1"/>
      </w:pPr>
      <w:r>
        <w:t xml:space="preserve">15. Decisions and Inputs Needed from </w:t>
      </w:r>
      <w:r w:rsidR="00423D66">
        <w:t>Team</w:t>
      </w:r>
    </w:p>
    <w:p w:rsidR="00BD0EA8" w:rsidRDefault="00C7158E">
      <w:pPr>
        <w:pStyle w:val="ListParagraph"/>
        <w:numPr>
          <w:ilvl w:val="0"/>
          <w:numId w:val="3"/>
        </w:numPr>
        <w:spacing w:after="60" w:line="264" w:lineRule="auto"/>
      </w:pPr>
      <w:r>
        <w:t>Required data freshness in Snowflake: daily, hourly, or within minutes</w:t>
      </w:r>
    </w:p>
    <w:p w:rsidR="00BD0EA8" w:rsidRDefault="00C7158E">
      <w:pPr>
        <w:pStyle w:val="ListParagraph"/>
        <w:numPr>
          <w:ilvl w:val="0"/>
          <w:numId w:val="3"/>
        </w:numPr>
        <w:spacing w:after="60" w:line="264" w:lineRule="auto"/>
      </w:pPr>
      <w:r>
        <w:t>Confirmed table list, row counts and largest table sizes</w:t>
      </w:r>
    </w:p>
    <w:p w:rsidR="00BD0EA8" w:rsidRDefault="00C7158E">
      <w:pPr>
        <w:pStyle w:val="ListParagraph"/>
        <w:numPr>
          <w:ilvl w:val="0"/>
          <w:numId w:val="3"/>
        </w:numPr>
        <w:spacing w:after="60" w:line="264" w:lineRule="auto"/>
      </w:pPr>
      <w:r>
        <w:t>Whether all tables have primary keys; how deletes happen in the source</w:t>
      </w:r>
    </w:p>
    <w:p w:rsidR="00BD0EA8" w:rsidRDefault="00C7158E">
      <w:pPr>
        <w:pStyle w:val="ListParagraph"/>
        <w:numPr>
          <w:ilvl w:val="0"/>
          <w:numId w:val="3"/>
        </w:numPr>
        <w:spacing w:after="60" w:line="264" w:lineRule="auto"/>
      </w:pPr>
      <w:r>
        <w:t>SQL Server version and edition; DBA approval for Change Tracking</w:t>
      </w:r>
    </w:p>
    <w:p w:rsidR="00BD0EA8" w:rsidRDefault="00C7158E">
      <w:pPr>
        <w:pStyle w:val="ListParagraph"/>
        <w:numPr>
          <w:ilvl w:val="0"/>
          <w:numId w:val="3"/>
        </w:numPr>
        <w:spacing w:after="60" w:line="264" w:lineRule="auto"/>
      </w:pPr>
      <w:r>
        <w:t>Sustained upload bandwidth and any firewall or proxy rules</w:t>
      </w:r>
    </w:p>
    <w:p w:rsidR="00BD0EA8" w:rsidRDefault="00C7158E">
      <w:pPr>
        <w:pStyle w:val="ListParagraph"/>
        <w:numPr>
          <w:ilvl w:val="0"/>
          <w:numId w:val="3"/>
        </w:numPr>
        <w:spacing w:after="60" w:line="264" w:lineRule="auto"/>
      </w:pPr>
      <w:r>
        <w:t>Preference: build in-house (Option B) or buy a managed tool (Option C)</w:t>
      </w:r>
    </w:p>
    <w:p w:rsidR="00BD0EA8" w:rsidRDefault="00C7158E">
      <w:pPr>
        <w:pStyle w:val="ListParagraph"/>
        <w:numPr>
          <w:ilvl w:val="0"/>
          <w:numId w:val="3"/>
        </w:numPr>
        <w:spacing w:after="60" w:line="264" w:lineRule="auto"/>
      </w:pPr>
      <w:r>
        <w:t>Snowflake edition, cloud and region; any data residency or co</w:t>
      </w:r>
      <w:r>
        <w:t>mpliance requirements</w:t>
      </w:r>
    </w:p>
    <w:p w:rsidR="00BD0EA8" w:rsidRDefault="00C7158E">
      <w:pPr>
        <w:pStyle w:val="ListParagraph"/>
        <w:numPr>
          <w:ilvl w:val="0"/>
          <w:numId w:val="3"/>
        </w:numPr>
        <w:spacing w:after="60" w:line="264" w:lineRule="auto"/>
      </w:pPr>
      <w:r>
        <w:t>A server or VM on-premises for extract jobs and Airflow</w:t>
      </w:r>
    </w:p>
    <w:p w:rsidR="00BD0EA8" w:rsidRDefault="00C7158E">
      <w:pPr>
        <w:pStyle w:val="ListParagraph"/>
        <w:numPr>
          <w:ilvl w:val="0"/>
          <w:numId w:val="3"/>
        </w:numPr>
        <w:spacing w:after="60" w:line="264" w:lineRule="auto"/>
      </w:pPr>
      <w:r>
        <w:t>Acceptance criteria and length of the parallel run</w:t>
      </w:r>
    </w:p>
    <w:p w:rsidR="00BD0EA8" w:rsidRDefault="00C7158E">
      <w:pPr>
        <w:pStyle w:val="Heading1"/>
      </w:pPr>
      <w:r>
        <w:t>16. Next Steps</w:t>
      </w:r>
    </w:p>
    <w:p w:rsidR="00BD0EA8" w:rsidRDefault="00C7158E">
      <w:pPr>
        <w:pStyle w:val="ListParagraph"/>
        <w:numPr>
          <w:ilvl w:val="0"/>
          <w:numId w:val="3"/>
        </w:numPr>
        <w:spacing w:after="60" w:line="264" w:lineRule="auto"/>
      </w:pPr>
      <w:r>
        <w:lastRenderedPageBreak/>
        <w:t>Review this document and confirm the decisions in Section 15</w:t>
      </w:r>
    </w:p>
    <w:p w:rsidR="00BD0EA8" w:rsidRDefault="00C7158E">
      <w:pPr>
        <w:pStyle w:val="ListParagraph"/>
        <w:numPr>
          <w:ilvl w:val="0"/>
          <w:numId w:val="3"/>
        </w:numPr>
        <w:spacing w:after="60" w:line="264" w:lineRule="auto"/>
      </w:pPr>
      <w:r>
        <w:t>Kick off Phase 0 (assessment) and the Snowflake acc</w:t>
      </w:r>
      <w:r>
        <w:t>ount setup in parallel</w:t>
      </w:r>
    </w:p>
    <w:p w:rsidR="00BD0EA8" w:rsidRDefault="00C7158E">
      <w:pPr>
        <w:pStyle w:val="ListParagraph"/>
        <w:numPr>
          <w:ilvl w:val="0"/>
          <w:numId w:val="3"/>
        </w:numPr>
        <w:spacing w:after="60" w:line="264" w:lineRule="auto"/>
      </w:pPr>
      <w:r>
        <w:t>Share the assessment report with a confirmed timeline and delta option</w:t>
      </w:r>
    </w:p>
    <w:p w:rsidR="00BD0EA8" w:rsidRDefault="00C7158E">
      <w:pPr>
        <w:pStyle w:val="ListParagraph"/>
        <w:numPr>
          <w:ilvl w:val="0"/>
          <w:numId w:val="3"/>
        </w:numPr>
        <w:spacing w:after="60" w:line="264" w:lineRule="auto"/>
      </w:pPr>
      <w:r>
        <w:t>Proceed with framework build and a pilot on a few representative tables</w:t>
      </w:r>
    </w:p>
    <w:p w:rsidR="00BD0EA8" w:rsidRDefault="00C7158E">
      <w:pPr>
        <w:pStyle w:val="Heading1"/>
      </w:pPr>
      <w:r>
        <w:t>Appendix – Process Flow Diagram and References</w:t>
      </w:r>
    </w:p>
    <w:p w:rsidR="00BD0EA8" w:rsidRDefault="00C7158E">
      <w:pPr>
        <w:spacing w:after="120" w:line="276" w:lineRule="auto"/>
      </w:pPr>
      <w:r>
        <w:rPr>
          <w:b/>
          <w:bCs/>
        </w:rPr>
        <w:t>Process flow diagram:</w:t>
      </w:r>
      <w:r>
        <w:t xml:space="preserve"> provided separately as MSSQL_to_Snowflake_Migration_Flow.drawio (open with draw.io or app.diagrams.net). Page 1 shows the end-to-end flow by phase; page 2 is the decision guide for the delta option.</w:t>
      </w:r>
    </w:p>
    <w:p w:rsidR="00BD0EA8" w:rsidRDefault="00C7158E">
      <w:pPr>
        <w:spacing w:after="120" w:line="276" w:lineRule="auto"/>
      </w:pPr>
      <w:r>
        <w:rPr>
          <w:b/>
          <w:bCs/>
        </w:rPr>
        <w:t>References:</w:t>
      </w:r>
    </w:p>
    <w:p w:rsidR="00BD0EA8" w:rsidRDefault="00C7158E">
      <w:pPr>
        <w:pStyle w:val="ListParagraph"/>
        <w:numPr>
          <w:ilvl w:val="0"/>
          <w:numId w:val="3"/>
        </w:numPr>
        <w:spacing w:after="60" w:line="264" w:lineRule="auto"/>
      </w:pPr>
      <w:r>
        <w:t xml:space="preserve">Snowflake release note – Openflow Connector </w:t>
      </w:r>
      <w:r>
        <w:t>for SQL Server (CDC), general availability, 5 Aug 2026: docs.snowflake.com/release-notes/2026/other/2026-08-05-openflow-sql-server-cdc-ga</w:t>
      </w:r>
    </w:p>
    <w:p w:rsidR="00BD0EA8" w:rsidRDefault="00C7158E">
      <w:pPr>
        <w:pStyle w:val="ListParagraph"/>
        <w:numPr>
          <w:ilvl w:val="0"/>
          <w:numId w:val="3"/>
        </w:numPr>
        <w:spacing w:after="60" w:line="264" w:lineRule="auto"/>
      </w:pPr>
      <w:r>
        <w:t>Snowflake documentation – Openflow version history: docs.snowflake.com/en/user-guide/data-integration/openflow/version</w:t>
      </w:r>
      <w:r>
        <w:t>-history</w:t>
      </w:r>
    </w:p>
    <w:sectPr w:rsidR="00BD0EA8">
      <w:headerReference w:type="default" r:id="rId7"/>
      <w:footerReference w:type="default" r:id="rId8"/>
      <w:headerReference w:type="first" r:id="rId9"/>
      <w:footerReference w:type="first" r:id="rId10"/>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7158E" w:rsidRDefault="00C7158E">
      <w:r>
        <w:separator/>
      </w:r>
    </w:p>
  </w:endnote>
  <w:endnote w:type="continuationSeparator" w:id="0">
    <w:p w:rsidR="00C7158E" w:rsidRDefault="00C715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0EA8" w:rsidRDefault="00C7158E">
    <w:pPr>
      <w:tabs>
        <w:tab w:val="right" w:pos="9638"/>
      </w:tabs>
    </w:pPr>
    <w:r>
      <w:rPr>
        <w:color w:val="5F6B7A"/>
        <w:sz w:val="17"/>
        <w:szCs w:val="17"/>
      </w:rPr>
      <w:t>Prepared by Jitendra Chauhan · Confidential</w:t>
    </w:r>
    <w:r>
      <w:rPr>
        <w:color w:val="5F6B7A"/>
        <w:sz w:val="17"/>
        <w:szCs w:val="17"/>
      </w:rPr>
      <w:tab/>
      <w:t xml:space="preserve">Page </w:t>
    </w:r>
    <w:r>
      <w:rPr>
        <w:color w:val="5F6B7A"/>
        <w:sz w:val="17"/>
        <w:szCs w:val="17"/>
      </w:rPr>
      <w:fldChar w:fldCharType="begin"/>
    </w:r>
    <w:r>
      <w:rPr>
        <w:color w:val="5F6B7A"/>
        <w:sz w:val="17"/>
        <w:szCs w:val="17"/>
      </w:rPr>
      <w:instrText>PAGE</w:instrText>
    </w:r>
    <w:r w:rsidR="00423D66">
      <w:rPr>
        <w:color w:val="5F6B7A"/>
        <w:sz w:val="17"/>
        <w:szCs w:val="17"/>
      </w:rPr>
      <w:fldChar w:fldCharType="separate"/>
    </w:r>
    <w:r w:rsidR="00423D66">
      <w:rPr>
        <w:noProof/>
        <w:color w:val="5F6B7A"/>
        <w:sz w:val="17"/>
        <w:szCs w:val="17"/>
      </w:rPr>
      <w:t>2</w:t>
    </w:r>
    <w:r>
      <w:rPr>
        <w:color w:val="5F6B7A"/>
        <w:sz w:val="17"/>
        <w:szCs w:val="17"/>
      </w:rPr>
      <w:fldChar w:fldCharType="end"/>
    </w:r>
    <w:r>
      <w:rPr>
        <w:color w:val="5F6B7A"/>
        <w:sz w:val="17"/>
        <w:szCs w:val="17"/>
      </w:rPr>
      <w:t xml:space="preserve"> of </w:t>
    </w:r>
    <w:r>
      <w:rPr>
        <w:color w:val="5F6B7A"/>
        <w:sz w:val="17"/>
        <w:szCs w:val="17"/>
      </w:rPr>
      <w:fldChar w:fldCharType="begin"/>
    </w:r>
    <w:r>
      <w:rPr>
        <w:color w:val="5F6B7A"/>
        <w:sz w:val="17"/>
        <w:szCs w:val="17"/>
      </w:rPr>
      <w:instrText>NUMPAGES</w:instrText>
    </w:r>
    <w:r w:rsidR="00423D66">
      <w:rPr>
        <w:color w:val="5F6B7A"/>
        <w:sz w:val="17"/>
        <w:szCs w:val="17"/>
      </w:rPr>
      <w:fldChar w:fldCharType="separate"/>
    </w:r>
    <w:r w:rsidR="00423D66">
      <w:rPr>
        <w:noProof/>
        <w:color w:val="5F6B7A"/>
        <w:sz w:val="17"/>
        <w:szCs w:val="17"/>
      </w:rPr>
      <w:t>15</w:t>
    </w:r>
    <w:r>
      <w:rPr>
        <w:color w:val="5F6B7A"/>
        <w:sz w:val="17"/>
        <w:szCs w:val="17"/>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0EA8" w:rsidRDefault="00BD0EA8"/>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7158E" w:rsidRDefault="00C7158E">
      <w:r>
        <w:separator/>
      </w:r>
    </w:p>
  </w:footnote>
  <w:footnote w:type="continuationSeparator" w:id="0">
    <w:p w:rsidR="00C7158E" w:rsidRDefault="00C7158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0EA8" w:rsidRDefault="00C7158E">
    <w:pPr>
      <w:jc w:val="right"/>
    </w:pPr>
    <w:r>
      <w:rPr>
        <w:color w:val="5F6B7A"/>
        <w:sz w:val="17"/>
        <w:szCs w:val="17"/>
      </w:rPr>
      <w:t>Data Migration Strategy · SQL Server → Snowflake</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0EA8" w:rsidRDefault="00BD0EA8"/>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4916E3"/>
    <w:multiLevelType w:val="hybridMultilevel"/>
    <w:tmpl w:val="54C0B694"/>
    <w:lvl w:ilvl="0" w:tplc="D0E43CB8">
      <w:start w:val="1"/>
      <w:numFmt w:val="bullet"/>
      <w:lvlText w:val="●"/>
      <w:lvlJc w:val="left"/>
      <w:pPr>
        <w:ind w:left="720" w:hanging="360"/>
      </w:pPr>
    </w:lvl>
    <w:lvl w:ilvl="1" w:tplc="D56668E2">
      <w:start w:val="1"/>
      <w:numFmt w:val="bullet"/>
      <w:lvlText w:val="○"/>
      <w:lvlJc w:val="left"/>
      <w:pPr>
        <w:ind w:left="1440" w:hanging="360"/>
      </w:pPr>
    </w:lvl>
    <w:lvl w:ilvl="2" w:tplc="3850E322">
      <w:start w:val="1"/>
      <w:numFmt w:val="bullet"/>
      <w:lvlText w:val="■"/>
      <w:lvlJc w:val="left"/>
      <w:pPr>
        <w:ind w:left="2160" w:hanging="360"/>
      </w:pPr>
    </w:lvl>
    <w:lvl w:ilvl="3" w:tplc="14066AE0">
      <w:start w:val="1"/>
      <w:numFmt w:val="bullet"/>
      <w:lvlText w:val="●"/>
      <w:lvlJc w:val="left"/>
      <w:pPr>
        <w:ind w:left="2880" w:hanging="360"/>
      </w:pPr>
    </w:lvl>
    <w:lvl w:ilvl="4" w:tplc="7C82E4D8">
      <w:start w:val="1"/>
      <w:numFmt w:val="bullet"/>
      <w:lvlText w:val="○"/>
      <w:lvlJc w:val="left"/>
      <w:pPr>
        <w:ind w:left="3600" w:hanging="360"/>
      </w:pPr>
    </w:lvl>
    <w:lvl w:ilvl="5" w:tplc="E6F49C80">
      <w:start w:val="1"/>
      <w:numFmt w:val="bullet"/>
      <w:lvlText w:val="■"/>
      <w:lvlJc w:val="left"/>
      <w:pPr>
        <w:ind w:left="4320" w:hanging="360"/>
      </w:pPr>
    </w:lvl>
    <w:lvl w:ilvl="6" w:tplc="7FA2E108">
      <w:start w:val="1"/>
      <w:numFmt w:val="bullet"/>
      <w:lvlText w:val="●"/>
      <w:lvlJc w:val="left"/>
      <w:pPr>
        <w:ind w:left="5040" w:hanging="360"/>
      </w:pPr>
    </w:lvl>
    <w:lvl w:ilvl="7" w:tplc="B05AF602">
      <w:start w:val="1"/>
      <w:numFmt w:val="bullet"/>
      <w:lvlText w:val="●"/>
      <w:lvlJc w:val="left"/>
      <w:pPr>
        <w:ind w:left="5760" w:hanging="360"/>
      </w:pPr>
    </w:lvl>
    <w:lvl w:ilvl="8" w:tplc="329E5622">
      <w:start w:val="1"/>
      <w:numFmt w:val="bullet"/>
      <w:lvlText w:val="●"/>
      <w:lvlJc w:val="left"/>
      <w:pPr>
        <w:ind w:left="6480" w:hanging="360"/>
      </w:pPr>
    </w:lvl>
  </w:abstractNum>
  <w:abstractNum w:abstractNumId="1" w15:restartNumberingAfterBreak="0">
    <w:nsid w:val="69175773"/>
    <w:multiLevelType w:val="hybridMultilevel"/>
    <w:tmpl w:val="5B9003C0"/>
    <w:lvl w:ilvl="0" w:tplc="5C72F404">
      <w:start w:val="1"/>
      <w:numFmt w:val="bullet"/>
      <w:lvlText w:val="•"/>
      <w:lvlJc w:val="left"/>
      <w:pPr>
        <w:ind w:left="540" w:hanging="270"/>
      </w:pPr>
    </w:lvl>
    <w:lvl w:ilvl="1" w:tplc="C0565572">
      <w:start w:val="1"/>
      <w:numFmt w:val="bullet"/>
      <w:lvlText w:val="–"/>
      <w:lvlJc w:val="left"/>
      <w:pPr>
        <w:ind w:left="1000" w:hanging="270"/>
      </w:pPr>
    </w:lvl>
    <w:lvl w:ilvl="2" w:tplc="653E5066">
      <w:numFmt w:val="decimal"/>
      <w:lvlText w:val=""/>
      <w:lvlJc w:val="left"/>
    </w:lvl>
    <w:lvl w:ilvl="3" w:tplc="BCB039BA">
      <w:numFmt w:val="decimal"/>
      <w:lvlText w:val=""/>
      <w:lvlJc w:val="left"/>
    </w:lvl>
    <w:lvl w:ilvl="4" w:tplc="EA78996C">
      <w:numFmt w:val="decimal"/>
      <w:lvlText w:val=""/>
      <w:lvlJc w:val="left"/>
    </w:lvl>
    <w:lvl w:ilvl="5" w:tplc="5270248E">
      <w:numFmt w:val="decimal"/>
      <w:lvlText w:val=""/>
      <w:lvlJc w:val="left"/>
    </w:lvl>
    <w:lvl w:ilvl="6" w:tplc="CB2ABF3A">
      <w:numFmt w:val="decimal"/>
      <w:lvlText w:val=""/>
      <w:lvlJc w:val="left"/>
    </w:lvl>
    <w:lvl w:ilvl="7" w:tplc="C5C80DF2">
      <w:numFmt w:val="decimal"/>
      <w:lvlText w:val=""/>
      <w:lvlJc w:val="left"/>
    </w:lvl>
    <w:lvl w:ilvl="8" w:tplc="788615A6">
      <w:numFmt w:val="decimal"/>
      <w:lvlText w:val=""/>
      <w:lvlJc w:val="left"/>
    </w:lvl>
  </w:abstractNum>
  <w:abstractNum w:abstractNumId="2" w15:restartNumberingAfterBreak="0">
    <w:nsid w:val="79EF176D"/>
    <w:multiLevelType w:val="hybridMultilevel"/>
    <w:tmpl w:val="DEB2F0DE"/>
    <w:lvl w:ilvl="0" w:tplc="16229432">
      <w:start w:val="1"/>
      <w:numFmt w:val="bullet"/>
      <w:lvlText w:val="•"/>
      <w:lvlJc w:val="left"/>
      <w:pPr>
        <w:ind w:left="260" w:hanging="200"/>
      </w:pPr>
    </w:lvl>
    <w:lvl w:ilvl="1" w:tplc="AD788582">
      <w:numFmt w:val="decimal"/>
      <w:lvlText w:val=""/>
      <w:lvlJc w:val="left"/>
    </w:lvl>
    <w:lvl w:ilvl="2" w:tplc="7154372A">
      <w:numFmt w:val="decimal"/>
      <w:lvlText w:val=""/>
      <w:lvlJc w:val="left"/>
    </w:lvl>
    <w:lvl w:ilvl="3" w:tplc="C49E8464">
      <w:numFmt w:val="decimal"/>
      <w:lvlText w:val=""/>
      <w:lvlJc w:val="left"/>
    </w:lvl>
    <w:lvl w:ilvl="4" w:tplc="5134B902">
      <w:numFmt w:val="decimal"/>
      <w:lvlText w:val=""/>
      <w:lvlJc w:val="left"/>
    </w:lvl>
    <w:lvl w:ilvl="5" w:tplc="02B2E376">
      <w:numFmt w:val="decimal"/>
      <w:lvlText w:val=""/>
      <w:lvlJc w:val="left"/>
    </w:lvl>
    <w:lvl w:ilvl="6" w:tplc="CA000020">
      <w:numFmt w:val="decimal"/>
      <w:lvlText w:val=""/>
      <w:lvlJc w:val="left"/>
    </w:lvl>
    <w:lvl w:ilvl="7" w:tplc="3D2AEF40">
      <w:numFmt w:val="decimal"/>
      <w:lvlText w:val=""/>
      <w:lvlJc w:val="left"/>
    </w:lvl>
    <w:lvl w:ilvl="8" w:tplc="1878F43A">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EA8"/>
    <w:rsid w:val="00423D66"/>
    <w:rsid w:val="00BD0EA8"/>
    <w:rsid w:val="00C71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A673C"/>
  <w15:docId w15:val="{38493173-611D-4CA8-ABDF-9D766ACA2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262F3A"/>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6" w:space="4" w:color="29B5E8"/>
      </w:pBdr>
      <w:spacing w:before="360" w:after="160"/>
      <w:outlineLvl w:val="0"/>
    </w:pPr>
    <w:rPr>
      <w:b/>
      <w:bCs/>
      <w:color w:val="1F3A5F"/>
      <w:sz w:val="32"/>
      <w:szCs w:val="32"/>
    </w:rPr>
  </w:style>
  <w:style w:type="paragraph" w:styleId="Heading2">
    <w:name w:val="heading 2"/>
    <w:qFormat/>
    <w:pPr>
      <w:spacing w:before="240" w:after="100"/>
      <w:outlineLvl w:val="1"/>
    </w:pPr>
    <w:rPr>
      <w:b/>
      <w:bCs/>
      <w:color w:val="1F3A5F"/>
      <w:sz w:val="25"/>
      <w:szCs w:val="25"/>
    </w:rPr>
  </w:style>
  <w:style w:type="paragraph" w:styleId="Heading3">
    <w:name w:val="heading 3"/>
    <w:qFormat/>
    <w:pPr>
      <w:keepNext/>
      <w:spacing w:before="220" w:after="40"/>
      <w:outlineLvl w:val="2"/>
    </w:pPr>
    <w:rPr>
      <w:b/>
      <w:bCs/>
      <w:color w:val="0B6E99"/>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3649</Words>
  <Characters>20802</Characters>
  <Application>Microsoft Office Word</Application>
  <DocSecurity>0</DocSecurity>
  <Lines>173</Lines>
  <Paragraphs>48</Paragraphs>
  <ScaleCrop>false</ScaleCrop>
  <Company/>
  <LinksUpToDate>false</LinksUpToDate>
  <CharactersWithSpaces>24403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Migration Strategy – SQL Server to Snowflake</dc:title>
  <dc:creator>Jitendra Chauhan</dc:creator>
  <cp:lastModifiedBy>Admin</cp:lastModifiedBy>
  <cp:revision>3</cp:revision>
  <dcterms:created xsi:type="dcterms:W3CDTF">2026-10-14T11:40:00Z</dcterms:created>
  <dcterms:modified xsi:type="dcterms:W3CDTF">2026-10-14T14:18:00Z</dcterms:modified>
</cp:coreProperties>
</file>