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1100F2"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                                                                                                                                                    </w:t>
      </w:r>
    </w:p>
    <w:p w14:paraId="435E2984" w14:textId="19A0F817" w:rsidR="009B061A" w:rsidRPr="00F31B3C" w:rsidRDefault="00F31B3C" w:rsidP="00F31B3C">
      <w:pPr>
        <w:spacing w:after="0"/>
        <w:ind w:right="-1418"/>
        <w:rPr>
          <w:rFonts w:ascii="B Nazanin" w:hAnsi="B Nazanin" w:cs="B Nazanin"/>
          <w:b/>
          <w:bCs/>
          <w:sz w:val="28"/>
          <w:szCs w:val="28"/>
          <w:rtl/>
        </w:rPr>
      </w:pPr>
      <w:r>
        <w:rPr>
          <w:rFonts w:ascii="B Nazanin" w:hAnsi="B Nazanin" w:cs="B Nazanin" w:hint="cs"/>
          <w:b/>
          <w:bCs/>
          <w:sz w:val="28"/>
          <w:szCs w:val="28"/>
          <w:rtl/>
        </w:rPr>
        <w:t xml:space="preserve">                </w:t>
      </w:r>
      <w:r w:rsidR="009B061A" w:rsidRPr="00F31B3C">
        <w:rPr>
          <w:rFonts w:ascii="B Nazanin" w:hAnsi="B Nazanin" w:cs="B Nazanin"/>
          <w:b/>
          <w:bCs/>
          <w:sz w:val="28"/>
          <w:szCs w:val="28"/>
          <w:rtl/>
        </w:rPr>
        <w:t>چالش ها و پارادوکس های عمده سکولاریسم، رویکردی نظریه پردازانه</w:t>
      </w:r>
    </w:p>
    <w:p w14:paraId="0E6B927C" w14:textId="77777777" w:rsidR="009B061A" w:rsidRPr="00F31B3C" w:rsidRDefault="00F95C1F" w:rsidP="00F31B3C">
      <w:pPr>
        <w:bidi w:val="0"/>
        <w:spacing w:after="0"/>
        <w:jc w:val="both"/>
        <w:rPr>
          <w:rFonts w:ascii="B Nazanin" w:hAnsi="B Nazanin" w:cs="B Nazanin"/>
          <w:b/>
          <w:bCs/>
          <w:sz w:val="28"/>
          <w:szCs w:val="28"/>
          <w:rtl/>
        </w:rPr>
      </w:pPr>
      <w:r w:rsidRPr="00F31B3C">
        <w:rPr>
          <w:rFonts w:ascii="B Nazanin" w:hAnsi="B Nazanin" w:cs="B Nazanin"/>
          <w:b/>
          <w:bCs/>
          <w:sz w:val="28"/>
          <w:szCs w:val="28"/>
          <w:rtl/>
        </w:rPr>
        <w:t>عماد افروغ</w:t>
      </w:r>
    </w:p>
    <w:p w14:paraId="7CC626F1" w14:textId="77777777" w:rsidR="00F31B3C" w:rsidRDefault="00F31B3C" w:rsidP="00F31B3C">
      <w:pPr>
        <w:spacing w:after="0"/>
        <w:jc w:val="both"/>
        <w:rPr>
          <w:rFonts w:ascii="B Nazanin" w:hAnsi="B Nazanin" w:cs="B Nazanin"/>
          <w:b/>
          <w:bCs/>
          <w:sz w:val="28"/>
          <w:szCs w:val="28"/>
          <w:rtl/>
        </w:rPr>
      </w:pPr>
    </w:p>
    <w:p w14:paraId="4FDF573E" w14:textId="77777777" w:rsidR="009B061A" w:rsidRPr="00F31B3C" w:rsidRDefault="009B061A" w:rsidP="00F31B3C">
      <w:pPr>
        <w:spacing w:after="0"/>
        <w:jc w:val="both"/>
        <w:rPr>
          <w:rFonts w:ascii="B Nazanin" w:hAnsi="B Nazanin" w:cs="B Nazanin"/>
          <w:b/>
          <w:bCs/>
          <w:sz w:val="28"/>
          <w:szCs w:val="28"/>
          <w:rtl/>
        </w:rPr>
      </w:pPr>
      <w:r w:rsidRPr="00F31B3C">
        <w:rPr>
          <w:rFonts w:ascii="B Nazanin" w:hAnsi="B Nazanin" w:cs="B Nazanin"/>
          <w:b/>
          <w:bCs/>
          <w:sz w:val="28"/>
          <w:szCs w:val="28"/>
          <w:rtl/>
        </w:rPr>
        <w:t>مقدمه</w:t>
      </w:r>
    </w:p>
    <w:p w14:paraId="4622C834" w14:textId="77777777" w:rsidR="009B061A"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سکولاریسم یا به صورت کلی جدایی دین و اخلاق از عرصه عمومی، سیاست و قدرت دولتی، متأثر از دوگانه نگری های غالب و جاری پس از دکارت و بی توجه به ربط ها و اتصال هاست. در کل، بشر معاصر غرق در دوگانه هایی است که هرچند در برخی از آنها میراث دار سنت است اما با اتخاذ تفسیر جدید از انسان و هستی، و تفوق نوعی انسان انگاری که همراه با تقدم معرفت شناسی بر هستی شناسی بود زمینه و شرایط آماده تری برای بسط بیش تر این دوگانه ها و جوانه زدن انواع جدید و نوظهوری از آنها فراهم شد و بتدریج تفاوت گرایی محض جایگزین نوعی وحدت گرایی شد. غفلت از هم وقوعی اتصال در عین تمایز اشیا و در واقع دور شدن از نگاه منظومه ای به عالم یا به عبارت دقیق تر وحدت در عین کثرت از مشخصات بارز تفکر پسا مدرن است که ریشه های معرفت شناسانه و هستی شناسانه خود را در مدرنیسم دارد. دوگانه هایی مثل حکمت نظری و حکمت عملی فیلسوفان باستان با تفسیری خاص، با غفلت از ارتباط این دو و جایگاه عمل در حکمت نظری، نفس و بدن دکارتی، نظریه و عمل یا واقعیت و ارزش هیومی، بود و نمود کانتی، نظریه و مشاهده پوزیتیویستی و دوگانه های متعارفی چون عقل و عشق، علم و دین، علم و هنر، علم و جامعه، فرد و جامعه یا حقوق فردی و اجتماعی، دنیا و آخرت، ماده و معنا، خدا و انسان، خطا و صواب، دال و مدلول و ... از واقعیات جاری زمانه ماست که البته با واکنش ها و چالش های دیالکتیکی نیز همواره روبرو بوده است. یکی از این دوگانه ها، دوگانه دین و سیاست یا اخلاق و سیاست است که به ترتیب به آنها می پردازیم.</w:t>
      </w:r>
    </w:p>
    <w:p w14:paraId="5894D16A" w14:textId="77777777" w:rsidR="00F31B3C" w:rsidRPr="00F31B3C" w:rsidRDefault="00F31B3C" w:rsidP="00F31B3C">
      <w:pPr>
        <w:spacing w:after="0"/>
        <w:jc w:val="both"/>
        <w:rPr>
          <w:rFonts w:ascii="B Nazanin" w:hAnsi="B Nazanin" w:cs="B Nazanin"/>
          <w:sz w:val="28"/>
          <w:szCs w:val="28"/>
          <w:rtl/>
        </w:rPr>
      </w:pPr>
    </w:p>
    <w:p w14:paraId="3F675532" w14:textId="77777777" w:rsidR="009B061A" w:rsidRPr="00F31B3C" w:rsidRDefault="009B061A" w:rsidP="00F31B3C">
      <w:pPr>
        <w:spacing w:after="0"/>
        <w:jc w:val="both"/>
        <w:rPr>
          <w:rFonts w:ascii="B Nazanin" w:hAnsi="B Nazanin" w:cs="B Nazanin"/>
          <w:b/>
          <w:bCs/>
          <w:sz w:val="28"/>
          <w:szCs w:val="28"/>
          <w:rtl/>
        </w:rPr>
      </w:pPr>
      <w:r w:rsidRPr="00F31B3C">
        <w:rPr>
          <w:rFonts w:ascii="B Nazanin" w:hAnsi="B Nazanin" w:cs="B Nazanin"/>
          <w:b/>
          <w:bCs/>
          <w:sz w:val="28"/>
          <w:szCs w:val="28"/>
          <w:rtl/>
        </w:rPr>
        <w:t>بُعد دینی سکولاریسم</w:t>
      </w:r>
    </w:p>
    <w:p w14:paraId="7A3C44FD"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دوگانه دین و سیاست کماکان طرفدارانی در عرصه های سیاسی و توسعه ای دارد. در نظریه نوسازی از رویکردهای توسعه و در ذیل الگوی سکولار اصرار بر اداره نظام سیاسی توسط غیر مذهبی ها، اشاعه ارزش های سیاسی غیر مذهبی و در کل کاهش نفوذ مذهب است.</w:t>
      </w:r>
      <w:r w:rsidR="00F95C1F" w:rsidRPr="00F31B3C">
        <w:rPr>
          <w:rStyle w:val="FootnoteReference"/>
          <w:rFonts w:ascii="B Nazanin" w:hAnsi="B Nazanin" w:cs="B Nazanin"/>
          <w:sz w:val="28"/>
          <w:szCs w:val="28"/>
          <w:rtl/>
        </w:rPr>
        <w:footnoteReference w:id="1"/>
      </w:r>
      <w:r w:rsidRPr="00F31B3C">
        <w:rPr>
          <w:rFonts w:ascii="B Nazanin" w:hAnsi="B Nazanin" w:cs="B Nazanin"/>
          <w:sz w:val="28"/>
          <w:szCs w:val="28"/>
          <w:rtl/>
        </w:rPr>
        <w:t xml:space="preserve"> در قلمرو سیاست که بحث اصلی ما در این مقاله است، تأکید سکولارها بر آزادی ایمان، برابری حقوقی ادیان و انتخاب های اخلاقی و بی طرفی دولت هاست.</w:t>
      </w:r>
      <w:r w:rsidR="00F95C1F" w:rsidRPr="00F31B3C">
        <w:rPr>
          <w:rStyle w:val="FootnoteReference"/>
          <w:rFonts w:ascii="B Nazanin" w:hAnsi="B Nazanin" w:cs="B Nazanin"/>
          <w:sz w:val="28"/>
          <w:szCs w:val="28"/>
          <w:rtl/>
        </w:rPr>
        <w:footnoteReference w:id="2"/>
      </w:r>
      <w:r w:rsidRPr="00F31B3C">
        <w:rPr>
          <w:rFonts w:ascii="B Nazanin" w:hAnsi="B Nazanin" w:cs="B Nazanin"/>
          <w:sz w:val="28"/>
          <w:szCs w:val="28"/>
          <w:rtl/>
        </w:rPr>
        <w:t xml:space="preserve"> این گونه ادعا می شود که این بی طرفی به دلیل اجتناب از ورود تعهدات و دلبستگی های دینی و اخلاقی به عرصه ای است که می تواند مخل حقوق فردی و آزادی های مدنی و برابری افراد باشد. ادعا این </w:t>
      </w:r>
      <w:r w:rsidRPr="00F31B3C">
        <w:rPr>
          <w:rFonts w:ascii="B Nazanin" w:hAnsi="B Nazanin" w:cs="B Nazanin"/>
          <w:sz w:val="28"/>
          <w:szCs w:val="28"/>
          <w:rtl/>
        </w:rPr>
        <w:lastRenderedPageBreak/>
        <w:t>است که کنار گذاشتن ادیان از سیاست و دستگاه های دولتی نه به دلیل ضدیت و مخالفت با دین و باورهای اخلاقی است بلکه به دلیل ممانعت از ورود سلیقه های گروهی و دینی مختلف به عرصه ای است که لازمه اش بی طرفی است.</w:t>
      </w:r>
      <w:r w:rsidR="00F95C1F" w:rsidRPr="00F31B3C">
        <w:rPr>
          <w:rStyle w:val="FootnoteReference"/>
          <w:rFonts w:ascii="B Nazanin" w:hAnsi="B Nazanin" w:cs="B Nazanin"/>
          <w:sz w:val="28"/>
          <w:szCs w:val="28"/>
          <w:rtl/>
        </w:rPr>
        <w:footnoteReference w:id="3"/>
      </w:r>
      <w:r w:rsidRPr="00F31B3C">
        <w:rPr>
          <w:rFonts w:ascii="B Nazanin" w:hAnsi="B Nazanin" w:cs="B Nazanin"/>
          <w:sz w:val="28"/>
          <w:szCs w:val="28"/>
          <w:rtl/>
        </w:rPr>
        <w:t xml:space="preserve"> لذا و حسب قاعده و اصل آزادی ایمان و عقیده، ظاهراً ادیان و مذاهب مختلف مجاز به فعالیت در محدوده دینی خود هستند اما از ورود معتقدان به مذهب در دولت های به اصطلاح بی طرف به منظور تضمین حقوق شهروندی جلوگیری به عمل می آید. </w:t>
      </w:r>
    </w:p>
    <w:p w14:paraId="752F9857"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در همین جا اولین پارادوکس نمایان می شود، یکی اینکه پیروان مذاهب آزادند اما تنها در حیات خصوصی خود و حق توجه به تجلیات عمومی و سیاسی باورهای دینی خود را ندارند. در این حالت دوگانه حیات فردی و اجتماعی نیز آشکار می شود که معرف نگاهی غیر منظومه ای است. به هرحال، لائیسیته یا همان سکولاریسم ابزار همزیستی افرادی است که در عقاید یکسان شریک نیستند و این نکته دلالت بر ردّ چند فرهنگ گرایی در سیاست به دلیل اتکاء دولت به وفاداری شهروندان، قطع نظر از باورهای دینی آنها دارد. چیزی باید باشد تا نیروهای تمایز بخش را به مثابه نیروی وحدت بخش ارتقاء بخشد. لائیسیته اکراه دارد که این نقش را به دین واگذار کند و البته ارزش های خود را از طریق نهادهای عمومی و به طور خاص از طریق تعلیم و تربیت و مدارس سکولار به مثابه موتور انسجام بخش تحمیل می کند.</w:t>
      </w:r>
      <w:r w:rsidR="00F95C1F" w:rsidRPr="00F31B3C">
        <w:rPr>
          <w:rStyle w:val="FootnoteReference"/>
          <w:rFonts w:ascii="B Nazanin" w:hAnsi="B Nazanin" w:cs="B Nazanin"/>
          <w:sz w:val="28"/>
          <w:szCs w:val="28"/>
          <w:rtl/>
        </w:rPr>
        <w:footnoteReference w:id="4"/>
      </w:r>
      <w:r w:rsidRPr="00F31B3C">
        <w:rPr>
          <w:rFonts w:ascii="B Nazanin" w:hAnsi="B Nazanin" w:cs="B Nazanin"/>
          <w:sz w:val="28"/>
          <w:szCs w:val="28"/>
          <w:rtl/>
        </w:rPr>
        <w:t xml:space="preserve"> ملاحظه می شود که دولت های سکولار مخالف وفاداری نیستند اما تنها وفاداری نسبت به دولت و قوانین و قواعد آن تبلیغ می شود و مجاز است. اینکه چگونه و به لحاظ مبنایی بی طرفی مورد ادعا با وفاداری اولیه و ثانویه به دولت قابل جمع است خود از پرسش ها و پارادوکس های جدی است که به آن خواهیم پرداخت. گیریم که عرصه عمومی را از وفاداری های دینی پاک کردیم آیا اصولا می توان این عرصه را از سایر وفاداری ها و تعلقات فرهنگی و گروهی اعم از افقی و عمودی، اجتماعی و انجمنی پاک کرد؟ نگرش به ظاهر فردگرایانه لائیسیته که البته به آن هم پایبند نیست قادر به درک واقعیات اجتماعی حیات انسانی نخواهد بود. به دلیل کنترل های دولتی بر دین و تفوق اقتدارهای سکولار، تریگ پارادوکس تنوع و وحدت اولیه را طرح می کند. برای اینکه آزادی مذهب وجود داشته باشد باید حس وفاداری به دولتی وجود داشته باشد که مستقل از دین است. لازمه انتخاب فردی[دینی]، همبستگی اجتماعی است که به واسطه نظام دولتی تعلیم و تربیت تقویت می شود. چه موافق باشیم چه نباشیم، ارزش های دولت در ستیز با تعهدات دینی است و در یک چنین حالتی، دولت برنده است.</w:t>
      </w:r>
      <w:r w:rsidR="00F95C1F" w:rsidRPr="00F31B3C">
        <w:rPr>
          <w:rStyle w:val="FootnoteReference"/>
          <w:rFonts w:ascii="B Nazanin" w:hAnsi="B Nazanin" w:cs="B Nazanin"/>
          <w:sz w:val="28"/>
          <w:szCs w:val="28"/>
          <w:rtl/>
        </w:rPr>
        <w:footnoteReference w:id="5"/>
      </w:r>
      <w:r w:rsidRPr="00F31B3C">
        <w:rPr>
          <w:rFonts w:ascii="B Nazanin" w:hAnsi="B Nazanin" w:cs="B Nazanin"/>
          <w:sz w:val="28"/>
          <w:szCs w:val="28"/>
          <w:rtl/>
        </w:rPr>
        <w:t xml:space="preserve"> </w:t>
      </w:r>
    </w:p>
    <w:p w14:paraId="3DF43A51"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همان گونه که ملاحظه شد علاوه بر چالش دوگانه نگری مستتر در سکولاریسم، چالش دیگر مربوط به پارادوکس تنوع فرادولتی و وحدت دولتی است. پارادوکس نفی ورود وفاداری دینی به عرصه عمومی و دستگاه های دولتی از یک سو و قبول پیشفرض وفاداری اولیه به دولت به مثابه مهمترین نهاد جامعه از </w:t>
      </w:r>
      <w:r w:rsidRPr="00F31B3C">
        <w:rPr>
          <w:rFonts w:ascii="B Nazanin" w:hAnsi="B Nazanin" w:cs="B Nazanin"/>
          <w:sz w:val="28"/>
          <w:szCs w:val="28"/>
          <w:rtl/>
        </w:rPr>
        <w:lastRenderedPageBreak/>
        <w:t>سوی دیگر است. به تعبیری، پارادوکس بی طرفی اولیه و لازمه وفاداری همراه با این بی طرفی، نوعی بی طرفی وفادارانه. بی طرفی، خصلتی هنجاری و ارزشی است، اما ارزشی بی طرفانه است. در حالی که وفاداری، ارزشی جانبدارانه است. به عبارتی تقابل ارزش بی طرفانه با ارزش طرفدارانه. مشاهده می شود که خلأ وفاداری های متنوع مذهبی در عرصه عمومی با وفاداری دولتی پر می شود. ظاهراً تنها یک وفاداری در دولت سکولار مورد قبول است، آن هم وفاداری به دولت بی طرف است. وفاداری به بی طرفی. از سوی دیگر بی طرفی دولتی و به مثابه واقعیتی جامعه شناختی بی جهت نیست. این بی طرفی ظاهراً به منظور ارزش های برابری حقوقی و آزادی های فردی صورت می گیرد، پنداری این ارزش ها در ادیان نقشی ندارند و تنها دولت های سکولار پاسدار آنها هستند. اولاً چگونه می توان بی طرفی را فریاد زد و طرفدارانه از ارزش های انسانی یاد کرد و حراست نمود؟ ثانیاً واقعیت تاریخی و اجتماعی و سیاسی نشان می دهد که دولت ها عملاً بی طرف نیستند و علاوه بر منافع الیگارشیک خود در قالب دموکراسی نمایندگی، مدافع جدی منافع حزبی و جناحی خود هستند.</w:t>
      </w:r>
    </w:p>
    <w:p w14:paraId="5D6E00E1"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راجر تریگ در کتاب دین در حیات عمومی در واکنش به ادعای مبتنی بر فرایند سکولار شدن عالم اظهار می دارد:</w:t>
      </w:r>
    </w:p>
    <w:p w14:paraId="60248E34"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حدود چهل سال پیش فرایند سکولارشدن، اجتناب‌ناپذیر می‌نمود. این به نظر، جریانی ناگزیر می‌آمد که جوامع در حال تأثیرپذیری کمتری از سوی دین هستند، و اینکه حیات عمومی آنها مستقل از ایمان دینی، پیش خواهد رفت. اگر چه این مطلب به صورتی گسترده در اروپای غربی صادق بود، اما به شکلی تکان‌دهنده درباره نواحی بزرگی از عالم خطا بود؛ جایی که نه تنها اسلام، بلکه مسیحیت نیز بیش از همیشه اثرگذار بود... دین، در اشکال متنوعی، نفوذ فزاینده‌ای نه تنها بر باور خصوصی بلکه بر سیاست عمومی دارد.</w:t>
      </w:r>
      <w:r w:rsidR="00F95C1F" w:rsidRPr="00F31B3C">
        <w:rPr>
          <w:rStyle w:val="FootnoteReference"/>
          <w:rFonts w:ascii="B Nazanin" w:hAnsi="B Nazanin" w:cs="B Nazanin"/>
          <w:sz w:val="28"/>
          <w:szCs w:val="28"/>
          <w:rtl/>
        </w:rPr>
        <w:footnoteReference w:id="6"/>
      </w:r>
    </w:p>
    <w:p w14:paraId="75705241"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وی در این اثر به واکاوی نقش و جایگاه مسیحیت و در جاهایی نهاد کلیسا در مواجهه مثبت با تحولات جدید بشری و اقبال فزاینده به دین، برخلاف ادعای طرفداران سکولاریسم پرداخته است. او مدعی است که به عنوان یک واقعیت تاریخی، معیارهای جامعه غربی برخاسته از یک زمینه مسیحی است. لذا این ایده که یک چنین باور دینی‌ای موضوع حیات خصوصی است و کاری به معیارهای عمومی یک جامعه ندارد، با این پرسش روبرو می‌شود که اگر احترام به باورهای مختلف و آزادی فردی نیاز به تربیت عمومی دارد و با این فرض که دیدگاه‌ها‌‌ی مذهبی در شکل‌گیری آن نقش داشته‌اند، چگونه بدون حمایت آشکار آنها می‌توانند دوام بیاورند؟ اگر، برای مثال، دین به نام برابری و احترام به دیگران از عرصه عمومی کنار زده شود، ما همگی با این پرسش روبرو خواهیم شد که چرا مردم باید برابر باشند؟</w:t>
      </w:r>
      <w:r w:rsidR="00F95C1F" w:rsidRPr="00F31B3C">
        <w:rPr>
          <w:rStyle w:val="FootnoteReference"/>
          <w:rFonts w:ascii="B Nazanin" w:hAnsi="B Nazanin" w:cs="B Nazanin"/>
          <w:sz w:val="28"/>
          <w:szCs w:val="28"/>
          <w:rtl/>
        </w:rPr>
        <w:footnoteReference w:id="7"/>
      </w:r>
    </w:p>
    <w:p w14:paraId="711080FF"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lastRenderedPageBreak/>
        <w:t xml:space="preserve"> تریگ در پاسخ به این سؤال که آیا باور به آزادی، الزاماً مستلزم طرد دین در حیات عمومی است و آیا منزلت یکسان همگان، ذیل قانون به این معناست که سنت‌های دیرینه باید دگرگون شوند، اظهار می‌دارد که در واقع، قانون انگلیس محصول آن سنت بوده است. لذا اگر ریشه‌ها‌‌ی احترام به آزادی و ارزشمندی مدارا به واسطه سنت مسیحی تغذیه شده است، طبعاً طرد آن سنت از نفوذ عمومی می‌تواند این گیاه را نابود کند. او در مواجهه با طرفداران قلمرو عمومی سکولار و بی طرفی دینی قانون به بهانه جلوگیری از تحمیل به سایر شهروندان اظهار می‌دارد، اگر قانون باید نسبت به دین بی‌تفاوت باشد، نمی‌تواند درباره اهمیت این اهداف[آزاد و برابر بودن انسان ها] و امکان توجیه آنها بی‌تفاوت باشد. این ایده‌ها‌‌ از کجا نشأت گرفته‌اند؟ چه چیزی در مورد انسان‌ها وجود دارد که آزاد و برابربودن آنها را موجه می‌سازد؟ مسیحیت، نیروی قدرتمندی برای این اصول است. باور به اراده آزاد به مثابه بنیان آرمانی اختیار سیاسی، با باور به‌یکسان‌بودن همه در نگاه خدا، به روشنی سازگار بوده است. برابری را نمی‌توان مفروض گرفت. حتی مخالفان متافیزیک درک می‌کنند که پذیرش آن نیازمند بنیانی متافیزیکی است. به تعبیر جیانی واتیمو، فیلسوف ایتالیاییِ پسامدرن، «برابری، همواره یک تز متافیزیکی خواهد بود .... به دلیل ادعایش مبنی بر فهم جوهر مفروض انسانی، یکبار و برای همه.» به هر حال، آزادی و برابری را نمی‌توان جدا از پرسش‌های توجیهی آن‌ها دانست، همان‌گونه که نمی‌توانند در یک خلاء متافیزیکی و تاریخی کاربرد داشته باشند. او در پاسخ به این پرسش اساسی که چرا باید آزادی مورد احترام و برابری انسانی، ارزشمند باشد؟ مدعی است که این پرسش‌ها پاسخی آماده در زمینه دینی دارند، «چون خدا، ما را برابر، خلق کرده است، به یکسان مراقب ماست و به ما اراده آزاد برای انتخاب‌های معقول اعطاء کرده است.»</w:t>
      </w:r>
      <w:r w:rsidR="00F95C1F" w:rsidRPr="00F31B3C">
        <w:rPr>
          <w:rStyle w:val="FootnoteReference"/>
          <w:rFonts w:ascii="B Nazanin" w:hAnsi="B Nazanin" w:cs="B Nazanin"/>
          <w:sz w:val="28"/>
          <w:szCs w:val="28"/>
          <w:rtl/>
        </w:rPr>
        <w:footnoteReference w:id="8"/>
      </w:r>
      <w:r w:rsidRPr="00F31B3C">
        <w:rPr>
          <w:rFonts w:ascii="B Nazanin" w:hAnsi="B Nazanin" w:cs="B Nazanin"/>
          <w:sz w:val="28"/>
          <w:szCs w:val="28"/>
          <w:rtl/>
        </w:rPr>
        <w:t xml:space="preserve"> باور به برابری انسانی، به تعابیر مختلف در اسلام نیز تصریح شده است. اینکه «گرامی‌ترین شما نزد خدا، پرهیزگارترین شماست»</w:t>
      </w:r>
      <w:r w:rsidR="00F95C1F" w:rsidRPr="00F31B3C">
        <w:rPr>
          <w:rStyle w:val="FootnoteReference"/>
          <w:rFonts w:ascii="B Nazanin" w:hAnsi="B Nazanin" w:cs="B Nazanin"/>
          <w:sz w:val="28"/>
          <w:szCs w:val="28"/>
          <w:rtl/>
        </w:rPr>
        <w:footnoteReference w:id="9"/>
      </w:r>
      <w:r w:rsidRPr="00F31B3C">
        <w:rPr>
          <w:rFonts w:ascii="B Nazanin" w:hAnsi="B Nazanin" w:cs="B Nazanin"/>
          <w:sz w:val="28"/>
          <w:szCs w:val="28"/>
          <w:rtl/>
        </w:rPr>
        <w:t>، اینکه «میان کلان و نازک اندام و گران و سبک و نیرومند و ناتوان، در آفرینش جز همانندی نیست»</w:t>
      </w:r>
      <w:r w:rsidR="00F95C1F" w:rsidRPr="00F31B3C">
        <w:rPr>
          <w:rStyle w:val="FootnoteReference"/>
          <w:rFonts w:ascii="B Nazanin" w:hAnsi="B Nazanin" w:cs="B Nazanin"/>
          <w:sz w:val="28"/>
          <w:szCs w:val="28"/>
          <w:rtl/>
        </w:rPr>
        <w:footnoteReference w:id="10"/>
      </w:r>
      <w:r w:rsidRPr="00F31B3C">
        <w:rPr>
          <w:rFonts w:ascii="B Nazanin" w:hAnsi="B Nazanin" w:cs="B Nazanin"/>
          <w:sz w:val="28"/>
          <w:szCs w:val="28"/>
          <w:rtl/>
        </w:rPr>
        <w:t xml:space="preserve">، اینکه انسان‌ها به دو دسته تقسیم می‌شوند، برادران دینی و همانندی در آفرینش. </w:t>
      </w:r>
      <w:r w:rsidR="005C6B51" w:rsidRPr="00F31B3C">
        <w:rPr>
          <w:rStyle w:val="FootnoteReference"/>
          <w:rFonts w:ascii="B Nazanin" w:hAnsi="B Nazanin" w:cs="B Nazanin"/>
          <w:sz w:val="28"/>
          <w:szCs w:val="28"/>
          <w:rtl/>
        </w:rPr>
        <w:footnoteReference w:id="11"/>
      </w:r>
    </w:p>
    <w:p w14:paraId="21319A5E"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تریگ در نقد کسانی که مبنای حقوق انسانی را قرارداد می‌دانند، این پرسش بجا را طرح می‌کند که اگر قراردادها آنها را ایجاد می‌کنند، چرا باید در مورد کسانی نیز کاربرد داشته باشند که سهمی در قرارداد نداشته‌اند؟ چه چیزی یک چنین قراردادی را توجیه می‌کند؟ عمومیت، که به نظر می‌آید جدا از ایده حقوق بشر نیست، دیدگاهی متافیزیکی پیشنهاد می‌کند که تمام انسان‌ها را دربرگیرد. از منظری تاریخی نیز، ایده‌ها‌‌ی برابری به طور قطع از بذری مسیحی روییده است. این ایده که تمام ما از نگاه خدا که ما را خلق کرده است، برابر هستیم، قدرتمند بوده است. از منظر خدا، تمام تفاوت‌های رتبه‌ای، موقعیت اجتماعی و </w:t>
      </w:r>
      <w:r w:rsidRPr="00F31B3C">
        <w:rPr>
          <w:rFonts w:ascii="B Nazanin" w:hAnsi="B Nazanin" w:cs="B Nazanin"/>
          <w:sz w:val="28"/>
          <w:szCs w:val="28"/>
          <w:rtl/>
        </w:rPr>
        <w:lastRenderedPageBreak/>
        <w:t>غیره نامربوط‌اند. تمام ما فرزندان خدا هستیم.</w:t>
      </w:r>
      <w:r w:rsidR="005C6B51" w:rsidRPr="00F31B3C">
        <w:rPr>
          <w:rStyle w:val="FootnoteReference"/>
          <w:rFonts w:ascii="B Nazanin" w:hAnsi="B Nazanin" w:cs="B Nazanin"/>
          <w:sz w:val="28"/>
          <w:szCs w:val="28"/>
          <w:rtl/>
        </w:rPr>
        <w:footnoteReference w:id="12"/>
      </w:r>
      <w:r w:rsidRPr="00F31B3C">
        <w:rPr>
          <w:rFonts w:ascii="B Nazanin" w:hAnsi="B Nazanin" w:cs="B Nazanin"/>
          <w:sz w:val="28"/>
          <w:szCs w:val="28"/>
          <w:rtl/>
        </w:rPr>
        <w:t xml:space="preserve"> این عبارت یادآور این  آموزه اسلامی است که «الناس عیال الله و احبهم الیه انفعهم الیهم»</w:t>
      </w:r>
      <w:r w:rsidR="005C6B51" w:rsidRPr="00F31B3C">
        <w:rPr>
          <w:rStyle w:val="FootnoteReference"/>
          <w:rFonts w:ascii="B Nazanin" w:hAnsi="B Nazanin" w:cs="B Nazanin"/>
          <w:sz w:val="28"/>
          <w:szCs w:val="28"/>
          <w:rtl/>
        </w:rPr>
        <w:footnoteReference w:id="13"/>
      </w:r>
      <w:r w:rsidRPr="00F31B3C">
        <w:rPr>
          <w:rFonts w:ascii="B Nazanin" w:hAnsi="B Nazanin" w:cs="B Nazanin"/>
          <w:sz w:val="28"/>
          <w:szCs w:val="28"/>
          <w:rtl/>
        </w:rPr>
        <w:t>، همه بشر عضو خانواده خدا هستند و خداوند متعال، سرپرست این خانواده است. به علاوه، بسیاری از جنبش های ناظر به حقوق مدنی و شهروندی متأثر و ملهم از باورهای دینی و عشق خدا به همگان بوده است. حتی برخلاف دیدگاه رایج مبنی بر سکولار دانستن دیدگاه جان لاک، تریگ از زبان او به منزله فیلسوفی مسیحی می نویسد:</w:t>
      </w:r>
      <w:r w:rsidR="005C6B51" w:rsidRPr="00F31B3C">
        <w:rPr>
          <w:rStyle w:val="FootnoteReference"/>
          <w:rFonts w:ascii="B Nazanin" w:hAnsi="B Nazanin" w:cs="B Nazanin"/>
          <w:sz w:val="28"/>
          <w:szCs w:val="28"/>
          <w:rtl/>
        </w:rPr>
        <w:footnoteReference w:id="14"/>
      </w:r>
    </w:p>
    <w:p w14:paraId="06FBD900"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در نهایت، تمام مسئولیت‌ها به خدا برمی‌گردد، و ما موظف به نشان‌دادن اطاعت خود در برابر اقتدار و اراده او هستیم، چون وجود و عمل ما وابسته به اراده اوست ... به علاوه، معقول است که ما باید چیزی را انجام دهیم که خوشایند او که عالم مطلق و خردمندترین است، باشد.</w:t>
      </w:r>
    </w:p>
    <w:p w14:paraId="06C0881B"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به زعم جان لاک، سازنده حقوق و مسئولیت‌ها، قانون‌گذاری است که می‌داند چه چیزی برای ما بهترین است. هر چند هم زمان، «حقوق انسانی» و ایده‌ها‌‌ی آزادی و برابری، سکولار تفسیر می‌شوند و علیه دین مورد استفاده قرار می‌گیرند، همانند اتفاقی که در انقلاب فرانسه رخ داد.</w:t>
      </w:r>
    </w:p>
    <w:p w14:paraId="233222A4"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به هر حال، پافشاری بر این نکته که در پرتو اصل برابری که ناشی از دین بوده است، دولت باید از دین جدا باشد، در تضاد است. حتی می‌تواند بنیانی که بر آن استوار شده است را نابود کند. حقوق، نمی‌توانند در خلاء، مورد حمایت و توجیه قرار گیرند. بی‌طرفی مطلق دولت، مستلزم بی‌تفاوتی در برابر احترام به حقوق است. دولتی که هیچ باوری را برنمی‌تابد و به آن گرایش ندارد، نمی‌تواند مدافع آزادی و تحمل دیگران هم باشد. تریگ، معتقد است که طرد عمدی دین از عرصه عمومی و سیاست به همان میزان تحمیل یک دین دولتی، اقتدارگرایانه خواهد بود.</w:t>
      </w:r>
      <w:r w:rsidR="005C6B51" w:rsidRPr="00F31B3C">
        <w:rPr>
          <w:rStyle w:val="FootnoteReference"/>
          <w:rFonts w:ascii="B Nazanin" w:hAnsi="B Nazanin" w:cs="B Nazanin"/>
          <w:sz w:val="28"/>
          <w:szCs w:val="28"/>
          <w:rtl/>
        </w:rPr>
        <w:footnoteReference w:id="15"/>
      </w:r>
      <w:r w:rsidR="005C6B51" w:rsidRPr="00F31B3C">
        <w:rPr>
          <w:rFonts w:ascii="B Nazanin" w:hAnsi="B Nazanin" w:cs="B Nazanin"/>
          <w:sz w:val="28"/>
          <w:szCs w:val="28"/>
          <w:rtl/>
        </w:rPr>
        <w:t xml:space="preserve"> </w:t>
      </w:r>
      <w:r w:rsidRPr="00F31B3C">
        <w:rPr>
          <w:rFonts w:ascii="B Nazanin" w:hAnsi="B Nazanin" w:cs="B Nazanin"/>
          <w:sz w:val="28"/>
          <w:szCs w:val="28"/>
          <w:rtl/>
        </w:rPr>
        <w:cr/>
      </w:r>
    </w:p>
    <w:p w14:paraId="5567B535"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علاوه بر چالش ثنویت گرایی مستتر در سکولاریسم و پارادوکس وفاداری و بی طرفی و برخورد دوگانه با آزادی مذهب و دلالت های آن در سکولاریسم و فقدان مبانی توجیهی و تاریخی توجه به ارزش های آزادی و برابری در آن، می توان به چالش بی توجهی به رابطه مفهومی خدا و انسان و حق و قابلیت های او به مثابه مبنای توجیه پذیری حقوق انسانی اشاره کرد. اینکه ارزش های آزادی و برابری و در کل حقوق انسانی بدون ذات و قابلیت انسانی توجیه پذیر نمی شود و قابلیت و ذات انسانی نیز بدون خدای قابلیت ساز قابل توجیه نخواهد بود.</w:t>
      </w:r>
    </w:p>
    <w:p w14:paraId="069FA4F9" w14:textId="6B3BA4D1"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lastRenderedPageBreak/>
        <w:t xml:space="preserve"> در ادامه قصد داریم ذیل ادعای عام سکولاریسم مبنی بر جدایی سیاست از اخلاق و با فرض مشتمل بودن اخلاق بر وجوه مثبت و منفی و توجه به مراتب مختلف اخلاق، سیاست و سیاست اخلاقی مدعی شویم که هیچ نظامی در عالم سکولار نبوده و نیست و لکن مرات</w:t>
      </w:r>
      <w:r w:rsidR="005D09C3" w:rsidRPr="00F31B3C">
        <w:rPr>
          <w:rFonts w:ascii="B Nazanin" w:hAnsi="B Nazanin" w:cs="B Nazanin" w:hint="cs"/>
          <w:sz w:val="28"/>
          <w:szCs w:val="28"/>
          <w:rtl/>
        </w:rPr>
        <w:t>ب</w:t>
      </w:r>
      <w:r w:rsidRPr="00F31B3C">
        <w:rPr>
          <w:rFonts w:ascii="B Nazanin" w:hAnsi="B Nazanin" w:cs="B Nazanin"/>
          <w:sz w:val="28"/>
          <w:szCs w:val="28"/>
          <w:rtl/>
        </w:rPr>
        <w:t xml:space="preserve"> غیر سکولار بودن آن متفاوت است.</w:t>
      </w:r>
    </w:p>
    <w:p w14:paraId="35889B75" w14:textId="77777777" w:rsidR="009B061A" w:rsidRPr="00F31B3C" w:rsidRDefault="009B061A" w:rsidP="00F31B3C">
      <w:pPr>
        <w:spacing w:after="0"/>
        <w:jc w:val="both"/>
        <w:rPr>
          <w:rFonts w:ascii="B Nazanin" w:hAnsi="B Nazanin" w:cs="B Nazanin"/>
          <w:b/>
          <w:bCs/>
          <w:sz w:val="28"/>
          <w:szCs w:val="28"/>
          <w:rtl/>
        </w:rPr>
      </w:pPr>
      <w:r w:rsidRPr="00F31B3C">
        <w:rPr>
          <w:rFonts w:ascii="B Nazanin" w:hAnsi="B Nazanin" w:cs="B Nazanin"/>
          <w:b/>
          <w:bCs/>
          <w:sz w:val="28"/>
          <w:szCs w:val="28"/>
          <w:rtl/>
        </w:rPr>
        <w:t>بُعد اخلاقی سکولاریسم</w:t>
      </w:r>
    </w:p>
    <w:p w14:paraId="54C0976B"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همان گونه که در وجه دینی سکولاریسم مشاهده شد، دولت های سکولار عملاً تعهد و وفاداری اخلاقی مثبت و دینی غیر دولتی را مانع وفاداری دولتی می دانند. نزد آنان تنها وفاداری به دولت و سیاست های آن می تواند بستر ساز آزادی، برابری و حقوق شهروندی باشد. و این وفاداری نیز باید با ممانعت از ورود و نفوذ سایر وفاداری ها به عرصه عمومی و سیاسی همراه با اهرم های تحمیلی تعریف شده و تعریف نشده باشد. یکی از این وفاداری های مانع برای سیاست های دولتی و یا وفاداری های دولتی، وفاداری ها، تعهدات و تکالیف اخلاقی است. با همان توجیهات و زمینه سازی هایی که جدایی دین از سیاست القا می شود جدایی اخلاق از سیاست القا می شود. تعهدات اخلاقی همان قدر مانع نفوذ سیاست ها و وفاداری های دولتی است که تعهدات دینی. و اگر جدایی دین از سیاست بیانگر نوعی رویکرد دوگانه نگری است، جدایی اخلاق از سیاست نیز معرف نوعی دوگانه نگری است. به یاد نیز داشته باشیم که نسبت دین و اخلاق یک نسبت عموم و خصوص مطلق است. به این معنا که دین، به ویژه دین اسلام، شامل مجموعه ای از عقاید، اخلاقیات و احکام و فرهنگ دینی در قالب باورها و ارزش ها، هنجارها و نمادها، آیین ها و مناسک است. بنابراین، نگاه سکولارها به امتزاج دین و سیاست، در بخش اخلاقیات شامل احکام اخلاقی به معنای عام آن نیز می باشد. اگر عملاً و مفهوماً و به لحاظ تاریخی جدایی دین از سیاست امکان ناپذیر است، جدایی اخلاق از سیاست نیز امکان ناپذیر است.</w:t>
      </w:r>
    </w:p>
    <w:p w14:paraId="7B7DBB62" w14:textId="30EAAB05"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با فرض بر اینکه اخلاق شامل وجوه مثبت و منفی و خوب و بد و در کل، </w:t>
      </w:r>
      <w:r w:rsidR="00DA5E11" w:rsidRPr="00F31B3C">
        <w:rPr>
          <w:rFonts w:ascii="B Nazanin" w:hAnsi="B Nazanin" w:cs="B Nazanin" w:hint="cs"/>
          <w:sz w:val="28"/>
          <w:szCs w:val="28"/>
          <w:rtl/>
        </w:rPr>
        <w:t>ص</w:t>
      </w:r>
      <w:r w:rsidRPr="00F31B3C">
        <w:rPr>
          <w:rFonts w:ascii="B Nazanin" w:hAnsi="B Nazanin" w:cs="B Nazanin"/>
          <w:sz w:val="28"/>
          <w:szCs w:val="28"/>
          <w:rtl/>
        </w:rPr>
        <w:t xml:space="preserve">فات پسندیده و ناپسندیده، ارزش ها و ضد ارزش ها، مطلوب ها و نامطلوب ها، زیبایی ها، زشتی ها، بایسته ها و نبایسته ها باشد، ادعای جدایی اخلاق از سیاست، ادعایی گزاف و بی مورد است. اگر به منظور حفظ ارزش های مثبت و به اصطلاح کانتی، احکام اخلاقی مطلق، از ورود آنها به سیاست اقتضایی، مشروط، نسبی و متغیر که بعضاً پای مصلحت، دروغ، نیرنگ، نفاق و دورویی، تملق، عوام فریبی و شکاف بین ظاهر و باطن را به میان می کشد، جلوگیری به عمل می آید، باید توجه داشت که دروغ، نیرنگ و نفاق همان قدر اخلاقی است که صداقت، اقناع و همخوانی قول و عمل. هر دو احکامی هنجاری با جهات مختلف اند. همان قدر وظیفه گرایی و توجه به اصول انسانی، اخلاقی است که بی توجهی به این اصول و به اصطلاح اباحه گرایی. اباحه گرایی نیز فعلی اخلاقی است، اما در معنای مذموم و منفی آن. لذا با فرض یکپارچگی حیات انسانی، اعم از فردی و اجتماعی و سیاسی، فرض زیستن اخلاقی مثبت و متعالی در عرصه فردی و فاصله گیری آن از حیات سیاسی و اجتماعی به نام مراقبت از حیات فردی و خصوصی، اگرچه ممکن اما ناپایدار و ناموجه است. آدمی همواره به </w:t>
      </w:r>
      <w:r w:rsidRPr="00F31B3C">
        <w:rPr>
          <w:rFonts w:ascii="B Nazanin" w:hAnsi="B Nazanin" w:cs="B Nazanin"/>
          <w:sz w:val="28"/>
          <w:szCs w:val="28"/>
          <w:rtl/>
        </w:rPr>
        <w:lastRenderedPageBreak/>
        <w:t>دنبال تحقق دلالت های متنوع اندیشه ها و حالات و ملکات درونی خویش است و اگر در این میان شکافی مشاهده می شود یا به دلیل ناتوانی افراد در تحقق عینی دلالت های اخلاقی خود است یا به سبب بی توجهی آنان به استلزامات رفتاری اندیشه ای و ارزشی، یا ناامیدی، و یا مقولاتی از قبیل مصلحت، منغعت و ترس است. اما اگر سیاست و رفتار حکمرانان، ناشایسته باشد و آدمی نیز نه به دلیل ناآگاهی، ناتوانی، ناامیدی، مصلحت، ترس و امثال آن، بلکه به دلیل پذیرش قلبی تمکین کرده باشد، در اینجا نیز می توان مدعی نوعی یکپارچگی بود، اما یکپارچگی ای در جهت اخلاقیات منفی، نه مثبت. در اینجا نیز نوعی هم نوایی و رابطه نظام مند میان وجه فردی و وجه سیاسی و اجتماعی وجود دارد، اما اینکه این یکپارچگی تا چه حد دوام داشته باشد، مقوله ای دیگر است. بنابراین در کل، سه فرض را می توان تصور نمود:</w:t>
      </w:r>
    </w:p>
    <w:p w14:paraId="218AA4CD"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1. یکپارچگی مثبت، تعادل و هم نوایی وجه فردی و سیاسی - اجتماعی در حالت اخلاقی مثبت و متعالی آن.</w:t>
      </w:r>
    </w:p>
    <w:p w14:paraId="5EE10C3C"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2. یکپارچگی منفی، تعادل و هم نوایی وجه فردی و سیاسی - اجتماعی در حالت غیر اخلاقی یا اخلاق منفی و غیر متعالی آن.</w:t>
      </w:r>
    </w:p>
    <w:p w14:paraId="7A9F49BD"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3. گسست و تعارض بین حیات فردی و حیات سیاسی </w:t>
      </w:r>
      <w:r w:rsidRPr="00F31B3C">
        <w:rPr>
          <w:rFonts w:ascii="Sakkal Majalla" w:eastAsia="Calibri" w:hAnsi="Sakkal Majalla" w:cs="Sakkal Majalla" w:hint="cs"/>
          <w:sz w:val="28"/>
          <w:szCs w:val="28"/>
          <w:rtl/>
        </w:rPr>
        <w:t>–</w:t>
      </w:r>
      <w:r w:rsidRPr="00F31B3C">
        <w:rPr>
          <w:rFonts w:ascii="B Nazanin" w:hAnsi="B Nazanin" w:cs="B Nazanin"/>
          <w:sz w:val="28"/>
          <w:szCs w:val="28"/>
          <w:rtl/>
        </w:rPr>
        <w:t xml:space="preserve"> اجتماعی به دلیل عواملی چون ناتوانی، ناآگاهی، ناامیدی، دل زدگی، انزوا و توجیهاتی مانند مصلحت، ترس و ...</w:t>
      </w:r>
    </w:p>
    <w:p w14:paraId="4BDCBFBC"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گسست مزبور در صورتی که با خودآگاهی و گرایش به افعال مثبت اخلاقی همراه شود، مقدمه ای برای بروز انواع مخالفت ها و اعتراض ها خواهد بود.</w:t>
      </w:r>
    </w:p>
    <w:p w14:paraId="6EB474AC"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قبل از ورود به مناقشات رابطه اخلاق و سیاست، نگاهی کوتاه به مفهوم شناسی اخلاق یا فعل اخلاقی و سیاست یا فعل سیاسی معطوف به قدرت، ضروری می نماید. قطع نظر از رویکردهای مختلف و مطرح در فلسفه اخلاق، دو رویکرد جاری و تا حدودی رقیب وظیفه گرایانه و فضیلت گرایانه و یا حق گرایانه و خیر گرایانه می تواند برای بحث ما دلالت آمیز باشد که به آن خواهیم پرداخت. هرچند برای هدف ما در این گفتار اشاره به وجه هنجاری و اختیاری فعل اخلاقی ناظر به افعال زیبا و پسندیده و زشت و ناپسند از نظر عقل و شرع که می تواند در نهایت به درستی و نادرستی و حقایق وجودی برگردد، کفایت می کند. </w:t>
      </w:r>
    </w:p>
    <w:p w14:paraId="1BECE179" w14:textId="77777777" w:rsidR="009B061A" w:rsidRPr="00F31B3C" w:rsidRDefault="009B061A" w:rsidP="00F31B3C">
      <w:pPr>
        <w:spacing w:after="0"/>
        <w:jc w:val="both"/>
        <w:rPr>
          <w:rFonts w:ascii="B Nazanin" w:hAnsi="B Nazanin" w:cs="B Nazanin"/>
          <w:b/>
          <w:bCs/>
          <w:sz w:val="28"/>
          <w:szCs w:val="28"/>
          <w:rtl/>
        </w:rPr>
      </w:pPr>
      <w:r w:rsidRPr="00F31B3C">
        <w:rPr>
          <w:rFonts w:ascii="B Nazanin" w:hAnsi="B Nazanin" w:cs="B Nazanin"/>
          <w:b/>
          <w:bCs/>
          <w:sz w:val="28"/>
          <w:szCs w:val="28"/>
          <w:rtl/>
        </w:rPr>
        <w:t>رویکرد وظیفه گرا به اخلاق</w:t>
      </w:r>
    </w:p>
    <w:p w14:paraId="6992A384" w14:textId="6BD61AB0"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برپایه رویکرد وظیفه گرایانه که می توان کانت را از پیشتازان اصلی آن دانست که البته ریشه هایی نیز در سقراط و سایر اندیشمندان دینی و غیره دارد، شاخص اخلاقی بودن یک فعل، مستقل از غایات آن تعریف می شود. سقراط در محاوره معروف خود با کرایتون بر ارجحیت عقیده و داوری خردمندان در اموری مانند عدل و ظلم، زشت و زیبا و خوب و بد، برتری خوب و شرافتمندانه زندگی کردن</w:t>
      </w:r>
      <w:r w:rsidR="00DC36F1" w:rsidRPr="00F31B3C">
        <w:rPr>
          <w:rFonts w:ascii="B Nazanin" w:hAnsi="B Nazanin" w:cs="B Nazanin" w:hint="cs"/>
          <w:sz w:val="28"/>
          <w:szCs w:val="28"/>
          <w:rtl/>
        </w:rPr>
        <w:t xml:space="preserve"> نسبت به زندگی کردن</w:t>
      </w:r>
      <w:r w:rsidRPr="00F31B3C">
        <w:rPr>
          <w:rFonts w:ascii="B Nazanin" w:hAnsi="B Nazanin" w:cs="B Nazanin"/>
          <w:sz w:val="28"/>
          <w:szCs w:val="28"/>
          <w:rtl/>
        </w:rPr>
        <w:t xml:space="preserve">(زنده بودن)، انجام کارها از سر آگاهی، مطلق بودن خطا و مقید نکردنش به شرایط ، دوری ورزیدن انسان از کار ناصواب در هر شرایطی، پرهیز از مقابله با ظالم از راه های ظالمانه، وفای به عهد، و خودداری از نقض پیمان </w:t>
      </w:r>
      <w:r w:rsidRPr="00F31B3C">
        <w:rPr>
          <w:rFonts w:ascii="B Nazanin" w:hAnsi="B Nazanin" w:cs="B Nazanin"/>
          <w:sz w:val="28"/>
          <w:szCs w:val="28"/>
          <w:rtl/>
        </w:rPr>
        <w:lastRenderedPageBreak/>
        <w:t>و لزوم احترام به قانون پای می فشرد.</w:t>
      </w:r>
      <w:r w:rsidR="005C6B51" w:rsidRPr="00F31B3C">
        <w:rPr>
          <w:rStyle w:val="FootnoteReference"/>
          <w:rFonts w:ascii="B Nazanin" w:hAnsi="B Nazanin" w:cs="B Nazanin"/>
          <w:sz w:val="28"/>
          <w:szCs w:val="28"/>
          <w:rtl/>
        </w:rPr>
        <w:footnoteReference w:id="16"/>
      </w:r>
      <w:r w:rsidRPr="00F31B3C">
        <w:rPr>
          <w:rFonts w:ascii="B Nazanin" w:hAnsi="B Nazanin" w:cs="B Nazanin"/>
          <w:sz w:val="28"/>
          <w:szCs w:val="28"/>
          <w:rtl/>
        </w:rPr>
        <w:t xml:space="preserve"> کانت نیز معتقد بود که هیچ تصویری از خیر، سعادت و خوبی نباید هدف فعل اخلاقی باشد و آنچه وظیفه، درست و اخلاقی است با خرد فرد اخلاقی که نیتی جز انجام وظیفه ندارد، قابل تشخیص است.</w:t>
      </w:r>
      <w:r w:rsidR="005C6B51" w:rsidRPr="00F31B3C">
        <w:rPr>
          <w:rStyle w:val="FootnoteReference"/>
          <w:rFonts w:ascii="B Nazanin" w:hAnsi="B Nazanin" w:cs="B Nazanin"/>
          <w:sz w:val="28"/>
          <w:szCs w:val="28"/>
          <w:rtl/>
        </w:rPr>
        <w:footnoteReference w:id="17"/>
      </w:r>
      <w:r w:rsidRPr="00F31B3C">
        <w:rPr>
          <w:rFonts w:ascii="B Nazanin" w:hAnsi="B Nazanin" w:cs="B Nazanin"/>
          <w:sz w:val="28"/>
          <w:szCs w:val="28"/>
          <w:rtl/>
        </w:rPr>
        <w:t xml:space="preserve"> او می کوشید نظریه اخلاقی خود را با تکیه بر مفاهیمی چون "امر مطلق"، "اراده نیک" و "خود آیینی" و عقل بشری سامان بخشد.</w:t>
      </w:r>
    </w:p>
    <w:p w14:paraId="3997E083" w14:textId="0FCACC26"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 در نظر او، امر مطلق یا قضیه ترکیبی پیشینی عقل عملی، عملی ارادی است که مشروط و وابسته به فعل و جهت دیگر نباشد و به خودی خود مطلوب باشد، هرچند به ضرر فاعل و عامل آن تمام شود. نظریه وی ذیل اصل گرایی یا قانون باوری اخلاقی تعریف می شود. برپایه قانون باوری اخلاقی، حسن و قبح اعمال، تنها با قواعد، اصول یا فرمان ها تعیین می شود. فعل ارادی تابع ضابطه و دستور است. اما تنها دستورهایی که تحت ضابطه امر مطلق قرار گیرند به اخلاقی بودن متصف می شوند. ویژگی اصل قانون عملی مورد نظر کانت نیز ضروری و عمومی بودن است. </w:t>
      </w:r>
      <w:r w:rsidR="005C6B51" w:rsidRPr="00F31B3C">
        <w:rPr>
          <w:rStyle w:val="FootnoteReference"/>
          <w:rFonts w:ascii="B Nazanin" w:hAnsi="B Nazanin" w:cs="B Nazanin"/>
          <w:sz w:val="28"/>
          <w:szCs w:val="28"/>
          <w:rtl/>
        </w:rPr>
        <w:footnoteReference w:id="18"/>
      </w:r>
      <w:r w:rsidR="005C6B51" w:rsidRPr="00F31B3C">
        <w:rPr>
          <w:rFonts w:ascii="B Nazanin" w:hAnsi="B Nazanin" w:cs="B Nazanin"/>
          <w:sz w:val="28"/>
          <w:szCs w:val="28"/>
          <w:rtl/>
        </w:rPr>
        <w:t xml:space="preserve"> </w:t>
      </w:r>
      <w:r w:rsidRPr="00F31B3C">
        <w:rPr>
          <w:rFonts w:ascii="B Nazanin" w:hAnsi="B Nazanin" w:cs="B Nazanin"/>
          <w:sz w:val="28"/>
          <w:szCs w:val="28"/>
          <w:rtl/>
        </w:rPr>
        <w:t>او به سه صورت امر مطلق در اخلاق اشاره می کند:</w:t>
      </w:r>
    </w:p>
    <w:p w14:paraId="128CC81A"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1. به گونه ای عمل کن که بخواهی آن عمل قانون طبیعت شود، یعنی بخواهی همه چنین عمل کنند.</w:t>
      </w:r>
    </w:p>
    <w:p w14:paraId="3DE53E00"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2. طوری عمل کن که انسان، خواه شخص خودت، خواه دیگران، را همواره غایت بدانی و هرگز وسیله محض به شمار نیاوری(اصل انسانیت).</w:t>
      </w:r>
    </w:p>
    <w:p w14:paraId="1E885474"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3. همیشه چنان عمل کن که گویی تو از طریق قوانین خرد، عضوی از اعضای قانونگذار در قلمرو غایات هستی.</w:t>
      </w:r>
      <w:r w:rsidR="005C6B51" w:rsidRPr="00F31B3C">
        <w:rPr>
          <w:rStyle w:val="FootnoteReference"/>
          <w:rFonts w:ascii="B Nazanin" w:hAnsi="B Nazanin" w:cs="B Nazanin"/>
          <w:sz w:val="28"/>
          <w:szCs w:val="28"/>
          <w:rtl/>
        </w:rPr>
        <w:footnoteReference w:id="19"/>
      </w:r>
    </w:p>
    <w:p w14:paraId="6F1CA06F" w14:textId="3080C06D"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منظور کانت از اراده نیک نیز انجام فعل اخلاقی از سر نیت یا تکلیف است. اراده آدمی و تصمیم او به انجام یک کار، زمانی به اخلاقی بودن متصف می شود که تنها با نیت انجام وظیفه صورت گیرد و هیچ غایت، سود و میل دیگری آن را همراهی نکند. از نظر او، تنها یک خیر ذاتی وجود دارد و آن اراده نیک است. یگانه چیزی که بی هیچ قید و شرطی خیر است، اراده خیر است. خدا نیز به سبب داشتن اراده نیک، خیر است.</w:t>
      </w:r>
      <w:r w:rsidR="005C6B51" w:rsidRPr="00F31B3C">
        <w:rPr>
          <w:rStyle w:val="FootnoteReference"/>
          <w:rFonts w:ascii="B Nazanin" w:hAnsi="B Nazanin" w:cs="B Nazanin"/>
          <w:sz w:val="28"/>
          <w:szCs w:val="28"/>
          <w:rtl/>
        </w:rPr>
        <w:footnoteReference w:id="20"/>
      </w:r>
    </w:p>
    <w:p w14:paraId="3843A84D" w14:textId="27D123AE"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منظور کانت از مفهوم خود آیینی نیز عمل برپایه موجودی عقلانی، م</w:t>
      </w:r>
      <w:r w:rsidR="002E29DD" w:rsidRPr="00F31B3C">
        <w:rPr>
          <w:rFonts w:ascii="B Nazanin" w:hAnsi="B Nazanin" w:cs="B Nazanin" w:hint="cs"/>
          <w:sz w:val="28"/>
          <w:szCs w:val="28"/>
          <w:rtl/>
        </w:rPr>
        <w:t>تعقل</w:t>
      </w:r>
      <w:r w:rsidRPr="00F31B3C">
        <w:rPr>
          <w:rFonts w:ascii="B Nazanin" w:hAnsi="B Nazanin" w:cs="B Nazanin"/>
          <w:sz w:val="28"/>
          <w:szCs w:val="28"/>
          <w:rtl/>
        </w:rPr>
        <w:t xml:space="preserve"> و خود بنیاد است. از نظر او، اخلاقی بودن ایجاب می کند که به گونه ای عمل کنیم که از موجوداتی متعقل انتظار می رود. به یک معنا کردار اخلاقی، کردار عقلانی است. خود آیینی کانت مبتنی بر پیش فرض های زیر است:</w:t>
      </w:r>
    </w:p>
    <w:p w14:paraId="169C740F"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موجود کاملا متعقل، حقیقت را می گوید.</w:t>
      </w:r>
    </w:p>
    <w:p w14:paraId="0B1D0E03"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موجود کاملا متعقل، به عهد خود وفادار است.</w:t>
      </w:r>
    </w:p>
    <w:p w14:paraId="74AF4328"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موجود کاملا متعقل، تقلب نمی کند.</w:t>
      </w:r>
    </w:p>
    <w:p w14:paraId="02B04CF9"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lastRenderedPageBreak/>
        <w:t>موجود کاملا متعقل، با دیگران از سر خیرخواهی عمل می کند.</w:t>
      </w:r>
      <w:r w:rsidR="005C6B51" w:rsidRPr="00F31B3C">
        <w:rPr>
          <w:rStyle w:val="FootnoteReference"/>
          <w:rFonts w:ascii="B Nazanin" w:hAnsi="B Nazanin" w:cs="B Nazanin"/>
          <w:sz w:val="28"/>
          <w:szCs w:val="28"/>
          <w:rtl/>
        </w:rPr>
        <w:footnoteReference w:id="21"/>
      </w:r>
    </w:p>
    <w:p w14:paraId="1D5281BC" w14:textId="77777777" w:rsidR="002E29DD"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نزد کانت، تنها تکیه گاه مطلق در امر اخلاقی، قواعد عقلانی بی نیاز از وحی و اراده خداوندی است. وی به دلیل نگرش خود آیینی اش، قواعد و افعال اخلاقی را بی نیاز از هرگونه وجود و خیری، ولو خیر اعلی می داند. از نظر او، حتی خداوند به منزله وجودی بیرون از دنیای انسانی ما دارای خیر ذاتی و مطلق نیست.</w:t>
      </w:r>
    </w:p>
    <w:p w14:paraId="40858E40" w14:textId="0147D3A1"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 سؤال هایی پیش روی کانت است: ریشه عقل خود بنیاد و احکام و قواعد صادره آن چیست و چگونه تفسیر و تأویل می شود؟ آیا به تعبیر افلاطون، به عقل آفریننده ای نیاز نیست؟ این عقل خلاق و فعال به کجا برمی گردد؟ به خود، طبیعت یا خدا؟ مسلم است که کانت پاسخ را به عقل خود بنیاد حواله می دهد، اما چگونه می توان خرد خود آیین را بدون اشاره به ذاتی، هرچند سیال و منبسط، تأویل کرد؟ و چگونه می توان بی توجه به اصل تکیه گاه آن، از نتایج و تبعات عقل ستیزش اجتناب کرد؟</w:t>
      </w:r>
    </w:p>
    <w:p w14:paraId="5EAF0405" w14:textId="77777777" w:rsidR="009B061A" w:rsidRPr="00F31B3C" w:rsidRDefault="009B061A" w:rsidP="00F31B3C">
      <w:pPr>
        <w:spacing w:after="0"/>
        <w:jc w:val="both"/>
        <w:rPr>
          <w:rFonts w:ascii="B Nazanin" w:hAnsi="B Nazanin" w:cs="B Nazanin"/>
          <w:b/>
          <w:bCs/>
          <w:sz w:val="28"/>
          <w:szCs w:val="28"/>
          <w:rtl/>
        </w:rPr>
      </w:pPr>
      <w:r w:rsidRPr="00F31B3C">
        <w:rPr>
          <w:rFonts w:ascii="B Nazanin" w:hAnsi="B Nazanin" w:cs="B Nazanin"/>
          <w:b/>
          <w:bCs/>
          <w:sz w:val="28"/>
          <w:szCs w:val="28"/>
          <w:rtl/>
        </w:rPr>
        <w:t>رویکرد غایت گرا به اخلاق</w:t>
      </w:r>
    </w:p>
    <w:p w14:paraId="7B3A0B54"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رویکرد غایت گرایانه در مجموع می کوشد تا اخلاق را ذیل بنیاد و غایتی توجیه و تفسیر کند. قطع نظر از غایت گرایی های سودگرایانه و کاسب کارانه و البته بدون مبنای هستی شناختی موجه، که ارسطو نیز با انتساب "شهر سالم" او به "شهر خوک ها" از سوی گلاکون از آن مبرا نیست، بسیاری از حکیمان یونانی و مسلمان، اخلاق را ذیل مبنا و وجودی مطلق و غایی تعریف می کنند و بدین وسیله به سؤال هستی شناختی و غایت شناختی آن پاسخ می دهند. برخی از اندیشمندان اسلامی مفاهیم اخلاقی را جزء مفاهیم فلسفی و معقولات ثانی می دانند که هرچند برابر عینی و خارجی ندارند، منشأ انتزاع آن ها در خارج موجود است. به عبارت دیگر، مفاهیم اخلاقی عروضی ذاتی و اتصافی خارجی دارند.</w:t>
      </w:r>
      <w:r w:rsidR="005C6B51" w:rsidRPr="00F31B3C">
        <w:rPr>
          <w:rStyle w:val="FootnoteReference"/>
          <w:rFonts w:ascii="B Nazanin" w:hAnsi="B Nazanin" w:cs="B Nazanin"/>
          <w:sz w:val="28"/>
          <w:szCs w:val="28"/>
          <w:rtl/>
        </w:rPr>
        <w:footnoteReference w:id="22"/>
      </w:r>
      <w:r w:rsidRPr="00F31B3C">
        <w:rPr>
          <w:rFonts w:ascii="B Nazanin" w:hAnsi="B Nazanin" w:cs="B Nazanin"/>
          <w:sz w:val="28"/>
          <w:szCs w:val="28"/>
          <w:rtl/>
        </w:rPr>
        <w:t xml:space="preserve"> </w:t>
      </w:r>
    </w:p>
    <w:p w14:paraId="7CD19BB5"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غایت گرایانی چون افلاطون و ارسطو کوشیده اند تا فعل اخلاقی را ذیل یک اصل هستی شناختی و یک اصل غایت شناختی توجیه و تفسیر کنند. افلاطون خوبی یا خیر را به مثابه غایت افعال، موضوعی انتزاعی، فرازمانی و فرامکانی و با اهمیت می داند. وی میان امر خوب و خوبی تفاوت قائل است و فیلسوفان را قادر به تمییز خوبی از خوب ها می داند و جستجوی صورت های خوب را وظیفه فیلسوفان به شمار می رود. به تعبیری، تقریباً تمام آثار عمده افلاطون، وابسته به این تمایز و مدیون آن است.</w:t>
      </w:r>
      <w:r w:rsidR="005C6B51" w:rsidRPr="00F31B3C">
        <w:rPr>
          <w:rStyle w:val="FootnoteReference"/>
          <w:rFonts w:ascii="B Nazanin" w:hAnsi="B Nazanin" w:cs="B Nazanin"/>
          <w:sz w:val="28"/>
          <w:szCs w:val="28"/>
          <w:rtl/>
        </w:rPr>
        <w:footnoteReference w:id="23"/>
      </w:r>
      <w:r w:rsidRPr="00F31B3C">
        <w:rPr>
          <w:rFonts w:ascii="B Nazanin" w:hAnsi="B Nazanin" w:cs="B Nazanin"/>
          <w:sz w:val="28"/>
          <w:szCs w:val="28"/>
          <w:rtl/>
        </w:rPr>
        <w:t xml:space="preserve"> او مصرانه از ما می خواهد تا ارزش های خود را با عنایت به حقیقت بزرگتر صور و ناقص بودن جهان جسمانی دگرگون کنیم.</w:t>
      </w:r>
    </w:p>
    <w:p w14:paraId="3B8E8228" w14:textId="77777777" w:rsidR="002E29DD"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 از نظر افلاطون، بهترین خوبی آن است که هم به خودی خود خوب باشد و هم به خاطر نتایجش مطلوب باشد. افلاطون استدلال می کند که عدالت را باید در این مقوله جای داد. عدالت را در قاموس افلاطون می توان "اصول و معتقدات اخلاقی" ترجمه کرد. از نظر او، عدالت جزیی از فضائل انسانی است. فضیلت نیز صفتی است که دارنده اش را مستحق خوب بودن می کند. وی چهار صفت حکمت، شجاعت، اعتدال(عفت) </w:t>
      </w:r>
      <w:r w:rsidRPr="00F31B3C">
        <w:rPr>
          <w:rFonts w:ascii="B Nazanin" w:hAnsi="B Nazanin" w:cs="B Nazanin"/>
          <w:sz w:val="28"/>
          <w:szCs w:val="28"/>
          <w:rtl/>
        </w:rPr>
        <w:lastRenderedPageBreak/>
        <w:t>و عدالت را در مجموع سازنده فضیلت انسانی و انسان واجد آنها را به تمام معنا خوب می داند.</w:t>
      </w:r>
      <w:r w:rsidR="005C6B51" w:rsidRPr="00F31B3C">
        <w:rPr>
          <w:rStyle w:val="FootnoteReference"/>
          <w:rFonts w:ascii="B Nazanin" w:hAnsi="B Nazanin" w:cs="B Nazanin"/>
          <w:sz w:val="28"/>
          <w:szCs w:val="28"/>
          <w:rtl/>
        </w:rPr>
        <w:footnoteReference w:id="24"/>
      </w:r>
      <w:r w:rsidRPr="00F31B3C">
        <w:rPr>
          <w:rFonts w:ascii="B Nazanin" w:hAnsi="B Nazanin" w:cs="B Nazanin"/>
          <w:sz w:val="28"/>
          <w:szCs w:val="28"/>
          <w:rtl/>
        </w:rPr>
        <w:t xml:space="preserve"> او تحقق فضائل اجتماعی، به ویژه فضیلت عدالت و کمال روح آدمی را بدون رهنمود مثال خیر ناممکن می داند.</w:t>
      </w:r>
      <w:r w:rsidR="005C6B51" w:rsidRPr="00F31B3C">
        <w:rPr>
          <w:rStyle w:val="FootnoteReference"/>
          <w:rFonts w:ascii="B Nazanin" w:hAnsi="B Nazanin" w:cs="B Nazanin"/>
          <w:sz w:val="28"/>
          <w:szCs w:val="28"/>
          <w:rtl/>
        </w:rPr>
        <w:footnoteReference w:id="25"/>
      </w:r>
    </w:p>
    <w:p w14:paraId="104F7B3F" w14:textId="65241AFC"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 از نظر او، شهر خوب شهر عادل است. او با رویکردی مجموعه نگر که بیانگر ارتباط حیات فردی و اجتماعی است، جامعه آرمانی خود را جامعه ای واجد ویژگی های حکمت، شجاعت، عفت و عدالت می داند. تعریف عدالت به مثابه فضیلت شهر، بستر ساز تعریف عدالت به مثابه فضیلت انسانی است. از نظر او، شهر عادل و انسان عادل، هر دو خوب و امکان پذیر است. در نهایت می توان رویکرد افلاطون به عدالت را جمع وظیفه گرایی و غایت گرایی دانست؛ چون عدالت هم به خودی خود مطلوب است و هم اینکه انسان عادل شادتر و سعادتمندتر است.</w:t>
      </w:r>
    </w:p>
    <w:p w14:paraId="5437E98A" w14:textId="73A110C8"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البته به دلیل تفوقی که افلاطون به شهر می دهد و به دلیل رویکرد انطباق گرایانه اش به عدالت و قائل به متفاوت</w:t>
      </w:r>
      <w:r w:rsidR="002E29DD" w:rsidRPr="00F31B3C">
        <w:rPr>
          <w:rFonts w:ascii="B Nazanin" w:hAnsi="B Nazanin" w:cs="B Nazanin" w:hint="cs"/>
          <w:sz w:val="28"/>
          <w:szCs w:val="28"/>
          <w:rtl/>
        </w:rPr>
        <w:t xml:space="preserve"> </w:t>
      </w:r>
      <w:r w:rsidR="002E29DD" w:rsidRPr="00F31B3C">
        <w:rPr>
          <w:rFonts w:ascii="B Nazanin" w:hAnsi="B Nazanin" w:cs="B Nazanin"/>
          <w:sz w:val="28"/>
          <w:szCs w:val="28"/>
          <w:rtl/>
        </w:rPr>
        <w:t>بودن سرشت</w:t>
      </w:r>
      <w:r w:rsidR="002E29DD" w:rsidRPr="00F31B3C">
        <w:rPr>
          <w:rFonts w:ascii="B Nazanin" w:hAnsi="B Nazanin" w:cs="B Nazanin" w:hint="cs"/>
          <w:sz w:val="28"/>
          <w:szCs w:val="28"/>
          <w:rtl/>
        </w:rPr>
        <w:t xml:space="preserve"> </w:t>
      </w:r>
      <w:r w:rsidRPr="00F31B3C">
        <w:rPr>
          <w:rFonts w:ascii="B Nazanin" w:hAnsi="B Nazanin" w:cs="B Nazanin"/>
          <w:sz w:val="28"/>
          <w:szCs w:val="28"/>
          <w:rtl/>
        </w:rPr>
        <w:t xml:space="preserve"> افراد، به محافظه کاری متصلب با ریشه های طبیعی و ذات گرایانه </w:t>
      </w:r>
      <w:r w:rsidR="002E29DD" w:rsidRPr="00F31B3C">
        <w:rPr>
          <w:rFonts w:ascii="B Nazanin" w:hAnsi="B Nazanin" w:cs="B Nazanin" w:hint="cs"/>
          <w:sz w:val="28"/>
          <w:szCs w:val="28"/>
          <w:rtl/>
        </w:rPr>
        <w:t xml:space="preserve">نزدیک </w:t>
      </w:r>
      <w:r w:rsidRPr="00F31B3C">
        <w:rPr>
          <w:rFonts w:ascii="B Nazanin" w:hAnsi="B Nazanin" w:cs="B Nazanin"/>
          <w:sz w:val="28"/>
          <w:szCs w:val="28"/>
          <w:rtl/>
        </w:rPr>
        <w:t>شده است. به گونه ای که برخی، از این رویکرد در قالب مدینه فاضله گرایی و حتی توتالیتاریسم یاد کرده اند.</w:t>
      </w:r>
      <w:r w:rsidR="005C6B51" w:rsidRPr="00F31B3C">
        <w:rPr>
          <w:rStyle w:val="FootnoteReference"/>
          <w:rFonts w:ascii="B Nazanin" w:hAnsi="B Nazanin" w:cs="B Nazanin"/>
          <w:sz w:val="28"/>
          <w:szCs w:val="28"/>
          <w:rtl/>
        </w:rPr>
        <w:footnoteReference w:id="26"/>
      </w:r>
      <w:r w:rsidRPr="00F31B3C">
        <w:rPr>
          <w:rFonts w:ascii="B Nazanin" w:hAnsi="B Nazanin" w:cs="B Nazanin"/>
          <w:sz w:val="28"/>
          <w:szCs w:val="28"/>
          <w:rtl/>
        </w:rPr>
        <w:t xml:space="preserve"> الیته این برداشت چندان هم اجماعی نیست. برای نمونه دائرة المعارف فلسفی استانفورد در مقاله «اخلاق و سیاست افلاطون در جمهوری» اظهار می دارد که وقتی سقراط می گوید بهترین و شادترین شهر، شهری با حداکثر وحدت است یا زمانی که اصرار می ورزد که تمام شهروندان باید متحد شوند، به نظر می رسد تصویری از خوبی شهر به دست می دهد که قابل کاستن به خوبی جمعی شهروندان نیست. از این رو تفسیر ترکیبی موجه تر است.</w:t>
      </w:r>
      <w:r w:rsidR="005C6B51" w:rsidRPr="00F31B3C">
        <w:rPr>
          <w:rStyle w:val="FootnoteReference"/>
          <w:rFonts w:ascii="B Nazanin" w:hAnsi="B Nazanin" w:cs="B Nazanin"/>
          <w:sz w:val="28"/>
          <w:szCs w:val="28"/>
          <w:rtl/>
        </w:rPr>
        <w:footnoteReference w:id="27"/>
      </w:r>
      <w:r w:rsidRPr="00F31B3C">
        <w:rPr>
          <w:rFonts w:ascii="B Nazanin" w:hAnsi="B Nazanin" w:cs="B Nazanin"/>
          <w:sz w:val="28"/>
          <w:szCs w:val="28"/>
          <w:rtl/>
        </w:rPr>
        <w:t xml:space="preserve"> </w:t>
      </w:r>
    </w:p>
    <w:p w14:paraId="0007422E" w14:textId="18F8DEBF"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غایت نگر وظیفه اندیش دیگر ارسطو است. وی برخلاف افلاطون قائل به ارتباط میان یک "خیر کلی" هستی شناختی و خیر عملی نیست و به تمایز این دو اصرار دارد، اما همانند افلاطون فعل اخلاقی را ذیل اصل هستی شناختی و غایت شناختی خاص معنادار و استوار می سازد. در فلسفه ارسطو، چنین نیست که میان عالم ارزش ها و خوبی ها و عالم واقعیت ها و هست ها فاصله ای پر نشدنی وجود داشته باشد. از نظر وی، خداوند که فعلیت صرف، محرک اول، محرک بدون تغییر و علت نخستین است، خیر اعلی و خوبی مطلق و محض نیز محسوب می شود.</w:t>
      </w:r>
      <w:r w:rsidR="005C6B51" w:rsidRPr="00F31B3C">
        <w:rPr>
          <w:rStyle w:val="FootnoteReference"/>
          <w:rFonts w:ascii="B Nazanin" w:hAnsi="B Nazanin" w:cs="B Nazanin"/>
          <w:sz w:val="28"/>
          <w:szCs w:val="28"/>
          <w:rtl/>
        </w:rPr>
        <w:footnoteReference w:id="28"/>
      </w:r>
      <w:r w:rsidRPr="00F31B3C">
        <w:rPr>
          <w:rFonts w:ascii="B Nazanin" w:hAnsi="B Nazanin" w:cs="B Nazanin"/>
          <w:sz w:val="28"/>
          <w:szCs w:val="28"/>
          <w:rtl/>
        </w:rPr>
        <w:t xml:space="preserve"> از نظر او، اخلاق برای ارتقاء زندگی است و دایر مدار "عمل خوب" است. به تعبیر ارسطو و تا حدودی بر خلاف افلاطون، ح</w:t>
      </w:r>
      <w:r w:rsidR="00065EDC" w:rsidRPr="00F31B3C">
        <w:rPr>
          <w:rFonts w:ascii="B Nazanin" w:hAnsi="B Nazanin" w:cs="B Nazanin"/>
          <w:sz w:val="28"/>
          <w:szCs w:val="28"/>
          <w:rtl/>
        </w:rPr>
        <w:t>کمت عملی، تنها با یادگیری قواعد</w:t>
      </w:r>
      <w:r w:rsidR="00065EDC" w:rsidRPr="00F31B3C">
        <w:rPr>
          <w:rFonts w:ascii="B Nazanin" w:hAnsi="B Nazanin" w:cs="B Nazanin" w:hint="cs"/>
          <w:sz w:val="28"/>
          <w:szCs w:val="28"/>
          <w:rtl/>
        </w:rPr>
        <w:t xml:space="preserve"> </w:t>
      </w:r>
      <w:r w:rsidRPr="00F31B3C">
        <w:rPr>
          <w:rFonts w:ascii="B Nazanin" w:hAnsi="B Nazanin" w:cs="B Nazanin"/>
          <w:sz w:val="28"/>
          <w:szCs w:val="28"/>
          <w:rtl/>
        </w:rPr>
        <w:t xml:space="preserve">عمومی به دست نمی آید، بلکه باید آن را با عمل و کسب مهارت های لازم ارادی، عاطفی و اجتماعی به دست آورد. او در جستجوی بالاترین خیر به سه ویژگی اشاره می کند: به خودی خود خوب باشد، به خاطر خوبی های دیگر مطلوب نباشد و تمام خوبی های دیگر به خاطر آن مطلوب باشند. از نظر ارسطو، نیک بختی و سعادت به </w:t>
      </w:r>
      <w:r w:rsidRPr="00F31B3C">
        <w:rPr>
          <w:rFonts w:ascii="B Nazanin" w:hAnsi="B Nazanin" w:cs="B Nazanin"/>
          <w:sz w:val="28"/>
          <w:szCs w:val="28"/>
          <w:rtl/>
        </w:rPr>
        <w:lastRenderedPageBreak/>
        <w:t>مثابه خیر کامل و اعلی، غایت است و خود فی نفسه خیر و خوبی است. از نظر او، نیک بختی یا زندگی خوب واجد هر سه ویژگی است. زندگی خوب مربوط به انجام چیزی است و عدالت رأس فضائلی است که تحقق بخش نیک بختی است.</w:t>
      </w:r>
    </w:p>
    <w:p w14:paraId="31829988" w14:textId="1E860A2C"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 از نظر ارسطو، عمده ترین بیان فضیلت اخلاقی متضمن قدرت سیاسی است؛ چون رهبر سیاسی در موقعیتی قرار دارد که می تواند بالاترین میزان خوبی را برای اجتماع انجام دهد. به باور ارسطو، در حکمت عملی، خیر اعلی و بهترین خوبی، بر دانش سیاست مترتب می شود؛ زیرا این دانش تعیین می کند که کدام دانش ها باید در جامعه موجود باشد، و هر طبقه از شهروندان، کدام دانش ها را تا چه حد باید بیاموزد. از نظر او، اگر هدف جامعه سیاسی، سعادت و بهزیستی افراد باشد، همه سازمان های اجتماعی، وسایلی در راه رسیدن به این هدف خواهند بود.</w:t>
      </w:r>
      <w:r w:rsidR="00065EDC" w:rsidRPr="00F31B3C">
        <w:rPr>
          <w:rFonts w:ascii="B Nazanin" w:hAnsi="B Nazanin" w:cs="B Nazanin" w:hint="cs"/>
          <w:sz w:val="28"/>
          <w:szCs w:val="28"/>
          <w:rtl/>
        </w:rPr>
        <w:t xml:space="preserve"> </w:t>
      </w:r>
      <w:r w:rsidRPr="00F31B3C">
        <w:rPr>
          <w:rFonts w:ascii="B Nazanin" w:hAnsi="B Nazanin" w:cs="B Nazanin"/>
          <w:sz w:val="28"/>
          <w:szCs w:val="28"/>
          <w:rtl/>
        </w:rPr>
        <w:t>غایت همه دانش ها و هنرها، نیکی و خیر است و دانش سیاسی که از همه دانش های دیگر ارجمندتر است، بالاترین خیرات است. در سیاست، نیکی جز دادگری نیست که صلاح عامه بدان وابسته است.</w:t>
      </w:r>
      <w:r w:rsidR="005C6B51" w:rsidRPr="00F31B3C">
        <w:rPr>
          <w:rStyle w:val="FootnoteReference"/>
          <w:rFonts w:ascii="B Nazanin" w:hAnsi="B Nazanin" w:cs="B Nazanin"/>
          <w:sz w:val="28"/>
          <w:szCs w:val="28"/>
          <w:rtl/>
        </w:rPr>
        <w:footnoteReference w:id="29"/>
      </w:r>
    </w:p>
    <w:p w14:paraId="7A48C06F" w14:textId="77777777" w:rsidR="009B061A" w:rsidRPr="00F31B3C" w:rsidRDefault="009B061A" w:rsidP="00F31B3C">
      <w:pPr>
        <w:spacing w:after="0"/>
        <w:jc w:val="both"/>
        <w:rPr>
          <w:rFonts w:ascii="B Nazanin" w:hAnsi="B Nazanin" w:cs="B Nazanin"/>
          <w:b/>
          <w:bCs/>
          <w:sz w:val="28"/>
          <w:szCs w:val="28"/>
          <w:rtl/>
        </w:rPr>
      </w:pPr>
      <w:r w:rsidRPr="00F31B3C">
        <w:rPr>
          <w:rFonts w:ascii="B Nazanin" w:hAnsi="B Nazanin" w:cs="B Nazanin"/>
          <w:b/>
          <w:bCs/>
          <w:sz w:val="28"/>
          <w:szCs w:val="28"/>
          <w:rtl/>
        </w:rPr>
        <w:t>فعل سیاسی یا قدرت</w:t>
      </w:r>
    </w:p>
    <w:p w14:paraId="540B5B7B"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 اما فعل سیاسی چیست و چه تفاوت و اشتراکی با فعل اخلاقی دارد و با کدام رویکرد می توان بر افتراق یا اشتراک مطلق این دو پای فشرد؟ قدر مسلم، با رویکرد افلاطونی </w:t>
      </w:r>
      <w:r w:rsidRPr="00F31B3C">
        <w:rPr>
          <w:rFonts w:ascii="Sakkal Majalla" w:eastAsia="Calibri" w:hAnsi="Sakkal Majalla" w:cs="Sakkal Majalla" w:hint="cs"/>
          <w:sz w:val="28"/>
          <w:szCs w:val="28"/>
          <w:rtl/>
        </w:rPr>
        <w:t>–</w:t>
      </w:r>
      <w:r w:rsidRPr="00F31B3C">
        <w:rPr>
          <w:rFonts w:ascii="B Nazanin" w:hAnsi="B Nazanin" w:cs="B Nazanin"/>
          <w:sz w:val="28"/>
          <w:szCs w:val="28"/>
          <w:rtl/>
        </w:rPr>
        <w:t xml:space="preserve"> ارسطویی و قرار دادن هر دو ذیل حکمت عملی و نگرش مجموعه ای آنان، قطع نظر از جهت این مجموعه نگری و میزان اختیار و اراده انسانی، نمی توان افتراق گرایی را دنبال کرد. اما آیا با رویکرد کانتی مبنی بر مطلق و فی نفسه بودن فعل اخلاقی می توان فعل سیاسی را نیز تأویل نمود؟ قطع نظر از جهت فعل سیاسی چگونه می توان اراده نیک و عمل از روی وظیفه را بر فعل ربطی سیاسی منطبق نمود؟ در عالم اخلاق، فرد اخلاقی موظف است در هر شرایطی و با هر هزینه ای، فعلی اخلاقی مرتکب شود، اما آیا در عالم سیاست، کنش گر سیاسی ما که می کوشد تا اراده خود را بر دیگری تحمیل کند می تواند این کار را منهای پیامدها، نتایج و مسئولیت هایش انجام دهد؟ امر مطلق و وظیفه گرایی با منطق کانت، چه فواید عملی و ایجابی برای فعل سیاسی دارد؟</w:t>
      </w:r>
    </w:p>
    <w:p w14:paraId="514E6FCD" w14:textId="77777777" w:rsidR="00F969C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 به ظاهر کانت تنها می تواند به کنش گران سیاسی توصیه کند تا آنها نیز عمل به تکلیف کنند و به فرمان عقل خود گوش دهند، در هر شرایطی صادق باشند، دروغ نگویند و به لوازم و نتایج آن گردن نهند. این ها درست، اما نظر کانت در مورد فعل ربطی قدرت چیست؟ حکم وی در مورد اِعمال قدرت چیست؟ اگر گفته شود که فعل سیاسی ناظر به پذیرش مختار و آزادانه اِعمال قدرت از سوی اِعمال کننده است، این سؤال پیش می آید که طبق قاعده، همواره باید اِعمال قدرت هایی را پذیرفت که مطابق با قاعده اخلاقی از نظر اِعمال شونده باشد. اصولاً جایگاه اِعمال قدرت، قطع نظر از آزادانه و غیر آزادانه اش در اندیشه کانت چگونه توجیه می شود؟ به عبارت دیگر، نفس اِعمال اراده چه جایگاهی در نظریه اخلاقی کانت دارد، در نظام </w:t>
      </w:r>
      <w:r w:rsidRPr="00F31B3C">
        <w:rPr>
          <w:rFonts w:ascii="B Nazanin" w:hAnsi="B Nazanin" w:cs="B Nazanin"/>
          <w:sz w:val="28"/>
          <w:szCs w:val="28"/>
          <w:rtl/>
        </w:rPr>
        <w:lastRenderedPageBreak/>
        <w:t>خردگرایانه اخلاقی کانت، چه تکلیفی متوجه اِعمال کننده و اِعمال شونده است؟ امکان درک عقلانی یکسان انسان ها و فردی بودن فلسفه سیاسی کانت و غفلت از بعد نتیجه ای افعال، کانت را از ارائه یک پاسخ متقن و مستدل ناتوان می سازد.</w:t>
      </w:r>
      <w:r w:rsidR="00F969CA" w:rsidRPr="00F31B3C">
        <w:rPr>
          <w:rFonts w:ascii="B Nazanin" w:hAnsi="B Nazanin" w:cs="B Nazanin" w:hint="cs"/>
          <w:sz w:val="28"/>
          <w:szCs w:val="28"/>
          <w:rtl/>
        </w:rPr>
        <w:t xml:space="preserve"> </w:t>
      </w:r>
      <w:r w:rsidRPr="00F31B3C">
        <w:rPr>
          <w:rFonts w:ascii="B Nazanin" w:hAnsi="B Nazanin" w:cs="B Nazanin"/>
          <w:sz w:val="28"/>
          <w:szCs w:val="28"/>
          <w:rtl/>
        </w:rPr>
        <w:t xml:space="preserve"> </w:t>
      </w:r>
      <w:r w:rsidR="00F969CA" w:rsidRPr="00F31B3C">
        <w:rPr>
          <w:rFonts w:ascii="B Nazanin" w:hAnsi="B Nazanin" w:cs="B Nazanin"/>
          <w:sz w:val="28"/>
          <w:szCs w:val="28"/>
          <w:rtl/>
        </w:rPr>
        <w:t xml:space="preserve">از نگاه فردگرایانه و احکام اخلاقی او این گونه استنباط می شود که نظم اجتماعی و سیاسی نیز همانند نظم اخلاقی در گرو توجه به این احکام از سوی افراد است. بر این اساس، جامعه همان جمع جبری افراد و قابل فروکاستن به آن است. </w:t>
      </w:r>
    </w:p>
    <w:p w14:paraId="52C172F2" w14:textId="7FD0BA53"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با توجه به هدفمند و جهت دار بودن فعل سیاسی، نمی توان تفسیر فعل اخلاقی کانت برای پیوند اخلاق و سیاست را پذیرفت، مگر آنکه تفسیر وظیفه گرایانه کانت را با نوعی پیامدگرایی پیوند بزنیم. بر این اساس، به نظر می رسد در اندیشه کانت، گونه ای جدایی میان فعل اخلاقی و فعل سیاسی قابل استنباط باشد، چون در غیر این صورت، نگاه تکلیف گرایانه و فی نقسه هدف بودن قدرت و حکومت می تواند عواقب مخربی یادآور نگرش ماکیاولیستی داشته باشد. اما در صورت جدایی این دو، مشروط به ابزاری دیدن فعل سیاسی و مشمول نظارت دانستن آن تا حدودی واقعیت مزبور تلطیف می شود اما کماکان ثنویت و جدایی عرصه های حیات انسانی و افعال مختلف را تداعی می کند.</w:t>
      </w:r>
    </w:p>
    <w:p w14:paraId="62639204" w14:textId="07A969BC"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 به هرحال، حسب تعریف، اِعمال قدرت، چه در نگرش یک بُعدی و دو بُعدی و چه در نگرش سه بُعدی</w:t>
      </w:r>
      <w:r w:rsidR="005C6B51" w:rsidRPr="00F31B3C">
        <w:rPr>
          <w:rStyle w:val="FootnoteReference"/>
          <w:rFonts w:ascii="B Nazanin" w:hAnsi="B Nazanin" w:cs="B Nazanin"/>
          <w:sz w:val="28"/>
          <w:szCs w:val="28"/>
          <w:rtl/>
        </w:rPr>
        <w:footnoteReference w:id="30"/>
      </w:r>
      <w:r w:rsidRPr="00F31B3C">
        <w:rPr>
          <w:rFonts w:ascii="B Nazanin" w:hAnsi="B Nazanin" w:cs="B Nazanin"/>
          <w:sz w:val="28"/>
          <w:szCs w:val="28"/>
          <w:rtl/>
        </w:rPr>
        <w:t xml:space="preserve">، برای دستیابی به هدفی صورت می گیرد. حتی پذیرش اِعمال رأی دیگری نیز متوجه هدف و منظوری است. اگر هدف گرایی و نتیجه گرایی را همانند کانت نادیده </w:t>
      </w:r>
      <w:r w:rsidR="00F969CA" w:rsidRPr="00F31B3C">
        <w:rPr>
          <w:rFonts w:ascii="B Nazanin" w:hAnsi="B Nazanin" w:cs="B Nazanin" w:hint="cs"/>
          <w:sz w:val="28"/>
          <w:szCs w:val="28"/>
          <w:rtl/>
        </w:rPr>
        <w:t>بگیریم</w:t>
      </w:r>
      <w:r w:rsidRPr="00F31B3C">
        <w:rPr>
          <w:rFonts w:ascii="B Nazanin" w:hAnsi="B Nazanin" w:cs="B Nazanin"/>
          <w:sz w:val="28"/>
          <w:szCs w:val="28"/>
          <w:rtl/>
        </w:rPr>
        <w:t>،</w:t>
      </w:r>
      <w:r w:rsidR="00F969CA" w:rsidRPr="00F31B3C">
        <w:rPr>
          <w:rFonts w:ascii="B Nazanin" w:hAnsi="B Nazanin" w:cs="B Nazanin" w:hint="cs"/>
          <w:sz w:val="28"/>
          <w:szCs w:val="28"/>
          <w:rtl/>
        </w:rPr>
        <w:t xml:space="preserve"> این پرسش مطرح می شود که</w:t>
      </w:r>
      <w:r w:rsidRPr="00F31B3C">
        <w:rPr>
          <w:rFonts w:ascii="B Nazanin" w:hAnsi="B Nazanin" w:cs="B Nazanin"/>
          <w:sz w:val="28"/>
          <w:szCs w:val="28"/>
          <w:rtl/>
        </w:rPr>
        <w:t xml:space="preserve"> این اِعمال قدرت ها و پذیرش ها، هر چند آزادانه، به چه منظوری صورت می گیرد؟ توضیح آن که در نگرش یک بعدی و دو بعدی یک تعریف اساسی از قدرت به مثابه مقوله ای ربطی وجود دارد و آن اینکه "الف" بتواند به رغم مقاومت "ب" باعث تغییر جریان کنش "ب" بشود که اگر "الف" اِعمال قدرت نمی کرد "ب" کاری دیگر می کرد. این کار دیگر با عنوان "واقعیت بدیل مربوط" شناخته شده است. تفاوت این دو نگرش، در توجه نگرش دو بعدی قدرت به فقدان تصمیم گیری به مثابه شیوه ای از اعمال قدرت یا اعتبار قدرت، مسائل بالقوه و ستیز قابل مشاهده غیر آشکار است. در نگرش سه بعدی، تعریف قدرت تغییر می کند و برپایه منافع واقعی مردم، شرط عدم رضایت نیز از اعمال قدرت حذف می شود. "الف" بر خلاف منافع واقعی "ب" و با وجود رضایت او</w:t>
      </w:r>
      <w:r w:rsidR="00F969CA" w:rsidRPr="00F31B3C">
        <w:rPr>
          <w:rFonts w:ascii="B Nazanin" w:hAnsi="B Nazanin" w:cs="B Nazanin" w:hint="cs"/>
          <w:sz w:val="28"/>
          <w:szCs w:val="28"/>
          <w:rtl/>
        </w:rPr>
        <w:t xml:space="preserve"> نیز می تواند</w:t>
      </w:r>
      <w:r w:rsidRPr="00F31B3C">
        <w:rPr>
          <w:rFonts w:ascii="B Nazanin" w:hAnsi="B Nazanin" w:cs="B Nazanin"/>
          <w:sz w:val="28"/>
          <w:szCs w:val="28"/>
          <w:rtl/>
        </w:rPr>
        <w:t xml:space="preserve"> اعمال قدرت کند. یعنی می توان با وجود </w:t>
      </w:r>
      <w:r w:rsidR="00F969CA" w:rsidRPr="00F31B3C">
        <w:rPr>
          <w:rFonts w:ascii="B Nazanin" w:hAnsi="B Nazanin" w:cs="B Nazanin"/>
          <w:sz w:val="28"/>
          <w:szCs w:val="28"/>
          <w:rtl/>
        </w:rPr>
        <w:t>رضایت اعمال شونده و ستیز پنهان</w:t>
      </w:r>
      <w:r w:rsidRPr="00F31B3C">
        <w:rPr>
          <w:rFonts w:ascii="B Nazanin" w:hAnsi="B Nazanin" w:cs="B Nazanin"/>
          <w:sz w:val="28"/>
          <w:szCs w:val="28"/>
          <w:rtl/>
        </w:rPr>
        <w:t xml:space="preserve"> ردّ پای اعمال قدرت را دنبال کرد. در مجموع و حسب گونه شناسی قدرت می توان قدرت را شامل زور و اجبار، تهدید، نفوذ، اقتدار، اقناع و اغوا یا قدرت نامرئی دانست.</w:t>
      </w:r>
    </w:p>
    <w:p w14:paraId="20E59712"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به نظر نگارنده که در ادامه روشن تر خواهد شد بهترین پاسخ به سؤال رابطه اخلاق و سیاست، مشابه دانستن این دو در یک سطح(اختیاری بودن) و دفاع از حیات یکپارچه انسانی و متفاوت دیدن آنها در </w:t>
      </w:r>
      <w:r w:rsidRPr="00F31B3C">
        <w:rPr>
          <w:rFonts w:ascii="B Nazanin" w:hAnsi="B Nazanin" w:cs="B Nazanin"/>
          <w:sz w:val="28"/>
          <w:szCs w:val="28"/>
          <w:rtl/>
        </w:rPr>
        <w:lastRenderedPageBreak/>
        <w:t>سطحی دیگر، هدف فی نفسه اخلاق و ارزش های متعالی به رغم توجه به ضرورت هستی و غایت شناختی آن(تقدم ارزشی) و مشروط و وسیله بودن افعال سیاسی یا قدرت( تقدم رتبه ای) است.</w:t>
      </w:r>
    </w:p>
    <w:p w14:paraId="22E14B6F" w14:textId="77777777" w:rsidR="009B061A" w:rsidRPr="00F31B3C" w:rsidRDefault="009B061A" w:rsidP="00F31B3C">
      <w:pPr>
        <w:spacing w:after="0"/>
        <w:jc w:val="both"/>
        <w:rPr>
          <w:rFonts w:ascii="B Nazanin" w:hAnsi="B Nazanin" w:cs="B Nazanin"/>
          <w:b/>
          <w:bCs/>
          <w:sz w:val="28"/>
          <w:szCs w:val="28"/>
          <w:rtl/>
        </w:rPr>
      </w:pPr>
      <w:r w:rsidRPr="00F31B3C">
        <w:rPr>
          <w:rFonts w:ascii="B Nazanin" w:hAnsi="B Nazanin" w:cs="B Nazanin"/>
          <w:b/>
          <w:bCs/>
          <w:sz w:val="28"/>
          <w:szCs w:val="28"/>
          <w:rtl/>
        </w:rPr>
        <w:t>رابطه اخلاق و سیاست</w:t>
      </w:r>
    </w:p>
    <w:p w14:paraId="38179626"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به نظر می رسد نقطه عزیمت تمام کسانی که دغدغه رابطه اخلاق و سیاست با رویکرد یکپارچه گرایی مثبت در مواجهه با یکپارچه گرایی منفی و یا گسست و تعارض بین حیات فردی و حیات سیاسی </w:t>
      </w:r>
      <w:r w:rsidRPr="00F31B3C">
        <w:rPr>
          <w:rFonts w:ascii="Sakkal Majalla" w:eastAsia="Calibri" w:hAnsi="Sakkal Majalla" w:cs="Sakkal Majalla" w:hint="cs"/>
          <w:sz w:val="28"/>
          <w:szCs w:val="28"/>
          <w:rtl/>
        </w:rPr>
        <w:t>–</w:t>
      </w:r>
      <w:r w:rsidRPr="00F31B3C">
        <w:rPr>
          <w:rFonts w:ascii="B Nazanin" w:hAnsi="B Nazanin" w:cs="B Nazanin"/>
          <w:sz w:val="28"/>
          <w:szCs w:val="28"/>
          <w:rtl/>
        </w:rPr>
        <w:t xml:space="preserve"> اجتماعی را دارند مواجهه با رویکرد ماکیاولی مبتنی بر توجیه وسیله به واسطه هدف باشد. از نظر ماکیاولی، واقعیت سیاست در سطح قدرت دولتی نشان داده است که همه چیز برای حکمرانان و حفظ جبروت و شکوه و جلال حکومت مباح بوده است، پس چرا از این واقعیت قاعده ای توصیه ای و تجویزی برای حکومت استخراج نشود؟ چرا باید با اخلاق به مثابه امری متافیزیکال، متعالی و فراجامعه ای برخورد کرد؟ بیایید واقع بینانه با عالم برخورد کنیم و اخلاق را در همین رذیلت ها و تمایلات اجباری حیات دنیوی جستجو کنیم. آنچه در عمل برای حفظ قدرت یا دستیابی به قدرت بیشتر رایج بوده است باید به قاعده ای برای سایر حکومت ها بدل شود. به تعبیر ماکیاولی:</w:t>
      </w:r>
    </w:p>
    <w:p w14:paraId="7BE80BD0"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هیچ لزومی ندارد پادشاه، تمام صفات پسندیده را دارا باشد، ولی لازم است چنین جلوه دهد که دارای این صفات است.... سلطانی که توانست سرزمینی را اشغال کرده و به ملک خود ضمیمه کند باید تمام وابستگان سلاطین آن سرزمین را از کودک و بزرگ قتل عام کند.... شهریار باید از خسّت و امساک یپرهیزد، اما نباید سخاوتمند باشد. سخاوت، تنها باید برای ظاهر نمایی باشد و گرنه خزانه تهی می شود. سلطان، برای تظاهر به سخاوت می تواند با نیرنگ اموال ثروتمندان را تصاحب کرده و بذل و بخشش کند.... پادشاه باید پیمان خود را نگه دارد، ولی اگر ضروری دید آن را زیر پا بگذارد. بر این اساس، سلطان باید برای جلوگیری از اثر بدی که ممکن است بد عهدی اش به جا بگذارد، بیشتر بر فریب تکیه کند.... پادشاه باید در عین نمایان ساختن صفات انسانی، صفات حیوانی را به کار اندازد، نه شیر باشد و نه روباه. هم شیر باشد، هم روباه. چون شیر با شوکت و مقتدر باشد و چون روباه دام ها را بسنجد و راه گریز بجوید</w:t>
      </w:r>
      <w:r w:rsidR="005C6B51" w:rsidRPr="00F31B3C">
        <w:rPr>
          <w:rFonts w:ascii="B Nazanin" w:hAnsi="B Nazanin" w:cs="B Nazanin"/>
          <w:sz w:val="28"/>
          <w:szCs w:val="28"/>
          <w:rtl/>
        </w:rPr>
        <w:t>.</w:t>
      </w:r>
      <w:r w:rsidR="005C6B51" w:rsidRPr="00F31B3C">
        <w:rPr>
          <w:rStyle w:val="FootnoteReference"/>
          <w:rFonts w:ascii="B Nazanin" w:hAnsi="B Nazanin" w:cs="B Nazanin"/>
          <w:sz w:val="28"/>
          <w:szCs w:val="28"/>
          <w:rtl/>
        </w:rPr>
        <w:footnoteReference w:id="31"/>
      </w:r>
    </w:p>
    <w:p w14:paraId="101A2CDE"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قصد ارزیابی کامل عبارات ماکیاولی را ندارم که به تعبیر لئو اشتراوس استاد چیره دست کفرگویی و توهین به مقدسات است</w:t>
      </w:r>
      <w:r w:rsidR="005C6B51" w:rsidRPr="00F31B3C">
        <w:rPr>
          <w:rStyle w:val="FootnoteReference"/>
          <w:rFonts w:ascii="B Nazanin" w:hAnsi="B Nazanin" w:cs="B Nazanin"/>
          <w:sz w:val="28"/>
          <w:szCs w:val="28"/>
          <w:rtl/>
        </w:rPr>
        <w:footnoteReference w:id="32"/>
      </w:r>
      <w:r w:rsidRPr="00F31B3C">
        <w:rPr>
          <w:rFonts w:ascii="B Nazanin" w:hAnsi="B Nazanin" w:cs="B Nazanin"/>
          <w:sz w:val="28"/>
          <w:szCs w:val="28"/>
          <w:rtl/>
        </w:rPr>
        <w:t>، تنها به یکی دو عبارت از حضرت امیر</w:t>
      </w:r>
      <w:r w:rsidRPr="00F31B3C">
        <w:rPr>
          <w:rFonts w:ascii="B Nazanin" w:hAnsi="B Nazanin" w:cs="B Nazanin"/>
          <w:sz w:val="28"/>
          <w:szCs w:val="28"/>
          <w:vertAlign w:val="superscript"/>
          <w:rtl/>
        </w:rPr>
        <w:t>(ع)</w:t>
      </w:r>
      <w:r w:rsidRPr="00F31B3C">
        <w:rPr>
          <w:rFonts w:ascii="B Nazanin" w:hAnsi="B Nazanin" w:cs="B Nazanin"/>
          <w:sz w:val="28"/>
          <w:szCs w:val="28"/>
          <w:rtl/>
        </w:rPr>
        <w:t xml:space="preserve"> در باب وفای به عهد و مذمت نیرنگ اشاره می کنم. ایشان در نامه معروف به نامه مالک اشتر می نویسند:</w:t>
      </w:r>
    </w:p>
    <w:p w14:paraId="5737EF54"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 و اگر با دشمنت پيماني نهادي و در نامه خود او را امان دادي به عهد خويش وفا كن و آنچه را بر ذمه‌داري ادا و خود را چون سپري برابر پيمانت برپا، چه مردم بر هيچ‌چيز از واجب‌هاي خدا چون بزرگ شمردن وفاي </w:t>
      </w:r>
      <w:r w:rsidRPr="00F31B3C">
        <w:rPr>
          <w:rFonts w:ascii="B Nazanin" w:hAnsi="B Nazanin" w:cs="B Nazanin"/>
          <w:sz w:val="28"/>
          <w:szCs w:val="28"/>
          <w:rtl/>
        </w:rPr>
        <w:lastRenderedPageBreak/>
        <w:t>به عهد سخت هم‌داستان نباشند با همه هواهاي گوناگون كه دارند و رأي‌هاي مخالف يكديگر كه در ميان آرند. پس در آنچه به عهده گرفته‌اي خيانت مكن و پيماني را كه بسته‌اي مشكن.</w:t>
      </w:r>
      <w:r w:rsidR="00284F93" w:rsidRPr="00F31B3C">
        <w:rPr>
          <w:rStyle w:val="FootnoteReference"/>
          <w:rFonts w:ascii="B Nazanin" w:hAnsi="B Nazanin" w:cs="B Nazanin"/>
          <w:sz w:val="28"/>
          <w:szCs w:val="28"/>
          <w:rtl/>
        </w:rPr>
        <w:footnoteReference w:id="33"/>
      </w:r>
      <w:r w:rsidRPr="00F31B3C">
        <w:rPr>
          <w:rFonts w:ascii="B Nazanin" w:hAnsi="B Nazanin" w:cs="B Nazanin"/>
          <w:sz w:val="28"/>
          <w:szCs w:val="28"/>
          <w:rtl/>
        </w:rPr>
        <w:t xml:space="preserve"> </w:t>
      </w:r>
    </w:p>
    <w:p w14:paraId="17E54994"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و در خطبه 200 نهج البلاغه می فرمایند:</w:t>
      </w:r>
    </w:p>
    <w:p w14:paraId="524460FF"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 سوگند به خدا ... اگر نیرنگ، ناپسند و ناشایسته نبود، من سیاست مدارترین مردم بودم. ولی هر نیرنگی گناه است و هر گناهی یک نوع کیفر است. در قیامت، هر غدّار و مکاری پرچم خاصی دارد که با آن شناخته می شود.</w:t>
      </w:r>
      <w:r w:rsidR="00284F93" w:rsidRPr="00F31B3C">
        <w:rPr>
          <w:rStyle w:val="FootnoteReference"/>
          <w:rFonts w:ascii="B Nazanin" w:hAnsi="B Nazanin" w:cs="B Nazanin"/>
          <w:sz w:val="28"/>
          <w:szCs w:val="28"/>
          <w:rtl/>
        </w:rPr>
        <w:footnoteReference w:id="34"/>
      </w:r>
      <w:r w:rsidRPr="00F31B3C">
        <w:rPr>
          <w:rFonts w:ascii="B Nazanin" w:hAnsi="B Nazanin" w:cs="B Nazanin"/>
          <w:sz w:val="28"/>
          <w:szCs w:val="28"/>
          <w:rtl/>
        </w:rPr>
        <w:t xml:space="preserve"> </w:t>
      </w:r>
    </w:p>
    <w:p w14:paraId="2449F340"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به هرحال، درست است که در بادی امر به نظر می رسد که ماکیاولی به دلیل اباحه گرایی سیاسی اش بر جدایی اخلاق از سیاست اصرار می ورزد، اما به طور قطع، به دلیل نوع نگاهش به اخلاق و بنا کردن آن بر بی اخلاقی و بی عدالتی و وابسته دانستن آن به خیر عموم و به طور خاص شکوه گرایی حکومتی، می توان او را یکی از پیشروان پیوند اخلاق منفی با سیاست دانست. پیوندی که در آن قدرت سیاسی، اصل و هدف است و فعل اخلاقی مثبت، به مثابه امری تبعی، فرع است و ایزار. در این نگاه جای هدف یا فعل مطلق اخلاق و وسیله یا فعل مشروط و ابزار سیاست جا به جا شده است. به نظر نمی رسد شواهدی در اختیار باشد که بتوان او را جزء دسته سوم پیوند اخلاق و سیاست، یعنی تجزیه گرایان قرار داد. شاید اگر ماکیاولی، ساحت اخلاق را مبرا می دانست و از آن به مثابه لعابی برای توجیه و تطهیر سیاست های حکومتی استفاده نمی کرد، می توانستیم او را جزء این دسته قرار دهیم. به هرحال، در اندیشه ماکیاولی، ظاهراً عالم سیاست و حکومت اقتضائاتی دارد که تنها باید به شعار اخلاق اکتفا کرد و از آن به عنوان ابزار فریب استفاده کرد و در عمل هر کاری را مباح دانست و همان گونه که اشاره شد، این اباحه گرایی نیز ترجمانی از فعل اخلاقی، البته در حالت مذموم و منفی آن است.</w:t>
      </w:r>
      <w:r w:rsidR="00284F93" w:rsidRPr="00F31B3C">
        <w:rPr>
          <w:rStyle w:val="FootnoteReference"/>
          <w:rFonts w:ascii="B Nazanin" w:hAnsi="B Nazanin" w:cs="B Nazanin"/>
          <w:sz w:val="28"/>
          <w:szCs w:val="28"/>
          <w:rtl/>
        </w:rPr>
        <w:footnoteReference w:id="35"/>
      </w:r>
      <w:r w:rsidRPr="00F31B3C">
        <w:rPr>
          <w:rFonts w:ascii="B Nazanin" w:hAnsi="B Nazanin" w:cs="B Nazanin"/>
          <w:sz w:val="28"/>
          <w:szCs w:val="28"/>
          <w:rtl/>
        </w:rPr>
        <w:t xml:space="preserve"> </w:t>
      </w:r>
    </w:p>
    <w:p w14:paraId="4405A535" w14:textId="60F72349"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حال باید دید چگونه و بر اساس کدام تعریف از فعل اخلاقی و فعل سیاسی و در چارچوب کدام نظریه می توان می توان بین اخلاق و سیاست پیوند برقرار کرد، تا هم اسیر اباحه گرایی ماکیاولیستی نشویم و رذیلت های اخلاقی را با سیاست پیوند نزنیم و هم با پیوند اخلاق مثبت با سیاست، گرفتار قید و بندهای منقبض تکلیف گرایانه اخلاقی و نیز سیاست های جمع گرایانه، تمامیت خواهانه و سخت گیرانه نشویم. قطع نظر از امکان ناپذیری نظری جدایی اخلاق از سیاست، باید به تعبیری از پیوند چنگ زد که هم حقوق انسانی برخاسته از نیازهای واقعی(فردی و اجتماعی) حفظ شود و هم از جایگاه مشروط و ابزاری و لغیره یا "برای چیزی" قدرت - اصلاح امور، جلوگیری از ظلم و تعدی و برقراری امنیت، مقابله با دشمن، استقرار نظامی عادلانه، حل مسالمت آمیز و قانونی اختلافات و تعارض ها، برقراری عدالت کیفری و تحقق اصول قانونی و غیره </w:t>
      </w:r>
      <w:r w:rsidRPr="00F31B3C">
        <w:rPr>
          <w:rFonts w:ascii="Sakkal Majalla" w:eastAsia="Calibri" w:hAnsi="Sakkal Majalla" w:cs="Sakkal Majalla" w:hint="cs"/>
          <w:sz w:val="28"/>
          <w:szCs w:val="28"/>
          <w:rtl/>
        </w:rPr>
        <w:t>–</w:t>
      </w:r>
      <w:r w:rsidRPr="00F31B3C">
        <w:rPr>
          <w:rFonts w:ascii="B Nazanin" w:hAnsi="B Nazanin" w:cs="B Nazanin"/>
          <w:sz w:val="28"/>
          <w:szCs w:val="28"/>
          <w:rtl/>
        </w:rPr>
        <w:t xml:space="preserve"> مراقبت شود و هدف مطلوب تلقی نشود و هر کاری از سوی آن مباح نباشد و در کل جهت آن به </w:t>
      </w:r>
      <w:r w:rsidRPr="00F31B3C">
        <w:rPr>
          <w:rFonts w:ascii="B Nazanin" w:hAnsi="B Nazanin" w:cs="B Nazanin"/>
          <w:sz w:val="28"/>
          <w:szCs w:val="28"/>
          <w:rtl/>
        </w:rPr>
        <w:lastRenderedPageBreak/>
        <w:t>سوی اهداف متعالی و اخلاقی مثبت باشد. اگر بخواهیم پیوند منطقی اخلاق و سیاست برقرار باشد، تنها نباید به نگرش مجموعه ای و یکپارچه به حیات اخلاقی و سیاسی اکتفا کرد، بلکه ارزش گذاری ها و اولویت بخشی ها و تقدم و تأخرها باید به گونه ای باشد که در عمل و به نام پیوند اخلاق و سیاست، اخلاقیات و حقوق انسانی، قربانی سیاست و حفظ حکومت با هر وسیله ای و مقتضیات ناموجه آن نگردد و گرگی را که از در بیرون انداخته ایم از پنجره وارد نشود.</w:t>
      </w:r>
    </w:p>
    <w:p w14:paraId="279FBC9F"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در مجموع، تکلیف گرایی کانت در اخلاق، با اغماض از بی توجهی او به خیرگرایی و فضیلت خواهی در اخلاق، با توجه به بستر هستی شناختی و غایت شناختی افلاطونی </w:t>
      </w:r>
      <w:r w:rsidRPr="00F31B3C">
        <w:rPr>
          <w:rFonts w:ascii="Sakkal Majalla" w:eastAsia="Calibri" w:hAnsi="Sakkal Majalla" w:cs="Sakkal Majalla" w:hint="cs"/>
          <w:sz w:val="28"/>
          <w:szCs w:val="28"/>
          <w:rtl/>
        </w:rPr>
        <w:t>–</w:t>
      </w:r>
      <w:r w:rsidRPr="00F31B3C">
        <w:rPr>
          <w:rFonts w:ascii="B Nazanin" w:hAnsi="B Nazanin" w:cs="B Nazanin"/>
          <w:sz w:val="28"/>
          <w:szCs w:val="28"/>
          <w:rtl/>
        </w:rPr>
        <w:t xml:space="preserve"> ارسطویی و نگاه مجموعه نگر و معطوف به حکمت عملی افعال اخلاقی و سیاسی این دو متفکر، با عنایت به وجه وجودی اخلاق، می تواند مشروط به جایگاه ویژه قائل شدن برای اختیار و آزادی انسانی و ابزاری بودن قدرت و هدف بودن اخلاق و البته وجود سازوکارهای نهادینه و تعریف شده و موجه نقادی و نظارت، شرایط مطلوبی برای پیوند اخلاق مثبت و سیاست رقم زند. باید به این نکته نیز در تحلیل نهایی توجه داشت که فعل اخلاقی نیز نیاز به تکیه گاه دارد، امر مطلق هم ضرورتاً به خدا باز می گردد. اگر خدا خیر اعلی و حقیقت مطلق نبود، عمل تکلیف گرایانه هم هم بی معنا می شد و توجیه فلسفی و برهانی نمی یافت. </w:t>
      </w:r>
    </w:p>
    <w:p w14:paraId="3613D57C" w14:textId="3F2F935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بر اساس نگاه مجموعه ای، تقسیم بندی حکمت به نظری و عملی و قراردادن افعال اخلاقی و سیاسی ذیل حکمت عملی، حداقل زمینه را برای توجیه پیوند اخلاق و سیاست با جهت متعالی آن فراهم می کند. حسب این تقسیم بندی، اخلاق یا تهذیب نفس قسیم تدبیر منزل و تدبیر مُدُن است و هر سه از جنس عمل، اختیار و اراده و تدبیر و تمشیت امور است. در حقیقت، اگر بخواهیم پیوندی موجه بین اخلاق و سیاست برقرار کنیم باید به لحاظ نظری ارتباط آنها موجه باشد. این ارتباط است که جنس مشترک فعل اخلاقی و سیاسی را معقول و مستدل می سازد، اشتراکی که توجیه وسیله به واسطه هدف را امکان ناپذیر می کند. تنها در صورتی می توان جلوی اباحه گرایی و مانور نگرش ماکیاولیستی را گرفت که وسیله از جنس هدف باشد. اگر هدف متعالی است، ابزار هم متعالی است. به عبارت دیگر، تنها در این صورت است که با هر وسیله ای نمی توان به هدفی مشروع دست یافت. اصولاً هدفی که وسیله نامشروعش را توجیه کند، هدف مشروعی نیست. اما این شرط لازم است نه کافی. برای ضمانت بخشی به وجه مطلوب و متعالی پیوند و رابطه اخلاق و سیاست باید تکلیف تقدم رتبه ای و ارزشی این پیوند را نیز معلوم کرد. از میان اخلاق و سیاست، کدام هدف است و کدام وسیله؟ کدام تقدم ارزشی دارد و کدام تقدم رتبه ای با برخوردار بودن از صبغه ارزشی؟ اگر سیاست و قدرت هدف شود و تقدم ارزشی پیدا کند، خواه ناخواه به ماکیاولیسم می انجامد، اما اگر برعکس شود، امکان بستر سازی برای وجه مطلوب این پیوند فراهم می شود. اگر از بین تیپولوژی قدرت، یعنی اجبار، تهدید، نفوذ، اقناع، اقتدار، زور و قدرت نامرئی یا اغوا، با توجه به جایگاه اختیار و </w:t>
      </w:r>
      <w:r w:rsidR="00AE592B" w:rsidRPr="00F31B3C">
        <w:rPr>
          <w:rFonts w:ascii="B Nazanin" w:hAnsi="B Nazanin" w:cs="B Nazanin"/>
          <w:sz w:val="28"/>
          <w:szCs w:val="28"/>
          <w:rtl/>
        </w:rPr>
        <w:t>آزادی انسانی که به آن اشاره شد،</w:t>
      </w:r>
      <w:r w:rsidRPr="00F31B3C">
        <w:rPr>
          <w:rFonts w:ascii="B Nazanin" w:hAnsi="B Nazanin" w:cs="B Nazanin"/>
          <w:sz w:val="28"/>
          <w:szCs w:val="28"/>
          <w:rtl/>
        </w:rPr>
        <w:t xml:space="preserve"> فعل مشروط سیاسی دایرمدار اقناع و نفوذ باشد، گرایش آن به اخلاق در مقایسه با زمانی که </w:t>
      </w:r>
      <w:r w:rsidRPr="00F31B3C">
        <w:rPr>
          <w:rFonts w:ascii="B Nazanin" w:hAnsi="B Nazanin" w:cs="B Nazanin"/>
          <w:sz w:val="28"/>
          <w:szCs w:val="28"/>
          <w:rtl/>
        </w:rPr>
        <w:lastRenderedPageBreak/>
        <w:t>بر مدار زور، تهدید و اغوا دایر باشد بیشتر است. اطمینان از جهات اخلاقی سیاست نیز در گرو نقد فعال و نظارت مستمر نهادهای مدنی، به ویژه اخلاقی و دینی در جامعه است.</w:t>
      </w:r>
    </w:p>
    <w:p w14:paraId="31F1D8F4" w14:textId="57734C78"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در بسط هم جنس بودن فعل اخلاقی و فعل سیاسی به دیدگاه یکی از فیلسوفان شناخته شده حکمت متعالیه و شاخص دیدگاه منظومه نگر و مبتنی بر وحدت در عین کثرت به نام ملاصدرا اشاره و ب</w:t>
      </w:r>
      <w:r w:rsidR="008966FA" w:rsidRPr="00F31B3C">
        <w:rPr>
          <w:rFonts w:ascii="B Nazanin" w:hAnsi="B Nazanin" w:cs="B Nazanin" w:hint="cs"/>
          <w:sz w:val="28"/>
          <w:szCs w:val="28"/>
          <w:rtl/>
        </w:rPr>
        <w:t>ح</w:t>
      </w:r>
      <w:r w:rsidRPr="00F31B3C">
        <w:rPr>
          <w:rFonts w:ascii="B Nazanin" w:hAnsi="B Nazanin" w:cs="B Nazanin"/>
          <w:sz w:val="28"/>
          <w:szCs w:val="28"/>
          <w:rtl/>
        </w:rPr>
        <w:t>ث خود را به پایان می برم. از آثار ملاصدرا این گونه استنباط می‌شود که بین اخلاق و سیاست علی رغم اشتراک، جدایی وجود ندارد. حسب این استنباط، فلسفه اخلاق همان فلسفه سیاست است، اما جنس و مرتبه آن فرق می‌کند، یک نسبت ماهوی بین اخلاق و سیاست برقرار است، اما مراتب آن فرق می‌کند. در کل، به سه مرتبه، دنیّه، متعادله و متعالیه اشاره می شود.</w:t>
      </w:r>
      <w:r w:rsidR="00284F93" w:rsidRPr="00F31B3C">
        <w:rPr>
          <w:rStyle w:val="FootnoteReference"/>
          <w:rFonts w:ascii="B Nazanin" w:hAnsi="B Nazanin" w:cs="B Nazanin"/>
          <w:sz w:val="28"/>
          <w:szCs w:val="28"/>
          <w:rtl/>
        </w:rPr>
        <w:footnoteReference w:id="36"/>
      </w:r>
      <w:r w:rsidRPr="00F31B3C">
        <w:rPr>
          <w:rFonts w:ascii="B Nazanin" w:hAnsi="B Nazanin" w:cs="B Nazanin"/>
          <w:sz w:val="28"/>
          <w:szCs w:val="28"/>
          <w:rtl/>
        </w:rPr>
        <w:t xml:space="preserve"> در مرتبه دنیه، انسان بیشتر دل‌مشغول شهوت و رفع نیازهای حسی و جسمی است و یک نوع اشتراک با حیوان دارد، یعنی در حد قوه غضبیه و شهویه است. به طور عمده دل‌مشغول معاش، قدرت و ثروت و علم تجربی است. این سطح اول است. چون جامعه رقیقه و چکیده وجود افراد است، اگر انسان‌ها در این سطح باشند، جامعه هم در این سطح می‌شود. یعنی، سیاست مدنی هم دنیه، یعنی مرتبه پایین، می شود.</w:t>
      </w:r>
    </w:p>
    <w:p w14:paraId="261CD97D" w14:textId="06F8D0D6"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در مرتبه بالاتر، فضائل اخلاقی وجود دارد که حکمای باستان طرح می </w:t>
      </w:r>
      <w:r w:rsidR="008966FA" w:rsidRPr="00F31B3C">
        <w:rPr>
          <w:rFonts w:ascii="B Nazanin" w:hAnsi="B Nazanin" w:cs="B Nazanin" w:hint="cs"/>
          <w:sz w:val="28"/>
          <w:szCs w:val="28"/>
          <w:rtl/>
        </w:rPr>
        <w:t>ک</w:t>
      </w:r>
      <w:r w:rsidRPr="00F31B3C">
        <w:rPr>
          <w:rFonts w:ascii="B Nazanin" w:hAnsi="B Nazanin" w:cs="B Nazanin"/>
          <w:sz w:val="28"/>
          <w:szCs w:val="28"/>
          <w:rtl/>
        </w:rPr>
        <w:t xml:space="preserve">ردند، یعنی اعتدال و پرهیز از افراط و تفریط در قوای شهویه، غضبیه و وهمیه که نتیجه اش فضیلتی به نام عدالت است. عدالت نیز آدابی دارد. آداب عدالت، حکمت و عفت است و با توجه به نسبت جامعه با افراد، شاهد جامعه عفیفان و حکیمان هستیم. ادب حکمت نیز صدق است. یعنی جامعه عادل، جامعه‌ حکیم و عفیف و صادق است. حکومت آن حکومت صادقان است، یعنی حاکمان دروغ نمی‌گویند و با فرض اینکه جامعه، رقیقه وجود افراد است همه به دنبال راستگویی، راستجویی، راست‌پویی و راستخویی هستند. به مرتبه دوم، مرتبت متعادله می‌گویند. فرض بر این است که دیالکتیکی بین جامعه و فرد وجود دارد؛ یعنی جامعه ظرفی می‌شود برای ظهور و بروز انسان های صادق و تحولات وجودی و اخلاقی انسان‌های صادق، یک چنین جامعه‌ای را تقویت و بازتولید می‌کند. </w:t>
      </w:r>
    </w:p>
    <w:p w14:paraId="3BD069E0" w14:textId="0708D412"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و اما در مرتبت سوم یا متعالیه، انسانها در سیر کمال روحی و کمال اخلاقی خود «تخلقوا باخلاق الله» می‌شوند؛ یعنی خدایی می‌شوند و طبعاً جامعه شان نیز خدایی می‌شود. انسان ها در این مرتبه جنس شان خدایی می شود و خلیفه خدا می‌شوند. هرچه مراتب وجودی شدیدتر شود و از جان پُرتر شوند، دارای قابلیتی سرشار از فیض "وجود" و "جود" می‌شوند و از آنان جود و کرامت می‌بارد. ادب این مرتبه احسان است. بالاترین فعل اخلاقی، احسان است. احسان بالاتر از عدالت فردی است. در عدالت که حکم اصل طلایی اخلاق جاری است آنچه برای خود نمی‌پسندی برای دیگری هم نمی پسندی، اما در بحث احسان چیزی برای دیگری می‌پسندی که از خود مضایقه کرده ای. حفظ جان را برای دیگری می پسندی اما جان خود را </w:t>
      </w:r>
      <w:r w:rsidRPr="00F31B3C">
        <w:rPr>
          <w:rFonts w:ascii="B Nazanin" w:hAnsi="B Nazanin" w:cs="B Nazanin"/>
          <w:sz w:val="28"/>
          <w:szCs w:val="28"/>
          <w:rtl/>
        </w:rPr>
        <w:lastRenderedPageBreak/>
        <w:t>قربانی هدایت و جلوگیری از تباهی و انحراف می کنی. و یؤثرون علی انفسهم و لو کان بهم خصاصه</w:t>
      </w:r>
      <w:r w:rsidR="00284F93" w:rsidRPr="00F31B3C">
        <w:rPr>
          <w:rStyle w:val="FootnoteReference"/>
          <w:rFonts w:ascii="B Nazanin" w:hAnsi="B Nazanin" w:cs="B Nazanin"/>
          <w:sz w:val="28"/>
          <w:szCs w:val="28"/>
          <w:rtl/>
        </w:rPr>
        <w:footnoteReference w:id="37"/>
      </w:r>
      <w:r w:rsidRPr="00F31B3C">
        <w:rPr>
          <w:rFonts w:ascii="B Nazanin" w:hAnsi="B Nazanin" w:cs="B Nazanin"/>
          <w:sz w:val="28"/>
          <w:szCs w:val="28"/>
          <w:rtl/>
        </w:rPr>
        <w:t>، و ترجیح می دهند دیگران را بر خودشان، گرچه خود آنها محتاج باشند. کرامت و ایثار بالاترین مرتبت فعل اخلاقی است. این فعل، فعل توحیدی و فعل انبیا است و انسان به مرتبتی می‌رسد که مشمول عنایات خدا می‌شود و حکومت الهی تحقق پیدا می‌کند که از آن لطف و احسان جریان می یابد. در این مرتبت انسان به سطحی از فعلیت نفس و فاعلیت نفس می‌رسد که فعل شدنش قوی و پر انرژی می شود. اراده تغییر و شدنش قوی می شود. یک عامل دگرگون‌ساز می‌شود</w:t>
      </w:r>
      <w:r w:rsidR="00E3520C" w:rsidRPr="00F31B3C">
        <w:rPr>
          <w:rFonts w:ascii="B Nazanin" w:hAnsi="B Nazanin" w:cs="B Nazanin" w:hint="cs"/>
          <w:sz w:val="28"/>
          <w:szCs w:val="28"/>
          <w:rtl/>
        </w:rPr>
        <w:t xml:space="preserve"> </w:t>
      </w:r>
      <w:r w:rsidRPr="00F31B3C">
        <w:rPr>
          <w:rFonts w:ascii="B Nazanin" w:hAnsi="B Nazanin" w:cs="B Nazanin"/>
          <w:sz w:val="28"/>
          <w:szCs w:val="28"/>
          <w:rtl/>
        </w:rPr>
        <w:t xml:space="preserve">و از پرتو غلیان وجودی او دیگران بهره‌مند می‌شود. </w:t>
      </w:r>
    </w:p>
    <w:p w14:paraId="457A8B92" w14:textId="78BC769A" w:rsidR="009B061A" w:rsidRPr="00F31B3C" w:rsidRDefault="00E3520C" w:rsidP="00F31B3C">
      <w:pPr>
        <w:spacing w:after="0"/>
        <w:jc w:val="both"/>
        <w:rPr>
          <w:rFonts w:ascii="B Nazanin" w:hAnsi="B Nazanin" w:cs="B Nazanin"/>
          <w:sz w:val="28"/>
          <w:szCs w:val="28"/>
          <w:rtl/>
        </w:rPr>
      </w:pPr>
      <w:r w:rsidRPr="00F31B3C">
        <w:rPr>
          <w:rFonts w:ascii="B Nazanin" w:hAnsi="B Nazanin" w:cs="B Nazanin" w:hint="cs"/>
          <w:sz w:val="28"/>
          <w:szCs w:val="28"/>
          <w:rtl/>
        </w:rPr>
        <w:t xml:space="preserve">اما </w:t>
      </w:r>
      <w:r w:rsidR="009B061A" w:rsidRPr="00F31B3C">
        <w:rPr>
          <w:rFonts w:ascii="B Nazanin" w:hAnsi="B Nazanin" w:cs="B Nazanin"/>
          <w:sz w:val="28"/>
          <w:szCs w:val="28"/>
          <w:rtl/>
        </w:rPr>
        <w:t>آیا رسیدن به قاعده لطف به معنای نفی مراتب قبلی زیست عالمانه و صادقانه است؟ به معنای نفی مرتبت اول و دوم است؟ خیر. قرار نیست در مرتبت متعالیه ضعیف و خوار بود، باید قوی بود. انسان با توجه به نظر ملاصدرا باید توانا باشد و از همه قابلیت‌ها استفاده کند، ولی بداند که قدرت، ثروت و علم، مرتبه اول است و مرتبه آخر یا متعالیه از همه این‌ها کمال یافته تر است. در واقع، مرتبه‌های اول و دوم کثراتی هستند که در مرتبت آخر، مستحیل می‌شوند؛ و مسلم است که اگر کسی ‌بخواهد از مرتبه اول به مرتبه دوم و سوم برود باید یک نگاه دیگری به مرتبه اول داشته باشد؛ یعنی نمی‌شود با نگاه صرف مرتبه اولی به مرتبه اول به مراتب بعدی صعود کرد.</w:t>
      </w:r>
    </w:p>
    <w:p w14:paraId="094927AD" w14:textId="77777777" w:rsidR="009B061A" w:rsidRPr="00F31B3C" w:rsidRDefault="009B061A" w:rsidP="00F31B3C">
      <w:pPr>
        <w:spacing w:after="0"/>
        <w:jc w:val="both"/>
        <w:rPr>
          <w:rFonts w:ascii="B Nazanin" w:hAnsi="B Nazanin" w:cs="B Nazanin"/>
          <w:sz w:val="28"/>
          <w:szCs w:val="28"/>
          <w:rtl/>
        </w:rPr>
      </w:pPr>
    </w:p>
    <w:p w14:paraId="5683BDD6" w14:textId="77777777" w:rsidR="009B061A" w:rsidRPr="00F31B3C" w:rsidRDefault="009B061A" w:rsidP="00F31B3C">
      <w:pPr>
        <w:spacing w:after="0"/>
        <w:jc w:val="both"/>
        <w:rPr>
          <w:rFonts w:ascii="B Nazanin" w:hAnsi="B Nazanin" w:cs="B Nazanin"/>
          <w:b/>
          <w:bCs/>
          <w:sz w:val="28"/>
          <w:szCs w:val="28"/>
          <w:rtl/>
        </w:rPr>
      </w:pPr>
      <w:r w:rsidRPr="00F31B3C">
        <w:rPr>
          <w:rFonts w:ascii="B Nazanin" w:hAnsi="B Nazanin" w:cs="B Nazanin"/>
          <w:b/>
          <w:bCs/>
          <w:sz w:val="28"/>
          <w:szCs w:val="28"/>
          <w:rtl/>
        </w:rPr>
        <w:t>جمع بندی</w:t>
      </w:r>
    </w:p>
    <w:p w14:paraId="1716981B" w14:textId="65CA15B0"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سکولاریسم یا به صورت کلی جدایی دین و اخلاق از عرصه عمومی، سیاست و قدرت دولتی، متأثر از دوگانه نگری های غالب و جاری پس از دکارت و بی توجه به ربط ها و اتصال هاست. دوگانه دین و سیاست کماکان طرفدارانی در عرصه های سیاسی و توسعه ای دارد. در نظریه نوسازی از رویکردهای توسعه و در ذیل الگوی سکولار اصرار بر اداره نظام سیاسی توسط غیر مذهبی ها، اشاعه ارزش های سیاسی غیر مذهبی و در کل کاهش نفوذ مذهب است. در قلمرو سیاست</w:t>
      </w:r>
      <w:r w:rsidR="00E3520C" w:rsidRPr="00F31B3C">
        <w:rPr>
          <w:rFonts w:ascii="B Nazanin" w:hAnsi="B Nazanin" w:cs="B Nazanin" w:hint="cs"/>
          <w:sz w:val="28"/>
          <w:szCs w:val="28"/>
          <w:rtl/>
        </w:rPr>
        <w:t>،</w:t>
      </w:r>
      <w:r w:rsidRPr="00F31B3C">
        <w:rPr>
          <w:rFonts w:ascii="B Nazanin" w:hAnsi="B Nazanin" w:cs="B Nazanin"/>
          <w:sz w:val="28"/>
          <w:szCs w:val="28"/>
          <w:rtl/>
        </w:rPr>
        <w:t xml:space="preserve"> تأکید سکولارها بر آزادی ایمان، برابری حقوقی ادیان و انتخاب های اخلاقی و بی طرفی دولت هاست. این گونه ادعا می شود که این بی طرفی به دلیل اجتناب از ورود تعهدات و دلبستگی های دینی و اخلاقی به عرصه ای است که می تواند مخل حقوق فردی و آزادی های مدنی و برابری افراد باشد. در همین جا اولین پارادوکس نمایان می شود، اینکه پیروان مذاهب آزادند اما تنها در حیات خصوصی خود و حق توجه به تجلیات عمومی و سیاسی باورهای دینی خود را ندارند. در این حالت دوگانه حیات فردی و اجتماعی نیز آشکار می شود که معرف نگاهی غیر منظومه ای است. به هرحال، لائیسیته یا همان سکولاریسم ابزار همزیستی افرادی است که در عقاید یکسان شریک نیستند و این نکته دلالت بر ردّ چند فرهنگ گرایی در سیاست به دلیل اتکاء دولت به وفاداری شهروندان، قطع نظر از باورهای </w:t>
      </w:r>
      <w:r w:rsidRPr="00F31B3C">
        <w:rPr>
          <w:rFonts w:ascii="B Nazanin" w:hAnsi="B Nazanin" w:cs="B Nazanin"/>
          <w:sz w:val="28"/>
          <w:szCs w:val="28"/>
          <w:rtl/>
        </w:rPr>
        <w:lastRenderedPageBreak/>
        <w:t xml:space="preserve">دینی آنها </w:t>
      </w:r>
      <w:r w:rsidR="00DA5E11" w:rsidRPr="00F31B3C">
        <w:rPr>
          <w:rFonts w:ascii="B Nazanin" w:hAnsi="B Nazanin" w:cs="B Nazanin" w:hint="cs"/>
          <w:sz w:val="28"/>
          <w:szCs w:val="28"/>
          <w:rtl/>
        </w:rPr>
        <w:t xml:space="preserve">را </w:t>
      </w:r>
      <w:r w:rsidRPr="00F31B3C">
        <w:rPr>
          <w:rFonts w:ascii="B Nazanin" w:hAnsi="B Nazanin" w:cs="B Nazanin"/>
          <w:sz w:val="28"/>
          <w:szCs w:val="28"/>
          <w:rtl/>
        </w:rPr>
        <w:t>دارد. ملاحظه می شود که دولت های سکولار مخالف وفاداری نیستند اما تنها وفاداری نسبت به دولت و قوانین و قواعد آن تبلیغ می شود و مجاز است.</w:t>
      </w:r>
    </w:p>
    <w:p w14:paraId="58D603B9"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علاوه بر چالش ثنویت گرایی مستتر در سکولاریسم و پارادوکس وفاداری و بی طرفی و برخورد دوگانه با آزادی مذهب و دلالت های آن در سکولاریسم و فقدان مبانی توجیهی و تاریخی توجه به ارزش های آزادی و برابری در آن، می توان به چالش بی توجهی به رابطه مفهومی خدا و انسان و حق و قابلیت های او به مثابه مبنای توجیه پذیری حقوق انسانی اشاره کرد. اینکه ارزش های آزادی و برابری و در کل حقوق انسانی بدون ذات و قابلیت انسانی توجیه پذیر نمی شود و قابلیت و ذات انسانی نیز بدون خدای قابلیت ساز قابل توجیه نخواهد بود.</w:t>
      </w:r>
    </w:p>
    <w:p w14:paraId="2559A7BA" w14:textId="187277C3"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با همان توجیهات و زمینه سازی هایی که جدایی دین از سیاست القا می شود جدایی اخلاق از سیاست القا می شود. تعهدات اخلاقی همان قدر مانع نفوذ سیاست ها و وفاداری های دولتی است که تعهدات دینی. و اگر جدایی دین از سیاست بیانگر نوعی رویکرد دوگانه نگری است، جدایی اخلاق از سیاست نیز معرف نوعی دوگانه نگری است. با فرض بر اینکه اخلاق شامل وجوه مثبت و منفی و خوب و بد و در کل، </w:t>
      </w:r>
      <w:r w:rsidR="00DA5E11" w:rsidRPr="00F31B3C">
        <w:rPr>
          <w:rFonts w:ascii="B Nazanin" w:hAnsi="B Nazanin" w:cs="B Nazanin" w:hint="cs"/>
          <w:sz w:val="28"/>
          <w:szCs w:val="28"/>
          <w:rtl/>
        </w:rPr>
        <w:t>ص</w:t>
      </w:r>
      <w:r w:rsidRPr="00F31B3C">
        <w:rPr>
          <w:rFonts w:ascii="B Nazanin" w:hAnsi="B Nazanin" w:cs="B Nazanin"/>
          <w:sz w:val="28"/>
          <w:szCs w:val="28"/>
          <w:rtl/>
        </w:rPr>
        <w:t>فات پسندیده و ناپسندیده، ارزش ها و ضد ارزش ها، مطلوب ها و نامطلوب ها، زیبایی ها، زشتی ها، بایسته ها و نبایسته ها، باشد، ادعای جدایی اخلاق از سیاست، ادعایی گزاف و بی مورد است.</w:t>
      </w:r>
    </w:p>
    <w:p w14:paraId="7B844409"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 تنها در صورتی می توان جلوی اباحه گرایی و مانور نگرش ماکیاولیستی را گرفت که وسیله از جنس هدف باشد. اگر هدف متعالی است، ابزار هم متعالی است. به عبارت دیگر، تنها در این صورت است که با هر وسیله ای نمی توان به هدفی مشروع دست یافت. اگر از بین تیپولوژی قدرت، یعنی اجبار، تهدید، نفوذ، اقناع، اقتدار، زور و قدرت نامرئی یا اغوا، با توجه به جایگاه اختیار و آزادی انسانی که به آن اشاره شد،  فعل مشروط سیاسی دایرمدار اقناع و نفوذ باشد، گرایش آن به اخلاق در مقایسه با زمانی که بر مدار زور، تهدید و اغوا دایر باشد بیشتر است. اطمینان از جهات اخلاقی سیاست نیز در گرو نقد فعال و نظارت مستمر نهادهای مدنی، به ویژه اخلاقی و دینی در جامعه است.</w:t>
      </w:r>
    </w:p>
    <w:p w14:paraId="33CAC023" w14:textId="58D0D6C6" w:rsidR="00E21858"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از آثار ملاصدرا این گونه استنباط می‌شود که بین اخلاق و سیاست علی رغم اشتراک، جدایی وجود ندارد. حسب این استنباط، فلسفه اخلاق همان فلسفه سیاست است، اما جنس و مرتبه آن فرق می‌کند، یک نسبت ماهوی بین اخلاق و سیاست برقرار است، اما مراتب آن فرق می‌کند. در کل، به سه مرتبه، دنیه، متعادله و متعالیه اشاره می شود. در مرتبت سوم یا متعالیه، انسانها در سیر کمال روحی و کمال اخلاقی خود «تخلقوا باخلاق الله» می‌شوند؛ یعنی خدایی می‌شوند و طبعاً جامعه شان نیز خدایی می‌شود. انسان ها در این مرتبه جنس شان خدایی می شود و خلیفه خدا می‌شوند. هرچه مراتب وجودی شدیدتر شود و از جان پُرتر شوند، دارای قابلیتی سرشار از فیض "وجود" و "جود" می‌شوند و از آنان جود و کرامت می‌بارد.</w:t>
      </w:r>
    </w:p>
    <w:p w14:paraId="0439C6A6" w14:textId="77777777" w:rsidR="009B061A" w:rsidRPr="00F31B3C" w:rsidRDefault="009B061A" w:rsidP="00F31B3C">
      <w:pPr>
        <w:spacing w:after="0"/>
        <w:jc w:val="both"/>
        <w:rPr>
          <w:rFonts w:ascii="B Nazanin" w:hAnsi="B Nazanin" w:cs="B Nazanin"/>
          <w:sz w:val="28"/>
          <w:szCs w:val="28"/>
          <w:rtl/>
        </w:rPr>
      </w:pPr>
    </w:p>
    <w:p w14:paraId="3786902B" w14:textId="77777777" w:rsidR="009B061A" w:rsidRPr="00F31B3C" w:rsidRDefault="009B061A" w:rsidP="00F31B3C">
      <w:pPr>
        <w:spacing w:after="0"/>
        <w:jc w:val="both"/>
        <w:rPr>
          <w:rFonts w:ascii="B Nazanin" w:hAnsi="B Nazanin" w:cs="B Nazanin"/>
          <w:b/>
          <w:bCs/>
          <w:sz w:val="28"/>
          <w:szCs w:val="28"/>
          <w:rtl/>
        </w:rPr>
      </w:pPr>
      <w:r w:rsidRPr="00F31B3C">
        <w:rPr>
          <w:rFonts w:ascii="B Nazanin" w:hAnsi="B Nazanin" w:cs="B Nazanin"/>
          <w:b/>
          <w:bCs/>
          <w:sz w:val="28"/>
          <w:szCs w:val="28"/>
          <w:rtl/>
        </w:rPr>
        <w:lastRenderedPageBreak/>
        <w:t xml:space="preserve">منابع </w:t>
      </w:r>
    </w:p>
    <w:p w14:paraId="40558E7F"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قرآن کریم</w:t>
      </w:r>
    </w:p>
    <w:p w14:paraId="2D4885EA"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نهج الفصاحه</w:t>
      </w:r>
    </w:p>
    <w:p w14:paraId="52462B70"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نهج البلاغه</w:t>
      </w:r>
    </w:p>
    <w:p w14:paraId="68FD41D3"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ارسطو. </w:t>
      </w:r>
      <w:r w:rsidRPr="00F31B3C">
        <w:rPr>
          <w:rFonts w:ascii="B Nazanin" w:hAnsi="B Nazanin" w:cs="B Nazanin"/>
          <w:i/>
          <w:iCs/>
          <w:sz w:val="28"/>
          <w:szCs w:val="28"/>
          <w:rtl/>
        </w:rPr>
        <w:t>سیاست</w:t>
      </w:r>
      <w:r w:rsidRPr="00F31B3C">
        <w:rPr>
          <w:rFonts w:ascii="B Nazanin" w:hAnsi="B Nazanin" w:cs="B Nazanin"/>
          <w:sz w:val="28"/>
          <w:szCs w:val="28"/>
          <w:rtl/>
        </w:rPr>
        <w:t xml:space="preserve">، ترجمه حمید عنایت. تهران: انتشارات </w:t>
      </w:r>
      <w:r w:rsidR="003661D0" w:rsidRPr="00F31B3C">
        <w:rPr>
          <w:rFonts w:ascii="B Nazanin" w:hAnsi="B Nazanin" w:cs="B Nazanin"/>
          <w:sz w:val="28"/>
          <w:szCs w:val="28"/>
          <w:rtl/>
        </w:rPr>
        <w:t>علمی و فرهنگی</w:t>
      </w:r>
      <w:r w:rsidRPr="00F31B3C">
        <w:rPr>
          <w:rFonts w:ascii="B Nazanin" w:hAnsi="B Nazanin" w:cs="B Nazanin"/>
          <w:sz w:val="28"/>
          <w:szCs w:val="28"/>
          <w:rtl/>
        </w:rPr>
        <w:t>،</w:t>
      </w:r>
      <w:r w:rsidR="003661D0" w:rsidRPr="00F31B3C">
        <w:rPr>
          <w:rFonts w:ascii="B Nazanin" w:hAnsi="B Nazanin" w:cs="B Nazanin"/>
          <w:sz w:val="28"/>
          <w:szCs w:val="28"/>
          <w:rtl/>
        </w:rPr>
        <w:t xml:space="preserve"> 1386.</w:t>
      </w:r>
    </w:p>
    <w:p w14:paraId="56D32932"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اشتراوس، لئو. </w:t>
      </w:r>
      <w:r w:rsidRPr="00F31B3C">
        <w:rPr>
          <w:rFonts w:ascii="B Nazanin" w:hAnsi="B Nazanin" w:cs="B Nazanin"/>
          <w:i/>
          <w:iCs/>
          <w:sz w:val="28"/>
          <w:szCs w:val="28"/>
          <w:rtl/>
        </w:rPr>
        <w:t>فلسفه سیاسی چیست؟</w:t>
      </w:r>
      <w:r w:rsidRPr="00F31B3C">
        <w:rPr>
          <w:rFonts w:ascii="B Nazanin" w:hAnsi="B Nazanin" w:cs="B Nazanin"/>
          <w:sz w:val="28"/>
          <w:szCs w:val="28"/>
          <w:rtl/>
        </w:rPr>
        <w:t xml:space="preserve"> ترجمه فرهنگ رجایی. تهران: انتشارات علمی و فرهنگی، 1373.</w:t>
      </w:r>
    </w:p>
    <w:p w14:paraId="7DE0526E"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افروغ، عماد. </w:t>
      </w:r>
      <w:r w:rsidRPr="00F31B3C">
        <w:rPr>
          <w:rFonts w:ascii="B Nazanin" w:hAnsi="B Nazanin" w:cs="B Nazanin"/>
          <w:i/>
          <w:iCs/>
          <w:sz w:val="28"/>
          <w:szCs w:val="28"/>
          <w:rtl/>
        </w:rPr>
        <w:t>چشم اندازی نظری به تحلیل طبقاتی و توسعه</w:t>
      </w:r>
      <w:r w:rsidRPr="00F31B3C">
        <w:rPr>
          <w:rFonts w:ascii="B Nazanin" w:hAnsi="B Nazanin" w:cs="B Nazanin"/>
          <w:sz w:val="28"/>
          <w:szCs w:val="28"/>
          <w:rtl/>
        </w:rPr>
        <w:t>، چاپ دوم. تهران: مؤسسه فرهنگ و دانش، 1380.</w:t>
      </w:r>
    </w:p>
    <w:p w14:paraId="21C73C0D"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 </w:t>
      </w:r>
      <w:r w:rsidRPr="00F31B3C">
        <w:rPr>
          <w:rFonts w:ascii="B Nazanin" w:hAnsi="B Nazanin" w:cs="B Nazanin"/>
          <w:i/>
          <w:iCs/>
          <w:sz w:val="28"/>
          <w:szCs w:val="28"/>
          <w:rtl/>
        </w:rPr>
        <w:t>درآمدی بر رابطه اخلاق و سیاست، نقدی بر ماکیاولیسم</w:t>
      </w:r>
      <w:r w:rsidRPr="00F31B3C">
        <w:rPr>
          <w:rFonts w:ascii="B Nazanin" w:hAnsi="B Nazanin" w:cs="B Nazanin"/>
          <w:sz w:val="28"/>
          <w:szCs w:val="28"/>
          <w:rtl/>
        </w:rPr>
        <w:t>. تهران: انتشارات سوره مهر، 1390.</w:t>
      </w:r>
    </w:p>
    <w:p w14:paraId="73577C63"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 </w:t>
      </w:r>
      <w:r w:rsidRPr="00F31B3C">
        <w:rPr>
          <w:rFonts w:ascii="B Nazanin" w:hAnsi="B Nazanin" w:cs="B Nazanin"/>
          <w:i/>
          <w:iCs/>
          <w:sz w:val="28"/>
          <w:szCs w:val="28"/>
          <w:rtl/>
        </w:rPr>
        <w:t>عام گرایی توحیدی و حق انسان</w:t>
      </w:r>
      <w:r w:rsidRPr="00F31B3C">
        <w:rPr>
          <w:rFonts w:ascii="B Nazanin" w:hAnsi="B Nazanin" w:cs="B Nazanin"/>
          <w:sz w:val="28"/>
          <w:szCs w:val="28"/>
          <w:rtl/>
        </w:rPr>
        <w:t>. قم: انتشارات دانشگاه ادیان و مذاهب، 1398.</w:t>
      </w:r>
    </w:p>
    <w:p w14:paraId="7E4BCE9B"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روزبه، حسن. </w:t>
      </w:r>
      <w:r w:rsidRPr="00F31B3C">
        <w:rPr>
          <w:rFonts w:ascii="B Nazanin" w:hAnsi="B Nazanin" w:cs="B Nazanin"/>
          <w:i/>
          <w:iCs/>
          <w:sz w:val="28"/>
          <w:szCs w:val="28"/>
          <w:rtl/>
        </w:rPr>
        <w:t>اخلاق و ادب سیاست از منظر حکمت متعالیه</w:t>
      </w:r>
      <w:r w:rsidRPr="00F31B3C">
        <w:rPr>
          <w:rFonts w:ascii="B Nazanin" w:hAnsi="B Nazanin" w:cs="B Nazanin"/>
          <w:sz w:val="28"/>
          <w:szCs w:val="28"/>
          <w:rtl/>
        </w:rPr>
        <w:t>. تهران: انتشارات امیر کبیر، 1396.</w:t>
      </w:r>
    </w:p>
    <w:p w14:paraId="3D421F33"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فاستر، مایکل ب. </w:t>
      </w:r>
      <w:r w:rsidRPr="00F31B3C">
        <w:rPr>
          <w:rFonts w:ascii="B Nazanin" w:hAnsi="B Nazanin" w:cs="B Nazanin"/>
          <w:i/>
          <w:iCs/>
          <w:sz w:val="28"/>
          <w:szCs w:val="28"/>
          <w:rtl/>
        </w:rPr>
        <w:t>خداوندان اندیشه سیاسی</w:t>
      </w:r>
      <w:r w:rsidRPr="00F31B3C">
        <w:rPr>
          <w:rFonts w:ascii="B Nazanin" w:hAnsi="B Nazanin" w:cs="B Nazanin"/>
          <w:sz w:val="28"/>
          <w:szCs w:val="28"/>
          <w:rtl/>
        </w:rPr>
        <w:t>، ترجمه جواد شیخ الاسلامی، جلد اول. تهران: انتشارات امیر کبیر، 1376.</w:t>
      </w:r>
    </w:p>
    <w:p w14:paraId="2CB3A9FE"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لوکس، استیون. </w:t>
      </w:r>
      <w:r w:rsidRPr="00F31B3C">
        <w:rPr>
          <w:rFonts w:ascii="B Nazanin" w:hAnsi="B Nazanin" w:cs="B Nazanin"/>
          <w:i/>
          <w:iCs/>
          <w:sz w:val="28"/>
          <w:szCs w:val="28"/>
          <w:rtl/>
        </w:rPr>
        <w:t>قدرت، نگرشی رادیکال</w:t>
      </w:r>
      <w:r w:rsidRPr="00F31B3C">
        <w:rPr>
          <w:rFonts w:ascii="B Nazanin" w:hAnsi="B Nazanin" w:cs="B Nazanin"/>
          <w:sz w:val="28"/>
          <w:szCs w:val="28"/>
          <w:rtl/>
        </w:rPr>
        <w:t>، چاپ دوم. ترجمه عماد افروغ. تهران: نشر علم، 1393.</w:t>
      </w:r>
    </w:p>
    <w:p w14:paraId="038D2D2D"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ماکیاولی، نیکلا. </w:t>
      </w:r>
      <w:r w:rsidRPr="00F31B3C">
        <w:rPr>
          <w:rFonts w:ascii="B Nazanin" w:hAnsi="B Nazanin" w:cs="B Nazanin"/>
          <w:i/>
          <w:iCs/>
          <w:sz w:val="28"/>
          <w:szCs w:val="28"/>
          <w:rtl/>
        </w:rPr>
        <w:t>شهریار</w:t>
      </w:r>
      <w:r w:rsidRPr="00F31B3C">
        <w:rPr>
          <w:rFonts w:ascii="B Nazanin" w:hAnsi="B Nazanin" w:cs="B Nazanin"/>
          <w:sz w:val="28"/>
          <w:szCs w:val="28"/>
          <w:rtl/>
        </w:rPr>
        <w:t>. ترجمه محمود محمود. تهران: عطار، چاپ اول، 1380.</w:t>
      </w:r>
    </w:p>
    <w:p w14:paraId="5A0AB7CA"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مصباح یزدی، محمد تقی.  </w:t>
      </w:r>
      <w:r w:rsidRPr="00F31B3C">
        <w:rPr>
          <w:rFonts w:ascii="B Nazanin" w:hAnsi="B Nazanin" w:cs="B Nazanin"/>
          <w:i/>
          <w:iCs/>
          <w:sz w:val="28"/>
          <w:szCs w:val="28"/>
          <w:rtl/>
        </w:rPr>
        <w:t>فلسفه اخلاق</w:t>
      </w:r>
      <w:r w:rsidRPr="00F31B3C">
        <w:rPr>
          <w:rFonts w:ascii="B Nazanin" w:hAnsi="B Nazanin" w:cs="B Nazanin"/>
          <w:sz w:val="28"/>
          <w:szCs w:val="28"/>
          <w:rtl/>
        </w:rPr>
        <w:t>. تهران: شرکت چاپ و نشر بین الملل، 1380.</w:t>
      </w:r>
    </w:p>
    <w:p w14:paraId="6839B32C"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واعظی، احمد. </w:t>
      </w:r>
      <w:r w:rsidRPr="00F31B3C">
        <w:rPr>
          <w:rFonts w:ascii="B Nazanin" w:hAnsi="B Nazanin" w:cs="B Nazanin"/>
          <w:i/>
          <w:iCs/>
          <w:sz w:val="28"/>
          <w:szCs w:val="28"/>
          <w:rtl/>
        </w:rPr>
        <w:t>نقد و بررسی نظریه های عدالت</w:t>
      </w:r>
      <w:r w:rsidRPr="00F31B3C">
        <w:rPr>
          <w:rFonts w:ascii="B Nazanin" w:hAnsi="B Nazanin" w:cs="B Nazanin"/>
          <w:sz w:val="28"/>
          <w:szCs w:val="28"/>
          <w:rtl/>
        </w:rPr>
        <w:t>. قم: مؤسسه آموزشی و پژوهشی امام خمینی(ره)، 1388.</w:t>
      </w:r>
    </w:p>
    <w:p w14:paraId="51097638" w14:textId="626032CF" w:rsidR="009B061A" w:rsidRPr="00F31B3C" w:rsidRDefault="009B061A" w:rsidP="00F31B3C">
      <w:pPr>
        <w:spacing w:after="0"/>
        <w:jc w:val="both"/>
        <w:rPr>
          <w:rFonts w:ascii="B Nazanin" w:hAnsi="B Nazanin" w:cs="B Nazanin"/>
          <w:sz w:val="28"/>
          <w:szCs w:val="28"/>
        </w:rPr>
      </w:pPr>
      <w:r w:rsidRPr="00F31B3C">
        <w:rPr>
          <w:rFonts w:ascii="B Nazanin" w:hAnsi="B Nazanin" w:cs="B Nazanin"/>
          <w:sz w:val="28"/>
          <w:szCs w:val="28"/>
          <w:rtl/>
        </w:rPr>
        <w:t xml:space="preserve">هولمز، رابرت ال.  </w:t>
      </w:r>
      <w:r w:rsidRPr="00F31B3C">
        <w:rPr>
          <w:rFonts w:ascii="B Nazanin" w:hAnsi="B Nazanin" w:cs="B Nazanin"/>
          <w:i/>
          <w:iCs/>
          <w:sz w:val="28"/>
          <w:szCs w:val="28"/>
          <w:rtl/>
        </w:rPr>
        <w:t>مبانی فلسفه اخلاق</w:t>
      </w:r>
      <w:r w:rsidRPr="00F31B3C">
        <w:rPr>
          <w:rFonts w:ascii="B Nazanin" w:hAnsi="B Nazanin" w:cs="B Nazanin"/>
          <w:sz w:val="28"/>
          <w:szCs w:val="28"/>
          <w:rtl/>
        </w:rPr>
        <w:t>، ترجمه مسعود علیا. تهران: انتشارات ققنوس، 1382.</w:t>
      </w:r>
    </w:p>
    <w:p w14:paraId="73091A3B" w14:textId="52B46E52" w:rsidR="009B061A" w:rsidRPr="00F31B3C" w:rsidRDefault="009B061A" w:rsidP="00F31B3C">
      <w:pPr>
        <w:bidi w:val="0"/>
        <w:spacing w:after="0"/>
        <w:rPr>
          <w:rFonts w:asciiTheme="majorBidi" w:hAnsiTheme="majorBidi" w:cs="B Nazanin"/>
          <w:sz w:val="28"/>
          <w:szCs w:val="28"/>
        </w:rPr>
      </w:pPr>
      <w:r w:rsidRPr="00F31B3C">
        <w:rPr>
          <w:rFonts w:asciiTheme="majorBidi" w:hAnsiTheme="majorBidi" w:cs="B Nazanin"/>
          <w:sz w:val="28"/>
          <w:szCs w:val="28"/>
        </w:rPr>
        <w:t>Plato</w:t>
      </w:r>
      <w:r w:rsidRPr="00F31B3C">
        <w:rPr>
          <w:rFonts w:asciiTheme="majorBidi" w:hAnsiTheme="majorBidi" w:cs="B Nazanin"/>
          <w:i/>
          <w:iCs/>
          <w:sz w:val="28"/>
          <w:szCs w:val="28"/>
        </w:rPr>
        <w:t>. The Last Days of Socrates</w:t>
      </w:r>
      <w:r w:rsidRPr="00F31B3C">
        <w:rPr>
          <w:rFonts w:asciiTheme="majorBidi" w:hAnsiTheme="majorBidi" w:cs="B Nazanin"/>
          <w:sz w:val="28"/>
          <w:szCs w:val="28"/>
        </w:rPr>
        <w:t>, trans, Huge</w:t>
      </w:r>
      <w:r w:rsidR="00D16A0A" w:rsidRPr="00F31B3C">
        <w:rPr>
          <w:rFonts w:asciiTheme="majorBidi" w:hAnsiTheme="majorBidi" w:cs="B Nazanin"/>
          <w:sz w:val="28"/>
          <w:szCs w:val="28"/>
        </w:rPr>
        <w:t xml:space="preserve"> Tredennik. Harmondsworth: Pengui</w:t>
      </w:r>
      <w:r w:rsidRPr="00F31B3C">
        <w:rPr>
          <w:rFonts w:asciiTheme="majorBidi" w:hAnsiTheme="majorBidi" w:cs="B Nazanin"/>
          <w:sz w:val="28"/>
          <w:szCs w:val="28"/>
        </w:rPr>
        <w:t>ne  Books, 1969</w:t>
      </w:r>
      <w:r w:rsidR="003661D0" w:rsidRPr="00F31B3C">
        <w:rPr>
          <w:rFonts w:asciiTheme="majorBidi" w:hAnsiTheme="majorBidi" w:cs="B Nazanin"/>
          <w:sz w:val="28"/>
          <w:szCs w:val="28"/>
        </w:rPr>
        <w:t>.</w:t>
      </w:r>
      <w:r w:rsidRPr="00F31B3C">
        <w:rPr>
          <w:rFonts w:asciiTheme="majorBidi" w:hAnsiTheme="majorBidi" w:cs="B Nazanin"/>
          <w:sz w:val="28"/>
          <w:szCs w:val="28"/>
          <w:rtl/>
        </w:rPr>
        <w:t xml:space="preserve"> </w:t>
      </w:r>
    </w:p>
    <w:p w14:paraId="3F404C1C" w14:textId="77777777" w:rsidR="009B061A" w:rsidRPr="00F31B3C" w:rsidRDefault="009B061A" w:rsidP="00F31B3C">
      <w:pPr>
        <w:bidi w:val="0"/>
        <w:spacing w:after="0"/>
        <w:jc w:val="both"/>
        <w:rPr>
          <w:rFonts w:asciiTheme="majorBidi" w:hAnsiTheme="majorBidi" w:cs="B Nazanin"/>
          <w:sz w:val="28"/>
          <w:szCs w:val="28"/>
        </w:rPr>
      </w:pPr>
      <w:r w:rsidRPr="00F31B3C">
        <w:rPr>
          <w:rFonts w:asciiTheme="majorBidi" w:hAnsiTheme="majorBidi" w:cs="B Nazanin"/>
          <w:i/>
          <w:iCs/>
          <w:sz w:val="28"/>
          <w:szCs w:val="28"/>
        </w:rPr>
        <w:t>Stanford Encyclopedia of Philosophy</w:t>
      </w:r>
      <w:r w:rsidRPr="00F31B3C">
        <w:rPr>
          <w:rFonts w:asciiTheme="majorBidi" w:hAnsiTheme="majorBidi" w:cs="B Nazanin"/>
          <w:sz w:val="28"/>
          <w:szCs w:val="28"/>
          <w:rtl/>
        </w:rPr>
        <w:t>.</w:t>
      </w:r>
    </w:p>
    <w:p w14:paraId="20B49F9F" w14:textId="77777777" w:rsidR="009B061A" w:rsidRPr="00F31B3C" w:rsidRDefault="009B061A" w:rsidP="00F31B3C">
      <w:pPr>
        <w:bidi w:val="0"/>
        <w:spacing w:after="0"/>
        <w:jc w:val="both"/>
        <w:rPr>
          <w:rFonts w:asciiTheme="majorBidi" w:hAnsiTheme="majorBidi" w:cs="B Nazanin"/>
          <w:sz w:val="28"/>
          <w:szCs w:val="28"/>
        </w:rPr>
      </w:pPr>
      <w:r w:rsidRPr="00F31B3C">
        <w:rPr>
          <w:rFonts w:asciiTheme="majorBidi" w:hAnsiTheme="majorBidi" w:cs="B Nazanin"/>
          <w:sz w:val="28"/>
          <w:szCs w:val="28"/>
        </w:rPr>
        <w:t xml:space="preserve">Trigg, Roger. </w:t>
      </w:r>
      <w:r w:rsidRPr="00F31B3C">
        <w:rPr>
          <w:rFonts w:asciiTheme="majorBidi" w:hAnsiTheme="majorBidi" w:cs="B Nazanin"/>
          <w:i/>
          <w:iCs/>
          <w:sz w:val="28"/>
          <w:szCs w:val="28"/>
        </w:rPr>
        <w:t>Religion in Public life</w:t>
      </w:r>
      <w:r w:rsidRPr="00F31B3C">
        <w:rPr>
          <w:rFonts w:asciiTheme="majorBidi" w:hAnsiTheme="majorBidi" w:cs="B Nazanin"/>
          <w:sz w:val="28"/>
          <w:szCs w:val="28"/>
        </w:rPr>
        <w:t>. New York: Oxford, 2007</w:t>
      </w:r>
      <w:r w:rsidRPr="00F31B3C">
        <w:rPr>
          <w:rFonts w:asciiTheme="majorBidi" w:hAnsiTheme="majorBidi" w:cs="B Nazanin"/>
          <w:sz w:val="28"/>
          <w:szCs w:val="28"/>
          <w:rtl/>
        </w:rPr>
        <w:t>.</w:t>
      </w:r>
    </w:p>
    <w:p w14:paraId="4C5C5B3F" w14:textId="77777777" w:rsidR="009B061A" w:rsidRPr="00F31B3C" w:rsidRDefault="009B061A" w:rsidP="00F31B3C">
      <w:pPr>
        <w:spacing w:after="0"/>
        <w:jc w:val="both"/>
        <w:rPr>
          <w:rFonts w:ascii="B Nazanin" w:hAnsi="B Nazanin" w:cs="B Nazanin"/>
          <w:sz w:val="28"/>
          <w:szCs w:val="28"/>
          <w:rtl/>
        </w:rPr>
      </w:pPr>
      <w:r w:rsidRPr="00F31B3C">
        <w:rPr>
          <w:rFonts w:ascii="B Nazanin" w:hAnsi="B Nazanin" w:cs="B Nazanin"/>
          <w:sz w:val="28"/>
          <w:szCs w:val="28"/>
          <w:rtl/>
        </w:rPr>
        <w:t xml:space="preserve">              </w:t>
      </w:r>
    </w:p>
    <w:p w14:paraId="0E255A7A" w14:textId="77777777" w:rsidR="009B061A" w:rsidRPr="00F31B3C" w:rsidRDefault="009B061A" w:rsidP="00F31B3C">
      <w:pPr>
        <w:spacing w:after="0"/>
        <w:jc w:val="both"/>
        <w:rPr>
          <w:rFonts w:ascii="B Nazanin" w:hAnsi="B Nazanin" w:cs="B Nazanin"/>
          <w:sz w:val="28"/>
          <w:szCs w:val="28"/>
          <w:rtl/>
        </w:rPr>
      </w:pPr>
    </w:p>
    <w:p w14:paraId="4A0CC4F3" w14:textId="77777777" w:rsidR="003B509B" w:rsidRPr="00F31B3C" w:rsidRDefault="003B509B" w:rsidP="00F31B3C">
      <w:pPr>
        <w:spacing w:after="0"/>
        <w:jc w:val="both"/>
        <w:rPr>
          <w:rFonts w:ascii="B Nazanin" w:hAnsi="B Nazanin" w:cs="B Nazanin"/>
          <w:sz w:val="28"/>
          <w:szCs w:val="28"/>
        </w:rPr>
      </w:pPr>
    </w:p>
    <w:sectPr w:rsidR="003B509B" w:rsidRPr="00F31B3C" w:rsidSect="00B45444">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853EA6" w14:textId="77777777" w:rsidR="007913C6" w:rsidRDefault="007913C6" w:rsidP="00F95C1F">
      <w:pPr>
        <w:spacing w:after="0" w:line="240" w:lineRule="auto"/>
      </w:pPr>
      <w:r>
        <w:separator/>
      </w:r>
    </w:p>
  </w:endnote>
  <w:endnote w:type="continuationSeparator" w:id="0">
    <w:p w14:paraId="6CCE632C" w14:textId="77777777" w:rsidR="007913C6" w:rsidRDefault="007913C6" w:rsidP="00F95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BF85B8" w14:textId="77777777" w:rsidR="00BE7E2D" w:rsidRDefault="00BE7E2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643317284"/>
      <w:docPartObj>
        <w:docPartGallery w:val="Page Numbers (Bottom of Page)"/>
        <w:docPartUnique/>
      </w:docPartObj>
    </w:sdtPr>
    <w:sdtEndPr>
      <w:rPr>
        <w:noProof/>
      </w:rPr>
    </w:sdtEndPr>
    <w:sdtContent>
      <w:bookmarkStart w:id="0" w:name="_GoBack" w:displacedByCustomXml="prev"/>
      <w:bookmarkEnd w:id="0" w:displacedByCustomXml="prev"/>
      <w:p w14:paraId="4E851F83" w14:textId="5727188C" w:rsidR="00BE7E2D" w:rsidRDefault="00BE7E2D">
        <w:pPr>
          <w:pStyle w:val="Footer"/>
          <w:jc w:val="center"/>
        </w:pPr>
        <w:r>
          <w:fldChar w:fldCharType="begin"/>
        </w:r>
        <w:r>
          <w:instrText xml:space="preserve"> PAGE   \* MERGEFORMAT </w:instrText>
        </w:r>
        <w:r>
          <w:fldChar w:fldCharType="separate"/>
        </w:r>
        <w:r>
          <w:rPr>
            <w:noProof/>
            <w:rtl/>
          </w:rPr>
          <w:t>1</w:t>
        </w:r>
        <w:r>
          <w:rPr>
            <w:noProof/>
          </w:rPr>
          <w:fldChar w:fldCharType="end"/>
        </w:r>
      </w:p>
    </w:sdtContent>
  </w:sdt>
  <w:p w14:paraId="6B6B7D5A" w14:textId="77777777" w:rsidR="00BE7E2D" w:rsidRDefault="00BE7E2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902A3E" w14:textId="77777777" w:rsidR="00BE7E2D" w:rsidRDefault="00BE7E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E36A64" w14:textId="77777777" w:rsidR="007913C6" w:rsidRDefault="007913C6" w:rsidP="00F95C1F">
      <w:pPr>
        <w:spacing w:after="0" w:line="240" w:lineRule="auto"/>
      </w:pPr>
      <w:r>
        <w:separator/>
      </w:r>
    </w:p>
  </w:footnote>
  <w:footnote w:type="continuationSeparator" w:id="0">
    <w:p w14:paraId="3900C416" w14:textId="77777777" w:rsidR="007913C6" w:rsidRDefault="007913C6" w:rsidP="00F95C1F">
      <w:pPr>
        <w:spacing w:after="0" w:line="240" w:lineRule="auto"/>
      </w:pPr>
      <w:r>
        <w:continuationSeparator/>
      </w:r>
    </w:p>
  </w:footnote>
  <w:footnote w:id="1">
    <w:p w14:paraId="15BDF9A0" w14:textId="77777777" w:rsidR="00F95C1F" w:rsidRDefault="00F95C1F">
      <w:pPr>
        <w:pStyle w:val="FootnoteText"/>
        <w:rPr>
          <w:rtl/>
        </w:rPr>
      </w:pPr>
      <w:r>
        <w:rPr>
          <w:rStyle w:val="FootnoteReference"/>
        </w:rPr>
        <w:footnoteRef/>
      </w:r>
      <w:r>
        <w:rPr>
          <w:rtl/>
        </w:rPr>
        <w:t xml:space="preserve"> </w:t>
      </w:r>
      <w:r>
        <w:rPr>
          <w:rFonts w:hint="cs"/>
          <w:rtl/>
        </w:rPr>
        <w:t xml:space="preserve">. </w:t>
      </w:r>
      <w:r w:rsidRPr="00F95C1F">
        <w:rPr>
          <w:rFonts w:cs="Arial" w:hint="cs"/>
          <w:rtl/>
        </w:rPr>
        <w:t>عماد</w:t>
      </w:r>
      <w:r w:rsidRPr="00F95C1F">
        <w:rPr>
          <w:rFonts w:cs="Arial"/>
          <w:rtl/>
        </w:rPr>
        <w:t xml:space="preserve"> </w:t>
      </w:r>
      <w:r w:rsidRPr="00F95C1F">
        <w:rPr>
          <w:rFonts w:cs="Arial" w:hint="cs"/>
          <w:rtl/>
        </w:rPr>
        <w:t>افروغ،</w:t>
      </w:r>
      <w:r w:rsidRPr="00F95C1F">
        <w:rPr>
          <w:rFonts w:cs="Arial"/>
          <w:rtl/>
        </w:rPr>
        <w:t xml:space="preserve"> </w:t>
      </w:r>
      <w:r w:rsidRPr="00E21858">
        <w:rPr>
          <w:rFonts w:cs="Arial" w:hint="cs"/>
          <w:i/>
          <w:iCs/>
          <w:rtl/>
        </w:rPr>
        <w:t>چشم</w:t>
      </w:r>
      <w:r w:rsidRPr="00E21858">
        <w:rPr>
          <w:rFonts w:cs="Arial"/>
          <w:i/>
          <w:iCs/>
          <w:rtl/>
        </w:rPr>
        <w:t xml:space="preserve"> </w:t>
      </w:r>
      <w:r w:rsidRPr="00E21858">
        <w:rPr>
          <w:rFonts w:cs="Arial" w:hint="cs"/>
          <w:i/>
          <w:iCs/>
          <w:rtl/>
        </w:rPr>
        <w:t>اندازی</w:t>
      </w:r>
      <w:r w:rsidRPr="00E21858">
        <w:rPr>
          <w:rFonts w:cs="Arial"/>
          <w:i/>
          <w:iCs/>
          <w:rtl/>
        </w:rPr>
        <w:t xml:space="preserve"> </w:t>
      </w:r>
      <w:r w:rsidRPr="00E21858">
        <w:rPr>
          <w:rFonts w:cs="Arial" w:hint="cs"/>
          <w:i/>
          <w:iCs/>
          <w:rtl/>
        </w:rPr>
        <w:t>نظری</w:t>
      </w:r>
      <w:r w:rsidRPr="00E21858">
        <w:rPr>
          <w:rFonts w:cs="Arial"/>
          <w:i/>
          <w:iCs/>
          <w:rtl/>
        </w:rPr>
        <w:t xml:space="preserve"> </w:t>
      </w:r>
      <w:r w:rsidRPr="00E21858">
        <w:rPr>
          <w:rFonts w:cs="Arial" w:hint="cs"/>
          <w:i/>
          <w:iCs/>
          <w:rtl/>
        </w:rPr>
        <w:t>به</w:t>
      </w:r>
      <w:r w:rsidRPr="00E21858">
        <w:rPr>
          <w:rFonts w:cs="Arial"/>
          <w:i/>
          <w:iCs/>
          <w:rtl/>
        </w:rPr>
        <w:t xml:space="preserve"> </w:t>
      </w:r>
      <w:r w:rsidRPr="00E21858">
        <w:rPr>
          <w:rFonts w:cs="Arial" w:hint="cs"/>
          <w:i/>
          <w:iCs/>
          <w:rtl/>
        </w:rPr>
        <w:t>تحلیل</w:t>
      </w:r>
      <w:r w:rsidRPr="00E21858">
        <w:rPr>
          <w:rFonts w:cs="Arial"/>
          <w:i/>
          <w:iCs/>
          <w:rtl/>
        </w:rPr>
        <w:t xml:space="preserve"> </w:t>
      </w:r>
      <w:r w:rsidRPr="00E21858">
        <w:rPr>
          <w:rFonts w:cs="Arial" w:hint="cs"/>
          <w:i/>
          <w:iCs/>
          <w:rtl/>
        </w:rPr>
        <w:t>طبقاتی</w:t>
      </w:r>
      <w:r w:rsidRPr="00E21858">
        <w:rPr>
          <w:rFonts w:cs="Arial"/>
          <w:i/>
          <w:iCs/>
          <w:rtl/>
        </w:rPr>
        <w:t xml:space="preserve"> </w:t>
      </w:r>
      <w:r w:rsidRPr="00E21858">
        <w:rPr>
          <w:rFonts w:cs="Arial" w:hint="cs"/>
          <w:i/>
          <w:iCs/>
          <w:rtl/>
        </w:rPr>
        <w:t>و</w:t>
      </w:r>
      <w:r w:rsidRPr="00E21858">
        <w:rPr>
          <w:rFonts w:cs="Arial"/>
          <w:i/>
          <w:iCs/>
          <w:rtl/>
        </w:rPr>
        <w:t xml:space="preserve"> </w:t>
      </w:r>
      <w:r w:rsidRPr="00E21858">
        <w:rPr>
          <w:rFonts w:cs="Arial" w:hint="cs"/>
          <w:i/>
          <w:iCs/>
          <w:rtl/>
        </w:rPr>
        <w:t>توسعه</w:t>
      </w:r>
      <w:r w:rsidRPr="00F95C1F">
        <w:rPr>
          <w:rFonts w:cs="Arial" w:hint="cs"/>
          <w:rtl/>
        </w:rPr>
        <w:t>،</w:t>
      </w:r>
      <w:r w:rsidRPr="00F95C1F">
        <w:rPr>
          <w:rFonts w:cs="Arial"/>
          <w:rtl/>
        </w:rPr>
        <w:t xml:space="preserve"> 84.</w:t>
      </w:r>
    </w:p>
  </w:footnote>
  <w:footnote w:id="2">
    <w:p w14:paraId="341E24ED" w14:textId="77777777" w:rsidR="00F95C1F" w:rsidRDefault="00F95C1F" w:rsidP="00284F93">
      <w:pPr>
        <w:pStyle w:val="FootnoteText"/>
        <w:bidi w:val="0"/>
        <w:rPr>
          <w:rtl/>
        </w:rPr>
      </w:pPr>
      <w:r>
        <w:rPr>
          <w:rStyle w:val="FootnoteReference"/>
        </w:rPr>
        <w:footnoteRef/>
      </w:r>
      <w:r>
        <w:rPr>
          <w:rtl/>
        </w:rPr>
        <w:t xml:space="preserve"> </w:t>
      </w:r>
      <w:r w:rsidR="00284F93">
        <w:rPr>
          <w:rFonts w:hint="cs"/>
          <w:rtl/>
        </w:rPr>
        <w:t xml:space="preserve">. </w:t>
      </w:r>
      <w:r w:rsidR="00284F93" w:rsidRPr="00284F93">
        <w:t xml:space="preserve">Roger Trigg, </w:t>
      </w:r>
      <w:r w:rsidR="00284F93" w:rsidRPr="00E21858">
        <w:rPr>
          <w:i/>
          <w:iCs/>
        </w:rPr>
        <w:t>Religion in Public Life</w:t>
      </w:r>
      <w:r w:rsidR="00284F93" w:rsidRPr="00284F93">
        <w:t>, 118</w:t>
      </w:r>
      <w:r w:rsidR="00284F93" w:rsidRPr="00284F93">
        <w:rPr>
          <w:rFonts w:cs="Arial"/>
          <w:rtl/>
        </w:rPr>
        <w:t>.</w:t>
      </w:r>
    </w:p>
  </w:footnote>
  <w:footnote w:id="3">
    <w:p w14:paraId="037B5B9D" w14:textId="77777777" w:rsidR="00F95C1F" w:rsidRDefault="00F95C1F" w:rsidP="00284F93">
      <w:pPr>
        <w:pStyle w:val="FootnoteText"/>
        <w:bidi w:val="0"/>
        <w:rPr>
          <w:rtl/>
        </w:rPr>
      </w:pPr>
      <w:r>
        <w:rPr>
          <w:rStyle w:val="FootnoteReference"/>
        </w:rPr>
        <w:footnoteRef/>
      </w:r>
      <w:r>
        <w:rPr>
          <w:rtl/>
        </w:rPr>
        <w:t xml:space="preserve"> </w:t>
      </w:r>
      <w:r w:rsidR="00284F93">
        <w:rPr>
          <w:rFonts w:hint="cs"/>
          <w:rtl/>
        </w:rPr>
        <w:t xml:space="preserve">. </w:t>
      </w:r>
      <w:r w:rsidR="00284F93" w:rsidRPr="00284F93">
        <w:t>ibid, 116</w:t>
      </w:r>
      <w:r w:rsidR="00284F93" w:rsidRPr="00284F93">
        <w:rPr>
          <w:rFonts w:cs="Arial"/>
          <w:rtl/>
        </w:rPr>
        <w:t>.</w:t>
      </w:r>
    </w:p>
  </w:footnote>
  <w:footnote w:id="4">
    <w:p w14:paraId="2E763C66" w14:textId="77777777" w:rsidR="00F95C1F" w:rsidRDefault="00F95C1F" w:rsidP="00284F93">
      <w:pPr>
        <w:pStyle w:val="FootnoteText"/>
        <w:bidi w:val="0"/>
        <w:rPr>
          <w:rtl/>
        </w:rPr>
      </w:pPr>
      <w:r>
        <w:rPr>
          <w:rStyle w:val="FootnoteReference"/>
        </w:rPr>
        <w:footnoteRef/>
      </w:r>
      <w:r w:rsidR="00284F93">
        <w:rPr>
          <w:rFonts w:hint="cs"/>
          <w:rtl/>
        </w:rPr>
        <w:t xml:space="preserve">. </w:t>
      </w:r>
      <w:r>
        <w:rPr>
          <w:rtl/>
        </w:rPr>
        <w:t xml:space="preserve"> </w:t>
      </w:r>
      <w:r w:rsidR="00284F93" w:rsidRPr="00284F93">
        <w:t>ibid, 119</w:t>
      </w:r>
      <w:r w:rsidR="00284F93" w:rsidRPr="00284F93">
        <w:rPr>
          <w:rFonts w:cs="Arial"/>
          <w:rtl/>
        </w:rPr>
        <w:t>.</w:t>
      </w:r>
    </w:p>
  </w:footnote>
  <w:footnote w:id="5">
    <w:p w14:paraId="08F7EEE6" w14:textId="77777777" w:rsidR="00F95C1F" w:rsidRDefault="00F95C1F" w:rsidP="00284F93">
      <w:pPr>
        <w:pStyle w:val="FootnoteText"/>
        <w:bidi w:val="0"/>
        <w:rPr>
          <w:rtl/>
        </w:rPr>
      </w:pPr>
      <w:r>
        <w:rPr>
          <w:rStyle w:val="FootnoteReference"/>
        </w:rPr>
        <w:footnoteRef/>
      </w:r>
      <w:r>
        <w:rPr>
          <w:rtl/>
        </w:rPr>
        <w:t xml:space="preserve"> </w:t>
      </w:r>
      <w:r w:rsidR="00284F93">
        <w:rPr>
          <w:rFonts w:hint="cs"/>
          <w:rtl/>
        </w:rPr>
        <w:t xml:space="preserve">. </w:t>
      </w:r>
      <w:r w:rsidR="00284F93" w:rsidRPr="00284F93">
        <w:t>ibid, 121</w:t>
      </w:r>
      <w:r w:rsidR="00284F93" w:rsidRPr="00284F93">
        <w:rPr>
          <w:rFonts w:cs="Arial"/>
          <w:rtl/>
        </w:rPr>
        <w:t>.</w:t>
      </w:r>
    </w:p>
  </w:footnote>
  <w:footnote w:id="6">
    <w:p w14:paraId="2A9498DD" w14:textId="77777777" w:rsidR="00F95C1F" w:rsidRDefault="00F95C1F" w:rsidP="00711B32">
      <w:pPr>
        <w:pStyle w:val="FootnoteText"/>
        <w:rPr>
          <w:rtl/>
        </w:rPr>
      </w:pPr>
      <w:r>
        <w:rPr>
          <w:rStyle w:val="FootnoteReference"/>
        </w:rPr>
        <w:footnoteRef/>
      </w:r>
      <w:r>
        <w:rPr>
          <w:rtl/>
        </w:rPr>
        <w:t xml:space="preserve"> </w:t>
      </w:r>
      <w:r w:rsidR="00711B32">
        <w:rPr>
          <w:rFonts w:hint="cs"/>
          <w:rtl/>
        </w:rPr>
        <w:t>.</w:t>
      </w:r>
      <w:r w:rsidR="00711B32" w:rsidRPr="00711B32">
        <w:rPr>
          <w:rFonts w:hint="cs"/>
          <w:rtl/>
        </w:rPr>
        <w:t xml:space="preserve"> </w:t>
      </w:r>
      <w:r w:rsidR="00711B32">
        <w:rPr>
          <w:rFonts w:cs="Arial" w:hint="cs"/>
          <w:rtl/>
        </w:rPr>
        <w:t>عماد</w:t>
      </w:r>
      <w:r w:rsidR="00711B32">
        <w:rPr>
          <w:rFonts w:cs="Arial"/>
          <w:rtl/>
        </w:rPr>
        <w:t xml:space="preserve"> </w:t>
      </w:r>
      <w:r w:rsidR="00711B32">
        <w:rPr>
          <w:rFonts w:cs="Arial" w:hint="cs"/>
          <w:rtl/>
        </w:rPr>
        <w:t>افروغ،</w:t>
      </w:r>
      <w:r w:rsidR="00711B32">
        <w:rPr>
          <w:rFonts w:cs="Arial"/>
          <w:rtl/>
        </w:rPr>
        <w:t xml:space="preserve"> </w:t>
      </w:r>
      <w:r w:rsidR="00711B32" w:rsidRPr="00E21858">
        <w:rPr>
          <w:rFonts w:cs="Arial" w:hint="cs"/>
          <w:i/>
          <w:iCs/>
          <w:rtl/>
        </w:rPr>
        <w:t>عام</w:t>
      </w:r>
      <w:r w:rsidR="00711B32" w:rsidRPr="00E21858">
        <w:rPr>
          <w:rFonts w:cs="Arial"/>
          <w:i/>
          <w:iCs/>
          <w:rtl/>
        </w:rPr>
        <w:t xml:space="preserve"> </w:t>
      </w:r>
      <w:r w:rsidR="00711B32" w:rsidRPr="00E21858">
        <w:rPr>
          <w:rFonts w:cs="Arial" w:hint="cs"/>
          <w:i/>
          <w:iCs/>
          <w:rtl/>
        </w:rPr>
        <w:t>گرایی</w:t>
      </w:r>
      <w:r w:rsidR="00711B32" w:rsidRPr="00E21858">
        <w:rPr>
          <w:rFonts w:cs="Arial"/>
          <w:i/>
          <w:iCs/>
          <w:rtl/>
        </w:rPr>
        <w:t xml:space="preserve"> </w:t>
      </w:r>
      <w:r w:rsidR="00711B32" w:rsidRPr="00E21858">
        <w:rPr>
          <w:rFonts w:cs="Arial" w:hint="cs"/>
          <w:i/>
          <w:iCs/>
          <w:rtl/>
        </w:rPr>
        <w:t>توحیدی</w:t>
      </w:r>
      <w:r w:rsidR="00711B32" w:rsidRPr="00E21858">
        <w:rPr>
          <w:rFonts w:cs="Arial"/>
          <w:i/>
          <w:iCs/>
          <w:rtl/>
        </w:rPr>
        <w:t xml:space="preserve"> </w:t>
      </w:r>
      <w:r w:rsidR="00711B32" w:rsidRPr="00E21858">
        <w:rPr>
          <w:rFonts w:cs="Arial" w:hint="cs"/>
          <w:i/>
          <w:iCs/>
          <w:rtl/>
        </w:rPr>
        <w:t>و</w:t>
      </w:r>
      <w:r w:rsidR="00711B32" w:rsidRPr="00E21858">
        <w:rPr>
          <w:rFonts w:cs="Arial"/>
          <w:i/>
          <w:iCs/>
          <w:rtl/>
        </w:rPr>
        <w:t xml:space="preserve"> </w:t>
      </w:r>
      <w:r w:rsidR="00711B32" w:rsidRPr="00E21858">
        <w:rPr>
          <w:rFonts w:cs="Arial" w:hint="cs"/>
          <w:i/>
          <w:iCs/>
          <w:rtl/>
        </w:rPr>
        <w:t>حق</w:t>
      </w:r>
      <w:r w:rsidR="00711B32" w:rsidRPr="00E21858">
        <w:rPr>
          <w:rFonts w:cs="Arial"/>
          <w:i/>
          <w:iCs/>
          <w:rtl/>
        </w:rPr>
        <w:t xml:space="preserve"> </w:t>
      </w:r>
      <w:r w:rsidR="00711B32" w:rsidRPr="00E21858">
        <w:rPr>
          <w:rFonts w:cs="Arial" w:hint="cs"/>
          <w:i/>
          <w:iCs/>
          <w:rtl/>
        </w:rPr>
        <w:t>انسان</w:t>
      </w:r>
      <w:r w:rsidR="00711B32">
        <w:rPr>
          <w:rFonts w:cs="Arial" w:hint="cs"/>
          <w:rtl/>
        </w:rPr>
        <w:t>،</w:t>
      </w:r>
      <w:r w:rsidR="00711B32">
        <w:rPr>
          <w:rFonts w:cs="Arial"/>
          <w:rtl/>
        </w:rPr>
        <w:t xml:space="preserve"> 48.</w:t>
      </w:r>
    </w:p>
  </w:footnote>
  <w:footnote w:id="7">
    <w:p w14:paraId="21B92FAD" w14:textId="77777777" w:rsidR="00F95C1F" w:rsidRDefault="00F95C1F">
      <w:pPr>
        <w:pStyle w:val="FootnoteText"/>
        <w:rPr>
          <w:rtl/>
        </w:rPr>
      </w:pPr>
      <w:r>
        <w:rPr>
          <w:rStyle w:val="FootnoteReference"/>
        </w:rPr>
        <w:footnoteRef/>
      </w:r>
      <w:r>
        <w:rPr>
          <w:rtl/>
        </w:rPr>
        <w:t xml:space="preserve"> </w:t>
      </w:r>
      <w:r w:rsidR="00711B32">
        <w:rPr>
          <w:rFonts w:hint="cs"/>
          <w:rtl/>
        </w:rPr>
        <w:t xml:space="preserve">. </w:t>
      </w:r>
      <w:r w:rsidR="00711B32" w:rsidRPr="00711B32">
        <w:rPr>
          <w:rFonts w:cs="Arial" w:hint="cs"/>
          <w:rtl/>
        </w:rPr>
        <w:t>همان،</w:t>
      </w:r>
      <w:r w:rsidR="00711B32" w:rsidRPr="00711B32">
        <w:rPr>
          <w:rFonts w:cs="Arial"/>
          <w:rtl/>
        </w:rPr>
        <w:t xml:space="preserve"> 47 – 48.</w:t>
      </w:r>
    </w:p>
  </w:footnote>
  <w:footnote w:id="8">
    <w:p w14:paraId="5866CE12" w14:textId="77777777" w:rsidR="00F95C1F" w:rsidRDefault="00F95C1F">
      <w:pPr>
        <w:pStyle w:val="FootnoteText"/>
        <w:rPr>
          <w:rtl/>
        </w:rPr>
      </w:pPr>
      <w:r>
        <w:rPr>
          <w:rStyle w:val="FootnoteReference"/>
        </w:rPr>
        <w:footnoteRef/>
      </w:r>
      <w:r>
        <w:rPr>
          <w:rtl/>
        </w:rPr>
        <w:t xml:space="preserve"> </w:t>
      </w:r>
      <w:r w:rsidR="00711B32">
        <w:rPr>
          <w:rFonts w:hint="cs"/>
          <w:rtl/>
        </w:rPr>
        <w:t xml:space="preserve">. </w:t>
      </w:r>
      <w:r w:rsidR="00711B32" w:rsidRPr="00711B32">
        <w:rPr>
          <w:rFonts w:cs="Arial" w:hint="cs"/>
          <w:rtl/>
        </w:rPr>
        <w:t>همان،</w:t>
      </w:r>
      <w:r w:rsidR="00711B32" w:rsidRPr="00711B32">
        <w:rPr>
          <w:rFonts w:cs="Arial"/>
          <w:rtl/>
        </w:rPr>
        <w:t xml:space="preserve"> 48 – 51.</w:t>
      </w:r>
    </w:p>
  </w:footnote>
  <w:footnote w:id="9">
    <w:p w14:paraId="7AFC7AA7" w14:textId="77777777" w:rsidR="00F95C1F" w:rsidRDefault="00F95C1F" w:rsidP="00711B32">
      <w:pPr>
        <w:pStyle w:val="FootnoteText"/>
        <w:rPr>
          <w:rtl/>
        </w:rPr>
      </w:pPr>
      <w:r>
        <w:rPr>
          <w:rStyle w:val="FootnoteReference"/>
        </w:rPr>
        <w:footnoteRef/>
      </w:r>
      <w:r>
        <w:rPr>
          <w:rtl/>
        </w:rPr>
        <w:t xml:space="preserve"> </w:t>
      </w:r>
      <w:r w:rsidR="00711B32">
        <w:rPr>
          <w:rFonts w:hint="cs"/>
          <w:rtl/>
        </w:rPr>
        <w:t xml:space="preserve">. </w:t>
      </w:r>
      <w:r w:rsidR="00711B32" w:rsidRPr="00E21858">
        <w:rPr>
          <w:rFonts w:cs="Arial" w:hint="cs"/>
          <w:i/>
          <w:iCs/>
          <w:rtl/>
        </w:rPr>
        <w:t>قرآن</w:t>
      </w:r>
      <w:r w:rsidR="00711B32" w:rsidRPr="00E21858">
        <w:rPr>
          <w:rFonts w:cs="Arial"/>
          <w:i/>
          <w:iCs/>
          <w:rtl/>
        </w:rPr>
        <w:t xml:space="preserve"> </w:t>
      </w:r>
      <w:r w:rsidR="00711B32" w:rsidRPr="00E21858">
        <w:rPr>
          <w:rFonts w:cs="Arial" w:hint="cs"/>
          <w:i/>
          <w:iCs/>
          <w:rtl/>
        </w:rPr>
        <w:t>کریم</w:t>
      </w:r>
      <w:r w:rsidR="00711B32">
        <w:rPr>
          <w:rFonts w:cs="Arial" w:hint="cs"/>
          <w:rtl/>
        </w:rPr>
        <w:t>،</w:t>
      </w:r>
      <w:r w:rsidR="00711B32">
        <w:rPr>
          <w:rFonts w:cs="Arial"/>
          <w:rtl/>
        </w:rPr>
        <w:t xml:space="preserve"> </w:t>
      </w:r>
      <w:r w:rsidR="00711B32">
        <w:rPr>
          <w:rFonts w:cs="Arial" w:hint="cs"/>
          <w:rtl/>
        </w:rPr>
        <w:t>سوره</w:t>
      </w:r>
      <w:r w:rsidR="00711B32">
        <w:rPr>
          <w:rFonts w:cs="Arial"/>
          <w:rtl/>
        </w:rPr>
        <w:t xml:space="preserve"> </w:t>
      </w:r>
      <w:r w:rsidR="00711B32">
        <w:rPr>
          <w:rFonts w:cs="Arial" w:hint="cs"/>
          <w:rtl/>
        </w:rPr>
        <w:t>حجرات،</w:t>
      </w:r>
      <w:r w:rsidR="00711B32">
        <w:rPr>
          <w:rFonts w:cs="Arial"/>
          <w:rtl/>
        </w:rPr>
        <w:t xml:space="preserve"> </w:t>
      </w:r>
      <w:r w:rsidR="00711B32">
        <w:rPr>
          <w:rFonts w:cs="Arial" w:hint="cs"/>
          <w:rtl/>
        </w:rPr>
        <w:t>آیه</w:t>
      </w:r>
      <w:r w:rsidR="00711B32">
        <w:rPr>
          <w:rFonts w:cs="Arial"/>
          <w:rtl/>
        </w:rPr>
        <w:t xml:space="preserve"> 13.</w:t>
      </w:r>
    </w:p>
  </w:footnote>
  <w:footnote w:id="10">
    <w:p w14:paraId="42FA4B02" w14:textId="77777777" w:rsidR="00F95C1F" w:rsidRDefault="00F95C1F" w:rsidP="00711B32">
      <w:pPr>
        <w:pStyle w:val="FootnoteText"/>
        <w:rPr>
          <w:rtl/>
        </w:rPr>
      </w:pPr>
      <w:r>
        <w:rPr>
          <w:rStyle w:val="FootnoteReference"/>
        </w:rPr>
        <w:footnoteRef/>
      </w:r>
      <w:r w:rsidR="00711B32">
        <w:rPr>
          <w:rFonts w:hint="cs"/>
          <w:rtl/>
        </w:rPr>
        <w:t>.</w:t>
      </w:r>
      <w:r>
        <w:rPr>
          <w:rtl/>
        </w:rPr>
        <w:t xml:space="preserve"> </w:t>
      </w:r>
      <w:r w:rsidR="00711B32" w:rsidRPr="00E21858">
        <w:rPr>
          <w:rFonts w:cs="Arial" w:hint="cs"/>
          <w:i/>
          <w:iCs/>
          <w:rtl/>
        </w:rPr>
        <w:t>نهج</w:t>
      </w:r>
      <w:r w:rsidR="00711B32" w:rsidRPr="00E21858">
        <w:rPr>
          <w:rFonts w:cs="Arial"/>
          <w:i/>
          <w:iCs/>
          <w:rtl/>
        </w:rPr>
        <w:t xml:space="preserve"> </w:t>
      </w:r>
      <w:r w:rsidR="00711B32" w:rsidRPr="00E21858">
        <w:rPr>
          <w:rFonts w:cs="Arial" w:hint="cs"/>
          <w:i/>
          <w:iCs/>
          <w:rtl/>
        </w:rPr>
        <w:t>البلاغه</w:t>
      </w:r>
      <w:r w:rsidR="00711B32" w:rsidRPr="00711B32">
        <w:rPr>
          <w:rFonts w:cs="Arial" w:hint="cs"/>
          <w:rtl/>
        </w:rPr>
        <w:t>،</w:t>
      </w:r>
      <w:r w:rsidR="00711B32" w:rsidRPr="00711B32">
        <w:rPr>
          <w:rFonts w:cs="Arial"/>
          <w:rtl/>
        </w:rPr>
        <w:t xml:space="preserve"> </w:t>
      </w:r>
      <w:r w:rsidR="00711B32" w:rsidRPr="00711B32">
        <w:rPr>
          <w:rFonts w:cs="Arial" w:hint="cs"/>
          <w:rtl/>
        </w:rPr>
        <w:t>خطبه</w:t>
      </w:r>
      <w:r w:rsidR="00711B32" w:rsidRPr="00711B32">
        <w:rPr>
          <w:rFonts w:cs="Arial"/>
          <w:rtl/>
        </w:rPr>
        <w:t xml:space="preserve"> 18.</w:t>
      </w:r>
    </w:p>
  </w:footnote>
  <w:footnote w:id="11">
    <w:p w14:paraId="171C6CC3" w14:textId="77777777" w:rsidR="005C6B51" w:rsidRDefault="005C6B51">
      <w:pPr>
        <w:pStyle w:val="FootnoteText"/>
        <w:rPr>
          <w:rtl/>
        </w:rPr>
      </w:pPr>
      <w:r>
        <w:rPr>
          <w:rStyle w:val="FootnoteReference"/>
        </w:rPr>
        <w:footnoteRef/>
      </w:r>
      <w:r w:rsidR="00711B32">
        <w:rPr>
          <w:rFonts w:hint="cs"/>
          <w:rtl/>
        </w:rPr>
        <w:t>.</w:t>
      </w:r>
      <w:r>
        <w:rPr>
          <w:rtl/>
        </w:rPr>
        <w:t xml:space="preserve"> </w:t>
      </w:r>
      <w:r w:rsidR="00711B32" w:rsidRPr="00711B32">
        <w:rPr>
          <w:rFonts w:cs="Arial" w:hint="cs"/>
          <w:rtl/>
        </w:rPr>
        <w:t>همان،</w:t>
      </w:r>
      <w:r w:rsidR="00711B32" w:rsidRPr="00711B32">
        <w:rPr>
          <w:rFonts w:cs="Arial"/>
          <w:rtl/>
        </w:rPr>
        <w:t xml:space="preserve"> </w:t>
      </w:r>
      <w:r w:rsidR="00711B32" w:rsidRPr="00711B32">
        <w:rPr>
          <w:rFonts w:cs="Arial" w:hint="cs"/>
          <w:rtl/>
        </w:rPr>
        <w:t>نامه</w:t>
      </w:r>
      <w:r w:rsidR="00711B32" w:rsidRPr="00711B32">
        <w:rPr>
          <w:rFonts w:cs="Arial"/>
          <w:rtl/>
        </w:rPr>
        <w:t xml:space="preserve"> 53.</w:t>
      </w:r>
    </w:p>
  </w:footnote>
  <w:footnote w:id="12">
    <w:p w14:paraId="388530EF" w14:textId="77777777" w:rsidR="005C6B51" w:rsidRDefault="005C6B51">
      <w:pPr>
        <w:pStyle w:val="FootnoteText"/>
        <w:rPr>
          <w:rtl/>
        </w:rPr>
      </w:pPr>
      <w:r>
        <w:rPr>
          <w:rStyle w:val="FootnoteReference"/>
        </w:rPr>
        <w:footnoteRef/>
      </w:r>
      <w:r w:rsidR="00711B32">
        <w:rPr>
          <w:rFonts w:hint="cs"/>
          <w:rtl/>
        </w:rPr>
        <w:t>.</w:t>
      </w:r>
      <w:r>
        <w:rPr>
          <w:rtl/>
        </w:rPr>
        <w:t xml:space="preserve"> </w:t>
      </w:r>
      <w:r w:rsidR="00711B32" w:rsidRPr="00E21858">
        <w:rPr>
          <w:rFonts w:cs="Arial" w:hint="cs"/>
          <w:i/>
          <w:iCs/>
          <w:rtl/>
        </w:rPr>
        <w:t>عام</w:t>
      </w:r>
      <w:r w:rsidR="00711B32" w:rsidRPr="00E21858">
        <w:rPr>
          <w:rFonts w:cs="Arial"/>
          <w:i/>
          <w:iCs/>
          <w:rtl/>
        </w:rPr>
        <w:t xml:space="preserve"> </w:t>
      </w:r>
      <w:r w:rsidR="00711B32" w:rsidRPr="00E21858">
        <w:rPr>
          <w:rFonts w:cs="Arial" w:hint="cs"/>
          <w:i/>
          <w:iCs/>
          <w:rtl/>
        </w:rPr>
        <w:t>گرایی</w:t>
      </w:r>
      <w:r w:rsidR="00711B32" w:rsidRPr="00E21858">
        <w:rPr>
          <w:rFonts w:cs="Arial"/>
          <w:i/>
          <w:iCs/>
          <w:rtl/>
        </w:rPr>
        <w:t xml:space="preserve"> </w:t>
      </w:r>
      <w:r w:rsidR="00711B32" w:rsidRPr="00E21858">
        <w:rPr>
          <w:rFonts w:cs="Arial" w:hint="cs"/>
          <w:i/>
          <w:iCs/>
          <w:rtl/>
        </w:rPr>
        <w:t>توحیدی</w:t>
      </w:r>
      <w:r w:rsidR="00711B32" w:rsidRPr="00E21858">
        <w:rPr>
          <w:rFonts w:cs="Arial"/>
          <w:i/>
          <w:iCs/>
          <w:rtl/>
        </w:rPr>
        <w:t xml:space="preserve"> </w:t>
      </w:r>
      <w:r w:rsidR="00711B32" w:rsidRPr="00E21858">
        <w:rPr>
          <w:rFonts w:cs="Arial" w:hint="cs"/>
          <w:i/>
          <w:iCs/>
          <w:rtl/>
        </w:rPr>
        <w:t>و</w:t>
      </w:r>
      <w:r w:rsidR="00711B32" w:rsidRPr="00E21858">
        <w:rPr>
          <w:rFonts w:cs="Arial"/>
          <w:i/>
          <w:iCs/>
          <w:rtl/>
        </w:rPr>
        <w:t xml:space="preserve"> </w:t>
      </w:r>
      <w:r w:rsidR="00711B32" w:rsidRPr="00E21858">
        <w:rPr>
          <w:rFonts w:cs="Arial" w:hint="cs"/>
          <w:i/>
          <w:iCs/>
          <w:rtl/>
        </w:rPr>
        <w:t>حق</w:t>
      </w:r>
      <w:r w:rsidR="00711B32" w:rsidRPr="00E21858">
        <w:rPr>
          <w:rFonts w:cs="Arial"/>
          <w:i/>
          <w:iCs/>
          <w:rtl/>
        </w:rPr>
        <w:t xml:space="preserve"> </w:t>
      </w:r>
      <w:r w:rsidR="00711B32" w:rsidRPr="00E21858">
        <w:rPr>
          <w:rFonts w:cs="Arial" w:hint="cs"/>
          <w:i/>
          <w:iCs/>
          <w:rtl/>
        </w:rPr>
        <w:t>انسان</w:t>
      </w:r>
      <w:r w:rsidR="00711B32" w:rsidRPr="00711B32">
        <w:rPr>
          <w:rFonts w:cs="Arial" w:hint="cs"/>
          <w:rtl/>
        </w:rPr>
        <w:t>،</w:t>
      </w:r>
      <w:r w:rsidR="00711B32" w:rsidRPr="00711B32">
        <w:rPr>
          <w:rFonts w:cs="Arial"/>
          <w:rtl/>
        </w:rPr>
        <w:t xml:space="preserve"> 52.</w:t>
      </w:r>
    </w:p>
  </w:footnote>
  <w:footnote w:id="13">
    <w:p w14:paraId="68B30E39" w14:textId="77777777" w:rsidR="005C6B51" w:rsidRDefault="005C6B51">
      <w:pPr>
        <w:pStyle w:val="FootnoteText"/>
        <w:rPr>
          <w:rtl/>
        </w:rPr>
      </w:pPr>
      <w:r>
        <w:rPr>
          <w:rStyle w:val="FootnoteReference"/>
        </w:rPr>
        <w:footnoteRef/>
      </w:r>
      <w:r w:rsidR="00711B32">
        <w:rPr>
          <w:rFonts w:hint="cs"/>
          <w:rtl/>
        </w:rPr>
        <w:t>.</w:t>
      </w:r>
      <w:r>
        <w:rPr>
          <w:rtl/>
        </w:rPr>
        <w:t xml:space="preserve"> </w:t>
      </w:r>
      <w:r w:rsidR="00711B32" w:rsidRPr="00E21858">
        <w:rPr>
          <w:rFonts w:cs="Arial" w:hint="cs"/>
          <w:i/>
          <w:iCs/>
          <w:rtl/>
        </w:rPr>
        <w:t>نهج</w:t>
      </w:r>
      <w:r w:rsidR="00711B32" w:rsidRPr="00E21858">
        <w:rPr>
          <w:rFonts w:cs="Arial"/>
          <w:i/>
          <w:iCs/>
          <w:rtl/>
        </w:rPr>
        <w:t xml:space="preserve"> </w:t>
      </w:r>
      <w:r w:rsidR="00711B32" w:rsidRPr="00E21858">
        <w:rPr>
          <w:rFonts w:cs="Arial" w:hint="cs"/>
          <w:i/>
          <w:iCs/>
          <w:rtl/>
        </w:rPr>
        <w:t>الفصاحه</w:t>
      </w:r>
      <w:r w:rsidR="00711B32" w:rsidRPr="00711B32">
        <w:rPr>
          <w:rFonts w:cs="Arial" w:hint="cs"/>
          <w:rtl/>
        </w:rPr>
        <w:t>،</w:t>
      </w:r>
      <w:r w:rsidR="00711B32" w:rsidRPr="00711B32">
        <w:rPr>
          <w:rFonts w:cs="Arial"/>
          <w:rtl/>
        </w:rPr>
        <w:t xml:space="preserve"> </w:t>
      </w:r>
      <w:r w:rsidR="00711B32" w:rsidRPr="00711B32">
        <w:rPr>
          <w:rFonts w:cs="Arial" w:hint="cs"/>
          <w:rtl/>
        </w:rPr>
        <w:t>ح</w:t>
      </w:r>
      <w:r w:rsidR="00711B32" w:rsidRPr="00711B32">
        <w:rPr>
          <w:rFonts w:cs="Arial"/>
          <w:rtl/>
        </w:rPr>
        <w:t xml:space="preserve"> 315.</w:t>
      </w:r>
    </w:p>
  </w:footnote>
  <w:footnote w:id="14">
    <w:p w14:paraId="383592E6" w14:textId="77777777" w:rsidR="005C6B51" w:rsidRDefault="005C6B51">
      <w:pPr>
        <w:pStyle w:val="FootnoteText"/>
        <w:rPr>
          <w:rtl/>
        </w:rPr>
      </w:pPr>
      <w:r>
        <w:rPr>
          <w:rStyle w:val="FootnoteReference"/>
        </w:rPr>
        <w:footnoteRef/>
      </w:r>
      <w:r w:rsidR="00711B32">
        <w:rPr>
          <w:rFonts w:hint="cs"/>
          <w:rtl/>
        </w:rPr>
        <w:t>.</w:t>
      </w:r>
      <w:r>
        <w:rPr>
          <w:rtl/>
        </w:rPr>
        <w:t xml:space="preserve"> </w:t>
      </w:r>
      <w:r w:rsidR="00711B32" w:rsidRPr="00E21858">
        <w:rPr>
          <w:rFonts w:cs="Arial" w:hint="cs"/>
          <w:i/>
          <w:iCs/>
          <w:rtl/>
        </w:rPr>
        <w:t>عام</w:t>
      </w:r>
      <w:r w:rsidR="00711B32" w:rsidRPr="00E21858">
        <w:rPr>
          <w:rFonts w:cs="Arial"/>
          <w:i/>
          <w:iCs/>
          <w:rtl/>
        </w:rPr>
        <w:t xml:space="preserve"> </w:t>
      </w:r>
      <w:r w:rsidR="00711B32" w:rsidRPr="00E21858">
        <w:rPr>
          <w:rFonts w:cs="Arial" w:hint="cs"/>
          <w:i/>
          <w:iCs/>
          <w:rtl/>
        </w:rPr>
        <w:t>گرایی</w:t>
      </w:r>
      <w:r w:rsidR="00711B32" w:rsidRPr="00E21858">
        <w:rPr>
          <w:rFonts w:cs="Arial"/>
          <w:i/>
          <w:iCs/>
          <w:rtl/>
        </w:rPr>
        <w:t xml:space="preserve"> </w:t>
      </w:r>
      <w:r w:rsidR="00711B32" w:rsidRPr="00E21858">
        <w:rPr>
          <w:rFonts w:cs="Arial" w:hint="cs"/>
          <w:i/>
          <w:iCs/>
          <w:rtl/>
        </w:rPr>
        <w:t>توحیدی</w:t>
      </w:r>
      <w:r w:rsidR="00711B32" w:rsidRPr="00E21858">
        <w:rPr>
          <w:rFonts w:cs="Arial"/>
          <w:i/>
          <w:iCs/>
          <w:rtl/>
        </w:rPr>
        <w:t xml:space="preserve"> </w:t>
      </w:r>
      <w:r w:rsidR="00711B32" w:rsidRPr="00E21858">
        <w:rPr>
          <w:rFonts w:cs="Arial" w:hint="cs"/>
          <w:i/>
          <w:iCs/>
          <w:rtl/>
        </w:rPr>
        <w:t>و</w:t>
      </w:r>
      <w:r w:rsidR="00711B32" w:rsidRPr="00E21858">
        <w:rPr>
          <w:rFonts w:cs="Arial"/>
          <w:i/>
          <w:iCs/>
          <w:rtl/>
        </w:rPr>
        <w:t xml:space="preserve"> </w:t>
      </w:r>
      <w:r w:rsidR="00711B32" w:rsidRPr="00E21858">
        <w:rPr>
          <w:rFonts w:cs="Arial" w:hint="cs"/>
          <w:i/>
          <w:iCs/>
          <w:rtl/>
        </w:rPr>
        <w:t>حق</w:t>
      </w:r>
      <w:r w:rsidR="00711B32" w:rsidRPr="00E21858">
        <w:rPr>
          <w:rFonts w:cs="Arial"/>
          <w:i/>
          <w:iCs/>
          <w:rtl/>
        </w:rPr>
        <w:t xml:space="preserve"> </w:t>
      </w:r>
      <w:r w:rsidR="00711B32" w:rsidRPr="00E21858">
        <w:rPr>
          <w:rFonts w:cs="Arial" w:hint="cs"/>
          <w:i/>
          <w:iCs/>
          <w:rtl/>
        </w:rPr>
        <w:t>انسان</w:t>
      </w:r>
      <w:r w:rsidR="00711B32" w:rsidRPr="00711B32">
        <w:rPr>
          <w:rFonts w:cs="Arial" w:hint="cs"/>
          <w:rtl/>
        </w:rPr>
        <w:t>،</w:t>
      </w:r>
      <w:r w:rsidR="00711B32" w:rsidRPr="00711B32">
        <w:rPr>
          <w:rFonts w:cs="Arial"/>
          <w:rtl/>
        </w:rPr>
        <w:t xml:space="preserve"> 51.</w:t>
      </w:r>
    </w:p>
  </w:footnote>
  <w:footnote w:id="15">
    <w:p w14:paraId="7A51547F" w14:textId="77777777" w:rsidR="005C6B51" w:rsidRDefault="005C6B51">
      <w:pPr>
        <w:pStyle w:val="FootnoteText"/>
        <w:rPr>
          <w:rtl/>
        </w:rPr>
      </w:pPr>
      <w:r>
        <w:rPr>
          <w:rStyle w:val="FootnoteReference"/>
        </w:rPr>
        <w:footnoteRef/>
      </w:r>
      <w:r w:rsidR="00711B32">
        <w:rPr>
          <w:rFonts w:hint="cs"/>
          <w:rtl/>
        </w:rPr>
        <w:t xml:space="preserve">. </w:t>
      </w:r>
      <w:r w:rsidR="00711B32" w:rsidRPr="00711B32">
        <w:rPr>
          <w:rFonts w:cs="Arial" w:hint="cs"/>
          <w:rtl/>
        </w:rPr>
        <w:t>همان،</w:t>
      </w:r>
      <w:r w:rsidR="00711B32" w:rsidRPr="00711B32">
        <w:rPr>
          <w:rFonts w:cs="Arial"/>
          <w:rtl/>
        </w:rPr>
        <w:t xml:space="preserve"> 52 – 53.</w:t>
      </w:r>
      <w:r>
        <w:rPr>
          <w:rtl/>
        </w:rPr>
        <w:t xml:space="preserve"> </w:t>
      </w:r>
    </w:p>
  </w:footnote>
  <w:footnote w:id="16">
    <w:p w14:paraId="1D238F44" w14:textId="77777777" w:rsidR="005C6B51" w:rsidRDefault="005C6B51" w:rsidP="00711B32">
      <w:pPr>
        <w:pStyle w:val="FootnoteText"/>
        <w:bidi w:val="0"/>
        <w:rPr>
          <w:rtl/>
        </w:rPr>
      </w:pPr>
      <w:r>
        <w:rPr>
          <w:rStyle w:val="FootnoteReference"/>
        </w:rPr>
        <w:footnoteRef/>
      </w:r>
      <w:r w:rsidR="00711B32">
        <w:rPr>
          <w:rFonts w:hint="cs"/>
          <w:rtl/>
        </w:rPr>
        <w:t xml:space="preserve">. </w:t>
      </w:r>
      <w:r w:rsidR="00711B32" w:rsidRPr="00711B32">
        <w:t xml:space="preserve">Plato. </w:t>
      </w:r>
      <w:r w:rsidR="00711B32" w:rsidRPr="00DC36F1">
        <w:rPr>
          <w:i/>
          <w:iCs/>
        </w:rPr>
        <w:t>The Last Days of Socrates</w:t>
      </w:r>
      <w:r w:rsidR="00711B32" w:rsidRPr="00711B32">
        <w:t>, 84 – 96</w:t>
      </w:r>
      <w:r w:rsidR="00711B32" w:rsidRPr="00711B32">
        <w:rPr>
          <w:rFonts w:cs="Arial"/>
          <w:rtl/>
        </w:rPr>
        <w:t>.</w:t>
      </w:r>
    </w:p>
  </w:footnote>
  <w:footnote w:id="17">
    <w:p w14:paraId="783BD261" w14:textId="77777777" w:rsidR="005C6B51" w:rsidRDefault="005C6B51" w:rsidP="00711B32">
      <w:pPr>
        <w:pStyle w:val="FootnoteText"/>
        <w:rPr>
          <w:rtl/>
        </w:rPr>
      </w:pPr>
      <w:r>
        <w:rPr>
          <w:rStyle w:val="FootnoteReference"/>
        </w:rPr>
        <w:footnoteRef/>
      </w:r>
      <w:r w:rsidR="00711B32">
        <w:rPr>
          <w:rFonts w:hint="cs"/>
          <w:rtl/>
        </w:rPr>
        <w:t xml:space="preserve">. </w:t>
      </w:r>
      <w:r w:rsidR="00711B32">
        <w:rPr>
          <w:rFonts w:cs="Arial" w:hint="cs"/>
          <w:rtl/>
        </w:rPr>
        <w:t>احمد</w:t>
      </w:r>
      <w:r w:rsidR="00711B32">
        <w:rPr>
          <w:rFonts w:cs="Arial"/>
          <w:rtl/>
        </w:rPr>
        <w:t xml:space="preserve"> </w:t>
      </w:r>
      <w:r w:rsidR="00711B32">
        <w:rPr>
          <w:rFonts w:cs="Arial" w:hint="cs"/>
          <w:rtl/>
        </w:rPr>
        <w:t>واعظی،</w:t>
      </w:r>
      <w:r w:rsidR="00711B32">
        <w:rPr>
          <w:rFonts w:cs="Arial"/>
          <w:rtl/>
        </w:rPr>
        <w:t xml:space="preserve"> </w:t>
      </w:r>
      <w:r w:rsidR="00711B32" w:rsidRPr="00E21858">
        <w:rPr>
          <w:rFonts w:cs="Arial" w:hint="cs"/>
          <w:i/>
          <w:iCs/>
          <w:rtl/>
        </w:rPr>
        <w:t>نقد</w:t>
      </w:r>
      <w:r w:rsidR="00711B32" w:rsidRPr="00E21858">
        <w:rPr>
          <w:rFonts w:cs="Arial"/>
          <w:i/>
          <w:iCs/>
          <w:rtl/>
        </w:rPr>
        <w:t xml:space="preserve"> </w:t>
      </w:r>
      <w:r w:rsidR="00711B32" w:rsidRPr="00E21858">
        <w:rPr>
          <w:rFonts w:cs="Arial" w:hint="cs"/>
          <w:i/>
          <w:iCs/>
          <w:rtl/>
        </w:rPr>
        <w:t>و</w:t>
      </w:r>
      <w:r w:rsidR="00711B32" w:rsidRPr="00E21858">
        <w:rPr>
          <w:rFonts w:cs="Arial"/>
          <w:i/>
          <w:iCs/>
          <w:rtl/>
        </w:rPr>
        <w:t xml:space="preserve"> </w:t>
      </w:r>
      <w:r w:rsidR="00711B32" w:rsidRPr="00E21858">
        <w:rPr>
          <w:rFonts w:cs="Arial" w:hint="cs"/>
          <w:i/>
          <w:iCs/>
          <w:rtl/>
        </w:rPr>
        <w:t>بررسی</w:t>
      </w:r>
      <w:r w:rsidR="00711B32" w:rsidRPr="00E21858">
        <w:rPr>
          <w:rFonts w:cs="Arial"/>
          <w:i/>
          <w:iCs/>
          <w:rtl/>
        </w:rPr>
        <w:t xml:space="preserve"> </w:t>
      </w:r>
      <w:r w:rsidR="00711B32" w:rsidRPr="00E21858">
        <w:rPr>
          <w:rFonts w:cs="Arial" w:hint="cs"/>
          <w:i/>
          <w:iCs/>
          <w:rtl/>
        </w:rPr>
        <w:t>نظریه</w:t>
      </w:r>
      <w:r w:rsidR="00711B32" w:rsidRPr="00E21858">
        <w:rPr>
          <w:rFonts w:cs="Arial"/>
          <w:i/>
          <w:iCs/>
          <w:rtl/>
        </w:rPr>
        <w:t xml:space="preserve"> </w:t>
      </w:r>
      <w:r w:rsidR="00711B32" w:rsidRPr="00E21858">
        <w:rPr>
          <w:rFonts w:cs="Arial" w:hint="cs"/>
          <w:i/>
          <w:iCs/>
          <w:rtl/>
        </w:rPr>
        <w:t>های</w:t>
      </w:r>
      <w:r w:rsidR="00711B32" w:rsidRPr="00E21858">
        <w:rPr>
          <w:rFonts w:cs="Arial"/>
          <w:i/>
          <w:iCs/>
          <w:rtl/>
        </w:rPr>
        <w:t xml:space="preserve"> </w:t>
      </w:r>
      <w:r w:rsidR="00711B32" w:rsidRPr="00E21858">
        <w:rPr>
          <w:rFonts w:cs="Arial" w:hint="cs"/>
          <w:i/>
          <w:iCs/>
          <w:rtl/>
        </w:rPr>
        <w:t>عدالت</w:t>
      </w:r>
      <w:r w:rsidR="00711B32">
        <w:rPr>
          <w:rFonts w:cs="Arial" w:hint="cs"/>
          <w:rtl/>
        </w:rPr>
        <w:t>،</w:t>
      </w:r>
      <w:r w:rsidR="00711B32">
        <w:rPr>
          <w:rFonts w:cs="Arial"/>
          <w:rtl/>
        </w:rPr>
        <w:t xml:space="preserve"> 73.</w:t>
      </w:r>
    </w:p>
  </w:footnote>
  <w:footnote w:id="18">
    <w:p w14:paraId="2A02D9A9" w14:textId="77777777" w:rsidR="005C6B51" w:rsidRDefault="005C6B51">
      <w:pPr>
        <w:pStyle w:val="FootnoteText"/>
        <w:rPr>
          <w:rtl/>
        </w:rPr>
      </w:pPr>
      <w:r>
        <w:rPr>
          <w:rStyle w:val="FootnoteReference"/>
        </w:rPr>
        <w:footnoteRef/>
      </w:r>
      <w:r w:rsidR="00711B32">
        <w:rPr>
          <w:rFonts w:hint="cs"/>
          <w:rtl/>
        </w:rPr>
        <w:t xml:space="preserve">. </w:t>
      </w:r>
      <w:r w:rsidR="00711B32" w:rsidRPr="00711B32">
        <w:rPr>
          <w:rFonts w:cs="Arial" w:hint="cs"/>
          <w:rtl/>
        </w:rPr>
        <w:t>همان،</w:t>
      </w:r>
      <w:r w:rsidR="00711B32" w:rsidRPr="00711B32">
        <w:rPr>
          <w:rFonts w:cs="Arial"/>
          <w:rtl/>
        </w:rPr>
        <w:t xml:space="preserve"> 181.</w:t>
      </w:r>
    </w:p>
  </w:footnote>
  <w:footnote w:id="19">
    <w:p w14:paraId="4A64FD23" w14:textId="77777777" w:rsidR="005C6B51" w:rsidRDefault="005C6B51">
      <w:pPr>
        <w:pStyle w:val="FootnoteText"/>
        <w:rPr>
          <w:rtl/>
        </w:rPr>
      </w:pPr>
      <w:r>
        <w:rPr>
          <w:rStyle w:val="FootnoteReference"/>
        </w:rPr>
        <w:footnoteRef/>
      </w:r>
      <w:r w:rsidR="00711B32">
        <w:rPr>
          <w:rFonts w:hint="cs"/>
          <w:rtl/>
        </w:rPr>
        <w:t xml:space="preserve">. </w:t>
      </w:r>
      <w:r w:rsidR="00711B32" w:rsidRPr="00711B32">
        <w:rPr>
          <w:rFonts w:cs="Arial" w:hint="cs"/>
          <w:rtl/>
        </w:rPr>
        <w:t>رابرت</w:t>
      </w:r>
      <w:r w:rsidR="00711B32" w:rsidRPr="00711B32">
        <w:rPr>
          <w:rFonts w:cs="Arial"/>
          <w:rtl/>
        </w:rPr>
        <w:t xml:space="preserve"> </w:t>
      </w:r>
      <w:r w:rsidR="00711B32" w:rsidRPr="00711B32">
        <w:rPr>
          <w:rFonts w:cs="Arial" w:hint="cs"/>
          <w:rtl/>
        </w:rPr>
        <w:t>ال</w:t>
      </w:r>
      <w:r w:rsidR="00711B32" w:rsidRPr="00711B32">
        <w:rPr>
          <w:rFonts w:cs="Arial"/>
          <w:rtl/>
        </w:rPr>
        <w:t xml:space="preserve">. </w:t>
      </w:r>
      <w:r w:rsidR="00711B32" w:rsidRPr="00711B32">
        <w:rPr>
          <w:rFonts w:cs="Arial" w:hint="cs"/>
          <w:rtl/>
        </w:rPr>
        <w:t>هولمز،</w:t>
      </w:r>
      <w:r w:rsidR="00711B32" w:rsidRPr="00711B32">
        <w:rPr>
          <w:rFonts w:cs="Arial"/>
          <w:rtl/>
        </w:rPr>
        <w:t xml:space="preserve"> </w:t>
      </w:r>
      <w:r w:rsidR="00711B32" w:rsidRPr="00E21858">
        <w:rPr>
          <w:rFonts w:cs="Arial" w:hint="cs"/>
          <w:i/>
          <w:iCs/>
          <w:rtl/>
        </w:rPr>
        <w:t>مبانی</w:t>
      </w:r>
      <w:r w:rsidR="00711B32" w:rsidRPr="00E21858">
        <w:rPr>
          <w:rFonts w:cs="Arial"/>
          <w:i/>
          <w:iCs/>
          <w:rtl/>
        </w:rPr>
        <w:t xml:space="preserve"> </w:t>
      </w:r>
      <w:r w:rsidR="00711B32" w:rsidRPr="00E21858">
        <w:rPr>
          <w:rFonts w:cs="Arial" w:hint="cs"/>
          <w:i/>
          <w:iCs/>
          <w:rtl/>
        </w:rPr>
        <w:t>فلسفه</w:t>
      </w:r>
      <w:r w:rsidR="00711B32" w:rsidRPr="00E21858">
        <w:rPr>
          <w:rFonts w:cs="Arial"/>
          <w:i/>
          <w:iCs/>
          <w:rtl/>
        </w:rPr>
        <w:t xml:space="preserve"> </w:t>
      </w:r>
      <w:r w:rsidR="00711B32" w:rsidRPr="00E21858">
        <w:rPr>
          <w:rFonts w:cs="Arial" w:hint="cs"/>
          <w:i/>
          <w:iCs/>
          <w:rtl/>
        </w:rPr>
        <w:t>اخلاق</w:t>
      </w:r>
      <w:r w:rsidR="00711B32" w:rsidRPr="00711B32">
        <w:rPr>
          <w:rFonts w:cs="Arial" w:hint="cs"/>
          <w:rtl/>
        </w:rPr>
        <w:t>،</w:t>
      </w:r>
      <w:r w:rsidR="00711B32" w:rsidRPr="00711B32">
        <w:rPr>
          <w:rFonts w:cs="Arial"/>
          <w:rtl/>
        </w:rPr>
        <w:t xml:space="preserve"> 243.</w:t>
      </w:r>
    </w:p>
  </w:footnote>
  <w:footnote w:id="20">
    <w:p w14:paraId="1F501244" w14:textId="77777777" w:rsidR="005C6B51" w:rsidRDefault="005C6B51">
      <w:pPr>
        <w:pStyle w:val="FootnoteText"/>
        <w:rPr>
          <w:rtl/>
        </w:rPr>
      </w:pPr>
      <w:r>
        <w:rPr>
          <w:rStyle w:val="FootnoteReference"/>
        </w:rPr>
        <w:footnoteRef/>
      </w:r>
      <w:r w:rsidR="00711B32">
        <w:rPr>
          <w:rFonts w:hint="cs"/>
          <w:rtl/>
        </w:rPr>
        <w:t>.</w:t>
      </w:r>
      <w:r>
        <w:rPr>
          <w:rtl/>
        </w:rPr>
        <w:t xml:space="preserve"> </w:t>
      </w:r>
      <w:r w:rsidR="00711B32" w:rsidRPr="00E21858">
        <w:rPr>
          <w:rFonts w:cs="Arial" w:hint="cs"/>
          <w:i/>
          <w:iCs/>
          <w:rtl/>
        </w:rPr>
        <w:t>نقد</w:t>
      </w:r>
      <w:r w:rsidR="00711B32" w:rsidRPr="00E21858">
        <w:rPr>
          <w:rFonts w:cs="Arial"/>
          <w:i/>
          <w:iCs/>
          <w:rtl/>
        </w:rPr>
        <w:t xml:space="preserve"> </w:t>
      </w:r>
      <w:r w:rsidR="00711B32" w:rsidRPr="00E21858">
        <w:rPr>
          <w:rFonts w:cs="Arial" w:hint="cs"/>
          <w:i/>
          <w:iCs/>
          <w:rtl/>
        </w:rPr>
        <w:t>و</w:t>
      </w:r>
      <w:r w:rsidR="00711B32" w:rsidRPr="00E21858">
        <w:rPr>
          <w:rFonts w:cs="Arial"/>
          <w:i/>
          <w:iCs/>
          <w:rtl/>
        </w:rPr>
        <w:t xml:space="preserve"> </w:t>
      </w:r>
      <w:r w:rsidR="00711B32" w:rsidRPr="00E21858">
        <w:rPr>
          <w:rFonts w:cs="Arial" w:hint="cs"/>
          <w:i/>
          <w:iCs/>
          <w:rtl/>
        </w:rPr>
        <w:t>بررسی</w:t>
      </w:r>
      <w:r w:rsidR="00711B32" w:rsidRPr="00E21858">
        <w:rPr>
          <w:rFonts w:cs="Arial"/>
          <w:i/>
          <w:iCs/>
          <w:rtl/>
        </w:rPr>
        <w:t xml:space="preserve"> </w:t>
      </w:r>
      <w:r w:rsidR="00711B32" w:rsidRPr="00E21858">
        <w:rPr>
          <w:rFonts w:cs="Arial" w:hint="cs"/>
          <w:i/>
          <w:iCs/>
          <w:rtl/>
        </w:rPr>
        <w:t>نظریه</w:t>
      </w:r>
      <w:r w:rsidR="00711B32" w:rsidRPr="00E21858">
        <w:rPr>
          <w:rFonts w:cs="Arial"/>
          <w:i/>
          <w:iCs/>
          <w:rtl/>
        </w:rPr>
        <w:t xml:space="preserve"> </w:t>
      </w:r>
      <w:r w:rsidR="00711B32" w:rsidRPr="00E21858">
        <w:rPr>
          <w:rFonts w:cs="Arial" w:hint="cs"/>
          <w:i/>
          <w:iCs/>
          <w:rtl/>
        </w:rPr>
        <w:t>های</w:t>
      </w:r>
      <w:r w:rsidR="00711B32" w:rsidRPr="00E21858">
        <w:rPr>
          <w:rFonts w:cs="Arial"/>
          <w:i/>
          <w:iCs/>
          <w:rtl/>
        </w:rPr>
        <w:t xml:space="preserve"> </w:t>
      </w:r>
      <w:r w:rsidR="00711B32" w:rsidRPr="00E21858">
        <w:rPr>
          <w:rFonts w:cs="Arial" w:hint="cs"/>
          <w:i/>
          <w:iCs/>
          <w:rtl/>
        </w:rPr>
        <w:t>عدالت</w:t>
      </w:r>
      <w:r w:rsidR="00711B32" w:rsidRPr="00711B32">
        <w:rPr>
          <w:rFonts w:cs="Arial" w:hint="cs"/>
          <w:rtl/>
        </w:rPr>
        <w:t>،</w:t>
      </w:r>
      <w:r w:rsidR="00711B32" w:rsidRPr="00711B32">
        <w:rPr>
          <w:rFonts w:cs="Arial"/>
          <w:rtl/>
        </w:rPr>
        <w:t xml:space="preserve"> 192.</w:t>
      </w:r>
    </w:p>
  </w:footnote>
  <w:footnote w:id="21">
    <w:p w14:paraId="5DD9796B" w14:textId="77777777" w:rsidR="005C6B51" w:rsidRDefault="005C6B51" w:rsidP="00711B32">
      <w:pPr>
        <w:pStyle w:val="FootnoteText"/>
        <w:rPr>
          <w:rtl/>
        </w:rPr>
      </w:pPr>
      <w:r>
        <w:rPr>
          <w:rStyle w:val="FootnoteReference"/>
        </w:rPr>
        <w:footnoteRef/>
      </w:r>
      <w:r w:rsidR="00711B32">
        <w:rPr>
          <w:rFonts w:hint="cs"/>
          <w:rtl/>
        </w:rPr>
        <w:t>.</w:t>
      </w:r>
      <w:r>
        <w:rPr>
          <w:rtl/>
        </w:rPr>
        <w:t xml:space="preserve"> </w:t>
      </w:r>
      <w:r w:rsidR="00711B32" w:rsidRPr="00E21858">
        <w:rPr>
          <w:rFonts w:cs="Arial" w:hint="cs"/>
          <w:i/>
          <w:iCs/>
          <w:rtl/>
        </w:rPr>
        <w:t>مبانی</w:t>
      </w:r>
      <w:r w:rsidR="00711B32" w:rsidRPr="00E21858">
        <w:rPr>
          <w:rFonts w:cs="Arial"/>
          <w:i/>
          <w:iCs/>
          <w:rtl/>
        </w:rPr>
        <w:t xml:space="preserve"> </w:t>
      </w:r>
      <w:r w:rsidR="00711B32" w:rsidRPr="00E21858">
        <w:rPr>
          <w:rFonts w:cs="Arial" w:hint="cs"/>
          <w:i/>
          <w:iCs/>
          <w:rtl/>
        </w:rPr>
        <w:t>فلسفه</w:t>
      </w:r>
      <w:r w:rsidR="00711B32" w:rsidRPr="00E21858">
        <w:rPr>
          <w:rFonts w:cs="Arial"/>
          <w:i/>
          <w:iCs/>
          <w:rtl/>
        </w:rPr>
        <w:t xml:space="preserve"> </w:t>
      </w:r>
      <w:r w:rsidR="00711B32" w:rsidRPr="00E21858">
        <w:rPr>
          <w:rFonts w:cs="Arial" w:hint="cs"/>
          <w:i/>
          <w:iCs/>
          <w:rtl/>
        </w:rPr>
        <w:t>اخلاق</w:t>
      </w:r>
      <w:r w:rsidR="00711B32">
        <w:rPr>
          <w:rFonts w:cs="Arial" w:hint="cs"/>
          <w:rtl/>
        </w:rPr>
        <w:t>،</w:t>
      </w:r>
      <w:r w:rsidR="00711B32">
        <w:rPr>
          <w:rFonts w:cs="Arial"/>
          <w:rtl/>
        </w:rPr>
        <w:t xml:space="preserve"> 231.</w:t>
      </w:r>
    </w:p>
  </w:footnote>
  <w:footnote w:id="22">
    <w:p w14:paraId="7B13D8FB" w14:textId="77777777" w:rsidR="005C6B51" w:rsidRDefault="005C6B51">
      <w:pPr>
        <w:pStyle w:val="FootnoteText"/>
        <w:rPr>
          <w:rtl/>
        </w:rPr>
      </w:pPr>
      <w:r>
        <w:rPr>
          <w:rStyle w:val="FootnoteReference"/>
        </w:rPr>
        <w:footnoteRef/>
      </w:r>
      <w:r w:rsidR="00711B32">
        <w:rPr>
          <w:rFonts w:hint="cs"/>
          <w:rtl/>
        </w:rPr>
        <w:t xml:space="preserve">. </w:t>
      </w:r>
      <w:r w:rsidR="00711B32" w:rsidRPr="00711B32">
        <w:rPr>
          <w:rFonts w:cs="Arial" w:hint="cs"/>
          <w:rtl/>
        </w:rPr>
        <w:t>محمد</w:t>
      </w:r>
      <w:r w:rsidR="00711B32" w:rsidRPr="00711B32">
        <w:rPr>
          <w:rFonts w:cs="Arial"/>
          <w:rtl/>
        </w:rPr>
        <w:t xml:space="preserve"> </w:t>
      </w:r>
      <w:r w:rsidR="00711B32" w:rsidRPr="00711B32">
        <w:rPr>
          <w:rFonts w:cs="Arial" w:hint="cs"/>
          <w:rtl/>
        </w:rPr>
        <w:t>تقی</w:t>
      </w:r>
      <w:r w:rsidR="00711B32" w:rsidRPr="00711B32">
        <w:rPr>
          <w:rFonts w:cs="Arial"/>
          <w:rtl/>
        </w:rPr>
        <w:t xml:space="preserve"> </w:t>
      </w:r>
      <w:r w:rsidR="00711B32" w:rsidRPr="00711B32">
        <w:rPr>
          <w:rFonts w:cs="Arial" w:hint="cs"/>
          <w:rtl/>
        </w:rPr>
        <w:t>مصباح</w:t>
      </w:r>
      <w:r w:rsidR="00711B32" w:rsidRPr="00711B32">
        <w:rPr>
          <w:rFonts w:cs="Arial"/>
          <w:rtl/>
        </w:rPr>
        <w:t xml:space="preserve"> </w:t>
      </w:r>
      <w:r w:rsidR="00711B32" w:rsidRPr="00711B32">
        <w:rPr>
          <w:rFonts w:cs="Arial" w:hint="cs"/>
          <w:rtl/>
        </w:rPr>
        <w:t>یزدی،</w:t>
      </w:r>
      <w:r w:rsidR="00711B32" w:rsidRPr="00711B32">
        <w:rPr>
          <w:rFonts w:cs="Arial"/>
          <w:rtl/>
        </w:rPr>
        <w:t xml:space="preserve"> </w:t>
      </w:r>
      <w:r w:rsidR="00711B32" w:rsidRPr="00E21858">
        <w:rPr>
          <w:rFonts w:cs="Arial" w:hint="cs"/>
          <w:i/>
          <w:iCs/>
          <w:rtl/>
        </w:rPr>
        <w:t>فلسفه</w:t>
      </w:r>
      <w:r w:rsidR="00711B32" w:rsidRPr="00E21858">
        <w:rPr>
          <w:rFonts w:cs="Arial"/>
          <w:i/>
          <w:iCs/>
          <w:rtl/>
        </w:rPr>
        <w:t xml:space="preserve"> </w:t>
      </w:r>
      <w:r w:rsidR="00711B32" w:rsidRPr="00E21858">
        <w:rPr>
          <w:rFonts w:cs="Arial" w:hint="cs"/>
          <w:i/>
          <w:iCs/>
          <w:rtl/>
        </w:rPr>
        <w:t>اخلاق</w:t>
      </w:r>
      <w:r w:rsidR="00711B32" w:rsidRPr="00711B32">
        <w:rPr>
          <w:rFonts w:cs="Arial" w:hint="cs"/>
          <w:rtl/>
        </w:rPr>
        <w:t>،</w:t>
      </w:r>
      <w:r w:rsidR="00711B32" w:rsidRPr="00711B32">
        <w:rPr>
          <w:rFonts w:cs="Arial"/>
          <w:rtl/>
        </w:rPr>
        <w:t xml:space="preserve"> 61.</w:t>
      </w:r>
      <w:r>
        <w:rPr>
          <w:rtl/>
        </w:rPr>
        <w:t xml:space="preserve"> </w:t>
      </w:r>
    </w:p>
  </w:footnote>
  <w:footnote w:id="23">
    <w:p w14:paraId="43781097" w14:textId="77777777" w:rsidR="005C6B51" w:rsidRDefault="005C6B51" w:rsidP="00711B32">
      <w:pPr>
        <w:pStyle w:val="FootnoteText"/>
        <w:bidi w:val="0"/>
        <w:rPr>
          <w:rtl/>
        </w:rPr>
      </w:pPr>
      <w:r>
        <w:rPr>
          <w:rStyle w:val="FootnoteReference"/>
        </w:rPr>
        <w:footnoteRef/>
      </w:r>
      <w:r w:rsidR="00E21858">
        <w:rPr>
          <w:rFonts w:hint="cs"/>
          <w:rtl/>
        </w:rPr>
        <w:t xml:space="preserve"> </w:t>
      </w:r>
      <w:r w:rsidR="00711B32">
        <w:rPr>
          <w:rFonts w:hint="cs"/>
          <w:rtl/>
        </w:rPr>
        <w:t xml:space="preserve">. </w:t>
      </w:r>
      <w:r>
        <w:rPr>
          <w:rtl/>
        </w:rPr>
        <w:t xml:space="preserve"> </w:t>
      </w:r>
      <w:r w:rsidR="00711B32" w:rsidRPr="00E21858">
        <w:rPr>
          <w:i/>
          <w:iCs/>
        </w:rPr>
        <w:t>Stanford Encyclopedia of Philosophy</w:t>
      </w:r>
      <w:r w:rsidR="00711B32" w:rsidRPr="00711B32">
        <w:t>, Plato</w:t>
      </w:r>
      <w:r w:rsidR="00711B32" w:rsidRPr="00711B32">
        <w:rPr>
          <w:rFonts w:cs="Arial"/>
          <w:rtl/>
        </w:rPr>
        <w:t>.</w:t>
      </w:r>
    </w:p>
  </w:footnote>
  <w:footnote w:id="24">
    <w:p w14:paraId="702150FC" w14:textId="77777777" w:rsidR="005C6B51" w:rsidRDefault="005C6B51" w:rsidP="00E21858">
      <w:pPr>
        <w:pStyle w:val="FootnoteText"/>
        <w:rPr>
          <w:rtl/>
        </w:rPr>
      </w:pPr>
      <w:r>
        <w:rPr>
          <w:rStyle w:val="FootnoteReference"/>
        </w:rPr>
        <w:footnoteRef/>
      </w:r>
      <w:r w:rsidR="00E21858">
        <w:rPr>
          <w:rFonts w:hint="cs"/>
          <w:rtl/>
        </w:rPr>
        <w:t xml:space="preserve">. </w:t>
      </w:r>
      <w:r w:rsidR="00E21858">
        <w:rPr>
          <w:rFonts w:cs="Arial" w:hint="cs"/>
          <w:rtl/>
        </w:rPr>
        <w:t>مایکل</w:t>
      </w:r>
      <w:r w:rsidR="00E21858">
        <w:rPr>
          <w:rFonts w:cs="Arial"/>
          <w:rtl/>
        </w:rPr>
        <w:t xml:space="preserve"> </w:t>
      </w:r>
      <w:r w:rsidR="00E21858">
        <w:rPr>
          <w:rFonts w:cs="Arial" w:hint="cs"/>
          <w:rtl/>
        </w:rPr>
        <w:t>ب</w:t>
      </w:r>
      <w:r w:rsidR="00E21858">
        <w:rPr>
          <w:rFonts w:cs="Arial"/>
          <w:rtl/>
        </w:rPr>
        <w:t xml:space="preserve">. </w:t>
      </w:r>
      <w:r w:rsidR="00E21858">
        <w:rPr>
          <w:rFonts w:cs="Arial" w:hint="cs"/>
          <w:rtl/>
        </w:rPr>
        <w:t>فاستر،</w:t>
      </w:r>
      <w:r w:rsidR="00E21858">
        <w:rPr>
          <w:rFonts w:cs="Arial"/>
          <w:rtl/>
        </w:rPr>
        <w:t xml:space="preserve"> </w:t>
      </w:r>
      <w:r w:rsidR="00E21858" w:rsidRPr="00E21858">
        <w:rPr>
          <w:rFonts w:cs="Arial" w:hint="cs"/>
          <w:i/>
          <w:iCs/>
          <w:rtl/>
        </w:rPr>
        <w:t>خداوندان</w:t>
      </w:r>
      <w:r w:rsidR="00E21858" w:rsidRPr="00E21858">
        <w:rPr>
          <w:rFonts w:cs="Arial"/>
          <w:i/>
          <w:iCs/>
          <w:rtl/>
        </w:rPr>
        <w:t xml:space="preserve"> </w:t>
      </w:r>
      <w:r w:rsidR="00E21858" w:rsidRPr="00E21858">
        <w:rPr>
          <w:rFonts w:cs="Arial" w:hint="cs"/>
          <w:i/>
          <w:iCs/>
          <w:rtl/>
        </w:rPr>
        <w:t>اندیشه</w:t>
      </w:r>
      <w:r w:rsidR="00E21858" w:rsidRPr="00E21858">
        <w:rPr>
          <w:rFonts w:cs="Arial"/>
          <w:i/>
          <w:iCs/>
          <w:rtl/>
        </w:rPr>
        <w:t xml:space="preserve"> </w:t>
      </w:r>
      <w:r w:rsidR="00E21858" w:rsidRPr="00E21858">
        <w:rPr>
          <w:rFonts w:cs="Arial" w:hint="cs"/>
          <w:i/>
          <w:iCs/>
          <w:rtl/>
        </w:rPr>
        <w:t>سیاسی</w:t>
      </w:r>
      <w:r w:rsidR="00E21858">
        <w:rPr>
          <w:rFonts w:cs="Arial" w:hint="cs"/>
          <w:rtl/>
        </w:rPr>
        <w:t>،</w:t>
      </w:r>
      <w:r w:rsidR="00E21858">
        <w:rPr>
          <w:rFonts w:cs="Arial"/>
          <w:rtl/>
        </w:rPr>
        <w:t xml:space="preserve"> 44.</w:t>
      </w:r>
    </w:p>
  </w:footnote>
  <w:footnote w:id="25">
    <w:p w14:paraId="492CD579" w14:textId="77777777" w:rsidR="005C6B51" w:rsidRDefault="005C6B51">
      <w:pPr>
        <w:pStyle w:val="FootnoteText"/>
        <w:rPr>
          <w:rtl/>
        </w:rPr>
      </w:pPr>
      <w:r>
        <w:rPr>
          <w:rStyle w:val="FootnoteReference"/>
        </w:rPr>
        <w:footnoteRef/>
      </w:r>
      <w:r w:rsidR="00E21858">
        <w:rPr>
          <w:rFonts w:hint="cs"/>
          <w:rtl/>
        </w:rPr>
        <w:t xml:space="preserve">. </w:t>
      </w:r>
      <w:r w:rsidR="00E21858" w:rsidRPr="00E21858">
        <w:rPr>
          <w:rFonts w:cs="Arial" w:hint="cs"/>
          <w:i/>
          <w:iCs/>
          <w:rtl/>
        </w:rPr>
        <w:t>نقد</w:t>
      </w:r>
      <w:r w:rsidR="00E21858" w:rsidRPr="00E21858">
        <w:rPr>
          <w:rFonts w:cs="Arial"/>
          <w:i/>
          <w:iCs/>
          <w:rtl/>
        </w:rPr>
        <w:t xml:space="preserve"> </w:t>
      </w:r>
      <w:r w:rsidR="00E21858" w:rsidRPr="00E21858">
        <w:rPr>
          <w:rFonts w:cs="Arial" w:hint="cs"/>
          <w:i/>
          <w:iCs/>
          <w:rtl/>
        </w:rPr>
        <w:t>و</w:t>
      </w:r>
      <w:r w:rsidR="00E21858" w:rsidRPr="00E21858">
        <w:rPr>
          <w:rFonts w:cs="Arial"/>
          <w:i/>
          <w:iCs/>
          <w:rtl/>
        </w:rPr>
        <w:t xml:space="preserve"> </w:t>
      </w:r>
      <w:r w:rsidR="00E21858" w:rsidRPr="00E21858">
        <w:rPr>
          <w:rFonts w:cs="Arial" w:hint="cs"/>
          <w:i/>
          <w:iCs/>
          <w:rtl/>
        </w:rPr>
        <w:t>بررسی</w:t>
      </w:r>
      <w:r w:rsidR="00E21858" w:rsidRPr="00E21858">
        <w:rPr>
          <w:rFonts w:cs="Arial"/>
          <w:i/>
          <w:iCs/>
          <w:rtl/>
        </w:rPr>
        <w:t xml:space="preserve"> </w:t>
      </w:r>
      <w:r w:rsidR="00E21858" w:rsidRPr="00E21858">
        <w:rPr>
          <w:rFonts w:cs="Arial" w:hint="cs"/>
          <w:i/>
          <w:iCs/>
          <w:rtl/>
        </w:rPr>
        <w:t>نظریه</w:t>
      </w:r>
      <w:r w:rsidR="00E21858" w:rsidRPr="00E21858">
        <w:rPr>
          <w:rFonts w:cs="Arial"/>
          <w:i/>
          <w:iCs/>
          <w:rtl/>
        </w:rPr>
        <w:t xml:space="preserve"> </w:t>
      </w:r>
      <w:r w:rsidR="00E21858" w:rsidRPr="00E21858">
        <w:rPr>
          <w:rFonts w:cs="Arial" w:hint="cs"/>
          <w:i/>
          <w:iCs/>
          <w:rtl/>
        </w:rPr>
        <w:t>های</w:t>
      </w:r>
      <w:r w:rsidR="00E21858" w:rsidRPr="00E21858">
        <w:rPr>
          <w:rFonts w:cs="Arial"/>
          <w:i/>
          <w:iCs/>
          <w:rtl/>
        </w:rPr>
        <w:t xml:space="preserve"> </w:t>
      </w:r>
      <w:r w:rsidR="00E21858" w:rsidRPr="00E21858">
        <w:rPr>
          <w:rFonts w:cs="Arial" w:hint="cs"/>
          <w:i/>
          <w:iCs/>
          <w:rtl/>
        </w:rPr>
        <w:t>عدالت</w:t>
      </w:r>
      <w:r w:rsidR="00E21858" w:rsidRPr="00E21858">
        <w:rPr>
          <w:rFonts w:cs="Arial" w:hint="cs"/>
          <w:rtl/>
        </w:rPr>
        <w:t>،</w:t>
      </w:r>
      <w:r w:rsidR="00E21858" w:rsidRPr="00E21858">
        <w:rPr>
          <w:rFonts w:cs="Arial"/>
          <w:rtl/>
        </w:rPr>
        <w:t xml:space="preserve">114. </w:t>
      </w:r>
      <w:r>
        <w:rPr>
          <w:rtl/>
        </w:rPr>
        <w:t xml:space="preserve"> </w:t>
      </w:r>
    </w:p>
  </w:footnote>
  <w:footnote w:id="26">
    <w:p w14:paraId="58065B99" w14:textId="77777777" w:rsidR="005C6B51" w:rsidRDefault="005C6B51" w:rsidP="00E21858">
      <w:pPr>
        <w:pStyle w:val="FootnoteText"/>
        <w:bidi w:val="0"/>
        <w:rPr>
          <w:rtl/>
        </w:rPr>
      </w:pPr>
      <w:r>
        <w:rPr>
          <w:rStyle w:val="FootnoteReference"/>
        </w:rPr>
        <w:footnoteRef/>
      </w:r>
      <w:r>
        <w:rPr>
          <w:rtl/>
        </w:rPr>
        <w:t xml:space="preserve"> </w:t>
      </w:r>
      <w:r w:rsidR="00E21858">
        <w:rPr>
          <w:rFonts w:hint="cs"/>
          <w:rtl/>
        </w:rPr>
        <w:t xml:space="preserve">. </w:t>
      </w:r>
      <w:r w:rsidR="00E21858" w:rsidRPr="00E21858">
        <w:rPr>
          <w:i/>
          <w:iCs/>
        </w:rPr>
        <w:t>Stanford Encyclopedia of Philosophy</w:t>
      </w:r>
      <w:r w:rsidR="00E21858">
        <w:t>, Ethics and Plato in Republic</w:t>
      </w:r>
      <w:r w:rsidR="00E21858">
        <w:rPr>
          <w:rFonts w:cs="Arial"/>
          <w:rtl/>
        </w:rPr>
        <w:t>.</w:t>
      </w:r>
    </w:p>
  </w:footnote>
  <w:footnote w:id="27">
    <w:p w14:paraId="06F4D1DB" w14:textId="77777777" w:rsidR="005C6B51" w:rsidRDefault="005C6B51" w:rsidP="00E21858">
      <w:pPr>
        <w:pStyle w:val="FootnoteText"/>
        <w:bidi w:val="0"/>
        <w:rPr>
          <w:rtl/>
        </w:rPr>
      </w:pPr>
      <w:r>
        <w:rPr>
          <w:rStyle w:val="FootnoteReference"/>
        </w:rPr>
        <w:footnoteRef/>
      </w:r>
      <w:r w:rsidR="00E21858">
        <w:rPr>
          <w:rFonts w:hint="cs"/>
          <w:rtl/>
        </w:rPr>
        <w:t xml:space="preserve">. </w:t>
      </w:r>
      <w:r>
        <w:rPr>
          <w:rtl/>
        </w:rPr>
        <w:t xml:space="preserve"> </w:t>
      </w:r>
      <w:r w:rsidR="00E21858" w:rsidRPr="00E21858">
        <w:t>ibid</w:t>
      </w:r>
      <w:r w:rsidR="00E21858" w:rsidRPr="00E21858">
        <w:rPr>
          <w:rFonts w:cs="Arial"/>
          <w:rtl/>
        </w:rPr>
        <w:t>.</w:t>
      </w:r>
    </w:p>
  </w:footnote>
  <w:footnote w:id="28">
    <w:p w14:paraId="792366CB" w14:textId="77777777" w:rsidR="005C6B51" w:rsidRDefault="005C6B51">
      <w:pPr>
        <w:pStyle w:val="FootnoteText"/>
        <w:rPr>
          <w:rtl/>
        </w:rPr>
      </w:pPr>
      <w:r>
        <w:rPr>
          <w:rStyle w:val="FootnoteReference"/>
        </w:rPr>
        <w:footnoteRef/>
      </w:r>
      <w:r w:rsidR="00E21858">
        <w:rPr>
          <w:rFonts w:hint="cs"/>
          <w:rtl/>
        </w:rPr>
        <w:t xml:space="preserve">. </w:t>
      </w:r>
      <w:r>
        <w:rPr>
          <w:rtl/>
        </w:rPr>
        <w:t xml:space="preserve"> </w:t>
      </w:r>
      <w:r w:rsidR="00E21858" w:rsidRPr="00E21858">
        <w:rPr>
          <w:rFonts w:cs="Arial" w:hint="cs"/>
          <w:i/>
          <w:iCs/>
          <w:rtl/>
        </w:rPr>
        <w:t>نقد</w:t>
      </w:r>
      <w:r w:rsidR="00E21858" w:rsidRPr="00E21858">
        <w:rPr>
          <w:rFonts w:cs="Arial"/>
          <w:i/>
          <w:iCs/>
          <w:rtl/>
        </w:rPr>
        <w:t xml:space="preserve"> </w:t>
      </w:r>
      <w:r w:rsidR="00E21858" w:rsidRPr="00E21858">
        <w:rPr>
          <w:rFonts w:cs="Arial" w:hint="cs"/>
          <w:i/>
          <w:iCs/>
          <w:rtl/>
        </w:rPr>
        <w:t>و</w:t>
      </w:r>
      <w:r w:rsidR="00E21858" w:rsidRPr="00E21858">
        <w:rPr>
          <w:rFonts w:cs="Arial"/>
          <w:i/>
          <w:iCs/>
          <w:rtl/>
        </w:rPr>
        <w:t xml:space="preserve"> </w:t>
      </w:r>
      <w:r w:rsidR="00E21858" w:rsidRPr="00E21858">
        <w:rPr>
          <w:rFonts w:cs="Arial" w:hint="cs"/>
          <w:i/>
          <w:iCs/>
          <w:rtl/>
        </w:rPr>
        <w:t>بررسی</w:t>
      </w:r>
      <w:r w:rsidR="00E21858" w:rsidRPr="00E21858">
        <w:rPr>
          <w:rFonts w:cs="Arial"/>
          <w:i/>
          <w:iCs/>
          <w:rtl/>
        </w:rPr>
        <w:t xml:space="preserve"> </w:t>
      </w:r>
      <w:r w:rsidR="00E21858" w:rsidRPr="00E21858">
        <w:rPr>
          <w:rFonts w:cs="Arial" w:hint="cs"/>
          <w:i/>
          <w:iCs/>
          <w:rtl/>
        </w:rPr>
        <w:t>نظریه</w:t>
      </w:r>
      <w:r w:rsidR="00E21858" w:rsidRPr="00E21858">
        <w:rPr>
          <w:rFonts w:cs="Arial"/>
          <w:i/>
          <w:iCs/>
          <w:rtl/>
        </w:rPr>
        <w:t xml:space="preserve"> </w:t>
      </w:r>
      <w:r w:rsidR="00E21858" w:rsidRPr="00E21858">
        <w:rPr>
          <w:rFonts w:cs="Arial" w:hint="cs"/>
          <w:i/>
          <w:iCs/>
          <w:rtl/>
        </w:rPr>
        <w:t>های</w:t>
      </w:r>
      <w:r w:rsidR="00E21858" w:rsidRPr="00E21858">
        <w:rPr>
          <w:rFonts w:cs="Arial"/>
          <w:i/>
          <w:iCs/>
          <w:rtl/>
        </w:rPr>
        <w:t xml:space="preserve"> </w:t>
      </w:r>
      <w:r w:rsidR="00E21858" w:rsidRPr="00E21858">
        <w:rPr>
          <w:rFonts w:cs="Arial" w:hint="cs"/>
          <w:i/>
          <w:iCs/>
          <w:rtl/>
        </w:rPr>
        <w:t>عدالت</w:t>
      </w:r>
      <w:r w:rsidR="00E21858" w:rsidRPr="00E21858">
        <w:rPr>
          <w:rFonts w:cs="Arial" w:hint="cs"/>
          <w:rtl/>
        </w:rPr>
        <w:t>،</w:t>
      </w:r>
      <w:r w:rsidR="00E21858" w:rsidRPr="00E21858">
        <w:rPr>
          <w:rFonts w:cs="Arial"/>
          <w:rtl/>
        </w:rPr>
        <w:t xml:space="preserve"> 110.</w:t>
      </w:r>
    </w:p>
  </w:footnote>
  <w:footnote w:id="29">
    <w:p w14:paraId="5E2B6857" w14:textId="77777777" w:rsidR="005C6B51" w:rsidRDefault="005C6B51">
      <w:pPr>
        <w:pStyle w:val="FootnoteText"/>
        <w:rPr>
          <w:rtl/>
        </w:rPr>
      </w:pPr>
      <w:r>
        <w:rPr>
          <w:rStyle w:val="FootnoteReference"/>
        </w:rPr>
        <w:footnoteRef/>
      </w:r>
      <w:r w:rsidR="00E21858">
        <w:rPr>
          <w:rFonts w:hint="cs"/>
          <w:rtl/>
        </w:rPr>
        <w:t xml:space="preserve">. </w:t>
      </w:r>
      <w:r>
        <w:rPr>
          <w:rtl/>
        </w:rPr>
        <w:t xml:space="preserve"> </w:t>
      </w:r>
      <w:r w:rsidR="00E21858" w:rsidRPr="00E21858">
        <w:rPr>
          <w:rFonts w:cs="Arial" w:hint="cs"/>
          <w:rtl/>
        </w:rPr>
        <w:t>ارسطو،</w:t>
      </w:r>
      <w:r w:rsidR="00E21858" w:rsidRPr="00E21858">
        <w:rPr>
          <w:rFonts w:cs="Arial"/>
          <w:rtl/>
        </w:rPr>
        <w:t xml:space="preserve"> </w:t>
      </w:r>
      <w:r w:rsidR="00E21858" w:rsidRPr="00E21858">
        <w:rPr>
          <w:rFonts w:cs="Arial" w:hint="cs"/>
          <w:i/>
          <w:iCs/>
          <w:rtl/>
        </w:rPr>
        <w:t>سیاست</w:t>
      </w:r>
      <w:r w:rsidR="00E21858" w:rsidRPr="00E21858">
        <w:rPr>
          <w:rFonts w:cs="Arial" w:hint="cs"/>
          <w:rtl/>
        </w:rPr>
        <w:t>،</w:t>
      </w:r>
      <w:r w:rsidR="00E21858" w:rsidRPr="00E21858">
        <w:rPr>
          <w:rFonts w:cs="Arial"/>
          <w:rtl/>
        </w:rPr>
        <w:t xml:space="preserve"> 132.</w:t>
      </w:r>
    </w:p>
  </w:footnote>
  <w:footnote w:id="30">
    <w:p w14:paraId="424EAF57" w14:textId="77777777" w:rsidR="005C6B51" w:rsidRDefault="005C6B51">
      <w:pPr>
        <w:pStyle w:val="FootnoteText"/>
        <w:rPr>
          <w:rtl/>
        </w:rPr>
      </w:pPr>
      <w:r>
        <w:rPr>
          <w:rStyle w:val="FootnoteReference"/>
        </w:rPr>
        <w:footnoteRef/>
      </w:r>
      <w:r w:rsidR="00E21858">
        <w:rPr>
          <w:rFonts w:hint="cs"/>
          <w:rtl/>
        </w:rPr>
        <w:t xml:space="preserve">. </w:t>
      </w:r>
      <w:r>
        <w:rPr>
          <w:rtl/>
        </w:rPr>
        <w:t xml:space="preserve"> </w:t>
      </w:r>
      <w:r w:rsidR="00E21858" w:rsidRPr="00E21858">
        <w:rPr>
          <w:rFonts w:cs="Arial" w:hint="cs"/>
          <w:rtl/>
        </w:rPr>
        <w:t>استیون</w:t>
      </w:r>
      <w:r w:rsidR="00E21858" w:rsidRPr="00E21858">
        <w:rPr>
          <w:rFonts w:cs="Arial"/>
          <w:rtl/>
        </w:rPr>
        <w:t xml:space="preserve"> </w:t>
      </w:r>
      <w:r w:rsidR="00E21858" w:rsidRPr="00E21858">
        <w:rPr>
          <w:rFonts w:cs="Arial" w:hint="cs"/>
          <w:rtl/>
        </w:rPr>
        <w:t>لوکس،</w:t>
      </w:r>
      <w:r w:rsidR="00E21858" w:rsidRPr="00E21858">
        <w:rPr>
          <w:rFonts w:cs="Arial"/>
          <w:rtl/>
        </w:rPr>
        <w:t xml:space="preserve"> </w:t>
      </w:r>
      <w:r w:rsidR="00E21858" w:rsidRPr="00E21858">
        <w:rPr>
          <w:rFonts w:cs="Arial" w:hint="cs"/>
          <w:i/>
          <w:iCs/>
          <w:rtl/>
        </w:rPr>
        <w:t>قدرت،</w:t>
      </w:r>
      <w:r w:rsidR="00E21858" w:rsidRPr="00E21858">
        <w:rPr>
          <w:rFonts w:cs="Arial"/>
          <w:i/>
          <w:iCs/>
          <w:rtl/>
        </w:rPr>
        <w:t xml:space="preserve"> </w:t>
      </w:r>
      <w:r w:rsidR="00E21858" w:rsidRPr="00E21858">
        <w:rPr>
          <w:rFonts w:cs="Arial" w:hint="cs"/>
          <w:i/>
          <w:iCs/>
          <w:rtl/>
        </w:rPr>
        <w:t>نگرشی</w:t>
      </w:r>
      <w:r w:rsidR="00E21858" w:rsidRPr="00E21858">
        <w:rPr>
          <w:rFonts w:cs="Arial"/>
          <w:i/>
          <w:iCs/>
          <w:rtl/>
        </w:rPr>
        <w:t xml:space="preserve"> </w:t>
      </w:r>
      <w:r w:rsidR="00E21858" w:rsidRPr="00E21858">
        <w:rPr>
          <w:rFonts w:cs="Arial" w:hint="cs"/>
          <w:i/>
          <w:iCs/>
          <w:rtl/>
        </w:rPr>
        <w:t>رادیکال</w:t>
      </w:r>
      <w:r w:rsidR="00E21858" w:rsidRPr="00E21858">
        <w:rPr>
          <w:rFonts w:cs="Arial"/>
          <w:rtl/>
        </w:rPr>
        <w:t>.</w:t>
      </w:r>
    </w:p>
  </w:footnote>
  <w:footnote w:id="31">
    <w:p w14:paraId="5FA97F5C" w14:textId="77777777" w:rsidR="005C6B51" w:rsidRDefault="005C6B51" w:rsidP="00E21858">
      <w:pPr>
        <w:pStyle w:val="FootnoteText"/>
        <w:rPr>
          <w:rtl/>
        </w:rPr>
      </w:pPr>
      <w:r>
        <w:rPr>
          <w:rStyle w:val="FootnoteReference"/>
        </w:rPr>
        <w:footnoteRef/>
      </w:r>
      <w:r w:rsidR="00E21858">
        <w:rPr>
          <w:rFonts w:hint="cs"/>
          <w:rtl/>
        </w:rPr>
        <w:t xml:space="preserve">. </w:t>
      </w:r>
      <w:r>
        <w:rPr>
          <w:rtl/>
        </w:rPr>
        <w:t xml:space="preserve"> </w:t>
      </w:r>
      <w:r w:rsidR="00E21858">
        <w:rPr>
          <w:rFonts w:cs="Arial" w:hint="cs"/>
          <w:rtl/>
        </w:rPr>
        <w:t>نیکلا</w:t>
      </w:r>
      <w:r w:rsidR="00E21858">
        <w:rPr>
          <w:rFonts w:cs="Arial"/>
          <w:rtl/>
        </w:rPr>
        <w:t xml:space="preserve"> </w:t>
      </w:r>
      <w:r w:rsidR="00E21858">
        <w:rPr>
          <w:rFonts w:cs="Arial" w:hint="cs"/>
          <w:rtl/>
        </w:rPr>
        <w:t>ماکیاولی،</w:t>
      </w:r>
      <w:r w:rsidR="00E21858">
        <w:rPr>
          <w:rFonts w:cs="Arial"/>
          <w:rtl/>
        </w:rPr>
        <w:t xml:space="preserve"> </w:t>
      </w:r>
      <w:r w:rsidR="00E21858" w:rsidRPr="00E21858">
        <w:rPr>
          <w:rFonts w:cs="Arial" w:hint="cs"/>
          <w:i/>
          <w:iCs/>
          <w:rtl/>
        </w:rPr>
        <w:t>شهریار</w:t>
      </w:r>
      <w:r w:rsidR="00E21858">
        <w:rPr>
          <w:rFonts w:cs="Arial"/>
          <w:rtl/>
        </w:rPr>
        <w:t>.</w:t>
      </w:r>
    </w:p>
  </w:footnote>
  <w:footnote w:id="32">
    <w:p w14:paraId="0487D5B3" w14:textId="77777777" w:rsidR="005C6B51" w:rsidRDefault="005C6B51">
      <w:pPr>
        <w:pStyle w:val="FootnoteText"/>
        <w:rPr>
          <w:rtl/>
        </w:rPr>
      </w:pPr>
      <w:r>
        <w:rPr>
          <w:rStyle w:val="FootnoteReference"/>
        </w:rPr>
        <w:footnoteRef/>
      </w:r>
      <w:r w:rsidR="00E21858">
        <w:rPr>
          <w:rFonts w:hint="cs"/>
          <w:rtl/>
        </w:rPr>
        <w:t xml:space="preserve">. </w:t>
      </w:r>
      <w:r w:rsidR="00E21858" w:rsidRPr="00E21858">
        <w:rPr>
          <w:rFonts w:cs="Arial" w:hint="cs"/>
          <w:rtl/>
        </w:rPr>
        <w:t>لئو</w:t>
      </w:r>
      <w:r w:rsidR="00E21858" w:rsidRPr="00E21858">
        <w:rPr>
          <w:rFonts w:cs="Arial"/>
          <w:rtl/>
        </w:rPr>
        <w:t xml:space="preserve"> </w:t>
      </w:r>
      <w:r w:rsidR="00E21858" w:rsidRPr="00E21858">
        <w:rPr>
          <w:rFonts w:cs="Arial" w:hint="cs"/>
          <w:rtl/>
        </w:rPr>
        <w:t>اشتراوس،</w:t>
      </w:r>
      <w:r w:rsidR="00E21858" w:rsidRPr="00E21858">
        <w:rPr>
          <w:rFonts w:cs="Arial"/>
          <w:rtl/>
        </w:rPr>
        <w:t xml:space="preserve"> </w:t>
      </w:r>
      <w:r w:rsidR="00E21858" w:rsidRPr="00E21858">
        <w:rPr>
          <w:rFonts w:cs="Arial" w:hint="cs"/>
          <w:i/>
          <w:iCs/>
          <w:rtl/>
        </w:rPr>
        <w:t>فلسفه</w:t>
      </w:r>
      <w:r w:rsidR="00E21858" w:rsidRPr="00E21858">
        <w:rPr>
          <w:rFonts w:cs="Arial"/>
          <w:i/>
          <w:iCs/>
          <w:rtl/>
        </w:rPr>
        <w:t xml:space="preserve"> </w:t>
      </w:r>
      <w:r w:rsidR="00E21858" w:rsidRPr="00E21858">
        <w:rPr>
          <w:rFonts w:cs="Arial" w:hint="cs"/>
          <w:i/>
          <w:iCs/>
          <w:rtl/>
        </w:rPr>
        <w:t>سیاسی</w:t>
      </w:r>
      <w:r w:rsidR="00E21858" w:rsidRPr="00E21858">
        <w:rPr>
          <w:rFonts w:cs="Arial"/>
          <w:i/>
          <w:iCs/>
          <w:rtl/>
        </w:rPr>
        <w:t xml:space="preserve"> </w:t>
      </w:r>
      <w:r w:rsidR="00E21858" w:rsidRPr="00E21858">
        <w:rPr>
          <w:rFonts w:cs="Arial" w:hint="cs"/>
          <w:i/>
          <w:iCs/>
          <w:rtl/>
        </w:rPr>
        <w:t>چیست؟</w:t>
      </w:r>
      <w:r w:rsidR="00E21858" w:rsidRPr="00E21858">
        <w:rPr>
          <w:rFonts w:cs="Arial" w:hint="cs"/>
          <w:rtl/>
        </w:rPr>
        <w:t>،</w:t>
      </w:r>
      <w:r w:rsidR="00E21858" w:rsidRPr="00E21858">
        <w:rPr>
          <w:rFonts w:cs="Arial"/>
          <w:rtl/>
        </w:rPr>
        <w:t xml:space="preserve"> 49.</w:t>
      </w:r>
      <w:r w:rsidR="00E21858">
        <w:rPr>
          <w:rFonts w:hint="cs"/>
          <w:rtl/>
        </w:rPr>
        <w:t xml:space="preserve"> </w:t>
      </w:r>
      <w:r>
        <w:rPr>
          <w:rtl/>
        </w:rPr>
        <w:t xml:space="preserve"> </w:t>
      </w:r>
    </w:p>
  </w:footnote>
  <w:footnote w:id="33">
    <w:p w14:paraId="6A1DEF5E" w14:textId="77777777" w:rsidR="00284F93" w:rsidRDefault="00284F93">
      <w:pPr>
        <w:pStyle w:val="FootnoteText"/>
      </w:pPr>
      <w:r>
        <w:rPr>
          <w:rStyle w:val="FootnoteReference"/>
        </w:rPr>
        <w:footnoteRef/>
      </w:r>
      <w:r w:rsidR="00E21858">
        <w:rPr>
          <w:rFonts w:hint="cs"/>
          <w:rtl/>
        </w:rPr>
        <w:t xml:space="preserve">. </w:t>
      </w:r>
      <w:r w:rsidR="00E21858" w:rsidRPr="00E21858">
        <w:rPr>
          <w:rFonts w:cs="Arial" w:hint="cs"/>
          <w:i/>
          <w:iCs/>
          <w:rtl/>
        </w:rPr>
        <w:t>نهج</w:t>
      </w:r>
      <w:r w:rsidR="00E21858" w:rsidRPr="00E21858">
        <w:rPr>
          <w:rFonts w:cs="Arial"/>
          <w:i/>
          <w:iCs/>
          <w:rtl/>
        </w:rPr>
        <w:t xml:space="preserve"> </w:t>
      </w:r>
      <w:r w:rsidR="00E21858" w:rsidRPr="00E21858">
        <w:rPr>
          <w:rFonts w:cs="Arial" w:hint="cs"/>
          <w:i/>
          <w:iCs/>
          <w:rtl/>
        </w:rPr>
        <w:t>البلاغه</w:t>
      </w:r>
      <w:r w:rsidR="00E21858" w:rsidRPr="00E21858">
        <w:rPr>
          <w:rFonts w:cs="Arial" w:hint="cs"/>
          <w:rtl/>
        </w:rPr>
        <w:t>،</w:t>
      </w:r>
      <w:r w:rsidR="00E21858" w:rsidRPr="00E21858">
        <w:rPr>
          <w:rFonts w:cs="Arial"/>
          <w:rtl/>
        </w:rPr>
        <w:t xml:space="preserve"> </w:t>
      </w:r>
      <w:r w:rsidR="00E21858" w:rsidRPr="00E21858">
        <w:rPr>
          <w:rFonts w:cs="Arial" w:hint="cs"/>
          <w:rtl/>
        </w:rPr>
        <w:t>نامه</w:t>
      </w:r>
      <w:r w:rsidR="00E21858" w:rsidRPr="00E21858">
        <w:rPr>
          <w:rFonts w:cs="Arial"/>
          <w:rtl/>
        </w:rPr>
        <w:t xml:space="preserve"> 53.</w:t>
      </w:r>
      <w:r>
        <w:rPr>
          <w:rtl/>
        </w:rPr>
        <w:t xml:space="preserve"> </w:t>
      </w:r>
    </w:p>
  </w:footnote>
  <w:footnote w:id="34">
    <w:p w14:paraId="1974E3F5" w14:textId="77777777" w:rsidR="00284F93" w:rsidRDefault="00284F93">
      <w:pPr>
        <w:pStyle w:val="FootnoteText"/>
        <w:rPr>
          <w:rtl/>
        </w:rPr>
      </w:pPr>
      <w:r>
        <w:rPr>
          <w:rStyle w:val="FootnoteReference"/>
        </w:rPr>
        <w:footnoteRef/>
      </w:r>
      <w:r w:rsidR="00E21858">
        <w:rPr>
          <w:rFonts w:hint="cs"/>
          <w:rtl/>
        </w:rPr>
        <w:t xml:space="preserve">.  </w:t>
      </w:r>
      <w:r>
        <w:rPr>
          <w:rtl/>
        </w:rPr>
        <w:t xml:space="preserve"> </w:t>
      </w:r>
      <w:r w:rsidR="00E21858" w:rsidRPr="00E21858">
        <w:rPr>
          <w:rFonts w:cs="Arial" w:hint="cs"/>
          <w:rtl/>
        </w:rPr>
        <w:t>همان،</w:t>
      </w:r>
      <w:r w:rsidR="00E21858" w:rsidRPr="00E21858">
        <w:rPr>
          <w:rFonts w:cs="Arial"/>
          <w:rtl/>
        </w:rPr>
        <w:t xml:space="preserve"> </w:t>
      </w:r>
      <w:r w:rsidR="00E21858" w:rsidRPr="00E21858">
        <w:rPr>
          <w:rFonts w:cs="Arial" w:hint="cs"/>
          <w:rtl/>
        </w:rPr>
        <w:t>خطبه</w:t>
      </w:r>
      <w:r w:rsidR="00E21858" w:rsidRPr="00E21858">
        <w:rPr>
          <w:rFonts w:cs="Arial"/>
          <w:rtl/>
        </w:rPr>
        <w:t xml:space="preserve"> 200.</w:t>
      </w:r>
    </w:p>
  </w:footnote>
  <w:footnote w:id="35">
    <w:p w14:paraId="3459FCAE" w14:textId="77777777" w:rsidR="00284F93" w:rsidRDefault="00284F93">
      <w:pPr>
        <w:pStyle w:val="FootnoteText"/>
        <w:rPr>
          <w:rtl/>
        </w:rPr>
      </w:pPr>
      <w:r>
        <w:rPr>
          <w:rStyle w:val="FootnoteReference"/>
        </w:rPr>
        <w:footnoteRef/>
      </w:r>
      <w:r w:rsidR="00E21858">
        <w:rPr>
          <w:rFonts w:hint="cs"/>
          <w:rtl/>
        </w:rPr>
        <w:t xml:space="preserve">. </w:t>
      </w:r>
      <w:r>
        <w:rPr>
          <w:rtl/>
        </w:rPr>
        <w:t xml:space="preserve"> </w:t>
      </w:r>
      <w:r w:rsidR="00E21858" w:rsidRPr="00E21858">
        <w:rPr>
          <w:rFonts w:cs="Arial" w:hint="cs"/>
          <w:rtl/>
        </w:rPr>
        <w:t>عماد</w:t>
      </w:r>
      <w:r w:rsidR="00E21858" w:rsidRPr="00E21858">
        <w:rPr>
          <w:rFonts w:cs="Arial"/>
          <w:rtl/>
        </w:rPr>
        <w:t xml:space="preserve"> </w:t>
      </w:r>
      <w:r w:rsidR="00E21858" w:rsidRPr="00E21858">
        <w:rPr>
          <w:rFonts w:cs="Arial" w:hint="cs"/>
          <w:rtl/>
        </w:rPr>
        <w:t>افروغ،</w:t>
      </w:r>
      <w:r w:rsidR="00E21858" w:rsidRPr="00E21858">
        <w:rPr>
          <w:rFonts w:cs="Arial"/>
          <w:rtl/>
        </w:rPr>
        <w:t xml:space="preserve"> </w:t>
      </w:r>
      <w:r w:rsidR="00E21858" w:rsidRPr="003661D0">
        <w:rPr>
          <w:rFonts w:cs="Arial" w:hint="cs"/>
          <w:i/>
          <w:iCs/>
          <w:rtl/>
        </w:rPr>
        <w:t>درآمدی</w:t>
      </w:r>
      <w:r w:rsidR="00E21858" w:rsidRPr="003661D0">
        <w:rPr>
          <w:rFonts w:cs="Arial"/>
          <w:i/>
          <w:iCs/>
          <w:rtl/>
        </w:rPr>
        <w:t xml:space="preserve"> </w:t>
      </w:r>
      <w:r w:rsidR="00E21858" w:rsidRPr="003661D0">
        <w:rPr>
          <w:rFonts w:cs="Arial" w:hint="cs"/>
          <w:i/>
          <w:iCs/>
          <w:rtl/>
        </w:rPr>
        <w:t>بر</w:t>
      </w:r>
      <w:r w:rsidR="00E21858" w:rsidRPr="003661D0">
        <w:rPr>
          <w:rFonts w:cs="Arial"/>
          <w:i/>
          <w:iCs/>
          <w:rtl/>
        </w:rPr>
        <w:t xml:space="preserve"> </w:t>
      </w:r>
      <w:r w:rsidR="00E21858" w:rsidRPr="003661D0">
        <w:rPr>
          <w:rFonts w:cs="Arial" w:hint="cs"/>
          <w:i/>
          <w:iCs/>
          <w:rtl/>
        </w:rPr>
        <w:t>رابطه</w:t>
      </w:r>
      <w:r w:rsidR="00E21858" w:rsidRPr="003661D0">
        <w:rPr>
          <w:rFonts w:cs="Arial"/>
          <w:i/>
          <w:iCs/>
          <w:rtl/>
        </w:rPr>
        <w:t xml:space="preserve"> </w:t>
      </w:r>
      <w:r w:rsidR="00E21858" w:rsidRPr="003661D0">
        <w:rPr>
          <w:rFonts w:cs="Arial" w:hint="cs"/>
          <w:i/>
          <w:iCs/>
          <w:rtl/>
        </w:rPr>
        <w:t>اخلاق</w:t>
      </w:r>
      <w:r w:rsidR="00E21858" w:rsidRPr="003661D0">
        <w:rPr>
          <w:rFonts w:cs="Arial"/>
          <w:i/>
          <w:iCs/>
          <w:rtl/>
        </w:rPr>
        <w:t xml:space="preserve"> </w:t>
      </w:r>
      <w:r w:rsidR="00E21858" w:rsidRPr="003661D0">
        <w:rPr>
          <w:rFonts w:cs="Arial" w:hint="cs"/>
          <w:i/>
          <w:iCs/>
          <w:rtl/>
        </w:rPr>
        <w:t>و</w:t>
      </w:r>
      <w:r w:rsidR="00E21858" w:rsidRPr="003661D0">
        <w:rPr>
          <w:rFonts w:cs="Arial"/>
          <w:i/>
          <w:iCs/>
          <w:rtl/>
        </w:rPr>
        <w:t xml:space="preserve"> </w:t>
      </w:r>
      <w:r w:rsidR="00E21858" w:rsidRPr="003661D0">
        <w:rPr>
          <w:rFonts w:cs="Arial" w:hint="cs"/>
          <w:i/>
          <w:iCs/>
          <w:rtl/>
        </w:rPr>
        <w:t>سیاست</w:t>
      </w:r>
      <w:r w:rsidR="00E21858" w:rsidRPr="00E21858">
        <w:rPr>
          <w:rFonts w:cs="Arial" w:hint="cs"/>
          <w:rtl/>
        </w:rPr>
        <w:t>،</w:t>
      </w:r>
      <w:r w:rsidR="00E21858" w:rsidRPr="00E21858">
        <w:rPr>
          <w:rFonts w:cs="Arial"/>
          <w:rtl/>
        </w:rPr>
        <w:t xml:space="preserve"> 41.</w:t>
      </w:r>
    </w:p>
  </w:footnote>
  <w:footnote w:id="36">
    <w:p w14:paraId="7B3F6E68" w14:textId="77777777" w:rsidR="00284F93" w:rsidRDefault="00284F93">
      <w:pPr>
        <w:pStyle w:val="FootnoteText"/>
        <w:rPr>
          <w:rtl/>
        </w:rPr>
      </w:pPr>
      <w:r>
        <w:rPr>
          <w:rStyle w:val="FootnoteReference"/>
        </w:rPr>
        <w:footnoteRef/>
      </w:r>
      <w:r w:rsidR="00E21858">
        <w:rPr>
          <w:rFonts w:hint="cs"/>
          <w:rtl/>
        </w:rPr>
        <w:t xml:space="preserve">.  </w:t>
      </w:r>
      <w:r w:rsidR="00E21858" w:rsidRPr="00E21858">
        <w:rPr>
          <w:rFonts w:cs="Arial" w:hint="cs"/>
          <w:rtl/>
        </w:rPr>
        <w:t>حسن</w:t>
      </w:r>
      <w:r w:rsidR="00E21858" w:rsidRPr="00E21858">
        <w:rPr>
          <w:rFonts w:cs="Arial"/>
          <w:rtl/>
        </w:rPr>
        <w:t xml:space="preserve"> </w:t>
      </w:r>
      <w:r w:rsidR="00E21858" w:rsidRPr="00E21858">
        <w:rPr>
          <w:rFonts w:cs="Arial" w:hint="cs"/>
          <w:rtl/>
        </w:rPr>
        <w:t>روزبه،</w:t>
      </w:r>
      <w:r w:rsidR="00E21858" w:rsidRPr="00E21858">
        <w:rPr>
          <w:rFonts w:cs="Arial"/>
          <w:rtl/>
        </w:rPr>
        <w:t xml:space="preserve"> </w:t>
      </w:r>
      <w:r w:rsidR="00E21858" w:rsidRPr="003661D0">
        <w:rPr>
          <w:rFonts w:cs="Arial" w:hint="cs"/>
          <w:i/>
          <w:iCs/>
          <w:rtl/>
        </w:rPr>
        <w:t>اخلاق</w:t>
      </w:r>
      <w:r w:rsidR="00E21858" w:rsidRPr="003661D0">
        <w:rPr>
          <w:rFonts w:cs="Arial"/>
          <w:i/>
          <w:iCs/>
          <w:rtl/>
        </w:rPr>
        <w:t xml:space="preserve"> </w:t>
      </w:r>
      <w:r w:rsidR="00E21858" w:rsidRPr="003661D0">
        <w:rPr>
          <w:rFonts w:cs="Arial" w:hint="cs"/>
          <w:i/>
          <w:iCs/>
          <w:rtl/>
        </w:rPr>
        <w:t>و</w:t>
      </w:r>
      <w:r w:rsidR="00E21858" w:rsidRPr="003661D0">
        <w:rPr>
          <w:rFonts w:cs="Arial"/>
          <w:i/>
          <w:iCs/>
          <w:rtl/>
        </w:rPr>
        <w:t xml:space="preserve"> </w:t>
      </w:r>
      <w:r w:rsidR="00E21858" w:rsidRPr="003661D0">
        <w:rPr>
          <w:rFonts w:cs="Arial" w:hint="cs"/>
          <w:i/>
          <w:iCs/>
          <w:rtl/>
        </w:rPr>
        <w:t>ادب</w:t>
      </w:r>
      <w:r w:rsidR="00E21858" w:rsidRPr="003661D0">
        <w:rPr>
          <w:rFonts w:cs="Arial"/>
          <w:i/>
          <w:iCs/>
          <w:rtl/>
        </w:rPr>
        <w:t xml:space="preserve"> </w:t>
      </w:r>
      <w:r w:rsidR="00E21858" w:rsidRPr="003661D0">
        <w:rPr>
          <w:rFonts w:cs="Arial" w:hint="cs"/>
          <w:i/>
          <w:iCs/>
          <w:rtl/>
        </w:rPr>
        <w:t>سیاست</w:t>
      </w:r>
      <w:r w:rsidR="00E21858" w:rsidRPr="003661D0">
        <w:rPr>
          <w:rFonts w:cs="Arial"/>
          <w:i/>
          <w:iCs/>
          <w:rtl/>
        </w:rPr>
        <w:t xml:space="preserve"> </w:t>
      </w:r>
      <w:r w:rsidR="00E21858" w:rsidRPr="003661D0">
        <w:rPr>
          <w:rFonts w:cs="Arial" w:hint="cs"/>
          <w:i/>
          <w:iCs/>
          <w:rtl/>
        </w:rPr>
        <w:t>از</w:t>
      </w:r>
      <w:r w:rsidR="00E21858" w:rsidRPr="003661D0">
        <w:rPr>
          <w:rFonts w:cs="Arial"/>
          <w:i/>
          <w:iCs/>
          <w:rtl/>
        </w:rPr>
        <w:t xml:space="preserve"> </w:t>
      </w:r>
      <w:r w:rsidR="00E21858" w:rsidRPr="003661D0">
        <w:rPr>
          <w:rFonts w:cs="Arial" w:hint="cs"/>
          <w:i/>
          <w:iCs/>
          <w:rtl/>
        </w:rPr>
        <w:t>منظر</w:t>
      </w:r>
      <w:r w:rsidR="00E21858" w:rsidRPr="003661D0">
        <w:rPr>
          <w:rFonts w:cs="Arial"/>
          <w:i/>
          <w:iCs/>
          <w:rtl/>
        </w:rPr>
        <w:t xml:space="preserve"> </w:t>
      </w:r>
      <w:r w:rsidR="00E21858" w:rsidRPr="003661D0">
        <w:rPr>
          <w:rFonts w:cs="Arial" w:hint="cs"/>
          <w:i/>
          <w:iCs/>
          <w:rtl/>
        </w:rPr>
        <w:t>حکمت</w:t>
      </w:r>
      <w:r w:rsidR="00E21858" w:rsidRPr="003661D0">
        <w:rPr>
          <w:rFonts w:cs="Arial"/>
          <w:i/>
          <w:iCs/>
          <w:rtl/>
        </w:rPr>
        <w:t xml:space="preserve"> </w:t>
      </w:r>
      <w:r w:rsidR="00E21858" w:rsidRPr="003661D0">
        <w:rPr>
          <w:rFonts w:cs="Arial" w:hint="cs"/>
          <w:i/>
          <w:iCs/>
          <w:rtl/>
        </w:rPr>
        <w:t>متعالیه</w:t>
      </w:r>
      <w:r w:rsidR="00E21858" w:rsidRPr="00E21858">
        <w:rPr>
          <w:rFonts w:cs="Arial"/>
          <w:rtl/>
        </w:rPr>
        <w:t>.</w:t>
      </w:r>
      <w:r w:rsidR="00E21858">
        <w:rPr>
          <w:rFonts w:hint="cs"/>
          <w:rtl/>
        </w:rPr>
        <w:t xml:space="preserve"> </w:t>
      </w:r>
      <w:r>
        <w:rPr>
          <w:rtl/>
        </w:rPr>
        <w:t xml:space="preserve"> </w:t>
      </w:r>
    </w:p>
  </w:footnote>
  <w:footnote w:id="37">
    <w:p w14:paraId="4B7B8BC2" w14:textId="77777777" w:rsidR="00284F93" w:rsidRDefault="00284F93">
      <w:pPr>
        <w:pStyle w:val="FootnoteText"/>
        <w:rPr>
          <w:rtl/>
        </w:rPr>
      </w:pPr>
      <w:r>
        <w:rPr>
          <w:rStyle w:val="FootnoteReference"/>
        </w:rPr>
        <w:footnoteRef/>
      </w:r>
      <w:r w:rsidR="00E21858">
        <w:rPr>
          <w:rFonts w:hint="cs"/>
          <w:rtl/>
        </w:rPr>
        <w:t xml:space="preserve">. </w:t>
      </w:r>
      <w:r>
        <w:rPr>
          <w:rtl/>
        </w:rPr>
        <w:t xml:space="preserve"> </w:t>
      </w:r>
      <w:r w:rsidR="00E21858" w:rsidRPr="003661D0">
        <w:rPr>
          <w:rFonts w:cs="Arial" w:hint="cs"/>
          <w:i/>
          <w:iCs/>
          <w:rtl/>
        </w:rPr>
        <w:t>قرآن</w:t>
      </w:r>
      <w:r w:rsidR="00E21858" w:rsidRPr="003661D0">
        <w:rPr>
          <w:rFonts w:cs="Arial"/>
          <w:i/>
          <w:iCs/>
          <w:rtl/>
        </w:rPr>
        <w:t xml:space="preserve"> </w:t>
      </w:r>
      <w:r w:rsidR="00E21858" w:rsidRPr="003661D0">
        <w:rPr>
          <w:rFonts w:cs="Arial" w:hint="cs"/>
          <w:i/>
          <w:iCs/>
          <w:rtl/>
        </w:rPr>
        <w:t>کریم</w:t>
      </w:r>
      <w:r w:rsidR="00E21858" w:rsidRPr="00E21858">
        <w:rPr>
          <w:rFonts w:cs="Arial" w:hint="cs"/>
          <w:rtl/>
        </w:rPr>
        <w:t>،</w:t>
      </w:r>
      <w:r w:rsidR="00E21858" w:rsidRPr="00E21858">
        <w:rPr>
          <w:rFonts w:cs="Arial"/>
          <w:rtl/>
        </w:rPr>
        <w:t xml:space="preserve"> </w:t>
      </w:r>
      <w:r w:rsidR="00E21858" w:rsidRPr="00E21858">
        <w:rPr>
          <w:rFonts w:cs="Arial" w:hint="cs"/>
          <w:rtl/>
        </w:rPr>
        <w:t>سوره</w:t>
      </w:r>
      <w:r w:rsidR="00E21858" w:rsidRPr="00E21858">
        <w:rPr>
          <w:rFonts w:cs="Arial"/>
          <w:rtl/>
        </w:rPr>
        <w:t xml:space="preserve"> </w:t>
      </w:r>
      <w:r w:rsidR="00E21858" w:rsidRPr="00E21858">
        <w:rPr>
          <w:rFonts w:cs="Arial" w:hint="cs"/>
          <w:rtl/>
        </w:rPr>
        <w:t>حشر،</w:t>
      </w:r>
      <w:r w:rsidR="00E21858" w:rsidRPr="00E21858">
        <w:rPr>
          <w:rFonts w:cs="Arial"/>
          <w:rtl/>
        </w:rPr>
        <w:t xml:space="preserve"> </w:t>
      </w:r>
      <w:r w:rsidR="00E21858" w:rsidRPr="00E21858">
        <w:rPr>
          <w:rFonts w:cs="Arial" w:hint="cs"/>
          <w:rtl/>
        </w:rPr>
        <w:t>آیه</w:t>
      </w:r>
      <w:r w:rsidR="00E21858" w:rsidRPr="00E21858">
        <w:rPr>
          <w:rFonts w:cs="Arial"/>
          <w:rtl/>
        </w:rPr>
        <w:t xml:space="preserve"> 9.</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B4755C" w14:textId="77777777" w:rsidR="00BE7E2D" w:rsidRDefault="00BE7E2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2336E" w14:textId="77777777" w:rsidR="00BE7E2D" w:rsidRDefault="00BE7E2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BF1C0E" w14:textId="77777777" w:rsidR="00BE7E2D" w:rsidRDefault="00BE7E2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7BD9"/>
    <w:rsid w:val="00065EDC"/>
    <w:rsid w:val="00284F93"/>
    <w:rsid w:val="002E29DD"/>
    <w:rsid w:val="003661D0"/>
    <w:rsid w:val="003B509B"/>
    <w:rsid w:val="004B79D3"/>
    <w:rsid w:val="005C6B51"/>
    <w:rsid w:val="005D09C3"/>
    <w:rsid w:val="00703D8D"/>
    <w:rsid w:val="00711B32"/>
    <w:rsid w:val="00722752"/>
    <w:rsid w:val="007913C6"/>
    <w:rsid w:val="008907AD"/>
    <w:rsid w:val="008966FA"/>
    <w:rsid w:val="009B061A"/>
    <w:rsid w:val="00AE592B"/>
    <w:rsid w:val="00B45444"/>
    <w:rsid w:val="00BE7D3D"/>
    <w:rsid w:val="00BE7E2D"/>
    <w:rsid w:val="00D16A0A"/>
    <w:rsid w:val="00DA5E11"/>
    <w:rsid w:val="00DC36F1"/>
    <w:rsid w:val="00DD08BF"/>
    <w:rsid w:val="00E21858"/>
    <w:rsid w:val="00E3520C"/>
    <w:rsid w:val="00E368A5"/>
    <w:rsid w:val="00E77BD9"/>
    <w:rsid w:val="00F31B3C"/>
    <w:rsid w:val="00F50C93"/>
    <w:rsid w:val="00F95C1F"/>
    <w:rsid w:val="00F969C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5AC3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F95C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5C1F"/>
    <w:rPr>
      <w:sz w:val="20"/>
      <w:szCs w:val="20"/>
    </w:rPr>
  </w:style>
  <w:style w:type="character" w:styleId="FootnoteReference">
    <w:name w:val="footnote reference"/>
    <w:basedOn w:val="DefaultParagraphFont"/>
    <w:uiPriority w:val="99"/>
    <w:semiHidden/>
    <w:unhideWhenUsed/>
    <w:rsid w:val="00F95C1F"/>
    <w:rPr>
      <w:vertAlign w:val="superscript"/>
    </w:rPr>
  </w:style>
  <w:style w:type="paragraph" w:styleId="ListParagraph">
    <w:name w:val="List Paragraph"/>
    <w:basedOn w:val="Normal"/>
    <w:uiPriority w:val="34"/>
    <w:qFormat/>
    <w:rsid w:val="00D16A0A"/>
    <w:pPr>
      <w:ind w:left="720"/>
      <w:contextualSpacing/>
    </w:pPr>
  </w:style>
  <w:style w:type="paragraph" w:styleId="Header">
    <w:name w:val="header"/>
    <w:basedOn w:val="Normal"/>
    <w:link w:val="HeaderChar"/>
    <w:uiPriority w:val="99"/>
    <w:unhideWhenUsed/>
    <w:rsid w:val="00BE7E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7E2D"/>
  </w:style>
  <w:style w:type="paragraph" w:styleId="Footer">
    <w:name w:val="footer"/>
    <w:basedOn w:val="Normal"/>
    <w:link w:val="FooterChar"/>
    <w:uiPriority w:val="99"/>
    <w:unhideWhenUsed/>
    <w:rsid w:val="00BE7E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7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59F402-F822-417A-8FAB-F1803606D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Pages>
  <Words>6448</Words>
  <Characters>36754</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family</Company>
  <LinksUpToDate>false</LinksUpToDate>
  <CharactersWithSpaces>43116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amirhossein</dc:creator>
  <cp:keywords/>
  <dc:description/>
  <cp:lastModifiedBy>Hayedeh Ramezan Rostamabadi</cp:lastModifiedBy>
  <cp:revision>16</cp:revision>
  <dcterms:created xsi:type="dcterms:W3CDTF">2019-07-20T15:46:00Z</dcterms:created>
  <dcterms:modified xsi:type="dcterms:W3CDTF">2021-05-30T07:52:00Z</dcterms:modified>
</cp:coreProperties>
</file>