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5DF9" w:rsidRPr="00966B22" w:rsidRDefault="00966B22" w:rsidP="00556F88">
      <w:pPr>
        <w:spacing w:after="0" w:line="240" w:lineRule="auto"/>
        <w:jc w:val="center"/>
        <w:rPr>
          <w:b/>
          <w:bCs/>
        </w:rPr>
      </w:pPr>
      <w:r w:rsidRPr="00966B22">
        <w:rPr>
          <w:b/>
          <w:bCs/>
        </w:rPr>
        <w:t xml:space="preserve">Prophet Muhammad’s Model of Interreligious Dialogue Based on </w:t>
      </w:r>
      <w:r w:rsidR="00556F88">
        <w:rPr>
          <w:b/>
          <w:bCs/>
        </w:rPr>
        <w:t>Global Ethics</w:t>
      </w:r>
    </w:p>
    <w:p w:rsidR="00966B22" w:rsidRDefault="00966B22" w:rsidP="00966B22">
      <w:pPr>
        <w:spacing w:after="0" w:line="240" w:lineRule="auto"/>
        <w:jc w:val="center"/>
        <w:rPr>
          <w:b/>
          <w:bCs/>
          <w:sz w:val="20"/>
          <w:szCs w:val="20"/>
        </w:rPr>
      </w:pPr>
      <w:r w:rsidRPr="00966B22">
        <w:rPr>
          <w:b/>
          <w:bCs/>
          <w:sz w:val="20"/>
          <w:szCs w:val="20"/>
        </w:rPr>
        <w:t>(Research on the Famous Letter of the Prophet to the Christians)</w:t>
      </w:r>
    </w:p>
    <w:p w:rsidR="00966B22" w:rsidRDefault="00966B22" w:rsidP="00966B22">
      <w:pPr>
        <w:spacing w:after="0" w:line="240" w:lineRule="auto"/>
        <w:jc w:val="center"/>
        <w:rPr>
          <w:b/>
          <w:bCs/>
          <w:sz w:val="20"/>
          <w:szCs w:val="20"/>
        </w:rPr>
      </w:pPr>
    </w:p>
    <w:p w:rsidR="00966B22" w:rsidRPr="00556F88" w:rsidRDefault="00966B22" w:rsidP="00966B22">
      <w:pPr>
        <w:spacing w:after="0" w:line="240" w:lineRule="auto"/>
        <w:jc w:val="center"/>
        <w:rPr>
          <w:i/>
          <w:iCs/>
          <w:sz w:val="20"/>
          <w:szCs w:val="20"/>
        </w:rPr>
      </w:pPr>
      <w:bookmarkStart w:id="0" w:name="_GoBack"/>
      <w:bookmarkEnd w:id="0"/>
      <w:r w:rsidRPr="00556F88">
        <w:rPr>
          <w:i/>
          <w:iCs/>
          <w:sz w:val="20"/>
          <w:szCs w:val="20"/>
        </w:rPr>
        <w:t xml:space="preserve">By: Sheikh Dr. </w:t>
      </w:r>
      <w:proofErr w:type="spellStart"/>
      <w:r w:rsidRPr="00556F88">
        <w:rPr>
          <w:i/>
          <w:iCs/>
          <w:sz w:val="20"/>
          <w:szCs w:val="20"/>
        </w:rPr>
        <w:t>Taher</w:t>
      </w:r>
      <w:proofErr w:type="spellEnd"/>
      <w:r w:rsidRPr="00556F88">
        <w:rPr>
          <w:i/>
          <w:iCs/>
          <w:sz w:val="20"/>
          <w:szCs w:val="20"/>
        </w:rPr>
        <w:t xml:space="preserve"> </w:t>
      </w:r>
      <w:proofErr w:type="spellStart"/>
      <w:r w:rsidRPr="00556F88">
        <w:rPr>
          <w:i/>
          <w:iCs/>
          <w:sz w:val="20"/>
          <w:szCs w:val="20"/>
        </w:rPr>
        <w:t>Amini</w:t>
      </w:r>
      <w:proofErr w:type="spellEnd"/>
      <w:r w:rsidRPr="00556F88">
        <w:rPr>
          <w:i/>
          <w:iCs/>
          <w:sz w:val="20"/>
          <w:szCs w:val="20"/>
        </w:rPr>
        <w:t xml:space="preserve"> </w:t>
      </w:r>
      <w:proofErr w:type="spellStart"/>
      <w:r w:rsidRPr="00556F88">
        <w:rPr>
          <w:i/>
          <w:iCs/>
          <w:sz w:val="20"/>
          <w:szCs w:val="20"/>
        </w:rPr>
        <w:t>Goestani</w:t>
      </w:r>
      <w:proofErr w:type="spellEnd"/>
      <w:r w:rsidR="009B0CA3" w:rsidRPr="00556F88">
        <w:rPr>
          <w:rStyle w:val="FootnoteReference"/>
          <w:i/>
          <w:iCs/>
          <w:sz w:val="20"/>
          <w:szCs w:val="20"/>
        </w:rPr>
        <w:footnoteReference w:id="1"/>
      </w:r>
    </w:p>
    <w:p w:rsidR="00966B22" w:rsidRPr="00556F88" w:rsidRDefault="00966B22" w:rsidP="00966B22">
      <w:pPr>
        <w:spacing w:after="0" w:line="240" w:lineRule="auto"/>
        <w:jc w:val="center"/>
        <w:rPr>
          <w:i/>
          <w:iCs/>
          <w:sz w:val="20"/>
          <w:szCs w:val="20"/>
        </w:rPr>
      </w:pPr>
      <w:r w:rsidRPr="00556F88">
        <w:rPr>
          <w:i/>
          <w:iCs/>
          <w:sz w:val="20"/>
          <w:szCs w:val="20"/>
        </w:rPr>
        <w:t>t.amini@iipr.ir</w:t>
      </w:r>
    </w:p>
    <w:p w:rsidR="00966B22" w:rsidRDefault="00966B22"/>
    <w:p w:rsidR="00966B22" w:rsidRPr="00966B22" w:rsidRDefault="00966B22">
      <w:pPr>
        <w:rPr>
          <w:b/>
          <w:bCs/>
        </w:rPr>
      </w:pPr>
      <w:r w:rsidRPr="00966B22">
        <w:rPr>
          <w:b/>
          <w:bCs/>
        </w:rPr>
        <w:t>Abstract</w:t>
      </w:r>
    </w:p>
    <w:p w:rsidR="00966B22" w:rsidRDefault="00966B22" w:rsidP="00BD1C1F">
      <w:pPr>
        <w:jc w:val="both"/>
      </w:pPr>
      <w:r w:rsidRPr="00966B22">
        <w:t>Violence and extremism are of the most important topics in current research on religion and interreligious studies</w:t>
      </w:r>
      <w:r>
        <w:t xml:space="preserve"> based on the global problems caused by them</w:t>
      </w:r>
      <w:r w:rsidRPr="00966B22">
        <w:t>. The New World Order and the global peace, justice and ethics, cannot be understood without accounting for the role of religion and religious organizations and among the topics dealing with religion is the matter of violence done by the excuse of religion’s orders. There is increasing research looking at and beyond religious causes of violence, as well as a hope that religion could offer genuinely effective tools to control violence. The question of control of violence is discussed in relation to the spheres of ethics (regulation of affect), theology (legitimacy of violence), and government (integration via religion). It is shown not only that religion offers possibilities for controlling violence, but also that control of violence via religion. This paper emphasizes on the impact of interreligious and intercultural role on peace and conflict resolution, as well as the role of “Global Ethic” and I will shortly note to one of the important Islamic proofs narrated from Prophet Muhammad (S), called “The Promise of Muhammad to the Christians till the end of the World”</w:t>
      </w:r>
      <w:r w:rsidR="00BD1C1F">
        <w:t xml:space="preserve"> and the constitution of Medina </w:t>
      </w:r>
      <w:r w:rsidRPr="00966B22">
        <w:t>. Sublime morality is also one point noted here as the resolution for war and conflict.</w:t>
      </w:r>
      <w:r>
        <w:t xml:space="preserve"> “Responsibility of Religions for Peace” is another topic which this paper is concentrating to talk about based on the new policies of European Union to enjoy from the cooperation between religious leaders and political leaders to bring peace to the world</w:t>
      </w:r>
      <w:r w:rsidR="009B0CA3">
        <w:t xml:space="preserve"> and better integration</w:t>
      </w:r>
      <w:r>
        <w:t>.</w:t>
      </w:r>
      <w:r w:rsidR="00BD1C1F">
        <w:t xml:space="preserve"> Iran and European Union reciprocal contacts on interreligious and intercultural dialogue as well as the main pillars of Shi’a international thought on spirituality, rationality and justice are other sphere on this article.</w:t>
      </w:r>
    </w:p>
    <w:p w:rsidR="00966B22" w:rsidRDefault="00966B22" w:rsidP="00966B22">
      <w:pPr>
        <w:jc w:val="both"/>
      </w:pPr>
    </w:p>
    <w:p w:rsidR="00966B22" w:rsidRDefault="00966B22" w:rsidP="00966B22">
      <w:pPr>
        <w:jc w:val="both"/>
      </w:pPr>
      <w:r>
        <w:t>Keywords: Prophet Muhammad, the letter,</w:t>
      </w:r>
      <w:r w:rsidR="009B0CA3">
        <w:t xml:space="preserve"> interreligious, intercultural, dialogue, ethics and peace.</w:t>
      </w:r>
    </w:p>
    <w:sectPr w:rsidR="00966B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71CA0" w:rsidRDefault="00E71CA0" w:rsidP="009B0CA3">
      <w:pPr>
        <w:spacing w:after="0" w:line="240" w:lineRule="auto"/>
      </w:pPr>
      <w:r>
        <w:separator/>
      </w:r>
    </w:p>
  </w:endnote>
  <w:endnote w:type="continuationSeparator" w:id="0">
    <w:p w:rsidR="00E71CA0" w:rsidRDefault="00E71CA0" w:rsidP="009B0C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71CA0" w:rsidRDefault="00E71CA0" w:rsidP="009B0CA3">
      <w:pPr>
        <w:spacing w:after="0" w:line="240" w:lineRule="auto"/>
      </w:pPr>
      <w:r>
        <w:separator/>
      </w:r>
    </w:p>
  </w:footnote>
  <w:footnote w:type="continuationSeparator" w:id="0">
    <w:p w:rsidR="00E71CA0" w:rsidRDefault="00E71CA0" w:rsidP="009B0CA3">
      <w:pPr>
        <w:spacing w:after="0" w:line="240" w:lineRule="auto"/>
      </w:pPr>
      <w:r>
        <w:continuationSeparator/>
      </w:r>
    </w:p>
  </w:footnote>
  <w:footnote w:id="1">
    <w:p w:rsidR="009B0CA3" w:rsidRDefault="009B0CA3" w:rsidP="009B0CA3">
      <w:pPr>
        <w:pStyle w:val="FootnoteText"/>
      </w:pPr>
      <w:r>
        <w:rPr>
          <w:rStyle w:val="FootnoteReference"/>
        </w:rPr>
        <w:footnoteRef/>
      </w:r>
      <w:r>
        <w:t xml:space="preserve"> Director of International Institute for Peace and Religions (iipr.ir)in Qom, Islamic Republic of Iran and invited member of M</w:t>
      </w:r>
      <w:r w:rsidRPr="009B0CA3">
        <w:t xml:space="preserve">ediation </w:t>
      </w:r>
      <w:r>
        <w:t>T</w:t>
      </w:r>
      <w:r w:rsidRPr="009B0CA3">
        <w:t xml:space="preserve">raining </w:t>
      </w:r>
      <w:r>
        <w:t>S</w:t>
      </w:r>
      <w:r w:rsidRPr="009B0CA3">
        <w:t>ession</w:t>
      </w:r>
      <w:r>
        <w:t xml:space="preserve"> in German Foreign Ministry. Cellphone: </w:t>
      </w:r>
      <w:r w:rsidRPr="009B0CA3">
        <w:rPr>
          <w:b/>
          <w:bCs/>
          <w:color w:val="244061" w:themeColor="accent1" w:themeShade="80"/>
        </w:rPr>
        <w:t>+989125520570</w:t>
      </w:r>
      <w:r w:rsidRPr="009B0CA3">
        <w:rPr>
          <w:color w:val="244061" w:themeColor="accent1" w:themeShade="80"/>
        </w:rPr>
        <w:t xml:space="preserve"> </w:t>
      </w:r>
      <w:r>
        <w:t xml:space="preserve">– Website: </w:t>
      </w:r>
      <w:r w:rsidRPr="009B0CA3">
        <w:rPr>
          <w:b/>
          <w:bCs/>
          <w:color w:val="244061" w:themeColor="accent1" w:themeShade="80"/>
        </w:rPr>
        <w:t>iipr.ir</w:t>
      </w:r>
    </w:p>
    <w:p w:rsidR="009B0CA3" w:rsidRDefault="009B0CA3" w:rsidP="009B0CA3">
      <w:pPr>
        <w:pStyle w:val="FootnoteText"/>
      </w:pPr>
      <w: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6B22"/>
    <w:rsid w:val="00035DF9"/>
    <w:rsid w:val="001E6055"/>
    <w:rsid w:val="0035293D"/>
    <w:rsid w:val="004F3C32"/>
    <w:rsid w:val="00556F88"/>
    <w:rsid w:val="008A1356"/>
    <w:rsid w:val="00902BED"/>
    <w:rsid w:val="00966B22"/>
    <w:rsid w:val="009958A8"/>
    <w:rsid w:val="009B0CA3"/>
    <w:rsid w:val="00BC7C9F"/>
    <w:rsid w:val="00BD1C1F"/>
    <w:rsid w:val="00E71C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9B0CA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B0CA3"/>
    <w:rPr>
      <w:sz w:val="20"/>
      <w:szCs w:val="20"/>
    </w:rPr>
  </w:style>
  <w:style w:type="character" w:styleId="FootnoteReference">
    <w:name w:val="footnote reference"/>
    <w:basedOn w:val="DefaultParagraphFont"/>
    <w:uiPriority w:val="99"/>
    <w:semiHidden/>
    <w:unhideWhenUsed/>
    <w:rsid w:val="009B0CA3"/>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9B0CA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B0CA3"/>
    <w:rPr>
      <w:sz w:val="20"/>
      <w:szCs w:val="20"/>
    </w:rPr>
  </w:style>
  <w:style w:type="character" w:styleId="FootnoteReference">
    <w:name w:val="footnote reference"/>
    <w:basedOn w:val="DefaultParagraphFont"/>
    <w:uiPriority w:val="99"/>
    <w:semiHidden/>
    <w:unhideWhenUsed/>
    <w:rsid w:val="009B0CA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E9E7D1-B249-4BDD-9978-5DE667622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1</Pages>
  <Words>323</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طاهر امینی</dc:creator>
  <cp:lastModifiedBy>طاهر امینی</cp:lastModifiedBy>
  <cp:revision>7</cp:revision>
  <cp:lastPrinted>2017-10-18T10:25:00Z</cp:lastPrinted>
  <dcterms:created xsi:type="dcterms:W3CDTF">2017-09-06T04:53:00Z</dcterms:created>
  <dcterms:modified xsi:type="dcterms:W3CDTF">2017-10-18T10:25:00Z</dcterms:modified>
</cp:coreProperties>
</file>