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06F" w:rsidRPr="002D12CD" w:rsidRDefault="00C16A08" w:rsidP="001B706F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>
        <w:rPr>
          <w:rFonts w:ascii="Tahoma" w:eastAsia="Times New Roman" w:hAnsi="Tahoma" w:cs="Traditional Arabic" w:hint="cs"/>
          <w:b/>
          <w:bCs/>
          <w:color w:val="000000"/>
          <w:sz w:val="32"/>
          <w:szCs w:val="32"/>
          <w:rtl/>
          <w:lang w:bidi="fa-IR"/>
        </w:rPr>
        <w:t xml:space="preserve">شروط </w:t>
      </w:r>
      <w:r w:rsidR="001B706F" w:rsidRPr="002D12CD">
        <w:rPr>
          <w:rFonts w:ascii="Tahoma" w:eastAsia="Times New Roman" w:hAnsi="Tahoma" w:cs="Traditional Arabic"/>
          <w:b/>
          <w:bCs/>
          <w:color w:val="000000"/>
          <w:sz w:val="32"/>
          <w:szCs w:val="32"/>
          <w:rtl/>
          <w:lang w:bidi="fa-IR"/>
        </w:rPr>
        <w:t>هيكلية ال</w:t>
      </w:r>
      <w:r>
        <w:rPr>
          <w:rFonts w:ascii="Tahoma" w:eastAsia="Times New Roman" w:hAnsi="Tahoma" w:cs="Traditional Arabic" w:hint="cs"/>
          <w:b/>
          <w:bCs/>
          <w:color w:val="000000"/>
          <w:sz w:val="32"/>
          <w:szCs w:val="32"/>
          <w:rtl/>
          <w:lang w:bidi="fa-IR"/>
        </w:rPr>
        <w:t>أوراق البحثية المقدمة للمؤتمر:</w:t>
      </w:r>
    </w:p>
    <w:p w:rsidR="001B706F" w:rsidRPr="002D12CD" w:rsidRDefault="001B706F" w:rsidP="001B706F">
      <w:pPr>
        <w:tabs>
          <w:tab w:val="left" w:pos="139"/>
        </w:tabs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> </w:t>
      </w:r>
      <w:r w:rsidRPr="002D12CD">
        <w:rPr>
          <w:rFonts w:ascii="Traditional Arabic" w:eastAsia="Tahoma" w:hAnsi="Traditional Arabic" w:cs="Traditional Arabic"/>
          <w:b/>
          <w:bCs/>
          <w:color w:val="000000"/>
          <w:sz w:val="32"/>
          <w:szCs w:val="32"/>
          <w:rtl/>
          <w:lang w:bidi="fa-IR"/>
        </w:rPr>
        <w:t xml:space="preserve">1. 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يتكون المقال من الهيكلية التالية: عنوان المقال و الكلمات الأساسية و المقدمة و نص المقال و النتيجة والملحقات (إن وجد) و فهرس المصادر. </w:t>
      </w:r>
    </w:p>
    <w:p w:rsidR="001B706F" w:rsidRPr="002D12CD" w:rsidRDefault="001B706F" w:rsidP="00C16A08">
      <w:pPr>
        <w:tabs>
          <w:tab w:val="left" w:pos="139"/>
        </w:tabs>
        <w:bidi/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ahoma" w:hAnsi="Traditional Arabic" w:cs="Traditional Arabic"/>
          <w:b/>
          <w:bCs/>
          <w:color w:val="000000"/>
          <w:sz w:val="32"/>
          <w:szCs w:val="32"/>
          <w:rtl/>
          <w:lang w:bidi="fa-IR"/>
        </w:rPr>
        <w:t xml:space="preserve">2. </w:t>
      </w:r>
      <w:r w:rsidRPr="002D12CD">
        <w:rPr>
          <w:rFonts w:ascii="Traditional Arabic" w:eastAsia="Times New Roman" w:hAnsi="Traditional Arabic" w:cs="Traditional Arabic"/>
          <w:b/>
          <w:bCs/>
          <w:color w:val="000000"/>
          <w:sz w:val="32"/>
          <w:szCs w:val="32"/>
          <w:rtl/>
          <w:lang w:bidi="fa-IR"/>
        </w:rPr>
        <w:t>تأتي الإرجاعات إل</w:t>
      </w:r>
      <w:r w:rsidR="00C16A08">
        <w:rPr>
          <w:rFonts w:ascii="Traditional Arabic" w:eastAsia="Times New Roman" w:hAnsi="Traditional Arabic" w:cs="Traditional Arabic" w:hint="cs"/>
          <w:b/>
          <w:bCs/>
          <w:color w:val="000000"/>
          <w:sz w:val="32"/>
          <w:szCs w:val="32"/>
          <w:rtl/>
          <w:lang w:bidi="fa-IR"/>
        </w:rPr>
        <w:t>ی</w:t>
      </w:r>
      <w:r w:rsidRPr="002D12CD">
        <w:rPr>
          <w:rFonts w:ascii="Traditional Arabic" w:eastAsia="Times New Roman" w:hAnsi="Traditional Arabic" w:cs="Traditional Arabic"/>
          <w:b/>
          <w:bCs/>
          <w:color w:val="000000"/>
          <w:sz w:val="32"/>
          <w:szCs w:val="32"/>
          <w:rtl/>
          <w:lang w:bidi="fa-IR"/>
        </w:rPr>
        <w:t xml:space="preserve"> المصادر في نص المقال، في نهاية ما يُنقل أو ما يُستند إليه؛ فتكون بين القوسين كالتالي: </w:t>
      </w:r>
    </w:p>
    <w:p w:rsidR="001B706F" w:rsidRPr="002D12CD" w:rsidRDefault="001B706F" w:rsidP="001B706F">
      <w:pPr>
        <w:tabs>
          <w:tab w:val="left" w:pos="139"/>
        </w:tabs>
        <w:bidi/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1-2. المصادر الفارسية و العربية: (إسم المؤلّف، سنة الطبع، رقم المجلد، الصفحة)؛ مثال: (حسيني، 1376، ج2، ص83). </w:t>
      </w:r>
    </w:p>
    <w:p w:rsidR="001B706F" w:rsidRPr="002D12CD" w:rsidRDefault="001B706F" w:rsidP="001B706F">
      <w:pPr>
        <w:tabs>
          <w:tab w:val="left" w:pos="139"/>
        </w:tabs>
        <w:bidi/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>2-2. المصادر الأجنبية (الصفحة، المجلد، سنة الطبع، لقب المؤلّف)؛ مثال: (</w:t>
      </w:r>
      <w:proofErr w:type="spellStart"/>
      <w:r w:rsidRPr="002D12CD">
        <w:rPr>
          <w:rFonts w:ascii="Times New Roman" w:eastAsia="Times New Roman" w:hAnsi="Times New Roman" w:cs="Traditional Arabic"/>
          <w:color w:val="000000"/>
          <w:sz w:val="32"/>
          <w:szCs w:val="32"/>
          <w:lang w:bidi="fa-IR"/>
        </w:rPr>
        <w:t>plantign</w:t>
      </w:r>
      <w:proofErr w:type="spellEnd"/>
      <w:r w:rsidRPr="002D12CD">
        <w:rPr>
          <w:rFonts w:ascii="Times New Roman" w:eastAsia="Times New Roman" w:hAnsi="Times New Roman" w:cs="Traditional Arabic"/>
          <w:color w:val="000000"/>
          <w:sz w:val="32"/>
          <w:szCs w:val="32"/>
          <w:lang w:bidi="fa-IR"/>
        </w:rPr>
        <w:t>, 1998, p. 71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). </w:t>
      </w:r>
    </w:p>
    <w:p w:rsidR="001B706F" w:rsidRPr="002D12CD" w:rsidRDefault="001B706F" w:rsidP="00C16A08">
      <w:pPr>
        <w:tabs>
          <w:tab w:val="left" w:pos="139"/>
        </w:tabs>
        <w:bidi/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Calibri" w:eastAsia="Times New Roman" w:hAnsi="Calibri" w:cs="Traditional Arabic"/>
          <w:color w:val="000000"/>
          <w:sz w:val="32"/>
          <w:szCs w:val="32"/>
          <w:rtl/>
          <w:lang w:bidi="fa-IR"/>
        </w:rPr>
        <w:t>-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>تُكرر الإرجاعات كالمرّة ال</w:t>
      </w:r>
      <w:r w:rsidR="00C16A0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fa-IR"/>
        </w:rPr>
        <w:t>أ</w:t>
      </w:r>
      <w:r w:rsidR="00C16A08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>ول</w:t>
      </w:r>
      <w:r w:rsidR="00C16A0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fa-IR"/>
        </w:rPr>
        <w:t>ی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 إذا إقتضت الحاجة و يحترز من إستخدام كلمات، نفسه، السابق، </w:t>
      </w:r>
      <w:r w:rsidRPr="002D12CD">
        <w:rPr>
          <w:rFonts w:ascii="Times New Roman" w:eastAsia="Times New Roman" w:hAnsi="Times New Roman" w:cs="Traditional Arabic"/>
          <w:color w:val="000000"/>
          <w:sz w:val="32"/>
          <w:szCs w:val="32"/>
          <w:lang w:bidi="fa-IR"/>
        </w:rPr>
        <w:t>Ibid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ar-AE"/>
        </w:rPr>
        <w:t xml:space="preserve"> و. . . </w:t>
      </w:r>
    </w:p>
    <w:p w:rsidR="001B706F" w:rsidRPr="002D12CD" w:rsidRDefault="001B706F" w:rsidP="001B706F">
      <w:pPr>
        <w:tabs>
          <w:tab w:val="left" w:pos="139"/>
        </w:tabs>
        <w:bidi/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ahoma" w:hAnsi="Traditional Arabic" w:cs="Traditional Arabic"/>
          <w:b/>
          <w:bCs/>
          <w:color w:val="000000"/>
          <w:sz w:val="32"/>
          <w:szCs w:val="32"/>
          <w:rtl/>
          <w:lang w:bidi="fa-IR"/>
        </w:rPr>
        <w:t xml:space="preserve">3. 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تُعَنون كلّ الإيضاحات و المرادفات الأجنبية للأعلام أو المصطلحات، بعنوان مذكّرات و تذكّر في نهاية المقال (و تكون الإرجاعات و المستندات في المذكرات كنص المقال المذكور في البند رقم "1"). </w:t>
      </w:r>
    </w:p>
    <w:p w:rsidR="001B706F" w:rsidRPr="002D12CD" w:rsidRDefault="001B706F" w:rsidP="00C16A08">
      <w:pPr>
        <w:tabs>
          <w:tab w:val="left" w:pos="139"/>
        </w:tabs>
        <w:bidi/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ahoma" w:hAnsi="Traditional Arabic" w:cs="Traditional Arabic"/>
          <w:b/>
          <w:bCs/>
          <w:color w:val="000000"/>
          <w:sz w:val="32"/>
          <w:szCs w:val="32"/>
          <w:rtl/>
          <w:lang w:bidi="fa-IR"/>
        </w:rPr>
        <w:t xml:space="preserve">4. 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>تذكر في نهاية المقال، فهرسة المصادر الفارسية و العربية و الأجنبية حس</w:t>
      </w:r>
      <w:r w:rsidR="00C16A08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>ب الحروف التهجّي و</w:t>
      </w:r>
      <w:r w:rsidR="00C16A0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fa-IR"/>
        </w:rPr>
        <w:t xml:space="preserve"> بتفكيك </w:t>
      </w:r>
      <w:r w:rsidR="00C16A08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>كلّ لغة</w:t>
      </w:r>
      <w:r w:rsidR="00C16A0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fa-IR"/>
        </w:rPr>
        <w:t xml:space="preserve"> عن الأُخری</w:t>
      </w:r>
      <w:r w:rsidR="00C16A08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 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، كالتالي: </w:t>
      </w:r>
    </w:p>
    <w:p w:rsidR="001B706F" w:rsidRPr="002D12CD" w:rsidRDefault="001B706F" w:rsidP="001B706F">
      <w:pPr>
        <w:tabs>
          <w:tab w:val="left" w:pos="139"/>
        </w:tabs>
        <w:bidi/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للكتاب: لقب المؤلّف و إسمه (تاريخ الطبع)، إسم الكتاب، إسم المترجم، محل الطبع، الناشر، التعداد، المجلد. </w:t>
      </w:r>
    </w:p>
    <w:p w:rsidR="001B706F" w:rsidRPr="002D12CD" w:rsidRDefault="001B706F" w:rsidP="001B706F">
      <w:pPr>
        <w:tabs>
          <w:tab w:val="left" w:pos="139"/>
        </w:tabs>
        <w:bidi/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مثال: </w:t>
      </w:r>
      <w:r w:rsidRPr="002D12CD">
        <w:rPr>
          <w:rFonts w:ascii="Traditional Arabic" w:eastAsia="Times New Roman" w:hAnsi="Traditional Arabic" w:cs="Traditional Arabic"/>
          <w:sz w:val="32"/>
          <w:szCs w:val="32"/>
          <w:rtl/>
          <w:lang w:bidi="fa-IR"/>
        </w:rPr>
        <w:t>هارت ناك، يوستوس (1351)، ويتكنشتاين، ترجمه منوجهر بزركمهر، تهران: انتشارات خوارزمي</w:t>
      </w:r>
    </w:p>
    <w:p w:rsidR="001B706F" w:rsidRPr="002D12CD" w:rsidRDefault="001B706F" w:rsidP="001B706F">
      <w:pPr>
        <w:tabs>
          <w:tab w:val="left" w:pos="139"/>
        </w:tabs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proofErr w:type="spellStart"/>
      <w:r w:rsidRPr="002D12CD">
        <w:rPr>
          <w:rFonts w:ascii="Times New Roman" w:eastAsia="Times New Roman" w:hAnsi="Times New Roman" w:cs="Traditional Arabic"/>
          <w:color w:val="000000"/>
          <w:sz w:val="24"/>
          <w:szCs w:val="24"/>
          <w:lang w:bidi="fa-IR"/>
        </w:rPr>
        <w:t>Nozick</w:t>
      </w:r>
      <w:proofErr w:type="spellEnd"/>
      <w:r w:rsidRPr="002D12CD">
        <w:rPr>
          <w:rFonts w:ascii="Times New Roman" w:eastAsia="Times New Roman" w:hAnsi="Times New Roman" w:cs="Traditional Arabic"/>
          <w:color w:val="000000"/>
          <w:sz w:val="24"/>
          <w:szCs w:val="24"/>
          <w:lang w:bidi="fa-IR"/>
        </w:rPr>
        <w:t xml:space="preserve">, Robert (1981), Philosophical Explanations, </w:t>
      </w:r>
    </w:p>
    <w:p w:rsidR="001B706F" w:rsidRPr="002D12CD" w:rsidRDefault="001B706F" w:rsidP="001B706F">
      <w:pPr>
        <w:tabs>
          <w:tab w:val="left" w:pos="139"/>
        </w:tabs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المقال: لقب المؤلّف و إسمه (سنة الطبع)، "عنوان المقال"، إسم المجلة، عددها. </w:t>
      </w:r>
    </w:p>
    <w:p w:rsidR="001B706F" w:rsidRPr="002D12CD" w:rsidRDefault="001B706F" w:rsidP="001B706F">
      <w:pPr>
        <w:tabs>
          <w:tab w:val="left" w:pos="139"/>
        </w:tabs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مثال: نجفي، سيدرضا، 1426 ةق، "آراء الفراء البلاغية في کتاب معاني القرآن"، آفاق الحضارة الاسلامية، العدد 17. </w:t>
      </w:r>
    </w:p>
    <w:p w:rsidR="001B706F" w:rsidRPr="002D12CD" w:rsidRDefault="001B706F" w:rsidP="001B706F">
      <w:pPr>
        <w:tabs>
          <w:tab w:val="left" w:pos="139"/>
        </w:tabs>
        <w:spacing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proofErr w:type="gramStart"/>
      <w:r w:rsidRPr="002D12CD">
        <w:rPr>
          <w:rFonts w:ascii="Times New Roman" w:eastAsia="Times New Roman" w:hAnsi="Times New Roman" w:cs="Traditional Arabic"/>
          <w:color w:val="000000"/>
          <w:sz w:val="24"/>
          <w:szCs w:val="24"/>
          <w:lang w:bidi="fa-IR"/>
        </w:rPr>
        <w:t xml:space="preserve">Shapiro, </w:t>
      </w:r>
      <w:proofErr w:type="spellStart"/>
      <w:r w:rsidRPr="002D12CD">
        <w:rPr>
          <w:rFonts w:ascii="Times New Roman" w:eastAsia="Times New Roman" w:hAnsi="Times New Roman" w:cs="Traditional Arabic"/>
          <w:color w:val="000000"/>
          <w:sz w:val="24"/>
          <w:szCs w:val="24"/>
          <w:lang w:bidi="fa-IR"/>
        </w:rPr>
        <w:t>Stevant</w:t>
      </w:r>
      <w:proofErr w:type="spellEnd"/>
      <w:r w:rsidRPr="002D12CD">
        <w:rPr>
          <w:rFonts w:ascii="Times New Roman" w:eastAsia="Times New Roman" w:hAnsi="Times New Roman" w:cs="Traditional Arabic"/>
          <w:color w:val="000000"/>
          <w:sz w:val="24"/>
          <w:szCs w:val="24"/>
          <w:lang w:bidi="fa-IR"/>
        </w:rPr>
        <w:t xml:space="preserve"> (2002), "Incompleteness and Inconsistency", Mind, vol. 111</w:t>
      </w:r>
      <w:r w:rsidRPr="002D12CD">
        <w:rPr>
          <w:rFonts w:ascii="Times New Roman" w:eastAsia="Times New Roman" w:hAnsi="Times New Roman" w:cs="Traditional Arabic"/>
          <w:color w:val="000000"/>
          <w:sz w:val="24"/>
          <w:szCs w:val="24"/>
          <w:rtl/>
          <w:lang w:bidi="fa-IR"/>
        </w:rPr>
        <w:t>.</w:t>
      </w:r>
      <w:proofErr w:type="gramEnd"/>
    </w:p>
    <w:p w:rsidR="001B706F" w:rsidRPr="002D12CD" w:rsidRDefault="001B706F" w:rsidP="00C16A08">
      <w:pPr>
        <w:tabs>
          <w:tab w:val="left" w:pos="139"/>
        </w:tabs>
        <w:bidi/>
        <w:spacing w:after="0" w:line="240" w:lineRule="auto"/>
        <w:ind w:hanging="426"/>
        <w:contextualSpacing/>
        <w:jc w:val="both"/>
        <w:rPr>
          <w:rFonts w:ascii="Arial" w:eastAsia="Times New Roman" w:hAnsi="Arial" w:cs="Arial"/>
          <w:sz w:val="23"/>
          <w:szCs w:val="23"/>
        </w:rPr>
      </w:pPr>
      <w:r w:rsidRPr="002D12CD">
        <w:rPr>
          <w:rFonts w:ascii="Traditional Arabic" w:eastAsia="Tahoma" w:hAnsi="Traditional Arabic" w:cs="Traditional Arabic"/>
          <w:b/>
          <w:bCs/>
          <w:color w:val="000000"/>
          <w:sz w:val="32"/>
          <w:szCs w:val="32"/>
          <w:rtl/>
          <w:lang w:bidi="fa-IR"/>
        </w:rPr>
        <w:t xml:space="preserve">5. 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>ترفق خلاصة بالمقال حدّها الأقص</w:t>
      </w:r>
      <w:r w:rsidR="00C16A0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fa-IR"/>
        </w:rPr>
        <w:t>ی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 300 كلمة تشتمل عل</w:t>
      </w:r>
      <w:r w:rsidR="00C16A0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fa-IR"/>
        </w:rPr>
        <w:t>ی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 عنوان المقال و موضوعه و منهجية التحقيق و أهم النتايج و فهرسة للكلمات الأساسية (10 كلمات عل</w:t>
      </w:r>
      <w:r w:rsidR="00C16A0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fa-IR"/>
        </w:rPr>
        <w:t>ی</w:t>
      </w: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fa-IR"/>
        </w:rPr>
        <w:t xml:space="preserve"> الأكثر). </w:t>
      </w:r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20"/>
          <w:szCs w:val="20"/>
          <w:rtl/>
          <w:lang w:bidi="fa-IR"/>
        </w:rPr>
        <w:t> </w:t>
      </w:r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ahoma" w:eastAsia="Times New Roman" w:hAnsi="Tahoma" w:cs="Traditional Arabic"/>
          <w:b/>
          <w:bCs/>
          <w:color w:val="000000"/>
          <w:sz w:val="32"/>
          <w:szCs w:val="32"/>
          <w:rtl/>
          <w:lang w:bidi="ar-AE"/>
        </w:rPr>
        <w:t xml:space="preserve">طريقة إرسال المقالات: </w:t>
      </w:r>
    </w:p>
    <w:p w:rsidR="001B706F" w:rsidRDefault="001B706F" w:rsidP="00C16A08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Traditional Arabic"/>
          <w:color w:val="000000"/>
          <w:sz w:val="32"/>
          <w:szCs w:val="32"/>
          <w:lang w:bidi="ar-AE"/>
        </w:rPr>
      </w:pP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تطبع المقالات باللغة العربية في برنامج </w:t>
      </w:r>
      <w:r w:rsidRPr="002D12CD">
        <w:rPr>
          <w:rFonts w:ascii="Times New Roman" w:eastAsia="Times New Roman" w:hAnsi="Times New Roman" w:cs="Traditional Arabic"/>
          <w:color w:val="000000"/>
          <w:sz w:val="32"/>
          <w:szCs w:val="32"/>
        </w:rPr>
        <w:t>Word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lang w:bidi="ar-AE"/>
        </w:rPr>
        <w:t xml:space="preserve"> </w:t>
      </w:r>
      <w:r w:rsid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 xml:space="preserve"> </w:t>
      </w:r>
      <w:r w:rsidRPr="002D12CD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 xml:space="preserve">و ترسل إلی أمانة المؤتمر الدولي للبحوث القرآنية </w:t>
      </w:r>
      <w:r w:rsidRPr="002D12CD">
        <w:rPr>
          <w:rFonts w:ascii="Arial" w:eastAsia="Times New Roman" w:hAnsi="Arial" w:cs="Traditional Arabic"/>
          <w:color w:val="000000"/>
          <w:sz w:val="32"/>
          <w:szCs w:val="32"/>
          <w:rtl/>
          <w:lang w:bidi="ar-AE"/>
        </w:rPr>
        <w:t xml:space="preserve">عبر موقعنا المعنون بالمسابقات الدولية للقرآن الكريم: </w:t>
      </w:r>
    </w:p>
    <w:p w:rsidR="008904B4" w:rsidRPr="005D3D6F" w:rsidRDefault="004173EA" w:rsidP="008904B4">
      <w:pPr>
        <w:tabs>
          <w:tab w:val="left" w:pos="424"/>
        </w:tabs>
        <w:rPr>
          <w:rFonts w:asciiTheme="majorBidi" w:hAnsiTheme="majorBidi" w:cstheme="majorBidi"/>
          <w:sz w:val="40"/>
          <w:szCs w:val="40"/>
        </w:rPr>
      </w:pPr>
      <w:hyperlink r:id="rId4" w:history="1">
        <w:r w:rsidR="008904B4" w:rsidRPr="005D3D6F">
          <w:rPr>
            <w:rStyle w:val="Hyperlink"/>
            <w:rFonts w:asciiTheme="majorBidi" w:hAnsiTheme="majorBidi" w:cstheme="majorBidi"/>
            <w:color w:val="auto"/>
            <w:sz w:val="40"/>
            <w:szCs w:val="40"/>
            <w:u w:val="none"/>
          </w:rPr>
          <w:t>www.iqro.ir</w:t>
        </w:r>
      </w:hyperlink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</w:rPr>
      </w:pPr>
      <w:bookmarkStart w:id="0" w:name="_GoBack"/>
      <w:bookmarkEnd w:id="0"/>
      <w:r w:rsidRPr="002D12CD">
        <w:rPr>
          <w:rFonts w:ascii="Tahoma" w:eastAsia="Times New Roman" w:hAnsi="Tahoma" w:cs="Traditional Arabic"/>
          <w:b/>
          <w:bCs/>
          <w:color w:val="000000"/>
          <w:sz w:val="20"/>
          <w:szCs w:val="20"/>
          <w:rtl/>
          <w:lang w:bidi="ar-AE"/>
        </w:rPr>
        <w:t> </w:t>
      </w:r>
    </w:p>
    <w:p w:rsidR="001B706F" w:rsidRPr="002D12CD" w:rsidRDefault="00C16A08" w:rsidP="00C16A08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>
        <w:rPr>
          <w:rFonts w:ascii="Tahoma" w:eastAsia="Times New Roman" w:hAnsi="Tahoma" w:cs="Traditional Arabic"/>
          <w:b/>
          <w:bCs/>
          <w:color w:val="000000"/>
          <w:sz w:val="32"/>
          <w:szCs w:val="32"/>
          <w:rtl/>
          <w:lang w:bidi="ar-AE"/>
        </w:rPr>
        <w:lastRenderedPageBreak/>
        <w:t>الفترة المحددة ل</w:t>
      </w:r>
      <w:r>
        <w:rPr>
          <w:rFonts w:ascii="Tahoma" w:eastAsia="Times New Roman" w:hAnsi="Tahoma" w:cs="Traditional Arabic" w:hint="cs"/>
          <w:b/>
          <w:bCs/>
          <w:color w:val="000000"/>
          <w:sz w:val="32"/>
          <w:szCs w:val="32"/>
          <w:rtl/>
          <w:lang w:bidi="ar-AE"/>
        </w:rPr>
        <w:t>إ</w:t>
      </w:r>
      <w:r w:rsidR="001B706F" w:rsidRPr="002D12CD">
        <w:rPr>
          <w:rFonts w:ascii="Tahoma" w:eastAsia="Times New Roman" w:hAnsi="Tahoma" w:cs="Traditional Arabic"/>
          <w:b/>
          <w:bCs/>
          <w:color w:val="000000"/>
          <w:sz w:val="32"/>
          <w:szCs w:val="32"/>
          <w:rtl/>
          <w:lang w:bidi="ar-AE"/>
        </w:rPr>
        <w:t>رسال ال</w:t>
      </w:r>
      <w:r>
        <w:rPr>
          <w:rFonts w:ascii="Tahoma" w:eastAsia="Times New Roman" w:hAnsi="Tahoma" w:cs="Traditional Arabic" w:hint="cs"/>
          <w:b/>
          <w:bCs/>
          <w:color w:val="000000"/>
          <w:sz w:val="32"/>
          <w:szCs w:val="32"/>
          <w:rtl/>
          <w:lang w:bidi="ar-AE"/>
        </w:rPr>
        <w:t>آثار</w:t>
      </w:r>
      <w:r w:rsidR="001B706F" w:rsidRPr="002D12CD">
        <w:rPr>
          <w:rFonts w:ascii="Tahoma" w:eastAsia="Times New Roman" w:hAnsi="Tahoma" w:cs="Traditional Arabic"/>
          <w:b/>
          <w:bCs/>
          <w:color w:val="000000"/>
          <w:sz w:val="32"/>
          <w:szCs w:val="32"/>
          <w:rtl/>
          <w:lang w:bidi="ar-AE"/>
        </w:rPr>
        <w:t xml:space="preserve">: </w:t>
      </w:r>
    </w:p>
    <w:p w:rsidR="001B706F" w:rsidRPr="002D12CD" w:rsidRDefault="001B706F" w:rsidP="00C16A08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أقصی فترة زمنية لإرسال المقالات هي </w:t>
      </w:r>
      <w:r w:rsid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20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جمادی الثانية 143</w:t>
      </w:r>
      <w:r w:rsid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6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هجري الموافق لـ </w:t>
      </w:r>
      <w:r w:rsid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1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>0 أبريل 201</w:t>
      </w:r>
      <w:r w:rsid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5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ميلادي</w:t>
      </w:r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ahoma" w:eastAsia="Times New Roman" w:hAnsi="Tahoma" w:cs="Traditional Arabic"/>
          <w:color w:val="000000"/>
          <w:sz w:val="32"/>
          <w:szCs w:val="32"/>
          <w:lang w:bidi="ar-AE"/>
        </w:rPr>
        <w:t> </w:t>
      </w:r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ahoma" w:eastAsia="Times New Roman" w:hAnsi="Tahoma" w:cs="Traditional Arabic"/>
          <w:b/>
          <w:bCs/>
          <w:color w:val="000000"/>
          <w:sz w:val="32"/>
          <w:szCs w:val="32"/>
          <w:rtl/>
          <w:lang w:bidi="ar-AE"/>
        </w:rPr>
        <w:t xml:space="preserve">ملاحظات هامّة: </w:t>
      </w:r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ind w:hanging="283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ar-AE"/>
        </w:rPr>
        <w:t xml:space="preserve">- 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الأساس في عدّ الصفحات هو تعداد الكلمات حيث تعتبر كل 300 كلمة صفحة واحدة. </w:t>
      </w:r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ind w:hanging="283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ar-AE"/>
        </w:rPr>
        <w:t xml:space="preserve">- 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ينبغي أن لا يكون المقال المُرسل قد نشر من قبل في أيّ صحيفة أو تمّ تقديمه إلی أيّ مؤتمر. </w:t>
      </w:r>
    </w:p>
    <w:p w:rsidR="001B706F" w:rsidRPr="002D12CD" w:rsidRDefault="001B706F" w:rsidP="00C16A08">
      <w:pPr>
        <w:tabs>
          <w:tab w:val="left" w:pos="139"/>
        </w:tabs>
        <w:bidi/>
        <w:spacing w:before="100" w:beforeAutospacing="1" w:after="0" w:line="240" w:lineRule="auto"/>
        <w:ind w:hanging="283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ar-AE"/>
        </w:rPr>
        <w:t xml:space="preserve">- 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>سيتم طبع المقالات المقبولة معاً عل</w:t>
      </w:r>
      <w:r w:rsid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ی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شكل كتاب يحمل عنوان</w:t>
      </w:r>
      <w:r w:rsidR="00C16A08" w:rsidRPr="00C16A08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>«</w:t>
      </w:r>
      <w:r w:rsidR="00C16A08" w:rsidRP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أبحاث</w:t>
      </w:r>
      <w:r w:rsidR="00C16A08" w:rsidRPr="00C16A08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</w:t>
      </w:r>
      <w:r w:rsidR="00C16A08" w:rsidRP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مؤتمر</w:t>
      </w:r>
      <w:r w:rsidR="00C16A08" w:rsidRPr="00C16A08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</w:t>
      </w:r>
      <w:r w:rsidR="00C16A08" w:rsidRP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القرآن</w:t>
      </w:r>
      <w:r w:rsidR="00C16A08" w:rsidRPr="00C16A08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</w:t>
      </w:r>
      <w:r w:rsidR="00C16A08" w:rsidRP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و</w:t>
      </w:r>
      <w:r w:rsidR="00C16A08" w:rsidRPr="00C16A08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</w:t>
      </w:r>
      <w:r w:rsidR="00C16A08" w:rsidRP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الثقافة</w:t>
      </w:r>
      <w:r w:rsidR="00C16A08" w:rsidRPr="00C16A08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</w:t>
      </w:r>
      <w:r w:rsidR="00C16A08" w:rsidRP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الوحيانية</w:t>
      </w:r>
      <w:r w:rsidR="00C16A08" w:rsidRPr="00C16A08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»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. </w:t>
      </w:r>
    </w:p>
    <w:p w:rsidR="001B706F" w:rsidRPr="002D12CD" w:rsidRDefault="001B706F" w:rsidP="00C16A08">
      <w:pPr>
        <w:tabs>
          <w:tab w:val="left" w:pos="139"/>
        </w:tabs>
        <w:bidi/>
        <w:spacing w:before="100" w:beforeAutospacing="1" w:after="0" w:line="240" w:lineRule="auto"/>
        <w:ind w:hanging="283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ar-AE"/>
        </w:rPr>
        <w:t xml:space="preserve">- 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>ستكتب العناوين الكاملة للمؤلفين في حاشية الصفحة الأول</w:t>
      </w:r>
      <w:r w:rsid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ی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حيث تحتوي علی الإسم</w:t>
      </w:r>
      <w:r w:rsidR="00C16A08">
        <w:rPr>
          <w:rFonts w:ascii="Tahoma" w:eastAsia="Times New Roman" w:hAnsi="Tahoma" w:cs="Traditional Arabic" w:hint="cs"/>
          <w:color w:val="000000"/>
          <w:sz w:val="32"/>
          <w:szCs w:val="32"/>
          <w:rtl/>
          <w:lang w:bidi="ar-AE"/>
        </w:rPr>
        <w:t>،</w:t>
      </w: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 اللقب، محل العمل، البريد الإلكتروني و بالنسبة إلی المعلومات الأجنبية للمؤلفين يمكن كتابتها بعد أسمائهم و قبل الخلاصة الإنجليزية. </w:t>
      </w:r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ar-AE"/>
        </w:rPr>
        <w:t> </w:t>
      </w:r>
    </w:p>
    <w:p w:rsidR="001B706F" w:rsidRPr="002D12CD" w:rsidRDefault="001B706F" w:rsidP="001B706F">
      <w:pPr>
        <w:tabs>
          <w:tab w:val="left" w:pos="424"/>
        </w:tabs>
        <w:bidi/>
        <w:spacing w:line="240" w:lineRule="auto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Adobe Arabic" w:eastAsia="Times New Roman" w:hAnsi="Adobe Arabic" w:cs="Adobe Arabic"/>
          <w:b/>
          <w:bCs/>
          <w:sz w:val="28"/>
          <w:szCs w:val="28"/>
          <w:rtl/>
          <w:lang w:bidi="fa-IR"/>
        </w:rPr>
        <w:t>عنوان الأمانة العامة:</w:t>
      </w:r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ind w:hanging="283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الأمانة العامة الدائمة: طهران، شارع حافظ، شارع نوفل لوشاتو، منظمة الأوقاف و الشؤون الخيرية، مرکز الشؤون القرآنية، أمانة المؤتمر الدولي للبحوث القرآنية؛ </w:t>
      </w:r>
    </w:p>
    <w:p w:rsidR="001B706F" w:rsidRPr="002D12CD" w:rsidRDefault="001B706F" w:rsidP="001B706F">
      <w:pPr>
        <w:tabs>
          <w:tab w:val="left" w:pos="139"/>
        </w:tabs>
        <w:bidi/>
        <w:spacing w:before="100" w:beforeAutospacing="1" w:after="0" w:line="240" w:lineRule="auto"/>
        <w:ind w:hanging="283"/>
        <w:contextualSpacing/>
        <w:jc w:val="both"/>
        <w:rPr>
          <w:rFonts w:ascii="Arial" w:eastAsia="Times New Roman" w:hAnsi="Arial" w:cs="Arial"/>
          <w:sz w:val="23"/>
          <w:szCs w:val="23"/>
          <w:rtl/>
        </w:rPr>
      </w:pPr>
      <w:r w:rsidRPr="002D12CD">
        <w:rPr>
          <w:rFonts w:ascii="Tahoma" w:eastAsia="Times New Roman" w:hAnsi="Tahoma" w:cs="Traditional Arabic"/>
          <w:color w:val="000000"/>
          <w:sz w:val="32"/>
          <w:szCs w:val="32"/>
          <w:rtl/>
          <w:lang w:bidi="ar-AE"/>
        </w:rPr>
        <w:t xml:space="preserve">الأمانة العامة العلمية: قم، بولوار الشهيد صدوقي، بولوار عطاران، جامعة العلوم والمعارف القرآن الکريم، مساعدية البحوث و التقنيات،الأمانة العامة العلمية لمؤتمر البحوث القرآنية الدولي. </w:t>
      </w:r>
    </w:p>
    <w:p w:rsidR="00BA1F22" w:rsidRDefault="008904B4" w:rsidP="008904B4">
      <w:pPr>
        <w:bidi/>
      </w:pPr>
      <w:r>
        <w:rPr>
          <w:rFonts w:ascii="Adobe Arabic" w:hAnsi="Adobe Arabic" w:cs="Adobe Arabic"/>
          <w:sz w:val="32"/>
          <w:szCs w:val="32"/>
          <w:rtl/>
        </w:rPr>
        <w:t>هاتف: 32940504-25-0098</w:t>
      </w:r>
    </w:p>
    <w:sectPr w:rsidR="00BA1F22" w:rsidSect="00417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B706F"/>
    <w:rsid w:val="001B706F"/>
    <w:rsid w:val="004173EA"/>
    <w:rsid w:val="008904B4"/>
    <w:rsid w:val="00BA1F22"/>
    <w:rsid w:val="00C16A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0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04B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0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04B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iqro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lib1</dc:creator>
  <cp:lastModifiedBy>PJ</cp:lastModifiedBy>
  <cp:revision>3</cp:revision>
  <dcterms:created xsi:type="dcterms:W3CDTF">2015-02-09T08:42:00Z</dcterms:created>
  <dcterms:modified xsi:type="dcterms:W3CDTF">2002-01-01T07:35:00Z</dcterms:modified>
</cp:coreProperties>
</file>