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5.0.0 -->
  <w:body>
    <w:p w:rsidR="00613CBB" w:rsidRPr="00613CBB" w:rsidP="002D6B7E">
      <w:pPr>
        <w:widowControl w:val="0"/>
        <w:spacing w:after="2040" w:line="240" w:lineRule="auto"/>
        <w:ind w:left="0" w:right="0"/>
        <w:jc w:val="center"/>
        <w:rPr>
          <w:rFonts w:ascii="MCS Basmalah normal." w:hAnsi="MCS Basmalah normal." w:cs="Titr" w:hint="cs"/>
          <w:sz w:val="20"/>
          <w:szCs w:val="20"/>
          <w:rtl/>
          <w:lang w:bidi="fa-IR"/>
        </w:rPr>
      </w:pPr>
    </w:p>
    <w:p w:rsidR="00C95908" w:rsidP="002D6B7E">
      <w:pPr>
        <w:widowControl w:val="0"/>
        <w:spacing w:after="2040" w:line="240" w:lineRule="auto"/>
        <w:ind w:left="0" w:right="0"/>
        <w:jc w:val="center"/>
        <w:rPr>
          <w:rFonts w:ascii="MCS Basmalah normal." w:hAnsi="MCS Basmalah normal." w:cs="Titr"/>
          <w:sz w:val="250"/>
          <w:szCs w:val="250"/>
          <w:rtl/>
          <w:lang w:bidi="fa-IR"/>
        </w:rPr>
      </w:pPr>
      <w:r>
        <w:rPr>
          <w:rFonts w:ascii="MCS Basmalah normal." w:hAnsi="MCS Basmalah normal." w:cs="Titr"/>
          <w:sz w:val="250"/>
          <w:szCs w:val="250"/>
          <w:lang w:bidi="fa-IR"/>
        </w:rPr>
        <w:t>Z</w:t>
      </w:r>
    </w:p>
    <w:p w:rsidR="00511899" w:rsidP="002D6B7E">
      <w:pPr>
        <w:widowControl w:val="0"/>
        <w:spacing w:after="2040" w:line="240" w:lineRule="auto"/>
        <w:ind w:left="0" w:right="0"/>
        <w:jc w:val="center"/>
        <w:rPr>
          <w:rFonts w:cs="Titr" w:hint="cs"/>
          <w:sz w:val="34"/>
          <w:szCs w:val="34"/>
          <w:rtl/>
          <w:lang w:bidi="fa-IR"/>
        </w:rPr>
      </w:pPr>
      <w:r w:rsidR="00C95908">
        <w:rPr>
          <w:rFonts w:ascii="MCS Basmalah normal." w:hAnsi="MCS Basmalah normal." w:cs="Titr"/>
          <w:sz w:val="250"/>
          <w:szCs w:val="250"/>
          <w:rtl/>
          <w:lang w:bidi="fa-IR"/>
        </w:rPr>
        <w:br w:type="page"/>
      </w:r>
    </w:p>
    <w:p w:rsidR="00C95908" w:rsidP="002D6B7E">
      <w:pPr>
        <w:widowControl w:val="0"/>
        <w:spacing w:line="240" w:lineRule="auto"/>
        <w:ind w:left="0" w:right="0"/>
        <w:jc w:val="both"/>
        <w:rPr>
          <w:rFonts w:cs="B Zar" w:hint="cs"/>
          <w:rtl/>
        </w:rPr>
      </w:pPr>
    </w:p>
    <w:p w:rsidR="00C95908" w:rsidP="002D6B7E">
      <w:pPr>
        <w:widowControl w:val="0"/>
        <w:spacing w:line="240" w:lineRule="auto"/>
        <w:ind w:left="0" w:right="0"/>
        <w:jc w:val="both"/>
        <w:rPr>
          <w:rFonts w:cs="B Zar" w:hint="cs"/>
          <w:rtl/>
        </w:rPr>
      </w:pPr>
    </w:p>
    <w:p w:rsidR="00C95908" w:rsidP="002D6B7E">
      <w:pPr>
        <w:widowControl w:val="0"/>
        <w:spacing w:line="240" w:lineRule="auto"/>
        <w:ind w:left="0" w:right="0"/>
        <w:jc w:val="both"/>
        <w:rPr>
          <w:rFonts w:cs="B Zar" w:hint="cs"/>
          <w:rtl/>
        </w:rPr>
      </w:pPr>
    </w:p>
    <w:p w:rsidR="009C75F3" w:rsidRPr="00B67C5A" w:rsidP="00A0771B">
      <w:pPr>
        <w:widowControl w:val="0"/>
        <w:spacing w:before="1440" w:line="240" w:lineRule="auto"/>
        <w:ind w:left="0" w:right="0"/>
        <w:jc w:val="center"/>
        <w:rPr>
          <w:rFonts w:cs="B Titr" w:hint="cs"/>
          <w:sz w:val="40"/>
          <w:szCs w:val="40"/>
          <w:rtl/>
        </w:rPr>
      </w:pPr>
      <w:r w:rsidR="00C95908">
        <w:rPr>
          <w:rFonts w:cs="B Zar"/>
          <w:rtl/>
        </w:rPr>
        <w:br w:type="page"/>
      </w:r>
      <w:r w:rsidRPr="00B67C5A">
        <w:rPr>
          <w:rFonts w:cs="B Titr" w:hint="cs"/>
          <w:sz w:val="40"/>
          <w:szCs w:val="40"/>
          <w:rtl/>
        </w:rPr>
        <w:t>سيري در تاريخ انديش</w:t>
      </w:r>
      <w:r w:rsidR="00A0771B">
        <w:rPr>
          <w:rFonts w:cs="B Titr" w:hint="cs"/>
          <w:sz w:val="40"/>
          <w:szCs w:val="40"/>
          <w:rtl/>
        </w:rPr>
        <w:t>ۀ</w:t>
      </w:r>
      <w:r w:rsidRPr="00B67C5A">
        <w:rPr>
          <w:rFonts w:cs="B Titr" w:hint="cs"/>
          <w:sz w:val="40"/>
          <w:szCs w:val="40"/>
          <w:rtl/>
        </w:rPr>
        <w:t xml:space="preserve"> ديني هند</w:t>
      </w:r>
    </w:p>
    <w:p w:rsidR="009C75F3" w:rsidRPr="00B67C5A" w:rsidP="002D6B7E">
      <w:pPr>
        <w:widowControl w:val="0"/>
        <w:spacing w:line="240" w:lineRule="auto"/>
        <w:ind w:left="0" w:right="0"/>
        <w:jc w:val="center"/>
        <w:rPr>
          <w:rFonts w:cs="B Titr"/>
        </w:rPr>
      </w:pPr>
    </w:p>
    <w:p w:rsidR="00A0771B" w:rsidP="00A0771B">
      <w:pPr>
        <w:widowControl w:val="0"/>
        <w:spacing w:line="240" w:lineRule="auto"/>
        <w:ind w:left="0" w:right="0"/>
        <w:jc w:val="center"/>
        <w:rPr>
          <w:rFonts w:cs="B Titr" w:hint="cs"/>
          <w:rtl/>
        </w:rPr>
      </w:pPr>
      <w:r>
        <w:rPr>
          <w:rFonts w:cs="B Titr" w:hint="cs"/>
          <w:rtl/>
        </w:rPr>
        <w:t>جلد اوّل</w:t>
      </w:r>
    </w:p>
    <w:p w:rsidR="009C75F3" w:rsidRPr="00B67C5A" w:rsidP="002D6B7E">
      <w:pPr>
        <w:widowControl w:val="0"/>
        <w:spacing w:line="240" w:lineRule="auto"/>
        <w:ind w:left="0" w:right="0"/>
        <w:jc w:val="center"/>
        <w:rPr>
          <w:rFonts w:cs="B Titr" w:hint="cs"/>
          <w:rtl/>
        </w:rPr>
      </w:pPr>
    </w:p>
    <w:p w:rsidR="009C75F3" w:rsidP="002D6B7E">
      <w:pPr>
        <w:widowControl w:val="0"/>
        <w:spacing w:line="240" w:lineRule="auto"/>
        <w:ind w:left="0" w:right="0"/>
        <w:jc w:val="center"/>
        <w:rPr>
          <w:rFonts w:cs="B Titr" w:hint="cs"/>
          <w:rtl/>
        </w:rPr>
      </w:pPr>
    </w:p>
    <w:p w:rsidR="00A0771B" w:rsidRPr="00B67C5A" w:rsidP="002D6B7E">
      <w:pPr>
        <w:widowControl w:val="0"/>
        <w:spacing w:line="240" w:lineRule="auto"/>
        <w:ind w:left="0" w:right="0"/>
        <w:jc w:val="center"/>
        <w:rPr>
          <w:rFonts w:cs="B Titr" w:hint="cs"/>
          <w:rtl/>
        </w:rPr>
      </w:pPr>
    </w:p>
    <w:p w:rsidR="00A0771B" w:rsidRPr="00A0771B" w:rsidP="00A0771B">
      <w:pPr>
        <w:pStyle w:val="Heading3"/>
        <w:ind w:left="0" w:right="0"/>
        <w:jc w:val="center"/>
        <w:rPr>
          <w:rFonts w:cs="B Zar"/>
          <w:b w:val="0"/>
          <w:bCs w:val="0"/>
          <w:rtl/>
        </w:rPr>
      </w:pPr>
      <w:r w:rsidRPr="00A0771B">
        <w:rPr>
          <w:rFonts w:cs="B Zar" w:hint="cs"/>
          <w:b w:val="0"/>
          <w:bCs w:val="0"/>
          <w:rtl/>
        </w:rPr>
        <w:t>تحقيق و نگارش</w:t>
      </w:r>
    </w:p>
    <w:p w:rsidR="009C75F3" w:rsidRPr="00B67C5A" w:rsidP="00A0771B">
      <w:pPr>
        <w:pStyle w:val="BodyText"/>
        <w:widowControl w:val="0"/>
        <w:spacing w:line="240" w:lineRule="auto"/>
        <w:ind w:left="0" w:right="0"/>
        <w:jc w:val="center"/>
        <w:rPr>
          <w:rFonts w:cs="B Titr"/>
          <w:rtl/>
        </w:rPr>
      </w:pPr>
      <w:r w:rsidRPr="00A0771B" w:rsidR="00A0771B">
        <w:rPr>
          <w:rFonts w:cs="B Zar" w:hint="cs"/>
          <w:b/>
          <w:bCs/>
          <w:sz w:val="26"/>
          <w:rtl/>
        </w:rPr>
        <w:t>پروفسور سيّد علي محمّد نقوي</w:t>
      </w:r>
    </w:p>
    <w:p w:rsidR="009C75F3" w:rsidRPr="00B67C5A" w:rsidP="002D6B7E">
      <w:pPr>
        <w:widowControl w:val="0"/>
        <w:spacing w:line="240" w:lineRule="auto"/>
        <w:ind w:left="0" w:right="0"/>
        <w:jc w:val="center"/>
        <w:rPr>
          <w:rFonts w:cs="B Titr"/>
        </w:rPr>
      </w:pPr>
    </w:p>
    <w:p w:rsidR="0057309E" w:rsidRPr="00B67C5A" w:rsidP="002D6B7E">
      <w:pPr>
        <w:widowControl w:val="0"/>
        <w:spacing w:line="240" w:lineRule="auto"/>
        <w:ind w:left="0" w:right="0"/>
        <w:jc w:val="center"/>
        <w:rPr>
          <w:rFonts w:cs="B Titr" w:hint="cs"/>
          <w:rtl/>
        </w:rPr>
      </w:pPr>
    </w:p>
    <w:p w:rsidR="0057309E" w:rsidP="002D6B7E">
      <w:pPr>
        <w:widowControl w:val="0"/>
        <w:spacing w:line="240" w:lineRule="auto"/>
        <w:ind w:left="0" w:right="0"/>
        <w:jc w:val="center"/>
        <w:rPr>
          <w:rFonts w:cs="B Titr" w:hint="cs"/>
          <w:rtl/>
        </w:rPr>
      </w:pPr>
    </w:p>
    <w:p w:rsidR="002D36F9" w:rsidP="002D6B7E">
      <w:pPr>
        <w:widowControl w:val="0"/>
        <w:spacing w:line="240" w:lineRule="auto"/>
        <w:ind w:left="0" w:right="0"/>
        <w:jc w:val="center"/>
        <w:rPr>
          <w:rFonts w:cs="B Titr" w:hint="cs"/>
          <w:rtl/>
        </w:rPr>
      </w:pPr>
    </w:p>
    <w:p w:rsidR="002D36F9" w:rsidP="002D6B7E">
      <w:pPr>
        <w:widowControl w:val="0"/>
        <w:spacing w:line="240" w:lineRule="auto"/>
        <w:ind w:left="0" w:right="0"/>
        <w:jc w:val="center"/>
        <w:rPr>
          <w:rFonts w:cs="B Titr" w:hint="cs"/>
          <w:rtl/>
        </w:rPr>
      </w:pPr>
    </w:p>
    <w:p w:rsidR="00046163" w:rsidP="002D6B7E">
      <w:pPr>
        <w:widowControl w:val="0"/>
        <w:spacing w:line="240" w:lineRule="auto"/>
        <w:ind w:left="0" w:right="0"/>
        <w:jc w:val="center"/>
        <w:rPr>
          <w:rFonts w:cs="B Titr" w:hint="cs"/>
          <w:rtl/>
        </w:rPr>
      </w:pPr>
    </w:p>
    <w:p w:rsidR="00046163" w:rsidRPr="00B67C5A" w:rsidP="002D6B7E">
      <w:pPr>
        <w:widowControl w:val="0"/>
        <w:spacing w:line="240" w:lineRule="auto"/>
        <w:ind w:left="0" w:right="0"/>
        <w:jc w:val="center"/>
        <w:rPr>
          <w:rFonts w:cs="B Titr" w:hint="cs"/>
          <w:rtl/>
        </w:rPr>
      </w:pPr>
    </w:p>
    <w:p w:rsidR="0057309E" w:rsidRPr="00B67C5A" w:rsidP="002D6B7E">
      <w:pPr>
        <w:widowControl w:val="0"/>
        <w:spacing w:line="240" w:lineRule="auto"/>
        <w:ind w:left="0" w:right="0"/>
        <w:jc w:val="center"/>
        <w:rPr>
          <w:rFonts w:cs="B Zar" w:hint="cs"/>
          <w:rtl/>
        </w:rPr>
      </w:pPr>
    </w:p>
    <w:p w:rsidR="00DF0B5C" w:rsidRPr="006A0918" w:rsidP="00DF0B5C">
      <w:pPr>
        <w:ind w:left="0" w:right="0"/>
        <w:jc w:val="center"/>
        <w:rPr>
          <w:rFonts w:cs="B Zar"/>
          <w:sz w:val="26"/>
        </w:rPr>
      </w:pPr>
      <w:r w:rsidRPr="006A0918">
        <w:rPr>
          <w:rFonts w:cs="B Zar" w:hint="cs"/>
          <w:sz w:val="26"/>
          <w:rtl/>
        </w:rPr>
        <w:t>مركز</w:t>
      </w:r>
      <w:r w:rsidRPr="006A0918">
        <w:rPr>
          <w:rFonts w:cs="B Zar"/>
          <w:sz w:val="26"/>
          <w:rtl/>
        </w:rPr>
        <w:t xml:space="preserve"> </w:t>
      </w:r>
      <w:r w:rsidRPr="006A0918">
        <w:rPr>
          <w:rFonts w:cs="B Zar" w:hint="cs"/>
          <w:sz w:val="26"/>
          <w:rtl/>
        </w:rPr>
        <w:t>تحقيقات</w:t>
      </w:r>
      <w:r w:rsidRPr="006A0918">
        <w:rPr>
          <w:rFonts w:cs="B Zar"/>
          <w:sz w:val="26"/>
          <w:rtl/>
        </w:rPr>
        <w:t xml:space="preserve"> </w:t>
      </w:r>
      <w:r w:rsidRPr="006A0918">
        <w:rPr>
          <w:rFonts w:cs="B Zar" w:hint="cs"/>
          <w:sz w:val="26"/>
          <w:rtl/>
        </w:rPr>
        <w:t>فارسي</w:t>
      </w:r>
    </w:p>
    <w:p w:rsidR="00DF0B5C" w:rsidRPr="006A0918" w:rsidP="00DF0B5C">
      <w:pPr>
        <w:ind w:left="0" w:right="0"/>
        <w:jc w:val="center"/>
        <w:rPr>
          <w:rFonts w:cs="B Zar"/>
          <w:sz w:val="26"/>
          <w:rtl/>
        </w:rPr>
      </w:pPr>
      <w:r w:rsidRPr="006A0918">
        <w:rPr>
          <w:rFonts w:cs="B Zar" w:hint="cs"/>
          <w:sz w:val="26"/>
          <w:rtl/>
        </w:rPr>
        <w:t>رايزني فرهنگي جمهوري اسلامي ايران،</w:t>
      </w:r>
      <w:r w:rsidRPr="006A0918">
        <w:rPr>
          <w:rFonts w:cs="B Zar"/>
          <w:sz w:val="26"/>
        </w:rPr>
        <w:t xml:space="preserve"> </w:t>
      </w:r>
      <w:r w:rsidRPr="006A0918">
        <w:rPr>
          <w:rFonts w:cs="B Zar" w:hint="cs"/>
          <w:sz w:val="26"/>
          <w:rtl/>
        </w:rPr>
        <w:t>دهلي نو</w:t>
      </w:r>
    </w:p>
    <w:p w:rsidR="00511899" w:rsidRPr="00172C72" w:rsidP="00C9493C">
      <w:pPr>
        <w:pStyle w:val="Heading6"/>
        <w:keepNext w:val="0"/>
        <w:widowControl w:val="0"/>
        <w:spacing w:before="1200" w:line="320" w:lineRule="exact"/>
        <w:ind w:left="0" w:right="0"/>
        <w:jc w:val="center"/>
        <w:rPr>
          <w:rFonts w:cs="B Yagut" w:hint="cs"/>
          <w:sz w:val="24"/>
          <w:szCs w:val="24"/>
          <w:rtl/>
          <w:lang w:bidi="fa-IR"/>
        </w:rPr>
      </w:pPr>
      <w:r w:rsidR="00FB4FCA">
        <w:rPr>
          <w:rFonts w:cs="B Zar"/>
          <w:szCs w:val="28"/>
          <w:rtl/>
        </w:rPr>
        <w:br w:type="page"/>
      </w:r>
      <w:r w:rsidR="00C9493C">
        <w:rPr>
          <w:rFonts w:cs="B Yagut"/>
          <w:sz w:val="24"/>
          <w:szCs w:val="24"/>
          <w:lang w:bidi="fa-IR"/>
        </w:rPr>
        <w:t xml:space="preserve"> </w:t>
      </w:r>
      <w:r>
        <w:rPr>
          <w:rFonts w:cs="B Yagut" w:hint="cs"/>
          <w:sz w:val="24"/>
          <w:szCs w:val="24"/>
          <w:rtl/>
          <w:lang w:bidi="fa-IR"/>
        </w:rPr>
        <w:t xml:space="preserve"> </w:t>
      </w:r>
    </w:p>
    <w:p w:rsidR="00511899" w:rsidRPr="00172C72" w:rsidP="002D6B7E">
      <w:pPr>
        <w:pStyle w:val="Heading6"/>
        <w:keepNext w:val="0"/>
        <w:widowControl w:val="0"/>
        <w:spacing w:line="320" w:lineRule="exact"/>
        <w:ind w:left="0" w:right="0"/>
        <w:jc w:val="center"/>
        <w:rPr>
          <w:rFonts w:cs="B Yagut"/>
          <w:sz w:val="24"/>
          <w:szCs w:val="24"/>
          <w:rtl/>
          <w:lang w:bidi="fa-IR"/>
        </w:rPr>
      </w:pPr>
      <w:r w:rsidRPr="00172C72">
        <w:rPr>
          <w:rFonts w:cs="B Yagut"/>
          <w:sz w:val="24"/>
          <w:szCs w:val="24"/>
          <w:rtl/>
          <w:lang w:bidi="fa-IR"/>
        </w:rPr>
        <w:t>رايزني فرهنگي جمهوري اسلامي ايران</w:t>
      </w:r>
    </w:p>
    <w:p w:rsidR="00511899" w:rsidRPr="00172C72" w:rsidP="002D6B7E">
      <w:pPr>
        <w:pStyle w:val="Heading6"/>
        <w:keepNext w:val="0"/>
        <w:widowControl w:val="0"/>
        <w:spacing w:line="320" w:lineRule="exact"/>
        <w:ind w:left="0" w:right="0"/>
        <w:jc w:val="center"/>
        <w:rPr>
          <w:rFonts w:cs="B Yagut"/>
          <w:sz w:val="24"/>
          <w:szCs w:val="24"/>
          <w:rtl/>
          <w:lang w:bidi="fa-IR"/>
        </w:rPr>
      </w:pPr>
      <w:r w:rsidRPr="00172C72">
        <w:rPr>
          <w:rFonts w:cs="B Yagut"/>
          <w:sz w:val="24"/>
          <w:szCs w:val="24"/>
          <w:rtl/>
          <w:lang w:bidi="fa-IR"/>
        </w:rPr>
        <w:t>دهلي‌نو</w:t>
      </w:r>
    </w:p>
    <w:p w:rsidR="00511899" w:rsidRPr="00172C72" w:rsidP="002D6B7E">
      <w:pPr>
        <w:widowControl w:val="0"/>
        <w:spacing w:line="320" w:lineRule="exact"/>
        <w:ind w:left="0" w:right="0"/>
        <w:jc w:val="center"/>
        <w:rPr>
          <w:rFonts w:cs="B Yagut"/>
          <w:spacing w:val="6"/>
          <w:sz w:val="21"/>
          <w:szCs w:val="21"/>
          <w:rtl/>
          <w:lang w:bidi="fa-IR"/>
        </w:rPr>
      </w:pPr>
      <w:r w:rsidRPr="00172C72">
        <w:rPr>
          <w:spacing w:val="6"/>
          <w:sz w:val="21"/>
          <w:szCs w:val="21"/>
          <w:rtl/>
          <w:lang w:bidi="fa-IR"/>
        </w:rPr>
        <w:t>……………………………………</w:t>
      </w:r>
    </w:p>
    <w:p w:rsidR="00511899" w:rsidRPr="00511899" w:rsidP="002D6B7E">
      <w:pPr>
        <w:widowControl w:val="0"/>
        <w:spacing w:line="320" w:lineRule="exact"/>
        <w:ind w:left="0" w:right="0"/>
        <w:jc w:val="center"/>
        <w:rPr>
          <w:rFonts w:cs="B Yagut" w:hint="cs"/>
          <w:b/>
          <w:bCs/>
          <w:sz w:val="28"/>
          <w:szCs w:val="28"/>
          <w:rtl/>
          <w:lang w:bidi="fa-IR"/>
        </w:rPr>
      </w:pPr>
      <w:r w:rsidRPr="00DF0B5C">
        <w:rPr>
          <w:rFonts w:cs="B Yagut"/>
          <w:szCs w:val="24"/>
          <w:rtl/>
          <w:lang w:bidi="fa-IR"/>
        </w:rPr>
        <w:t>سيري</w:t>
      </w:r>
      <w:r w:rsidRPr="00511899">
        <w:rPr>
          <w:rFonts w:cs="B Yagut"/>
          <w:b/>
          <w:bCs/>
          <w:sz w:val="28"/>
          <w:szCs w:val="28"/>
          <w:rtl/>
          <w:lang w:bidi="fa-IR"/>
        </w:rPr>
        <w:t xml:space="preserve"> </w:t>
      </w:r>
      <w:r w:rsidRPr="00DF0B5C">
        <w:rPr>
          <w:rFonts w:cs="B Yagut"/>
          <w:szCs w:val="24"/>
          <w:rtl/>
          <w:lang w:bidi="fa-IR"/>
        </w:rPr>
        <w:t>در تاريخ انديشه ديني</w:t>
      </w:r>
      <w:r w:rsidRPr="00511899">
        <w:rPr>
          <w:rFonts w:cs="B Yagut"/>
          <w:b/>
          <w:bCs/>
          <w:sz w:val="28"/>
          <w:szCs w:val="28"/>
          <w:rtl/>
          <w:lang w:bidi="fa-IR"/>
        </w:rPr>
        <w:t xml:space="preserve"> </w:t>
      </w:r>
      <w:r w:rsidRPr="00DF0B5C">
        <w:rPr>
          <w:rFonts w:cs="B Yagut"/>
          <w:szCs w:val="24"/>
          <w:rtl/>
          <w:lang w:bidi="fa-IR"/>
        </w:rPr>
        <w:t>هند</w:t>
      </w:r>
      <w:r w:rsidR="00A0771B">
        <w:rPr>
          <w:rFonts w:cs="B Yagut" w:hint="cs"/>
          <w:szCs w:val="24"/>
          <w:rtl/>
          <w:lang w:bidi="fa-IR"/>
        </w:rPr>
        <w:t xml:space="preserve"> (</w:t>
      </w:r>
      <w:r w:rsidRPr="00A0771B" w:rsidR="00A0771B">
        <w:rPr>
          <w:rFonts w:cs="B Yagut"/>
          <w:szCs w:val="24"/>
          <w:rtl/>
          <w:lang w:bidi="fa-IR"/>
        </w:rPr>
        <w:t>جلد اوّل</w:t>
      </w:r>
      <w:r w:rsidR="00A0771B">
        <w:rPr>
          <w:rFonts w:cs="B Yagut" w:hint="cs"/>
          <w:szCs w:val="24"/>
          <w:rtl/>
          <w:lang w:bidi="fa-IR"/>
        </w:rPr>
        <w:t>)</w:t>
      </w:r>
    </w:p>
    <w:p w:rsidR="00511899" w:rsidP="002D6B7E">
      <w:pPr>
        <w:widowControl w:val="0"/>
        <w:spacing w:line="320" w:lineRule="exact"/>
        <w:ind w:left="0" w:right="0"/>
        <w:jc w:val="center"/>
        <w:rPr>
          <w:rFonts w:cs="B Yagut" w:hint="cs"/>
          <w:szCs w:val="24"/>
          <w:rtl/>
          <w:lang w:bidi="fa-IR"/>
        </w:rPr>
      </w:pPr>
      <w:r w:rsidRPr="00511899">
        <w:rPr>
          <w:rFonts w:cs="B Yagut"/>
          <w:szCs w:val="24"/>
          <w:rtl/>
          <w:lang w:bidi="fa-IR"/>
        </w:rPr>
        <w:t>پروفسور سي</w:t>
      </w:r>
      <w:r w:rsidR="00A0771B">
        <w:rPr>
          <w:rFonts w:cs="B Yagut" w:hint="cs"/>
          <w:szCs w:val="24"/>
          <w:rtl/>
          <w:lang w:bidi="fa-IR"/>
        </w:rPr>
        <w:t>ّ</w:t>
      </w:r>
      <w:r w:rsidRPr="00511899">
        <w:rPr>
          <w:rFonts w:cs="B Yagut"/>
          <w:szCs w:val="24"/>
          <w:rtl/>
          <w:lang w:bidi="fa-IR"/>
        </w:rPr>
        <w:t>د علي محم</w:t>
      </w:r>
      <w:r w:rsidR="00A0771B">
        <w:rPr>
          <w:rFonts w:cs="B Yagut" w:hint="cs"/>
          <w:szCs w:val="24"/>
          <w:rtl/>
          <w:lang w:bidi="fa-IR"/>
        </w:rPr>
        <w:t>ّ</w:t>
      </w:r>
      <w:r w:rsidRPr="00511899">
        <w:rPr>
          <w:rFonts w:cs="B Yagut"/>
          <w:szCs w:val="24"/>
          <w:rtl/>
          <w:lang w:bidi="fa-IR"/>
        </w:rPr>
        <w:t>د نقوي</w:t>
      </w:r>
    </w:p>
    <w:p w:rsidR="00DC5545" w:rsidRPr="00511899" w:rsidP="002D6B7E">
      <w:pPr>
        <w:widowControl w:val="0"/>
        <w:spacing w:line="320" w:lineRule="exact"/>
        <w:ind w:left="0" w:right="0"/>
        <w:jc w:val="center"/>
        <w:rPr>
          <w:rFonts w:cs="B Yagut" w:hint="cs"/>
          <w:szCs w:val="24"/>
          <w:rtl/>
          <w:lang w:bidi="fa-IR"/>
        </w:rPr>
      </w:pPr>
    </w:p>
    <w:p w:rsidR="00511899" w:rsidP="002D6B7E">
      <w:pPr>
        <w:widowControl w:val="0"/>
        <w:spacing w:line="320" w:lineRule="exact"/>
        <w:ind w:left="0" w:right="0"/>
        <w:jc w:val="center"/>
        <w:rPr>
          <w:rFonts w:cs="B Yagut" w:hint="cs"/>
          <w:szCs w:val="24"/>
          <w:rtl/>
          <w:lang w:bidi="fa-IR"/>
        </w:rPr>
      </w:pPr>
    </w:p>
    <w:p w:rsidR="00511899" w:rsidRPr="00172C72" w:rsidP="00A0771B">
      <w:pPr>
        <w:widowControl w:val="0"/>
        <w:spacing w:line="320" w:lineRule="exact"/>
        <w:ind w:left="0" w:right="0"/>
        <w:jc w:val="center"/>
        <w:rPr>
          <w:rFonts w:cs="B Yagut"/>
          <w:szCs w:val="24"/>
          <w:rtl/>
          <w:lang w:bidi="fa-IR"/>
        </w:rPr>
      </w:pPr>
      <w:r w:rsidRPr="00172C72">
        <w:rPr>
          <w:rFonts w:cs="B Yagut"/>
          <w:szCs w:val="24"/>
          <w:rtl/>
          <w:lang w:bidi="fa-IR"/>
        </w:rPr>
        <w:t>طرّاحي جلد</w:t>
      </w:r>
      <w:r w:rsidR="0060698A">
        <w:rPr>
          <w:rFonts w:cs="B Yagut" w:hint="cs"/>
          <w:szCs w:val="24"/>
          <w:rtl/>
          <w:lang w:bidi="fa-IR"/>
        </w:rPr>
        <w:t xml:space="preserve"> و صفحه آرا</w:t>
      </w:r>
      <w:r w:rsidR="00A0771B">
        <w:rPr>
          <w:rFonts w:cs="B Yagut" w:hint="cs"/>
          <w:szCs w:val="24"/>
          <w:rtl/>
          <w:lang w:bidi="fa-IR"/>
        </w:rPr>
        <w:t>ی</w:t>
      </w:r>
      <w:r w:rsidR="0060698A">
        <w:rPr>
          <w:rFonts w:cs="B Yagut" w:hint="cs"/>
          <w:szCs w:val="24"/>
          <w:rtl/>
          <w:lang w:bidi="fa-IR"/>
        </w:rPr>
        <w:t>ي</w:t>
      </w:r>
      <w:r w:rsidRPr="00172C72">
        <w:rPr>
          <w:rFonts w:cs="B Yagut"/>
          <w:szCs w:val="24"/>
          <w:rtl/>
          <w:lang w:bidi="fa-IR"/>
        </w:rPr>
        <w:t>: عايشه فوزيه</w:t>
      </w:r>
    </w:p>
    <w:p w:rsidR="00511899" w:rsidRPr="00172C72" w:rsidP="002D6B7E">
      <w:pPr>
        <w:widowControl w:val="0"/>
        <w:spacing w:line="320" w:lineRule="exact"/>
        <w:ind w:left="0" w:right="0"/>
        <w:jc w:val="center"/>
        <w:rPr>
          <w:rFonts w:cs="B Yagut"/>
          <w:szCs w:val="24"/>
          <w:rtl/>
          <w:lang w:bidi="fa-IR"/>
        </w:rPr>
      </w:pPr>
      <w:r w:rsidRPr="00172C72">
        <w:rPr>
          <w:rFonts w:cs="B Yagut"/>
          <w:szCs w:val="24"/>
          <w:rtl/>
          <w:lang w:bidi="fa-IR"/>
        </w:rPr>
        <w:t>چاپ اوّل: دهلي‌نو ـ 2008 م</w:t>
      </w:r>
    </w:p>
    <w:p w:rsidR="00511899" w:rsidRPr="00172C72" w:rsidP="002D6B7E">
      <w:pPr>
        <w:widowControl w:val="0"/>
        <w:spacing w:line="320" w:lineRule="exact"/>
        <w:ind w:left="0" w:right="0"/>
        <w:jc w:val="center"/>
        <w:rPr>
          <w:rFonts w:cs="B Yagut" w:hint="cs"/>
          <w:szCs w:val="24"/>
          <w:lang w:bidi="fa-IR"/>
        </w:rPr>
      </w:pPr>
    </w:p>
    <w:p w:rsidR="00881C43" w:rsidRPr="00741FC0" w:rsidP="002D6B7E">
      <w:pPr>
        <w:widowControl w:val="0"/>
        <w:spacing w:line="320" w:lineRule="exact"/>
        <w:ind w:left="0" w:right="0"/>
        <w:jc w:val="center"/>
        <w:rPr>
          <w:rFonts w:cs="B Yagut"/>
          <w:szCs w:val="24"/>
          <w:rtl/>
          <w:lang w:bidi="fa-IR"/>
        </w:rPr>
      </w:pPr>
      <w:r w:rsidRPr="00741FC0">
        <w:rPr>
          <w:rFonts w:cs="B Yagut"/>
          <w:szCs w:val="24"/>
          <w:rtl/>
          <w:lang w:bidi="fa-IR"/>
        </w:rPr>
        <w:t xml:space="preserve">شابك: </w:t>
      </w:r>
      <w:r>
        <w:rPr>
          <w:rFonts w:cs="B Yagut" w:hint="cs"/>
          <w:szCs w:val="24"/>
          <w:rtl/>
          <w:lang w:bidi="fa-IR"/>
        </w:rPr>
        <w:t>3</w:t>
      </w:r>
      <w:r w:rsidRPr="00741FC0">
        <w:rPr>
          <w:rFonts w:cs="B Yagut"/>
          <w:szCs w:val="24"/>
          <w:rtl/>
          <w:lang w:bidi="fa-IR"/>
        </w:rPr>
        <w:t>-36</w:t>
      </w:r>
      <w:r>
        <w:rPr>
          <w:rFonts w:cs="B Yagut" w:hint="cs"/>
          <w:szCs w:val="24"/>
          <w:rtl/>
          <w:lang w:bidi="fa-IR"/>
        </w:rPr>
        <w:t>9</w:t>
      </w:r>
      <w:r w:rsidRPr="00741FC0">
        <w:rPr>
          <w:rFonts w:cs="B Yagut"/>
          <w:szCs w:val="24"/>
          <w:rtl/>
          <w:lang w:bidi="fa-IR"/>
        </w:rPr>
        <w:t xml:space="preserve">-439-964-978 </w:t>
      </w:r>
    </w:p>
    <w:p w:rsidR="00A122CA" w:rsidP="00B135B6">
      <w:pPr>
        <w:widowControl w:val="0"/>
        <w:spacing w:before="100" w:beforeAutospacing="1" w:line="240" w:lineRule="auto"/>
        <w:ind w:left="0" w:right="0"/>
        <w:jc w:val="center"/>
        <w:rPr>
          <w:rFonts w:cs="B Yagut" w:hint="cs"/>
          <w:b/>
          <w:bCs/>
          <w:sz w:val="20"/>
          <w:szCs w:val="20"/>
          <w:rtl/>
          <w:lang w:bidi="fa-IR"/>
        </w:rPr>
      </w:pPr>
      <w:r>
        <w:rPr>
          <w:rFonts w:hint="c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9.49pt;width:74.23pt" stroked="f">
            <v:imagedata r:id="rId5" o:title="alhoda"/>
          </v:shape>
        </w:pict>
      </w:r>
    </w:p>
    <w:p w:rsidR="00511899" w:rsidRPr="00172C72" w:rsidP="002D6B7E">
      <w:pPr>
        <w:widowControl w:val="0"/>
        <w:spacing w:before="100" w:beforeAutospacing="1" w:line="240" w:lineRule="auto"/>
        <w:ind w:left="0" w:right="0"/>
        <w:jc w:val="center"/>
        <w:rPr>
          <w:rFonts w:cs="B Yagut"/>
          <w:b/>
          <w:bCs/>
          <w:sz w:val="20"/>
          <w:szCs w:val="20"/>
          <w:rtl/>
          <w:lang w:bidi="fa-IR"/>
        </w:rPr>
      </w:pPr>
      <w:r w:rsidRPr="00172C72">
        <w:rPr>
          <w:rFonts w:cs="B Yagut"/>
          <w:b/>
          <w:bCs/>
          <w:sz w:val="20"/>
          <w:szCs w:val="20"/>
          <w:rtl/>
          <w:lang w:bidi="fa-IR"/>
        </w:rPr>
        <w:t>نشاني: شمارة 18، تيلَك مارگ، دهلي‌نو-110001</w:t>
      </w:r>
    </w:p>
    <w:p w:rsidR="00511899" w:rsidRPr="00172C72" w:rsidP="002D6B7E">
      <w:pPr>
        <w:widowControl w:val="0"/>
        <w:spacing w:line="320" w:lineRule="exact"/>
        <w:ind w:left="0" w:right="0"/>
        <w:jc w:val="center"/>
        <w:rPr>
          <w:rFonts w:cs="B Yagut"/>
          <w:b/>
          <w:bCs/>
          <w:sz w:val="20"/>
          <w:szCs w:val="20"/>
          <w:rtl/>
          <w:lang w:bidi="fa-IR"/>
        </w:rPr>
      </w:pPr>
      <w:r w:rsidRPr="00172C72">
        <w:rPr>
          <w:rFonts w:cs="B Yagut"/>
          <w:b/>
          <w:bCs/>
          <w:sz w:val="20"/>
          <w:szCs w:val="20"/>
          <w:rtl/>
          <w:lang w:bidi="fa-IR"/>
        </w:rPr>
        <w:t>خانة فرهنگ جمهوري اسلامي ايران</w:t>
      </w:r>
    </w:p>
    <w:p w:rsidR="00511899" w:rsidRPr="007E2C68" w:rsidP="002D6B7E">
      <w:pPr>
        <w:widowControl w:val="0"/>
        <w:spacing w:line="320" w:lineRule="exact"/>
        <w:ind w:left="0" w:right="0"/>
        <w:jc w:val="center"/>
        <w:rPr>
          <w:b/>
          <w:bCs/>
          <w:sz w:val="20"/>
          <w:szCs w:val="20"/>
          <w:rtl/>
          <w:lang w:bidi="fa-IR"/>
        </w:rPr>
      </w:pPr>
      <w:r w:rsidRPr="00172C72">
        <w:rPr>
          <w:rFonts w:cs="B Yagut"/>
          <w:b/>
          <w:bCs/>
          <w:sz w:val="20"/>
          <w:szCs w:val="20"/>
          <w:rtl/>
          <w:lang w:bidi="fa-IR"/>
        </w:rPr>
        <w:t>تلفن: 4-23383232، دورنگار: 23387547</w:t>
      </w:r>
    </w:p>
    <w:p w:rsidR="00511899" w:rsidRPr="002C1762" w:rsidP="002D6B7E">
      <w:pPr>
        <w:widowControl w:val="0"/>
        <w:tabs>
          <w:tab w:val="right" w:leader="dot" w:pos="6804"/>
        </w:tabs>
        <w:bidi w:val="0"/>
        <w:jc w:val="center"/>
        <w:rPr>
          <w:rFonts w:ascii="Century Gothic" w:hAnsi="Century Gothic"/>
          <w:sz w:val="16"/>
          <w:szCs w:val="18"/>
          <w:lang w:bidi="fa-IR"/>
        </w:rPr>
      </w:pPr>
      <w:r w:rsidRPr="00881C43">
        <w:rPr>
          <w:rFonts w:ascii="Century Gothic" w:hAnsi="Century Gothic"/>
          <w:sz w:val="18"/>
          <w:szCs w:val="18"/>
          <w:lang w:bidi="fa-IR"/>
        </w:rPr>
        <w:t>newdelhi@icro</w:t>
      </w:r>
      <w:r w:rsidRPr="00881C43">
        <w:rPr>
          <w:rFonts w:ascii="Century Gothic" w:hAnsi="Century Gothic"/>
          <w:sz w:val="18"/>
          <w:szCs w:val="18"/>
          <w:lang w:bidi="fa-IR"/>
        </w:rPr>
        <w:t>.ir</w:t>
      </w:r>
    </w:p>
    <w:p w:rsidR="002D008B" w:rsidP="003C0EF5">
      <w:pPr>
        <w:pStyle w:val="Heading2"/>
        <w:keepNext w:val="0"/>
        <w:widowControl w:val="0"/>
        <w:spacing w:line="420" w:lineRule="exact"/>
        <w:ind w:left="0" w:right="0"/>
        <w:jc w:val="center"/>
        <w:rPr>
          <w:rFonts w:cs="B Zar" w:hint="cs"/>
          <w:rtl/>
        </w:rPr>
      </w:pPr>
      <w:r w:rsidRPr="00B67C5A" w:rsidR="009C75F3">
        <w:rPr>
          <w:rFonts w:cs="B Zar"/>
          <w:sz w:val="28"/>
          <w:szCs w:val="28"/>
          <w:rtl/>
        </w:rPr>
        <w:br w:type="page"/>
      </w:r>
    </w:p>
    <w:p w:rsidR="004516F5" w:rsidRPr="004516F5" w:rsidP="004516F5">
      <w:pPr>
        <w:ind w:left="0" w:right="0"/>
        <w:jc w:val="both"/>
        <w:rPr>
          <w:rFonts w:hint="cs"/>
          <w:rtl/>
        </w:rPr>
      </w:pPr>
    </w:p>
    <w:p w:rsidR="009C75F3" w:rsidRPr="00B67C5A" w:rsidP="003C0EF5">
      <w:pPr>
        <w:pStyle w:val="Heading2"/>
        <w:keepNext w:val="0"/>
        <w:widowControl w:val="0"/>
        <w:spacing w:line="420" w:lineRule="exact"/>
        <w:ind w:left="0" w:right="0"/>
        <w:jc w:val="center"/>
        <w:rPr>
          <w:rFonts w:cs="B Zar" w:hint="cs"/>
          <w:rtl/>
        </w:rPr>
      </w:pPr>
      <w:r w:rsidRPr="00B67C5A">
        <w:rPr>
          <w:rFonts w:cs="B Zar" w:hint="cs"/>
          <w:rtl/>
        </w:rPr>
        <w:t xml:space="preserve">فهرست </w:t>
      </w:r>
    </w:p>
    <w:p w:rsidR="009C75F3" w:rsidRPr="00B67C5A" w:rsidP="003C0EF5">
      <w:pPr>
        <w:widowControl w:val="0"/>
        <w:spacing w:line="420" w:lineRule="exact"/>
        <w:ind w:left="0" w:right="0"/>
        <w:jc w:val="both"/>
        <w:rPr>
          <w:rFonts w:cs="B Zar"/>
          <w:rtl/>
        </w:rPr>
      </w:pPr>
    </w:p>
    <w:p w:rsidR="00046163" w:rsidP="003C0EF5">
      <w:pPr>
        <w:widowControl w:val="0"/>
        <w:tabs>
          <w:tab w:val="right" w:leader="dot" w:pos="6095"/>
        </w:tabs>
        <w:spacing w:line="420" w:lineRule="exact"/>
        <w:ind w:left="0" w:right="0"/>
        <w:jc w:val="both"/>
        <w:rPr>
          <w:rFonts w:cs="B Zar" w:hint="cs"/>
          <w:sz w:val="26"/>
          <w:rtl/>
        </w:rPr>
      </w:pPr>
      <w:r w:rsidR="00A70463">
        <w:rPr>
          <w:rFonts w:cs="B Zar" w:hint="cs"/>
          <w:b/>
          <w:bCs/>
          <w:sz w:val="26"/>
          <w:rtl/>
        </w:rPr>
        <w:t>د</w:t>
      </w:r>
      <w:r w:rsidRPr="00325D9B" w:rsidR="009C75F3">
        <w:rPr>
          <w:rFonts w:cs="B Zar" w:hint="cs"/>
          <w:b/>
          <w:bCs/>
          <w:sz w:val="26"/>
          <w:rtl/>
        </w:rPr>
        <w:t>ي</w:t>
      </w:r>
      <w:r w:rsidR="00A70463">
        <w:rPr>
          <w:rFonts w:cs="B Zar" w:hint="cs"/>
          <w:b/>
          <w:bCs/>
          <w:sz w:val="26"/>
          <w:rtl/>
        </w:rPr>
        <w:t>باچه</w:t>
      </w:r>
      <w:r w:rsidR="00AC1001">
        <w:rPr>
          <w:rFonts w:cs="B Zar" w:hint="cs"/>
          <w:sz w:val="26"/>
          <w:rtl/>
        </w:rPr>
        <w:tab/>
      </w:r>
      <w:r w:rsidR="000D09AA">
        <w:rPr>
          <w:rFonts w:cs="B Zar" w:hint="cs"/>
          <w:sz w:val="26"/>
          <w:rtl/>
        </w:rPr>
        <w:t>9</w:t>
      </w:r>
    </w:p>
    <w:p w:rsidR="00A878B7" w:rsidP="0019761A">
      <w:pPr>
        <w:widowControl w:val="0"/>
        <w:tabs>
          <w:tab w:val="right" w:leader="dot" w:pos="6095"/>
        </w:tabs>
        <w:spacing w:line="420" w:lineRule="exact"/>
        <w:ind w:left="0" w:right="0"/>
        <w:jc w:val="both"/>
        <w:rPr>
          <w:rFonts w:cs="B Zar" w:hint="cs"/>
          <w:sz w:val="26"/>
          <w:rtl/>
        </w:rPr>
      </w:pPr>
      <w:r w:rsidR="0019761A">
        <w:rPr>
          <w:rFonts w:cs="B Zar" w:hint="cs"/>
          <w:sz w:val="26"/>
          <w:rtl/>
        </w:rPr>
        <w:t>مقدمه</w:t>
      </w:r>
      <w:r w:rsidR="00FE3C87">
        <w:rPr>
          <w:rFonts w:cs="B Zar" w:hint="cs"/>
          <w:sz w:val="26"/>
          <w:rtl/>
        </w:rPr>
        <w:t xml:space="preserve"> مولف</w:t>
      </w:r>
      <w:r>
        <w:rPr>
          <w:rFonts w:cs="B Zar" w:hint="cs"/>
          <w:sz w:val="26"/>
          <w:rtl/>
        </w:rPr>
        <w:tab/>
      </w:r>
      <w:r w:rsidR="00B2616F">
        <w:rPr>
          <w:rFonts w:cs="B Zar" w:hint="cs"/>
          <w:sz w:val="26"/>
          <w:rtl/>
        </w:rPr>
        <w:t>12</w:t>
      </w:r>
    </w:p>
    <w:p w:rsidR="009C75F3" w:rsidP="00B2616F">
      <w:pPr>
        <w:widowControl w:val="0"/>
        <w:tabs>
          <w:tab w:val="right" w:leader="dot" w:pos="6095"/>
        </w:tabs>
        <w:spacing w:line="420" w:lineRule="exact"/>
        <w:ind w:left="0" w:right="0"/>
        <w:jc w:val="both"/>
        <w:rPr>
          <w:rFonts w:cs="B Zar" w:hint="cs"/>
          <w:sz w:val="26"/>
          <w:rtl/>
        </w:rPr>
      </w:pPr>
      <w:r w:rsidR="00794E90">
        <w:rPr>
          <w:rFonts w:cs="B Zar" w:hint="cs"/>
          <w:b/>
          <w:bCs/>
          <w:sz w:val="26"/>
          <w:rtl/>
        </w:rPr>
        <w:t xml:space="preserve">مدخل : </w:t>
      </w:r>
      <w:r w:rsidRPr="004B7E55" w:rsidR="004B7E55">
        <w:rPr>
          <w:rFonts w:cs="B Zar"/>
          <w:b/>
          <w:bCs/>
          <w:sz w:val="26"/>
          <w:rtl/>
        </w:rPr>
        <w:t>پژوهشي پيرامون</w:t>
      </w:r>
      <w:r w:rsidR="004B7E55">
        <w:rPr>
          <w:rFonts w:cs="B Zar" w:hint="cs"/>
          <w:b/>
          <w:bCs/>
          <w:sz w:val="26"/>
          <w:rtl/>
        </w:rPr>
        <w:t xml:space="preserve"> سهم</w:t>
      </w:r>
      <w:r w:rsidRPr="00B74D1D">
        <w:rPr>
          <w:rFonts w:cs="B Zar" w:hint="cs"/>
          <w:b/>
          <w:bCs/>
          <w:sz w:val="26"/>
          <w:rtl/>
        </w:rPr>
        <w:t xml:space="preserve"> مسلمانان </w:t>
      </w:r>
      <w:r w:rsidR="00AC1001">
        <w:rPr>
          <w:rFonts w:cs="B Zar" w:hint="cs"/>
          <w:sz w:val="26"/>
          <w:rtl/>
        </w:rPr>
        <w:tab/>
      </w:r>
      <w:r w:rsidR="000D09AA">
        <w:rPr>
          <w:rFonts w:cs="B Zar" w:hint="cs"/>
          <w:sz w:val="26"/>
          <w:rtl/>
        </w:rPr>
        <w:t>1</w:t>
      </w:r>
      <w:r w:rsidR="00B2616F">
        <w:rPr>
          <w:rFonts w:cs="B Zar" w:hint="cs"/>
          <w:sz w:val="26"/>
          <w:rtl/>
        </w:rPr>
        <w:t>4</w:t>
      </w:r>
    </w:p>
    <w:p w:rsidR="009C75F3" w:rsidRPr="00046163" w:rsidP="00B2616F">
      <w:pPr>
        <w:widowControl w:val="0"/>
        <w:tabs>
          <w:tab w:val="right" w:leader="dot" w:pos="6095"/>
        </w:tabs>
        <w:spacing w:line="420" w:lineRule="exact"/>
        <w:ind w:left="0" w:right="0"/>
        <w:jc w:val="both"/>
        <w:rPr>
          <w:rFonts w:cs="B Zar" w:hint="cs"/>
          <w:sz w:val="26"/>
          <w:rtl/>
        </w:rPr>
      </w:pPr>
      <w:r w:rsidRPr="00046163">
        <w:rPr>
          <w:rFonts w:cs="B Zar" w:hint="cs"/>
          <w:sz w:val="26"/>
          <w:rtl/>
        </w:rPr>
        <w:t>نقش مسلمين در پيشبرد رشته اديان تطبيقي</w:t>
      </w:r>
      <w:r w:rsidR="00AC1001">
        <w:rPr>
          <w:rFonts w:cs="B Zar" w:hint="cs"/>
          <w:sz w:val="26"/>
          <w:rtl/>
        </w:rPr>
        <w:tab/>
      </w:r>
      <w:r w:rsidR="000D09AA">
        <w:rPr>
          <w:rFonts w:cs="B Zar" w:hint="cs"/>
          <w:sz w:val="26"/>
          <w:rtl/>
        </w:rPr>
        <w:t>1</w:t>
      </w:r>
      <w:r w:rsidR="00B2616F">
        <w:rPr>
          <w:rFonts w:cs="B Zar" w:hint="cs"/>
          <w:sz w:val="26"/>
          <w:rtl/>
        </w:rPr>
        <w:t>6</w:t>
      </w:r>
    </w:p>
    <w:p w:rsidR="009C75F3" w:rsidRPr="00046163" w:rsidP="00B2616F">
      <w:pPr>
        <w:widowControl w:val="0"/>
        <w:tabs>
          <w:tab w:val="right" w:leader="dot" w:pos="6095"/>
        </w:tabs>
        <w:spacing w:line="420" w:lineRule="exact"/>
        <w:ind w:left="0" w:right="0"/>
        <w:jc w:val="both"/>
        <w:rPr>
          <w:rFonts w:cs="B Zar" w:hint="cs"/>
          <w:sz w:val="26"/>
          <w:rtl/>
        </w:rPr>
      </w:pPr>
      <w:r w:rsidRPr="00046163">
        <w:rPr>
          <w:rFonts w:cs="B Zar" w:hint="cs"/>
          <w:sz w:val="26"/>
          <w:rtl/>
        </w:rPr>
        <w:t>دستاورد ايرانيان و دانشمندان اسلامي در هند شناسي</w:t>
      </w:r>
      <w:r w:rsidR="00AC1001">
        <w:rPr>
          <w:rFonts w:cs="B Zar" w:hint="cs"/>
          <w:sz w:val="26"/>
          <w:rtl/>
        </w:rPr>
        <w:tab/>
      </w:r>
      <w:r w:rsidR="000D09AA">
        <w:rPr>
          <w:rFonts w:cs="B Zar" w:hint="cs"/>
          <w:sz w:val="26"/>
          <w:rtl/>
        </w:rPr>
        <w:t>2</w:t>
      </w:r>
      <w:r w:rsidR="00B2616F">
        <w:rPr>
          <w:rFonts w:cs="B Zar" w:hint="cs"/>
          <w:sz w:val="26"/>
          <w:rtl/>
        </w:rPr>
        <w:t>4</w:t>
      </w:r>
    </w:p>
    <w:p w:rsidR="009C75F3" w:rsidRPr="00046163" w:rsidP="00B2616F">
      <w:pPr>
        <w:widowControl w:val="0"/>
        <w:tabs>
          <w:tab w:val="right" w:leader="dot" w:pos="6095"/>
        </w:tabs>
        <w:spacing w:line="420" w:lineRule="exact"/>
        <w:ind w:left="0" w:right="0"/>
        <w:jc w:val="both"/>
        <w:rPr>
          <w:rFonts w:cs="B Zar" w:hint="cs"/>
          <w:sz w:val="26"/>
          <w:rtl/>
        </w:rPr>
      </w:pPr>
      <w:r w:rsidRPr="00046163">
        <w:rPr>
          <w:rFonts w:cs="B Zar" w:hint="cs"/>
          <w:sz w:val="26"/>
          <w:rtl/>
        </w:rPr>
        <w:t>تعريف اديان و مكاتب هند</w:t>
      </w:r>
      <w:r w:rsidR="00AC1001">
        <w:rPr>
          <w:rFonts w:cs="B Zar" w:hint="cs"/>
          <w:sz w:val="26"/>
          <w:rtl/>
        </w:rPr>
        <w:tab/>
      </w:r>
      <w:r w:rsidR="00B2616F">
        <w:rPr>
          <w:rFonts w:cs="B Zar" w:hint="cs"/>
          <w:sz w:val="26"/>
          <w:rtl/>
        </w:rPr>
        <w:t>30</w:t>
      </w:r>
    </w:p>
    <w:p w:rsidR="009C75F3" w:rsidRPr="00046163" w:rsidP="00B933A5">
      <w:pPr>
        <w:widowControl w:val="0"/>
        <w:tabs>
          <w:tab w:val="right" w:leader="dot" w:pos="6095"/>
        </w:tabs>
        <w:spacing w:line="420" w:lineRule="exact"/>
        <w:ind w:left="0" w:right="0"/>
        <w:jc w:val="both"/>
        <w:rPr>
          <w:rFonts w:cs="B Zar" w:hint="cs"/>
          <w:sz w:val="26"/>
          <w:rtl/>
        </w:rPr>
      </w:pPr>
      <w:r w:rsidRPr="00046163">
        <w:rPr>
          <w:rFonts w:cs="B Zar" w:hint="cs"/>
          <w:sz w:val="26"/>
          <w:rtl/>
        </w:rPr>
        <w:t>دور</w:t>
      </w:r>
      <w:r w:rsidR="003F023D">
        <w:rPr>
          <w:rFonts w:cs="B Zar" w:hint="cs"/>
          <w:sz w:val="26"/>
          <w:rtl/>
        </w:rPr>
        <w:t>انها</w:t>
      </w:r>
      <w:r w:rsidRPr="00046163">
        <w:rPr>
          <w:rFonts w:cs="B Zar" w:hint="cs"/>
          <w:sz w:val="26"/>
          <w:rtl/>
        </w:rPr>
        <w:t>ي تاريخ هند</w:t>
      </w:r>
      <w:r w:rsidR="00AC1001">
        <w:rPr>
          <w:rFonts w:cs="B Zar" w:hint="cs"/>
          <w:sz w:val="26"/>
          <w:rtl/>
        </w:rPr>
        <w:tab/>
      </w:r>
      <w:r w:rsidR="000D09AA">
        <w:rPr>
          <w:rFonts w:cs="B Zar" w:hint="cs"/>
          <w:sz w:val="26"/>
          <w:rtl/>
        </w:rPr>
        <w:t>3</w:t>
      </w:r>
      <w:r w:rsidR="00B933A5">
        <w:rPr>
          <w:rFonts w:cs="B Zar" w:hint="cs"/>
          <w:sz w:val="26"/>
          <w:rtl/>
        </w:rPr>
        <w:t>1</w:t>
      </w:r>
    </w:p>
    <w:p w:rsidR="009C75F3" w:rsidRPr="00046163" w:rsidP="00B933A5">
      <w:pPr>
        <w:widowControl w:val="0"/>
        <w:tabs>
          <w:tab w:val="right" w:leader="dot" w:pos="6095"/>
        </w:tabs>
        <w:spacing w:line="420" w:lineRule="exact"/>
        <w:ind w:left="0" w:right="0"/>
        <w:jc w:val="both"/>
        <w:rPr>
          <w:rFonts w:cs="B Zar" w:hint="cs"/>
          <w:sz w:val="26"/>
          <w:rtl/>
        </w:rPr>
      </w:pPr>
      <w:r w:rsidRPr="00046163">
        <w:rPr>
          <w:rFonts w:cs="B Zar" w:hint="cs"/>
          <w:sz w:val="26"/>
          <w:rtl/>
        </w:rPr>
        <w:t>حوزه تحقيق</w:t>
      </w:r>
      <w:r w:rsidR="00AC1001">
        <w:rPr>
          <w:rFonts w:cs="B Zar" w:hint="cs"/>
          <w:sz w:val="26"/>
          <w:rtl/>
        </w:rPr>
        <w:tab/>
      </w:r>
      <w:r w:rsidR="000D09AA">
        <w:rPr>
          <w:rFonts w:cs="B Zar" w:hint="cs"/>
          <w:sz w:val="26"/>
          <w:rtl/>
        </w:rPr>
        <w:t>3</w:t>
      </w:r>
      <w:r w:rsidR="00B933A5">
        <w:rPr>
          <w:rFonts w:cs="B Zar" w:hint="cs"/>
          <w:sz w:val="26"/>
          <w:rtl/>
        </w:rPr>
        <w:t>4</w:t>
      </w:r>
    </w:p>
    <w:p w:rsidR="009C75F3" w:rsidRPr="00046163" w:rsidP="00B933A5">
      <w:pPr>
        <w:widowControl w:val="0"/>
        <w:tabs>
          <w:tab w:val="right" w:leader="dot" w:pos="6095"/>
        </w:tabs>
        <w:spacing w:line="420" w:lineRule="exact"/>
        <w:ind w:left="0" w:right="0"/>
        <w:jc w:val="both"/>
        <w:rPr>
          <w:rFonts w:cs="B Zar" w:hint="cs"/>
          <w:sz w:val="26"/>
          <w:rtl/>
        </w:rPr>
      </w:pPr>
      <w:r w:rsidRPr="00046163">
        <w:rPr>
          <w:rFonts w:cs="B Zar" w:hint="cs"/>
          <w:sz w:val="26"/>
          <w:rtl/>
        </w:rPr>
        <w:t>تبادل فرهنگي ايران ـ هند</w:t>
      </w:r>
      <w:r w:rsidR="00AC1001">
        <w:rPr>
          <w:rFonts w:cs="B Zar" w:hint="cs"/>
          <w:sz w:val="26"/>
          <w:rtl/>
        </w:rPr>
        <w:tab/>
      </w:r>
      <w:r w:rsidR="0005598C">
        <w:rPr>
          <w:rFonts w:cs="B Zar" w:hint="cs"/>
          <w:sz w:val="26"/>
          <w:rtl/>
        </w:rPr>
        <w:t>3</w:t>
      </w:r>
      <w:r w:rsidR="00B933A5">
        <w:rPr>
          <w:rFonts w:cs="B Zar" w:hint="cs"/>
          <w:sz w:val="26"/>
          <w:rtl/>
        </w:rPr>
        <w:t>4</w:t>
      </w:r>
    </w:p>
    <w:p w:rsidR="009C75F3" w:rsidRPr="0047743F" w:rsidP="00D01F1E">
      <w:pPr>
        <w:widowControl w:val="0"/>
        <w:tabs>
          <w:tab w:val="right" w:leader="dot" w:pos="6095"/>
        </w:tabs>
        <w:spacing w:line="420" w:lineRule="exact"/>
        <w:ind w:left="0" w:right="0"/>
        <w:jc w:val="both"/>
        <w:rPr>
          <w:rFonts w:cs="B Zar" w:hint="cs"/>
          <w:sz w:val="32"/>
          <w:szCs w:val="32"/>
          <w:rtl/>
        </w:rPr>
      </w:pPr>
      <w:r w:rsidRPr="00FE5115">
        <w:rPr>
          <w:rFonts w:cs="B Zar" w:hint="cs"/>
          <w:b/>
          <w:bCs/>
          <w:sz w:val="26"/>
          <w:rtl/>
        </w:rPr>
        <w:t>بخش اول: سير تكوين فرهنگ هند</w:t>
      </w:r>
      <w:r w:rsidRPr="00FE5115" w:rsidR="00AC1001">
        <w:rPr>
          <w:rFonts w:cs="B Zar" w:hint="cs"/>
          <w:sz w:val="26"/>
          <w:rtl/>
        </w:rPr>
        <w:tab/>
      </w:r>
      <w:r w:rsidR="00D01F1E">
        <w:rPr>
          <w:rFonts w:cs="B Zar" w:hint="cs"/>
          <w:sz w:val="26"/>
          <w:rtl/>
        </w:rPr>
        <w:t>40</w:t>
      </w:r>
    </w:p>
    <w:p w:rsidR="009C75F3" w:rsidRPr="00046163" w:rsidP="00D01F1E">
      <w:pPr>
        <w:widowControl w:val="0"/>
        <w:tabs>
          <w:tab w:val="right" w:leader="dot" w:pos="6095"/>
        </w:tabs>
        <w:spacing w:line="420" w:lineRule="exact"/>
        <w:ind w:left="0" w:right="0"/>
        <w:jc w:val="both"/>
        <w:rPr>
          <w:rFonts w:cs="B Zar" w:hint="cs"/>
          <w:sz w:val="26"/>
          <w:rtl/>
        </w:rPr>
      </w:pPr>
      <w:r w:rsidRPr="00FE5115">
        <w:rPr>
          <w:rFonts w:cs="B Zar" w:hint="cs"/>
          <w:sz w:val="26"/>
          <w:rtl/>
        </w:rPr>
        <w:t xml:space="preserve"> عناصر</w:t>
      </w:r>
      <w:r w:rsidR="00060655">
        <w:rPr>
          <w:rFonts w:cs="B Zar" w:hint="cs"/>
          <w:sz w:val="26"/>
          <w:rtl/>
        </w:rPr>
        <w:t xml:space="preserve"> دخيل در</w:t>
      </w:r>
      <w:r w:rsidRPr="00FE5115">
        <w:rPr>
          <w:rFonts w:cs="B Zar" w:hint="cs"/>
          <w:sz w:val="26"/>
          <w:rtl/>
        </w:rPr>
        <w:t xml:space="preserve"> تكوين فرهنگ هند</w:t>
      </w:r>
      <w:r w:rsidR="00AC1001">
        <w:rPr>
          <w:rFonts w:cs="B Zar" w:hint="cs"/>
          <w:sz w:val="26"/>
          <w:rtl/>
        </w:rPr>
        <w:tab/>
      </w:r>
      <w:r w:rsidR="0005598C">
        <w:rPr>
          <w:rFonts w:cs="B Zar" w:hint="cs"/>
          <w:sz w:val="26"/>
          <w:rtl/>
        </w:rPr>
        <w:t>4</w:t>
      </w:r>
      <w:r w:rsidR="00D01F1E">
        <w:rPr>
          <w:rFonts w:cs="B Zar" w:hint="cs"/>
          <w:sz w:val="26"/>
          <w:rtl/>
        </w:rPr>
        <w:t>1</w:t>
      </w:r>
    </w:p>
    <w:p w:rsidR="009C75F3" w:rsidRPr="00046163" w:rsidP="005D1761">
      <w:pPr>
        <w:widowControl w:val="0"/>
        <w:tabs>
          <w:tab w:val="right" w:leader="dot" w:pos="6095"/>
        </w:tabs>
        <w:spacing w:line="420" w:lineRule="exact"/>
        <w:ind w:left="0" w:right="0"/>
        <w:jc w:val="both"/>
        <w:rPr>
          <w:rFonts w:cs="B Zar" w:hint="cs"/>
          <w:sz w:val="26"/>
          <w:rtl/>
        </w:rPr>
      </w:pPr>
      <w:r w:rsidR="00E460C1">
        <w:rPr>
          <w:rFonts w:cs="B Zar" w:hint="cs"/>
          <w:sz w:val="26"/>
          <w:rtl/>
        </w:rPr>
        <w:t>سياهپوس</w:t>
      </w:r>
      <w:r w:rsidR="00512E08">
        <w:rPr>
          <w:rFonts w:cs="B Zar" w:hint="cs"/>
          <w:sz w:val="26"/>
          <w:rtl/>
        </w:rPr>
        <w:t xml:space="preserve">تان </w:t>
      </w:r>
      <w:r w:rsidRPr="00046163">
        <w:rPr>
          <w:rFonts w:cs="B Zar" w:hint="cs"/>
          <w:sz w:val="26"/>
          <w:rtl/>
        </w:rPr>
        <w:t>آفريقا</w:t>
      </w:r>
      <w:r w:rsidR="00512E08">
        <w:rPr>
          <w:rFonts w:cs="B Zar" w:hint="cs"/>
          <w:sz w:val="26"/>
          <w:rtl/>
        </w:rPr>
        <w:t>يي</w:t>
      </w:r>
      <w:r w:rsidR="00AC1001">
        <w:rPr>
          <w:rFonts w:cs="B Zar" w:hint="cs"/>
          <w:sz w:val="26"/>
          <w:rtl/>
        </w:rPr>
        <w:tab/>
      </w:r>
      <w:r w:rsidR="0005598C">
        <w:rPr>
          <w:rFonts w:cs="B Zar" w:hint="cs"/>
          <w:sz w:val="26"/>
          <w:rtl/>
        </w:rPr>
        <w:t>4</w:t>
      </w:r>
      <w:r w:rsidR="005D1761">
        <w:rPr>
          <w:rFonts w:cs="B Zar" w:hint="cs"/>
          <w:sz w:val="26"/>
          <w:rtl/>
        </w:rPr>
        <w:t>4</w:t>
      </w:r>
    </w:p>
    <w:p w:rsidR="00B74D1D" w:rsidRPr="00FE5115" w:rsidP="005D1761">
      <w:pPr>
        <w:widowControl w:val="0"/>
        <w:tabs>
          <w:tab w:val="right" w:leader="dot" w:pos="6095"/>
        </w:tabs>
        <w:spacing w:line="420" w:lineRule="exact"/>
        <w:ind w:left="0" w:right="0"/>
        <w:jc w:val="both"/>
        <w:rPr>
          <w:rFonts w:cs="B Zar" w:hint="cs"/>
          <w:sz w:val="26"/>
          <w:rtl/>
        </w:rPr>
      </w:pPr>
      <w:r w:rsidRPr="00FE5115" w:rsidR="009C75F3">
        <w:rPr>
          <w:rFonts w:cs="B Zar" w:hint="cs"/>
          <w:sz w:val="26"/>
          <w:rtl/>
        </w:rPr>
        <w:t>ا</w:t>
      </w:r>
      <w:r w:rsidR="00E460C1">
        <w:rPr>
          <w:rFonts w:cs="B Zar" w:hint="cs"/>
          <w:sz w:val="26"/>
          <w:rtl/>
        </w:rPr>
        <w:t>قوام ا</w:t>
      </w:r>
      <w:r w:rsidRPr="00FE5115" w:rsidR="009C75F3">
        <w:rPr>
          <w:rFonts w:cs="B Zar" w:hint="cs"/>
          <w:sz w:val="26"/>
          <w:rtl/>
        </w:rPr>
        <w:t>ستر</w:t>
      </w:r>
      <w:r w:rsidR="00E460C1">
        <w:rPr>
          <w:rFonts w:cs="B Zar" w:hint="cs"/>
          <w:sz w:val="26"/>
          <w:rtl/>
        </w:rPr>
        <w:t>و</w:t>
      </w:r>
      <w:r w:rsidRPr="00FE5115" w:rsidR="009C75F3">
        <w:rPr>
          <w:rFonts w:cs="B Zar" w:hint="cs"/>
          <w:sz w:val="26"/>
          <w:rtl/>
        </w:rPr>
        <w:t>لا</w:t>
      </w:r>
      <w:r w:rsidR="00E460C1">
        <w:rPr>
          <w:rFonts w:cs="B Zar" w:hint="cs"/>
          <w:sz w:val="26"/>
          <w:rtl/>
        </w:rPr>
        <w:t>ي</w:t>
      </w:r>
      <w:r w:rsidRPr="00FE5115" w:rsidR="009C75F3">
        <w:rPr>
          <w:rFonts w:cs="B Zar" w:hint="cs"/>
          <w:sz w:val="26"/>
          <w:rtl/>
        </w:rPr>
        <w:t>د</w:t>
      </w:r>
      <w:r w:rsidR="00E460C1">
        <w:rPr>
          <w:rFonts w:cs="B Zar" w:hint="cs"/>
          <w:sz w:val="26"/>
          <w:rtl/>
        </w:rPr>
        <w:t xml:space="preserve"> ي</w:t>
      </w:r>
      <w:r w:rsidRPr="00FE5115" w:rsidR="009C75F3">
        <w:rPr>
          <w:rFonts w:cs="B Zar" w:hint="cs"/>
          <w:sz w:val="26"/>
          <w:rtl/>
        </w:rPr>
        <w:t>ا پارينه فلسطيني</w:t>
      </w:r>
      <w:r w:rsidRPr="00FE5115" w:rsidR="00AC1001">
        <w:rPr>
          <w:rFonts w:cs="B Zar" w:hint="cs"/>
          <w:sz w:val="26"/>
          <w:rtl/>
        </w:rPr>
        <w:tab/>
      </w:r>
      <w:r w:rsidR="0005598C">
        <w:rPr>
          <w:rFonts w:cs="B Zar" w:hint="cs"/>
          <w:sz w:val="26"/>
          <w:rtl/>
        </w:rPr>
        <w:t>4</w:t>
      </w:r>
      <w:r w:rsidR="005D1761">
        <w:rPr>
          <w:rFonts w:cs="B Zar" w:hint="cs"/>
          <w:sz w:val="26"/>
          <w:rtl/>
        </w:rPr>
        <w:t>7</w:t>
      </w:r>
    </w:p>
    <w:p w:rsidR="009C75F3" w:rsidRPr="00FE5115" w:rsidP="009F1464">
      <w:pPr>
        <w:widowControl w:val="0"/>
        <w:tabs>
          <w:tab w:val="right" w:leader="dot" w:pos="6095"/>
        </w:tabs>
        <w:spacing w:line="420" w:lineRule="exact"/>
        <w:ind w:left="0" w:right="0"/>
        <w:jc w:val="both"/>
        <w:rPr>
          <w:rFonts w:cs="B Zar" w:hint="cs"/>
          <w:sz w:val="26"/>
          <w:rtl/>
        </w:rPr>
      </w:pPr>
      <w:r w:rsidR="00C000F0">
        <w:rPr>
          <w:rFonts w:cs="B Zar" w:hint="cs"/>
          <w:sz w:val="26"/>
          <w:rtl/>
        </w:rPr>
        <w:t xml:space="preserve">اقوام </w:t>
      </w:r>
      <w:r w:rsidRPr="00FE5115">
        <w:rPr>
          <w:rFonts w:cs="B Zar" w:hint="cs"/>
          <w:sz w:val="26"/>
          <w:rtl/>
        </w:rPr>
        <w:t>دراويدي</w:t>
      </w:r>
      <w:r w:rsidR="00C000F0">
        <w:rPr>
          <w:rFonts w:cs="B Zar" w:hint="cs"/>
          <w:sz w:val="26"/>
          <w:rtl/>
        </w:rPr>
        <w:t xml:space="preserve"> </w:t>
      </w:r>
      <w:r w:rsidR="003F79BA">
        <w:rPr>
          <w:rFonts w:cs="B Zar" w:hint="cs"/>
          <w:sz w:val="26"/>
          <w:rtl/>
        </w:rPr>
        <w:tab/>
        <w:t>5</w:t>
      </w:r>
      <w:r w:rsidR="009F1464">
        <w:rPr>
          <w:rFonts w:cs="B Zar" w:hint="cs"/>
          <w:sz w:val="26"/>
          <w:rtl/>
        </w:rPr>
        <w:t>4</w:t>
      </w:r>
    </w:p>
    <w:p w:rsidR="009C75F3" w:rsidRPr="00FE5115" w:rsidP="003C0EF5">
      <w:pPr>
        <w:widowControl w:val="0"/>
        <w:tabs>
          <w:tab w:val="right" w:leader="dot" w:pos="6095"/>
        </w:tabs>
        <w:spacing w:line="420" w:lineRule="exact"/>
        <w:ind w:left="0" w:right="0"/>
        <w:jc w:val="both"/>
        <w:rPr>
          <w:rFonts w:cs="B Zar" w:hint="cs"/>
          <w:sz w:val="26"/>
          <w:rtl/>
        </w:rPr>
      </w:pPr>
      <w:r w:rsidRPr="00FE5115">
        <w:rPr>
          <w:rFonts w:cs="B Zar" w:hint="cs"/>
          <w:sz w:val="26"/>
          <w:rtl/>
        </w:rPr>
        <w:t>انديشه ديني</w:t>
      </w:r>
      <w:r w:rsidR="00C000F0">
        <w:rPr>
          <w:rFonts w:cs="B Zar" w:hint="cs"/>
          <w:sz w:val="26"/>
          <w:rtl/>
        </w:rPr>
        <w:t xml:space="preserve"> - فلسفي</w:t>
      </w:r>
      <w:r w:rsidRPr="00FE5115">
        <w:rPr>
          <w:rFonts w:cs="B Zar" w:hint="cs"/>
          <w:sz w:val="26"/>
          <w:rtl/>
        </w:rPr>
        <w:t xml:space="preserve"> دراويديها: كيش انيميسم</w:t>
      </w:r>
      <w:r w:rsidR="003F79BA">
        <w:rPr>
          <w:rFonts w:cs="B Zar" w:hint="cs"/>
          <w:sz w:val="26"/>
          <w:rtl/>
        </w:rPr>
        <w:tab/>
      </w:r>
      <w:r w:rsidR="00C000F0">
        <w:rPr>
          <w:rFonts w:cs="B Zar" w:hint="cs"/>
          <w:sz w:val="26"/>
          <w:rtl/>
        </w:rPr>
        <w:t>58</w:t>
      </w:r>
    </w:p>
    <w:p w:rsidR="009C75F3" w:rsidRPr="00FE5115" w:rsidP="003C0EF5">
      <w:pPr>
        <w:widowControl w:val="0"/>
        <w:tabs>
          <w:tab w:val="right" w:leader="dot" w:pos="6095"/>
        </w:tabs>
        <w:spacing w:line="420" w:lineRule="exact"/>
        <w:ind w:left="0" w:right="0"/>
        <w:jc w:val="both"/>
        <w:rPr>
          <w:rFonts w:cs="B Zar" w:hint="cs"/>
          <w:sz w:val="26"/>
          <w:rtl/>
        </w:rPr>
      </w:pPr>
      <w:r w:rsidRPr="00FE5115">
        <w:rPr>
          <w:rFonts w:cs="B Zar" w:hint="cs"/>
          <w:sz w:val="26"/>
          <w:rtl/>
        </w:rPr>
        <w:t>ارزيابي ميزان نقش دراويديها در تكوين فرهنگ هند</w:t>
      </w:r>
      <w:r w:rsidR="002F454F">
        <w:rPr>
          <w:rFonts w:cs="B Zar" w:hint="cs"/>
          <w:sz w:val="26"/>
          <w:rtl/>
        </w:rPr>
        <w:tab/>
      </w:r>
      <w:r w:rsidR="00641725">
        <w:rPr>
          <w:rFonts w:cs="B Zar" w:hint="cs"/>
          <w:sz w:val="26"/>
          <w:rtl/>
        </w:rPr>
        <w:t>69</w:t>
      </w:r>
    </w:p>
    <w:p w:rsidR="009C75F3" w:rsidRPr="00B74D1D" w:rsidP="003C0EF5">
      <w:pPr>
        <w:pStyle w:val="Heading3"/>
        <w:keepNext w:val="0"/>
        <w:widowControl w:val="0"/>
        <w:tabs>
          <w:tab w:val="right" w:leader="dot" w:pos="6095"/>
        </w:tabs>
        <w:spacing w:before="0" w:after="0" w:line="420" w:lineRule="exact"/>
        <w:ind w:left="0" w:right="0"/>
        <w:jc w:val="left"/>
        <w:rPr>
          <w:rFonts w:cs="B Zar" w:hint="cs"/>
          <w:b w:val="0"/>
          <w:bCs w:val="0"/>
          <w:rtl/>
        </w:rPr>
      </w:pPr>
      <w:r w:rsidRPr="00B74D1D">
        <w:rPr>
          <w:rFonts w:cs="B Zar" w:hint="cs"/>
          <w:b w:val="0"/>
          <w:bCs w:val="0"/>
          <w:rtl/>
        </w:rPr>
        <w:t>آريائي</w:t>
      </w:r>
      <w:r w:rsidR="006664E1">
        <w:rPr>
          <w:rFonts w:cs="B Zar" w:hint="cs"/>
          <w:b w:val="0"/>
          <w:bCs w:val="0"/>
          <w:rtl/>
        </w:rPr>
        <w:t xml:space="preserve"> </w:t>
      </w:r>
      <w:r w:rsidRPr="00B74D1D">
        <w:rPr>
          <w:rFonts w:cs="B Zar" w:hint="cs"/>
          <w:b w:val="0"/>
          <w:bCs w:val="0"/>
          <w:rtl/>
        </w:rPr>
        <w:t>ها</w:t>
      </w:r>
      <w:r w:rsidR="00615DE9">
        <w:rPr>
          <w:rFonts w:cs="B Zar" w:hint="cs"/>
          <w:b w:val="0"/>
          <w:bCs w:val="0"/>
          <w:rtl/>
        </w:rPr>
        <w:t xml:space="preserve"> </w:t>
      </w:r>
      <w:r w:rsidR="00615DE9">
        <w:rPr>
          <w:rFonts w:cs="B Zar" w:hint="cs"/>
          <w:b w:val="0"/>
          <w:bCs w:val="0"/>
          <w:rtl/>
        </w:rPr>
        <w:tab/>
        <w:t>7</w:t>
      </w:r>
      <w:r w:rsidR="00641725">
        <w:rPr>
          <w:rFonts w:cs="B Zar" w:hint="cs"/>
          <w:b w:val="0"/>
          <w:bCs w:val="0"/>
          <w:rtl/>
        </w:rPr>
        <w:t>5</w:t>
      </w:r>
    </w:p>
    <w:p w:rsidR="009C75F3" w:rsidRPr="006B62B4" w:rsidP="003C0EF5">
      <w:pPr>
        <w:widowControl w:val="0"/>
        <w:tabs>
          <w:tab w:val="right" w:leader="dot" w:pos="6095"/>
        </w:tabs>
        <w:spacing w:line="420" w:lineRule="exact"/>
        <w:ind w:left="0" w:right="0"/>
        <w:jc w:val="both"/>
        <w:rPr>
          <w:rFonts w:cs="B Yagut" w:hint="cs"/>
          <w:b/>
          <w:bCs/>
          <w:sz w:val="26"/>
          <w:rtl/>
        </w:rPr>
      </w:pPr>
      <w:r w:rsidRPr="006B62B4">
        <w:rPr>
          <w:rFonts w:cs="B Yagut" w:hint="cs"/>
          <w:b/>
          <w:bCs/>
          <w:sz w:val="26"/>
          <w:rtl/>
        </w:rPr>
        <w:t>بخش دوم: عصر ودا: دوره كلاسيك</w:t>
      </w:r>
      <w:r w:rsidR="00B74490">
        <w:rPr>
          <w:rFonts w:cs="B Yagut" w:hint="cs"/>
          <w:b/>
          <w:bCs/>
          <w:sz w:val="26"/>
          <w:rtl/>
        </w:rPr>
        <w:tab/>
        <w:t>8</w:t>
      </w:r>
      <w:r w:rsidR="00641725">
        <w:rPr>
          <w:rFonts w:cs="B Yagut" w:hint="cs"/>
          <w:b/>
          <w:bCs/>
          <w:sz w:val="26"/>
          <w:rtl/>
        </w:rPr>
        <w:t>4</w:t>
      </w:r>
    </w:p>
    <w:p w:rsidR="009C75F3" w:rsidRPr="00FE5115" w:rsidP="003C0EF5">
      <w:pPr>
        <w:widowControl w:val="0"/>
        <w:tabs>
          <w:tab w:val="right" w:leader="dot" w:pos="6095"/>
        </w:tabs>
        <w:spacing w:line="420" w:lineRule="exact"/>
        <w:ind w:left="0" w:right="0"/>
        <w:jc w:val="both"/>
        <w:rPr>
          <w:rFonts w:cs="B Zar" w:hint="cs"/>
          <w:sz w:val="26"/>
          <w:rtl/>
        </w:rPr>
      </w:pPr>
      <w:r w:rsidRPr="00FE5115">
        <w:rPr>
          <w:rFonts w:cs="B Zar" w:hint="cs"/>
          <w:sz w:val="26"/>
          <w:rtl/>
        </w:rPr>
        <w:t>تعريف ودا</w:t>
      </w:r>
      <w:r w:rsidR="00B74490">
        <w:rPr>
          <w:rFonts w:cs="B Zar" w:hint="cs"/>
          <w:sz w:val="26"/>
          <w:rtl/>
        </w:rPr>
        <w:tab/>
        <w:t>8</w:t>
      </w:r>
      <w:r w:rsidR="00641725">
        <w:rPr>
          <w:rFonts w:cs="B Zar" w:hint="cs"/>
          <w:sz w:val="26"/>
          <w:rtl/>
        </w:rPr>
        <w:t>5</w:t>
      </w:r>
    </w:p>
    <w:p w:rsidR="009C75F3" w:rsidRPr="00FE5115" w:rsidP="00CE228A">
      <w:pPr>
        <w:pStyle w:val="Heading4"/>
        <w:keepNext w:val="0"/>
        <w:widowControl w:val="0"/>
        <w:tabs>
          <w:tab w:val="right" w:leader="dot" w:pos="6095"/>
        </w:tabs>
        <w:spacing w:line="420" w:lineRule="exact"/>
        <w:ind w:left="720" w:right="0" w:hanging="757"/>
        <w:jc w:val="left"/>
        <w:rPr>
          <w:rFonts w:cs="B Zar" w:hint="cs"/>
          <w:sz w:val="26"/>
          <w:rtl/>
        </w:rPr>
      </w:pPr>
      <w:r w:rsidRPr="00FE5115">
        <w:rPr>
          <w:rFonts w:cs="B Zar" w:hint="cs"/>
          <w:sz w:val="26"/>
          <w:rtl/>
        </w:rPr>
        <w:t>وداهاي چهارگانه</w:t>
      </w:r>
      <w:r w:rsidR="00B74490">
        <w:rPr>
          <w:rFonts w:cs="B Zar" w:hint="cs"/>
          <w:sz w:val="26"/>
          <w:rtl/>
        </w:rPr>
        <w:tab/>
      </w:r>
      <w:r w:rsidR="00D50DCD">
        <w:rPr>
          <w:rFonts w:cs="B Zar" w:hint="cs"/>
          <w:sz w:val="26"/>
          <w:rtl/>
        </w:rPr>
        <w:t>8</w:t>
      </w:r>
      <w:r w:rsidR="00CE228A">
        <w:rPr>
          <w:rFonts w:cs="B Zar" w:hint="cs"/>
          <w:sz w:val="26"/>
          <w:rtl/>
        </w:rPr>
        <w:t>6</w:t>
      </w:r>
    </w:p>
    <w:p w:rsidR="009C75F3" w:rsidRPr="00FE5115" w:rsidP="00CE228A">
      <w:pPr>
        <w:widowControl w:val="0"/>
        <w:tabs>
          <w:tab w:val="right" w:leader="dot" w:pos="6095"/>
        </w:tabs>
        <w:spacing w:line="420" w:lineRule="exact"/>
        <w:ind w:left="720" w:right="0" w:hanging="757"/>
        <w:jc w:val="both"/>
        <w:rPr>
          <w:rFonts w:cs="B Zar" w:hint="cs"/>
          <w:sz w:val="26"/>
          <w:rtl/>
        </w:rPr>
      </w:pPr>
      <w:r w:rsidRPr="00FE5115">
        <w:rPr>
          <w:rFonts w:cs="B Zar" w:hint="cs"/>
          <w:sz w:val="26"/>
          <w:rtl/>
        </w:rPr>
        <w:t>معنا و مفهوم سروتي و اسمرتي</w:t>
      </w:r>
      <w:r w:rsidR="00B74490">
        <w:rPr>
          <w:rFonts w:cs="B Zar" w:hint="cs"/>
          <w:sz w:val="26"/>
          <w:rtl/>
        </w:rPr>
        <w:tab/>
        <w:t>9</w:t>
      </w:r>
      <w:r w:rsidR="00CE228A">
        <w:rPr>
          <w:rFonts w:cs="B Zar" w:hint="cs"/>
          <w:sz w:val="26"/>
          <w:rtl/>
        </w:rPr>
        <w:t>0</w:t>
      </w:r>
    </w:p>
    <w:p w:rsidR="00B74D1D" w:rsidRPr="00FE5115" w:rsidP="009423FB">
      <w:pPr>
        <w:widowControl w:val="0"/>
        <w:tabs>
          <w:tab w:val="right" w:leader="dot" w:pos="6095"/>
        </w:tabs>
        <w:spacing w:line="420" w:lineRule="exact"/>
        <w:ind w:left="720" w:right="0" w:hanging="757"/>
        <w:jc w:val="both"/>
        <w:rPr>
          <w:rFonts w:cs="B Zar" w:hint="cs"/>
          <w:sz w:val="26"/>
          <w:rtl/>
        </w:rPr>
      </w:pPr>
      <w:r w:rsidRPr="00FE5115" w:rsidR="009C75F3">
        <w:rPr>
          <w:rFonts w:cs="B Zar" w:hint="cs"/>
          <w:sz w:val="26"/>
          <w:rtl/>
        </w:rPr>
        <w:t>ريشي: حكيم مت</w:t>
      </w:r>
      <w:r w:rsidR="00D50DCD">
        <w:rPr>
          <w:rFonts w:cs="B Zar" w:hint="cs"/>
          <w:sz w:val="26"/>
          <w:rtl/>
        </w:rPr>
        <w:t>ا</w:t>
      </w:r>
      <w:r w:rsidRPr="00FE5115" w:rsidR="009C75F3">
        <w:rPr>
          <w:rFonts w:cs="B Zar" w:hint="cs"/>
          <w:sz w:val="26"/>
          <w:rtl/>
        </w:rPr>
        <w:t>له</w:t>
      </w:r>
      <w:r w:rsidR="00B74490">
        <w:rPr>
          <w:rFonts w:cs="B Zar" w:hint="cs"/>
          <w:sz w:val="26"/>
          <w:rtl/>
        </w:rPr>
        <w:tab/>
        <w:t>9</w:t>
      </w:r>
      <w:r w:rsidR="009423FB">
        <w:rPr>
          <w:rFonts w:cs="B Zar" w:hint="cs"/>
          <w:sz w:val="26"/>
          <w:rtl/>
        </w:rPr>
        <w:t>1</w:t>
      </w:r>
    </w:p>
    <w:p w:rsidR="009C75F3" w:rsidRPr="00FE5115" w:rsidP="009423FB">
      <w:pPr>
        <w:widowControl w:val="0"/>
        <w:tabs>
          <w:tab w:val="right" w:leader="dot" w:pos="6095"/>
        </w:tabs>
        <w:spacing w:line="420" w:lineRule="exact"/>
        <w:ind w:left="720" w:right="0" w:hanging="757"/>
        <w:jc w:val="both"/>
        <w:rPr>
          <w:rFonts w:cs="B Zar" w:hint="cs"/>
          <w:sz w:val="26"/>
          <w:rtl/>
        </w:rPr>
      </w:pPr>
      <w:r w:rsidRPr="00FE5115">
        <w:rPr>
          <w:rFonts w:cs="B Zar" w:hint="cs"/>
          <w:rtl/>
        </w:rPr>
        <w:t>اهميت ودا</w:t>
      </w:r>
      <w:r w:rsidR="00B74490">
        <w:rPr>
          <w:rFonts w:cs="B Zar" w:hint="cs"/>
          <w:sz w:val="26"/>
          <w:rtl/>
        </w:rPr>
        <w:tab/>
      </w:r>
      <w:r w:rsidR="009423FB">
        <w:rPr>
          <w:rFonts w:cs="B Zar" w:hint="cs"/>
          <w:sz w:val="26"/>
          <w:rtl/>
        </w:rPr>
        <w:t>99</w:t>
      </w:r>
    </w:p>
    <w:p w:rsidR="009C75F3" w:rsidRPr="00FE5115" w:rsidP="00263778">
      <w:pPr>
        <w:widowControl w:val="0"/>
        <w:tabs>
          <w:tab w:val="right" w:leader="dot" w:pos="6095"/>
        </w:tabs>
        <w:spacing w:line="420" w:lineRule="exact"/>
        <w:ind w:left="0" w:right="0"/>
        <w:jc w:val="both"/>
        <w:rPr>
          <w:rFonts w:cs="B Zar" w:hint="cs"/>
          <w:sz w:val="26"/>
          <w:rtl/>
        </w:rPr>
      </w:pPr>
      <w:r w:rsidR="00F35F0B">
        <w:rPr>
          <w:rFonts w:cs="B Zar" w:hint="cs"/>
          <w:sz w:val="26"/>
          <w:rtl/>
        </w:rPr>
        <w:t>چگوني</w:t>
      </w:r>
      <w:r w:rsidRPr="00FE5115">
        <w:rPr>
          <w:rFonts w:cs="B Zar" w:hint="cs"/>
          <w:sz w:val="26"/>
          <w:rtl/>
        </w:rPr>
        <w:t xml:space="preserve"> تدوين ودا</w:t>
      </w:r>
      <w:r w:rsidR="00B74490">
        <w:rPr>
          <w:rFonts w:cs="B Zar" w:hint="cs"/>
          <w:sz w:val="26"/>
          <w:rtl/>
        </w:rPr>
        <w:tab/>
        <w:t>1</w:t>
      </w:r>
      <w:r w:rsidR="00F35F0B">
        <w:rPr>
          <w:rFonts w:cs="B Zar" w:hint="cs"/>
          <w:sz w:val="26"/>
          <w:rtl/>
        </w:rPr>
        <w:t>0</w:t>
      </w:r>
      <w:r w:rsidR="00263778">
        <w:rPr>
          <w:rFonts w:cs="B Zar" w:hint="cs"/>
          <w:sz w:val="26"/>
          <w:rtl/>
        </w:rPr>
        <w:t>6</w:t>
      </w:r>
    </w:p>
    <w:p w:rsidR="009C75F3" w:rsidRPr="00FE5115" w:rsidP="00263778">
      <w:pPr>
        <w:widowControl w:val="0"/>
        <w:tabs>
          <w:tab w:val="right" w:leader="dot" w:pos="6095"/>
        </w:tabs>
        <w:spacing w:line="420" w:lineRule="exact"/>
        <w:ind w:left="720" w:right="0" w:hanging="757"/>
        <w:jc w:val="both"/>
        <w:rPr>
          <w:rFonts w:cs="B Zar" w:hint="cs"/>
          <w:sz w:val="26"/>
          <w:rtl/>
        </w:rPr>
      </w:pPr>
      <w:r w:rsidRPr="00FE5115">
        <w:rPr>
          <w:rFonts w:cs="B Zar" w:hint="cs"/>
          <w:sz w:val="26"/>
          <w:rtl/>
        </w:rPr>
        <w:t>چگونگي تاليف سرودها</w:t>
      </w:r>
      <w:r w:rsidR="00B74490">
        <w:rPr>
          <w:rFonts w:cs="B Zar" w:hint="cs"/>
          <w:sz w:val="26"/>
          <w:rtl/>
        </w:rPr>
        <w:tab/>
        <w:t>11</w:t>
      </w:r>
      <w:r w:rsidR="00263778">
        <w:rPr>
          <w:rFonts w:cs="B Zar" w:hint="cs"/>
          <w:sz w:val="26"/>
          <w:rtl/>
        </w:rPr>
        <w:t>1</w:t>
      </w:r>
    </w:p>
    <w:p w:rsidR="009C75F3" w:rsidRPr="00A653EA" w:rsidP="00971E73">
      <w:pPr>
        <w:widowControl w:val="0"/>
        <w:tabs>
          <w:tab w:val="right" w:leader="dot" w:pos="6095"/>
        </w:tabs>
        <w:spacing w:line="420" w:lineRule="exact"/>
        <w:ind w:left="720" w:right="0" w:hanging="757"/>
        <w:jc w:val="both"/>
        <w:rPr>
          <w:rFonts w:cs="B Zar" w:hint="cs"/>
          <w:sz w:val="26"/>
          <w:rtl/>
        </w:rPr>
      </w:pPr>
      <w:r w:rsidRPr="00A653EA" w:rsidR="00A653EA">
        <w:rPr>
          <w:rFonts w:cs="B Zar"/>
          <w:sz w:val="26"/>
          <w:rtl/>
        </w:rPr>
        <w:t>تفاسير ودا و ماهيت دين آرياها</w:t>
      </w:r>
      <w:r w:rsidR="007F4827">
        <w:rPr>
          <w:rFonts w:cs="B Zar" w:hint="cs"/>
          <w:sz w:val="26"/>
          <w:rtl/>
        </w:rPr>
        <w:tab/>
        <w:t>1</w:t>
      </w:r>
      <w:r w:rsidR="00971E73">
        <w:rPr>
          <w:rFonts w:cs="B Zar" w:hint="cs"/>
          <w:sz w:val="26"/>
          <w:rtl/>
        </w:rPr>
        <w:t>17</w:t>
      </w:r>
    </w:p>
    <w:p w:rsidR="009C75F3" w:rsidRPr="00FE5115" w:rsidP="00210EF9">
      <w:pPr>
        <w:pStyle w:val="Heading3"/>
        <w:keepNext w:val="0"/>
        <w:widowControl w:val="0"/>
        <w:tabs>
          <w:tab w:val="right" w:leader="dot" w:pos="6095"/>
        </w:tabs>
        <w:spacing w:before="0" w:after="0" w:line="420" w:lineRule="exact"/>
        <w:ind w:left="0" w:right="0"/>
        <w:jc w:val="left"/>
        <w:rPr>
          <w:rFonts w:cs="B Zar" w:hint="cs"/>
          <w:rtl/>
        </w:rPr>
      </w:pPr>
      <w:r w:rsidRPr="00FE5115">
        <w:rPr>
          <w:rFonts w:cs="B Zar" w:hint="cs"/>
          <w:rtl/>
        </w:rPr>
        <w:t>بخش سوم: سير انديشه ديني نظريه مراحل پنجگانه</w:t>
      </w:r>
      <w:r w:rsidR="009A2762">
        <w:rPr>
          <w:rFonts w:cs="B Zar" w:hint="cs"/>
          <w:rtl/>
        </w:rPr>
        <w:tab/>
      </w:r>
      <w:r w:rsidR="009A2762">
        <w:rPr>
          <w:rFonts w:cs="B Zar" w:hint="cs"/>
          <w:rtl/>
        </w:rPr>
        <w:t>1</w:t>
      </w:r>
      <w:r w:rsidR="008841E6">
        <w:rPr>
          <w:rFonts w:cs="B Zar" w:hint="cs"/>
          <w:rtl/>
        </w:rPr>
        <w:t>4</w:t>
      </w:r>
      <w:r w:rsidR="00210EF9">
        <w:rPr>
          <w:rFonts w:cs="B Zar" w:hint="cs"/>
          <w:rtl/>
        </w:rPr>
        <w:t>5</w:t>
      </w:r>
    </w:p>
    <w:p w:rsidR="009C75F3" w:rsidRPr="00FE5115" w:rsidP="00444072">
      <w:pPr>
        <w:pStyle w:val="Heading3"/>
        <w:keepNext w:val="0"/>
        <w:widowControl w:val="0"/>
        <w:tabs>
          <w:tab w:val="right" w:leader="dot" w:pos="6095"/>
        </w:tabs>
        <w:spacing w:before="0" w:after="0" w:line="420" w:lineRule="exact"/>
        <w:ind w:left="0" w:right="0"/>
        <w:jc w:val="left"/>
        <w:rPr>
          <w:rFonts w:cs="B Zar" w:hint="cs"/>
          <w:b w:val="0"/>
          <w:bCs w:val="0"/>
          <w:rtl/>
        </w:rPr>
      </w:pPr>
      <w:r w:rsidRPr="00FE5115">
        <w:rPr>
          <w:rFonts w:cs="B Zar" w:hint="cs"/>
          <w:b w:val="0"/>
          <w:bCs w:val="0"/>
          <w:rtl/>
        </w:rPr>
        <w:t>آئين طبيعت پرستي</w:t>
      </w:r>
      <w:r w:rsidR="002946A7">
        <w:rPr>
          <w:rFonts w:cs="B Zar" w:hint="cs"/>
          <w:b w:val="0"/>
          <w:bCs w:val="0"/>
          <w:rtl/>
        </w:rPr>
        <w:tab/>
        <w:t>1</w:t>
      </w:r>
      <w:r w:rsidR="00C91F15">
        <w:rPr>
          <w:rFonts w:cs="B Zar" w:hint="cs"/>
          <w:b w:val="0"/>
          <w:bCs w:val="0"/>
          <w:rtl/>
        </w:rPr>
        <w:t>5</w:t>
      </w:r>
      <w:r w:rsidR="00444072">
        <w:rPr>
          <w:rFonts w:cs="B Zar" w:hint="cs"/>
          <w:b w:val="0"/>
          <w:bCs w:val="0"/>
          <w:rtl/>
        </w:rPr>
        <w:t>8</w:t>
      </w:r>
    </w:p>
    <w:p w:rsidR="009C75F3" w:rsidP="00210EF9">
      <w:pPr>
        <w:widowControl w:val="0"/>
        <w:tabs>
          <w:tab w:val="right" w:leader="dot" w:pos="6095"/>
        </w:tabs>
        <w:spacing w:line="420" w:lineRule="exact"/>
        <w:ind w:left="0" w:right="0"/>
        <w:jc w:val="both"/>
        <w:rPr>
          <w:rFonts w:cs="B Zar" w:hint="cs"/>
          <w:sz w:val="26"/>
          <w:rtl/>
        </w:rPr>
      </w:pPr>
      <w:r w:rsidRPr="00FE5115">
        <w:rPr>
          <w:rFonts w:cs="B Zar" w:hint="cs"/>
          <w:sz w:val="26"/>
          <w:rtl/>
        </w:rPr>
        <w:t>عموميت طبيعت پرستي در ميان اقوام كهن</w:t>
      </w:r>
      <w:r w:rsidR="002946A7">
        <w:rPr>
          <w:rFonts w:cs="B Zar" w:hint="cs"/>
          <w:sz w:val="26"/>
          <w:rtl/>
        </w:rPr>
        <w:tab/>
        <w:t>1</w:t>
      </w:r>
      <w:r w:rsidR="0082648B">
        <w:rPr>
          <w:rFonts w:cs="B Zar" w:hint="cs"/>
          <w:sz w:val="26"/>
          <w:rtl/>
        </w:rPr>
        <w:t>6</w:t>
      </w:r>
      <w:r w:rsidR="00210EF9">
        <w:rPr>
          <w:rFonts w:cs="B Zar" w:hint="cs"/>
          <w:sz w:val="26"/>
          <w:rtl/>
        </w:rPr>
        <w:t>3</w:t>
      </w:r>
    </w:p>
    <w:p w:rsidR="00F916B0" w:rsidRPr="00F916B0" w:rsidP="00444072">
      <w:pPr>
        <w:widowControl w:val="0"/>
        <w:tabs>
          <w:tab w:val="right" w:leader="dot" w:pos="6095"/>
        </w:tabs>
        <w:spacing w:line="420" w:lineRule="exact"/>
        <w:ind w:left="0" w:right="0"/>
        <w:jc w:val="both"/>
        <w:rPr>
          <w:rFonts w:cs="B Zar" w:hint="cs"/>
          <w:sz w:val="26"/>
          <w:rtl/>
        </w:rPr>
      </w:pPr>
      <w:r w:rsidRPr="00F916B0">
        <w:rPr>
          <w:rFonts w:cs="B Zar"/>
          <w:sz w:val="26"/>
          <w:rtl/>
        </w:rPr>
        <w:t>طبيعت پرستي در ودا: پرستش ارض و سماء</w:t>
      </w:r>
      <w:r w:rsidR="002946A7">
        <w:rPr>
          <w:rFonts w:cs="B Zar" w:hint="cs"/>
          <w:sz w:val="26"/>
          <w:rtl/>
        </w:rPr>
        <w:tab/>
        <w:t>1</w:t>
      </w:r>
      <w:r w:rsidR="00664FFF">
        <w:rPr>
          <w:rFonts w:cs="B Zar" w:hint="cs"/>
          <w:sz w:val="26"/>
          <w:rtl/>
        </w:rPr>
        <w:t>6</w:t>
      </w:r>
      <w:r w:rsidR="00444072">
        <w:rPr>
          <w:rFonts w:cs="B Zar" w:hint="cs"/>
          <w:sz w:val="26"/>
          <w:rtl/>
        </w:rPr>
        <w:t>6</w:t>
      </w:r>
    </w:p>
    <w:p w:rsidR="009C75F3" w:rsidRPr="00FE5115" w:rsidP="00444072">
      <w:pPr>
        <w:widowControl w:val="0"/>
        <w:tabs>
          <w:tab w:val="right" w:leader="dot" w:pos="6095"/>
        </w:tabs>
        <w:spacing w:line="420" w:lineRule="exact"/>
        <w:ind w:left="0" w:right="0"/>
        <w:jc w:val="both"/>
        <w:rPr>
          <w:rFonts w:cs="B Zar" w:hint="cs"/>
          <w:sz w:val="26"/>
          <w:rtl/>
        </w:rPr>
      </w:pPr>
      <w:r w:rsidR="008025F0">
        <w:rPr>
          <w:rFonts w:cs="B Zar" w:hint="cs"/>
          <w:sz w:val="26"/>
          <w:rtl/>
          <w:lang w:bidi="fa-IR"/>
        </w:rPr>
        <w:t xml:space="preserve">پرستش </w:t>
      </w:r>
      <w:r w:rsidRPr="00FE5115">
        <w:rPr>
          <w:rFonts w:cs="B Zar" w:hint="cs"/>
          <w:sz w:val="26"/>
          <w:rtl/>
        </w:rPr>
        <w:t>خورشيد</w:t>
      </w:r>
      <w:r w:rsidR="008025F0">
        <w:rPr>
          <w:rFonts w:cs="B Zar" w:hint="cs"/>
          <w:sz w:val="26"/>
          <w:rtl/>
        </w:rPr>
        <w:t>،</w:t>
      </w:r>
      <w:r w:rsidRPr="00FE5115">
        <w:rPr>
          <w:rFonts w:cs="B Zar" w:hint="cs"/>
          <w:sz w:val="26"/>
          <w:rtl/>
        </w:rPr>
        <w:t xml:space="preserve"> ماه</w:t>
      </w:r>
      <w:r w:rsidR="008025F0">
        <w:rPr>
          <w:rFonts w:cs="B Zar" w:hint="cs"/>
          <w:sz w:val="26"/>
          <w:rtl/>
        </w:rPr>
        <w:t xml:space="preserve"> </w:t>
      </w:r>
      <w:r w:rsidR="00DA6773">
        <w:rPr>
          <w:rFonts w:cs="B Zar" w:hint="cs"/>
          <w:sz w:val="26"/>
          <w:rtl/>
        </w:rPr>
        <w:tab/>
        <w:t>1</w:t>
      </w:r>
      <w:r w:rsidR="00444072">
        <w:rPr>
          <w:rFonts w:cs="B Zar" w:hint="cs"/>
          <w:sz w:val="26"/>
          <w:rtl/>
        </w:rPr>
        <w:t>70</w:t>
      </w:r>
    </w:p>
    <w:p w:rsidR="009C75F3" w:rsidRPr="00FE5115" w:rsidP="00444072">
      <w:pPr>
        <w:widowControl w:val="0"/>
        <w:tabs>
          <w:tab w:val="right" w:leader="dot" w:pos="6095"/>
        </w:tabs>
        <w:spacing w:line="420" w:lineRule="exact"/>
        <w:ind w:left="0" w:right="0"/>
        <w:jc w:val="both"/>
        <w:rPr>
          <w:rFonts w:cs="B Zar" w:hint="cs"/>
          <w:sz w:val="26"/>
          <w:rtl/>
        </w:rPr>
      </w:pPr>
      <w:r w:rsidRPr="00FE5115">
        <w:rPr>
          <w:rFonts w:cs="B Zar" w:hint="cs"/>
          <w:sz w:val="26"/>
          <w:rtl/>
        </w:rPr>
        <w:t>ستاره پرستي</w:t>
      </w:r>
      <w:r w:rsidR="00DA6773">
        <w:rPr>
          <w:rFonts w:cs="B Zar" w:hint="cs"/>
          <w:sz w:val="26"/>
          <w:rtl/>
        </w:rPr>
        <w:tab/>
        <w:t>1</w:t>
      </w:r>
      <w:r w:rsidR="00444072">
        <w:rPr>
          <w:rFonts w:cs="B Zar" w:hint="cs"/>
          <w:sz w:val="26"/>
          <w:rtl/>
        </w:rPr>
        <w:t>80</w:t>
      </w:r>
    </w:p>
    <w:p w:rsidR="009C75F3" w:rsidRPr="00FE5115" w:rsidP="00444072">
      <w:pPr>
        <w:widowControl w:val="0"/>
        <w:tabs>
          <w:tab w:val="right" w:leader="dot" w:pos="6095"/>
        </w:tabs>
        <w:spacing w:line="420" w:lineRule="exact"/>
        <w:ind w:left="0" w:right="0"/>
        <w:jc w:val="both"/>
        <w:rPr>
          <w:rFonts w:cs="B Zar" w:hint="cs"/>
          <w:sz w:val="26"/>
          <w:rtl/>
        </w:rPr>
      </w:pPr>
      <w:r w:rsidRPr="00FE5115">
        <w:rPr>
          <w:rFonts w:cs="B Zar" w:hint="cs"/>
          <w:sz w:val="26"/>
          <w:rtl/>
        </w:rPr>
        <w:t>پرستش رعد، برق و توفان</w:t>
      </w:r>
      <w:r w:rsidR="009644DA">
        <w:rPr>
          <w:rFonts w:cs="B Zar" w:hint="cs"/>
          <w:sz w:val="26"/>
          <w:rtl/>
        </w:rPr>
        <w:tab/>
        <w:t>1</w:t>
      </w:r>
      <w:r w:rsidR="006800C5">
        <w:rPr>
          <w:rFonts w:cs="B Zar" w:hint="cs"/>
          <w:sz w:val="26"/>
          <w:rtl/>
        </w:rPr>
        <w:t>8</w:t>
      </w:r>
      <w:r w:rsidR="00444072">
        <w:rPr>
          <w:rFonts w:cs="B Zar" w:hint="cs"/>
          <w:sz w:val="26"/>
          <w:rtl/>
        </w:rPr>
        <w:t>1</w:t>
      </w:r>
    </w:p>
    <w:p w:rsidR="009C75F3" w:rsidRPr="00FE5115" w:rsidP="00444072">
      <w:pPr>
        <w:pStyle w:val="Heading9"/>
        <w:keepNext w:val="0"/>
        <w:widowControl w:val="0"/>
        <w:tabs>
          <w:tab w:val="right" w:leader="dot" w:pos="6095"/>
        </w:tabs>
        <w:spacing w:line="420" w:lineRule="exact"/>
        <w:ind w:left="0" w:right="0" w:firstLine="0"/>
        <w:jc w:val="left"/>
        <w:rPr>
          <w:rFonts w:cs="B Zar" w:hint="cs"/>
          <w:sz w:val="26"/>
          <w:rtl/>
        </w:rPr>
      </w:pPr>
      <w:r w:rsidRPr="00FE5115">
        <w:rPr>
          <w:rFonts w:cs="B Zar" w:hint="cs"/>
          <w:sz w:val="26"/>
          <w:rtl/>
        </w:rPr>
        <w:t>آتش پرستي</w:t>
      </w:r>
      <w:r w:rsidR="009644DA">
        <w:rPr>
          <w:rFonts w:cs="B Zar" w:hint="cs"/>
          <w:sz w:val="26"/>
          <w:rtl/>
        </w:rPr>
        <w:tab/>
        <w:t>1</w:t>
      </w:r>
      <w:r w:rsidR="006800C5">
        <w:rPr>
          <w:rFonts w:cs="B Zar" w:hint="cs"/>
          <w:sz w:val="26"/>
          <w:rtl/>
        </w:rPr>
        <w:t>8</w:t>
      </w:r>
      <w:r w:rsidR="00444072">
        <w:rPr>
          <w:rFonts w:cs="B Zar" w:hint="cs"/>
          <w:sz w:val="26"/>
          <w:rtl/>
        </w:rPr>
        <w:t>5</w:t>
      </w:r>
    </w:p>
    <w:p w:rsidR="009C75F3" w:rsidRPr="00FE5115" w:rsidP="00444072">
      <w:pPr>
        <w:widowControl w:val="0"/>
        <w:tabs>
          <w:tab w:val="right" w:leader="dot" w:pos="6095"/>
        </w:tabs>
        <w:spacing w:line="420" w:lineRule="exact"/>
        <w:ind w:left="0" w:right="0"/>
        <w:jc w:val="both"/>
        <w:rPr>
          <w:rFonts w:cs="B Zar" w:hint="cs"/>
          <w:sz w:val="26"/>
          <w:rtl/>
        </w:rPr>
      </w:pPr>
      <w:r w:rsidRPr="00FE5115">
        <w:rPr>
          <w:rFonts w:cs="B Zar" w:hint="cs"/>
          <w:sz w:val="26"/>
          <w:rtl/>
        </w:rPr>
        <w:t>پرستش سوما يا باده پرستي</w:t>
      </w:r>
      <w:r w:rsidR="009644DA">
        <w:rPr>
          <w:rFonts w:cs="B Zar" w:hint="cs"/>
          <w:sz w:val="26"/>
          <w:rtl/>
        </w:rPr>
        <w:tab/>
      </w:r>
      <w:r w:rsidR="008E2AFF">
        <w:rPr>
          <w:rFonts w:cs="B Zar" w:hint="cs"/>
          <w:sz w:val="26"/>
          <w:rtl/>
        </w:rPr>
        <w:t>19</w:t>
      </w:r>
      <w:r w:rsidR="00444072">
        <w:rPr>
          <w:rFonts w:cs="B Zar" w:hint="cs"/>
          <w:sz w:val="26"/>
          <w:rtl/>
        </w:rPr>
        <w:t>1</w:t>
      </w:r>
    </w:p>
    <w:p w:rsidR="009C75F3" w:rsidRPr="00FE5115" w:rsidP="00747D6E">
      <w:pPr>
        <w:pStyle w:val="Heading3"/>
        <w:keepNext w:val="0"/>
        <w:widowControl w:val="0"/>
        <w:tabs>
          <w:tab w:val="right" w:leader="dot" w:pos="6095"/>
        </w:tabs>
        <w:spacing w:before="0" w:after="0" w:line="420" w:lineRule="exact"/>
        <w:ind w:left="0" w:right="0"/>
        <w:jc w:val="left"/>
        <w:rPr>
          <w:rFonts w:cs="B Zar" w:hint="cs"/>
          <w:sz w:val="22"/>
          <w:szCs w:val="22"/>
          <w:rtl/>
        </w:rPr>
      </w:pPr>
      <w:r w:rsidRPr="00FE5115">
        <w:rPr>
          <w:rFonts w:cs="B Zar" w:hint="cs"/>
          <w:sz w:val="22"/>
          <w:szCs w:val="22"/>
          <w:rtl/>
        </w:rPr>
        <w:t>انيميسم يا روح پرستي</w:t>
      </w:r>
      <w:r w:rsidR="008D0A5D">
        <w:rPr>
          <w:rFonts w:cs="B Zar" w:hint="cs"/>
          <w:sz w:val="22"/>
          <w:szCs w:val="22"/>
          <w:rtl/>
        </w:rPr>
        <w:tab/>
      </w:r>
      <w:r w:rsidR="00747D6E">
        <w:rPr>
          <w:rFonts w:cs="B Zar" w:hint="cs"/>
          <w:sz w:val="22"/>
          <w:szCs w:val="22"/>
          <w:rtl/>
        </w:rPr>
        <w:t>193</w:t>
      </w:r>
    </w:p>
    <w:p w:rsidR="009C75F3" w:rsidRPr="00FE5115" w:rsidP="00A64CE4">
      <w:pPr>
        <w:widowControl w:val="0"/>
        <w:tabs>
          <w:tab w:val="right" w:leader="dot" w:pos="6095"/>
        </w:tabs>
        <w:spacing w:line="420" w:lineRule="exact"/>
        <w:ind w:left="0" w:right="0"/>
        <w:jc w:val="both"/>
        <w:rPr>
          <w:rFonts w:cs="B Zar" w:hint="cs"/>
          <w:sz w:val="26"/>
          <w:rtl/>
        </w:rPr>
      </w:pPr>
      <w:r w:rsidRPr="00FE5115">
        <w:rPr>
          <w:rFonts w:cs="B Zar" w:hint="cs"/>
          <w:sz w:val="26"/>
          <w:rtl/>
        </w:rPr>
        <w:t>نياكان پرستي، توتميسم و تابو</w:t>
      </w:r>
      <w:r w:rsidR="00FA3720">
        <w:rPr>
          <w:rFonts w:cs="B Zar" w:hint="cs"/>
          <w:sz w:val="26"/>
          <w:rtl/>
        </w:rPr>
        <w:tab/>
      </w:r>
      <w:r w:rsidR="00CE18BC">
        <w:rPr>
          <w:rFonts w:cs="B Zar" w:hint="cs"/>
          <w:sz w:val="26"/>
          <w:rtl/>
        </w:rPr>
        <w:t>19</w:t>
      </w:r>
      <w:r w:rsidR="00A64CE4">
        <w:rPr>
          <w:rFonts w:cs="B Zar" w:hint="cs"/>
          <w:sz w:val="26"/>
          <w:rtl/>
        </w:rPr>
        <w:t>8</w:t>
      </w:r>
    </w:p>
    <w:p w:rsidR="009C75F3" w:rsidRPr="00FE5115" w:rsidP="00A64CE4">
      <w:pPr>
        <w:widowControl w:val="0"/>
        <w:tabs>
          <w:tab w:val="right" w:leader="dot" w:pos="6095"/>
        </w:tabs>
        <w:spacing w:line="420" w:lineRule="exact"/>
        <w:ind w:left="0" w:right="0"/>
        <w:jc w:val="both"/>
        <w:rPr>
          <w:rFonts w:cs="B Zar" w:hint="cs"/>
          <w:sz w:val="26"/>
          <w:rtl/>
        </w:rPr>
      </w:pPr>
      <w:r w:rsidRPr="00FE5115">
        <w:rPr>
          <w:rFonts w:cs="B Zar" w:hint="cs"/>
          <w:sz w:val="26"/>
          <w:rtl/>
        </w:rPr>
        <w:t>اعتقاد به مانا و آئين ديناميسم</w:t>
      </w:r>
      <w:r w:rsidR="00FA3720">
        <w:rPr>
          <w:rFonts w:cs="B Zar" w:hint="cs"/>
          <w:sz w:val="26"/>
          <w:rtl/>
        </w:rPr>
        <w:tab/>
        <w:t>2</w:t>
      </w:r>
      <w:r w:rsidR="00CE18BC">
        <w:rPr>
          <w:rFonts w:cs="B Zar" w:hint="cs"/>
          <w:sz w:val="26"/>
          <w:rtl/>
        </w:rPr>
        <w:t>0</w:t>
      </w:r>
      <w:r w:rsidR="00A64CE4">
        <w:rPr>
          <w:rFonts w:cs="B Zar" w:hint="cs"/>
          <w:sz w:val="26"/>
          <w:rtl/>
        </w:rPr>
        <w:t>1</w:t>
      </w:r>
    </w:p>
    <w:p w:rsidR="009C75F3" w:rsidRPr="00FE5115" w:rsidP="00A64CE4">
      <w:pPr>
        <w:widowControl w:val="0"/>
        <w:tabs>
          <w:tab w:val="right" w:leader="dot" w:pos="6095"/>
        </w:tabs>
        <w:spacing w:line="420" w:lineRule="exact"/>
        <w:ind w:left="0" w:right="0"/>
        <w:jc w:val="both"/>
        <w:rPr>
          <w:rFonts w:cs="B Zar" w:hint="cs"/>
          <w:sz w:val="26"/>
          <w:rtl/>
        </w:rPr>
      </w:pPr>
      <w:r w:rsidRPr="00FE5115">
        <w:rPr>
          <w:rFonts w:cs="B Zar" w:hint="cs"/>
          <w:sz w:val="26"/>
          <w:rtl/>
        </w:rPr>
        <w:t>جادو و فيتيشيسم</w:t>
      </w:r>
      <w:r w:rsidR="00FA3720">
        <w:rPr>
          <w:rFonts w:cs="B Zar" w:hint="cs"/>
          <w:sz w:val="26"/>
          <w:rtl/>
        </w:rPr>
        <w:tab/>
        <w:t>2</w:t>
      </w:r>
      <w:r w:rsidR="00CE18BC">
        <w:rPr>
          <w:rFonts w:cs="B Zar" w:hint="cs"/>
          <w:sz w:val="26"/>
          <w:rtl/>
        </w:rPr>
        <w:t>0</w:t>
      </w:r>
      <w:r w:rsidR="00A64CE4">
        <w:rPr>
          <w:rFonts w:cs="B Zar" w:hint="cs"/>
          <w:sz w:val="26"/>
          <w:rtl/>
        </w:rPr>
        <w:t>3</w:t>
      </w:r>
    </w:p>
    <w:p w:rsidR="009C75F3" w:rsidP="00A64CE4">
      <w:pPr>
        <w:widowControl w:val="0"/>
        <w:tabs>
          <w:tab w:val="right" w:leader="dot" w:pos="6095"/>
        </w:tabs>
        <w:spacing w:line="420" w:lineRule="exact"/>
        <w:ind w:left="0" w:right="0"/>
        <w:jc w:val="both"/>
        <w:rPr>
          <w:rFonts w:cs="B Zar" w:hint="cs"/>
          <w:sz w:val="26"/>
          <w:rtl/>
        </w:rPr>
      </w:pPr>
      <w:r w:rsidRPr="00FE5115">
        <w:rPr>
          <w:rFonts w:cs="B Zar" w:hint="cs"/>
          <w:sz w:val="26"/>
          <w:rtl/>
        </w:rPr>
        <w:t>آثار انيميسم در اديان پارينه ابتدائي</w:t>
      </w:r>
      <w:r w:rsidR="00FA3720">
        <w:rPr>
          <w:rFonts w:cs="B Zar" w:hint="cs"/>
          <w:sz w:val="26"/>
          <w:rtl/>
        </w:rPr>
        <w:tab/>
      </w:r>
      <w:r w:rsidR="00594F3F">
        <w:rPr>
          <w:rFonts w:cs="B Zar" w:hint="cs"/>
          <w:sz w:val="26"/>
          <w:rtl/>
        </w:rPr>
        <w:t>20</w:t>
      </w:r>
      <w:r w:rsidR="00A64CE4">
        <w:rPr>
          <w:rFonts w:cs="B Zar" w:hint="cs"/>
          <w:sz w:val="26"/>
          <w:rtl/>
        </w:rPr>
        <w:t>6</w:t>
      </w:r>
    </w:p>
    <w:p w:rsidR="001E2FAF" w:rsidRPr="001E2FAF" w:rsidP="00A64CE4">
      <w:pPr>
        <w:widowControl w:val="0"/>
        <w:tabs>
          <w:tab w:val="right" w:leader="dot" w:pos="6095"/>
        </w:tabs>
        <w:spacing w:line="420" w:lineRule="exact"/>
        <w:ind w:left="0" w:right="0"/>
        <w:jc w:val="both"/>
        <w:rPr>
          <w:rFonts w:cs="B Zar" w:hint="cs"/>
          <w:sz w:val="26"/>
          <w:rtl/>
        </w:rPr>
      </w:pPr>
      <w:r w:rsidRPr="001E2FAF">
        <w:rPr>
          <w:rFonts w:cs="B Zar"/>
          <w:sz w:val="26"/>
          <w:rtl/>
        </w:rPr>
        <w:t>عناصر انيميسم(</w:t>
      </w:r>
      <w:r w:rsidRPr="001E2FAF">
        <w:rPr>
          <w:rFonts w:cs="B Zar"/>
          <w:sz w:val="26"/>
        </w:rPr>
        <w:t>Animism</w:t>
      </w:r>
      <w:r w:rsidRPr="001E2FAF">
        <w:rPr>
          <w:rFonts w:cs="B Zar"/>
          <w:sz w:val="26"/>
          <w:rtl/>
        </w:rPr>
        <w:t>) در رِيگ ودا</w:t>
      </w:r>
      <w:r w:rsidR="00356F2F">
        <w:rPr>
          <w:rFonts w:cs="B Zar" w:hint="cs"/>
          <w:sz w:val="26"/>
          <w:rtl/>
        </w:rPr>
        <w:tab/>
        <w:t>2</w:t>
      </w:r>
      <w:r w:rsidR="004E6524">
        <w:rPr>
          <w:rFonts w:cs="B Zar" w:hint="cs"/>
          <w:sz w:val="26"/>
          <w:rtl/>
        </w:rPr>
        <w:t>0</w:t>
      </w:r>
      <w:r w:rsidR="00A64CE4">
        <w:rPr>
          <w:rFonts w:cs="B Zar" w:hint="cs"/>
          <w:sz w:val="26"/>
          <w:rtl/>
        </w:rPr>
        <w:t>8</w:t>
      </w:r>
    </w:p>
    <w:p w:rsidR="009C75F3" w:rsidRPr="00FE5115" w:rsidP="00A64CE4">
      <w:pPr>
        <w:widowControl w:val="0"/>
        <w:tabs>
          <w:tab w:val="right" w:leader="dot" w:pos="6095"/>
        </w:tabs>
        <w:spacing w:line="420" w:lineRule="exact"/>
        <w:ind w:left="0" w:right="0"/>
        <w:jc w:val="both"/>
        <w:rPr>
          <w:rFonts w:cs="B Zar" w:hint="cs"/>
          <w:sz w:val="26"/>
          <w:rtl/>
        </w:rPr>
      </w:pPr>
      <w:r w:rsidRPr="00FE5115">
        <w:rPr>
          <w:rFonts w:cs="B Zar" w:hint="cs"/>
          <w:sz w:val="26"/>
          <w:rtl/>
        </w:rPr>
        <w:t>عناصر انيميسم در ياجور ودا</w:t>
      </w:r>
      <w:r w:rsidR="00356F2F">
        <w:rPr>
          <w:rFonts w:cs="B Zar" w:hint="cs"/>
          <w:sz w:val="26"/>
          <w:rtl/>
        </w:rPr>
        <w:tab/>
        <w:t>2</w:t>
      </w:r>
      <w:r w:rsidR="00A64CE4">
        <w:rPr>
          <w:rFonts w:cs="B Zar" w:hint="cs"/>
          <w:sz w:val="26"/>
          <w:rtl/>
        </w:rPr>
        <w:t>10</w:t>
      </w:r>
    </w:p>
    <w:p w:rsidR="009C75F3" w:rsidRPr="00FE5115" w:rsidP="00A64CE4">
      <w:pPr>
        <w:widowControl w:val="0"/>
        <w:tabs>
          <w:tab w:val="right" w:leader="dot" w:pos="6095"/>
        </w:tabs>
        <w:spacing w:line="420" w:lineRule="exact"/>
        <w:ind w:left="0" w:right="0"/>
        <w:jc w:val="both"/>
        <w:rPr>
          <w:rFonts w:cs="B Zar" w:hint="cs"/>
          <w:sz w:val="26"/>
          <w:rtl/>
        </w:rPr>
      </w:pPr>
      <w:r w:rsidRPr="00FE5115">
        <w:rPr>
          <w:rFonts w:cs="B Zar" w:hint="cs"/>
          <w:sz w:val="26"/>
          <w:rtl/>
        </w:rPr>
        <w:t xml:space="preserve">عناصر انيميسم در </w:t>
      </w:r>
      <w:r w:rsidR="007C519F">
        <w:rPr>
          <w:rFonts w:cs="B Zar" w:hint="cs"/>
          <w:sz w:val="26"/>
          <w:rtl/>
        </w:rPr>
        <w:t>ا</w:t>
      </w:r>
      <w:r w:rsidRPr="00FE5115">
        <w:rPr>
          <w:rFonts w:cs="B Zar" w:hint="cs"/>
          <w:sz w:val="26"/>
          <w:rtl/>
        </w:rPr>
        <w:t>ت</w:t>
      </w:r>
      <w:r w:rsidR="007C519F">
        <w:rPr>
          <w:rFonts w:cs="B Zar" w:hint="cs"/>
          <w:sz w:val="26"/>
          <w:rtl/>
        </w:rPr>
        <w:t>ها</w:t>
      </w:r>
      <w:r w:rsidRPr="00FE5115">
        <w:rPr>
          <w:rFonts w:cs="B Zar" w:hint="cs"/>
          <w:sz w:val="26"/>
          <w:rtl/>
        </w:rPr>
        <w:t>رو ودا</w:t>
      </w:r>
      <w:r w:rsidR="00356F2F">
        <w:rPr>
          <w:rFonts w:cs="B Zar" w:hint="cs"/>
          <w:sz w:val="26"/>
          <w:rtl/>
        </w:rPr>
        <w:tab/>
        <w:t>2</w:t>
      </w:r>
      <w:r w:rsidR="007C519F">
        <w:rPr>
          <w:rFonts w:cs="B Zar" w:hint="cs"/>
          <w:sz w:val="26"/>
          <w:rtl/>
        </w:rPr>
        <w:t>1</w:t>
      </w:r>
      <w:r w:rsidR="00A64CE4">
        <w:rPr>
          <w:rFonts w:cs="B Zar" w:hint="cs"/>
          <w:sz w:val="26"/>
          <w:rtl/>
        </w:rPr>
        <w:t>5</w:t>
      </w:r>
    </w:p>
    <w:p w:rsidR="009C75F3" w:rsidRPr="00FE5115" w:rsidP="00BC6420">
      <w:pPr>
        <w:pStyle w:val="Heading3"/>
        <w:keepNext w:val="0"/>
        <w:widowControl w:val="0"/>
        <w:tabs>
          <w:tab w:val="right" w:leader="dot" w:pos="6095"/>
        </w:tabs>
        <w:spacing w:before="0" w:after="0" w:line="420" w:lineRule="exact"/>
        <w:ind w:left="0" w:right="0"/>
        <w:jc w:val="left"/>
        <w:rPr>
          <w:rFonts w:cs="B Zar" w:hint="cs"/>
          <w:rtl/>
        </w:rPr>
      </w:pPr>
      <w:r w:rsidRPr="00FE5115">
        <w:rPr>
          <w:rFonts w:cs="B Zar" w:hint="cs"/>
          <w:rtl/>
        </w:rPr>
        <w:t>شرك يا چند خدائي</w:t>
      </w:r>
      <w:r w:rsidR="003146D9">
        <w:rPr>
          <w:rFonts w:cs="B Zar" w:hint="cs"/>
          <w:rtl/>
        </w:rPr>
        <w:tab/>
        <w:t>2</w:t>
      </w:r>
      <w:r w:rsidR="00D7306D">
        <w:rPr>
          <w:rFonts w:cs="B Zar" w:hint="cs"/>
          <w:rtl/>
        </w:rPr>
        <w:t>2</w:t>
      </w:r>
      <w:r w:rsidR="00BC6420">
        <w:rPr>
          <w:rFonts w:cs="B Zar" w:hint="cs"/>
          <w:rtl/>
        </w:rPr>
        <w:t>5</w:t>
      </w:r>
    </w:p>
    <w:p w:rsidR="009C75F3" w:rsidRPr="00FE5115" w:rsidP="00BC6420">
      <w:pPr>
        <w:widowControl w:val="0"/>
        <w:tabs>
          <w:tab w:val="right" w:leader="dot" w:pos="6095"/>
        </w:tabs>
        <w:spacing w:line="420" w:lineRule="exact"/>
        <w:ind w:left="0" w:right="0"/>
        <w:jc w:val="both"/>
        <w:rPr>
          <w:rFonts w:cs="B Zar" w:hint="cs"/>
          <w:sz w:val="26"/>
          <w:rtl/>
        </w:rPr>
      </w:pPr>
      <w:r w:rsidRPr="00FE5115">
        <w:rPr>
          <w:rFonts w:cs="B Zar" w:hint="cs"/>
          <w:sz w:val="26"/>
          <w:rtl/>
        </w:rPr>
        <w:t>عناصر شرك در اديان پارينه</w:t>
      </w:r>
      <w:r w:rsidR="003146D9">
        <w:rPr>
          <w:rFonts w:cs="B Zar" w:hint="cs"/>
          <w:sz w:val="26"/>
          <w:rtl/>
        </w:rPr>
        <w:tab/>
        <w:t>2</w:t>
      </w:r>
      <w:r w:rsidR="00D7306D">
        <w:rPr>
          <w:rFonts w:cs="B Zar" w:hint="cs"/>
          <w:sz w:val="26"/>
          <w:rtl/>
        </w:rPr>
        <w:t>2</w:t>
      </w:r>
      <w:r w:rsidR="00BC6420">
        <w:rPr>
          <w:rFonts w:cs="B Zar" w:hint="cs"/>
          <w:sz w:val="26"/>
          <w:rtl/>
        </w:rPr>
        <w:t>9</w:t>
      </w:r>
    </w:p>
    <w:p w:rsidR="009C75F3" w:rsidRPr="00FE5115" w:rsidP="00BC6420">
      <w:pPr>
        <w:widowControl w:val="0"/>
        <w:tabs>
          <w:tab w:val="right" w:leader="dot" w:pos="6095"/>
        </w:tabs>
        <w:spacing w:line="420" w:lineRule="exact"/>
        <w:ind w:left="0" w:right="0"/>
        <w:jc w:val="both"/>
        <w:rPr>
          <w:rFonts w:cs="B Zar" w:hint="cs"/>
          <w:sz w:val="26"/>
          <w:rtl/>
        </w:rPr>
      </w:pPr>
      <w:r w:rsidRPr="00FE5115">
        <w:rPr>
          <w:rFonts w:cs="B Zar" w:hint="cs"/>
          <w:sz w:val="26"/>
          <w:rtl/>
        </w:rPr>
        <w:t>عناصر كيش شرك در ودا</w:t>
      </w:r>
      <w:r w:rsidR="003146D9">
        <w:rPr>
          <w:rFonts w:cs="B Zar" w:hint="cs"/>
          <w:sz w:val="26"/>
          <w:rtl/>
        </w:rPr>
        <w:tab/>
      </w:r>
      <w:r w:rsidR="006917E6">
        <w:rPr>
          <w:rFonts w:cs="B Zar" w:hint="cs"/>
          <w:sz w:val="26"/>
          <w:rtl/>
        </w:rPr>
        <w:t>23</w:t>
      </w:r>
      <w:r w:rsidR="00BC6420">
        <w:rPr>
          <w:rFonts w:cs="B Zar" w:hint="cs"/>
          <w:sz w:val="26"/>
          <w:rtl/>
        </w:rPr>
        <w:t>2</w:t>
      </w:r>
    </w:p>
    <w:p w:rsidR="009C75F3" w:rsidRPr="00046163" w:rsidP="008B4B15">
      <w:pPr>
        <w:pStyle w:val="Heading3"/>
        <w:keepNext w:val="0"/>
        <w:widowControl w:val="0"/>
        <w:tabs>
          <w:tab w:val="right" w:leader="dot" w:pos="6095"/>
        </w:tabs>
        <w:spacing w:before="0" w:after="0" w:line="420" w:lineRule="exact"/>
        <w:ind w:left="0" w:right="0"/>
        <w:jc w:val="left"/>
        <w:rPr>
          <w:rFonts w:cs="B Zar" w:hint="cs"/>
          <w:rtl/>
        </w:rPr>
      </w:pPr>
      <w:r w:rsidR="00FA6F84">
        <w:rPr>
          <w:rFonts w:cs="B Zar" w:hint="cs"/>
          <w:rtl/>
        </w:rPr>
        <w:t xml:space="preserve">مرحله </w:t>
      </w:r>
      <w:r w:rsidRPr="00046163">
        <w:rPr>
          <w:rFonts w:cs="B Zar" w:hint="cs"/>
          <w:rtl/>
        </w:rPr>
        <w:t>توحيد كلامي</w:t>
      </w:r>
      <w:r w:rsidR="003146D9">
        <w:rPr>
          <w:rFonts w:cs="B Zar" w:hint="cs"/>
          <w:rtl/>
        </w:rPr>
        <w:tab/>
        <w:t>2</w:t>
      </w:r>
      <w:r w:rsidR="008B4B15">
        <w:rPr>
          <w:rFonts w:cs="B Zar" w:hint="cs"/>
          <w:rtl/>
        </w:rPr>
        <w:t>47</w:t>
      </w:r>
    </w:p>
    <w:p w:rsidR="009C75F3" w:rsidRPr="00046163" w:rsidP="005C6AE7">
      <w:pPr>
        <w:widowControl w:val="0"/>
        <w:tabs>
          <w:tab w:val="right" w:leader="dot" w:pos="6095"/>
        </w:tabs>
        <w:spacing w:line="420" w:lineRule="exact"/>
        <w:ind w:left="0" w:right="0"/>
        <w:jc w:val="both"/>
        <w:rPr>
          <w:rFonts w:cs="B Zar" w:hint="cs"/>
          <w:sz w:val="26"/>
          <w:rtl/>
        </w:rPr>
      </w:pPr>
      <w:r w:rsidRPr="00046163">
        <w:rPr>
          <w:rFonts w:cs="B Zar" w:hint="cs"/>
          <w:sz w:val="26"/>
          <w:rtl/>
        </w:rPr>
        <w:t>معبودان سابق به عنوان صفات الهي</w:t>
      </w:r>
      <w:r w:rsidR="002C2ECC">
        <w:rPr>
          <w:rFonts w:cs="B Zar" w:hint="cs"/>
          <w:sz w:val="26"/>
          <w:rtl/>
        </w:rPr>
        <w:tab/>
        <w:t>2</w:t>
      </w:r>
      <w:r w:rsidR="005C6AE7">
        <w:rPr>
          <w:rFonts w:cs="B Zar" w:hint="cs"/>
          <w:sz w:val="26"/>
          <w:rtl/>
        </w:rPr>
        <w:t>49</w:t>
      </w:r>
    </w:p>
    <w:p w:rsidR="009C75F3" w:rsidRPr="00046163" w:rsidP="00874FDC">
      <w:pPr>
        <w:widowControl w:val="0"/>
        <w:tabs>
          <w:tab w:val="right" w:leader="dot" w:pos="6095"/>
        </w:tabs>
        <w:spacing w:line="420" w:lineRule="exact"/>
        <w:ind w:left="0" w:right="0"/>
        <w:jc w:val="both"/>
        <w:rPr>
          <w:rFonts w:cs="B Zar" w:hint="cs"/>
          <w:sz w:val="26"/>
          <w:rtl/>
        </w:rPr>
      </w:pPr>
      <w:r w:rsidRPr="00046163">
        <w:rPr>
          <w:rFonts w:cs="B Zar" w:hint="cs"/>
          <w:sz w:val="26"/>
          <w:rtl/>
        </w:rPr>
        <w:t>آئين وارونا: گام آريائي ها به سوي توحيد</w:t>
      </w:r>
      <w:r w:rsidR="00FF4F0F">
        <w:rPr>
          <w:rFonts w:cs="B Zar" w:hint="cs"/>
          <w:sz w:val="26"/>
          <w:rtl/>
        </w:rPr>
        <w:tab/>
        <w:t>2</w:t>
      </w:r>
      <w:r w:rsidR="00874FDC">
        <w:rPr>
          <w:rFonts w:cs="B Zar" w:hint="cs"/>
          <w:sz w:val="26"/>
          <w:rtl/>
        </w:rPr>
        <w:t>53</w:t>
      </w:r>
    </w:p>
    <w:p w:rsidR="009C75F3" w:rsidRPr="00046163" w:rsidP="00874FDC">
      <w:pPr>
        <w:widowControl w:val="0"/>
        <w:tabs>
          <w:tab w:val="right" w:leader="dot" w:pos="6095"/>
        </w:tabs>
        <w:spacing w:line="420" w:lineRule="exact"/>
        <w:ind w:left="0" w:right="0"/>
        <w:jc w:val="both"/>
        <w:rPr>
          <w:rFonts w:cs="B Zar" w:hint="cs"/>
          <w:sz w:val="26"/>
          <w:rtl/>
        </w:rPr>
      </w:pPr>
      <w:r w:rsidRPr="00046163">
        <w:rPr>
          <w:rFonts w:cs="B Zar" w:hint="cs"/>
          <w:sz w:val="26"/>
          <w:rtl/>
        </w:rPr>
        <w:t>تصور پرجاپاتي و ويشوا كارمان</w:t>
      </w:r>
      <w:r w:rsidR="00FF4F0F">
        <w:rPr>
          <w:rFonts w:cs="B Zar" w:hint="cs"/>
          <w:sz w:val="26"/>
          <w:rtl/>
        </w:rPr>
        <w:tab/>
        <w:t>2</w:t>
      </w:r>
      <w:r w:rsidR="00874FDC">
        <w:rPr>
          <w:rFonts w:cs="B Zar" w:hint="cs"/>
          <w:sz w:val="26"/>
          <w:rtl/>
        </w:rPr>
        <w:t>57</w:t>
      </w:r>
    </w:p>
    <w:p w:rsidR="009C75F3" w:rsidP="0032200F">
      <w:pPr>
        <w:widowControl w:val="0"/>
        <w:tabs>
          <w:tab w:val="right" w:leader="dot" w:pos="6095"/>
        </w:tabs>
        <w:spacing w:line="420" w:lineRule="exact"/>
        <w:ind w:left="0" w:right="0"/>
        <w:jc w:val="both"/>
        <w:rPr>
          <w:rFonts w:cs="B Zar" w:hint="cs"/>
          <w:sz w:val="26"/>
          <w:rtl/>
        </w:rPr>
      </w:pPr>
      <w:r w:rsidRPr="00046163">
        <w:rPr>
          <w:rFonts w:cs="B Zar" w:hint="cs"/>
          <w:sz w:val="26"/>
          <w:rtl/>
        </w:rPr>
        <w:t>رابطه شرك و توحيد: بررسي نظريه هاي گوناگون</w:t>
      </w:r>
      <w:r w:rsidR="00FF4F0F">
        <w:rPr>
          <w:rFonts w:cs="B Zar" w:hint="cs"/>
          <w:sz w:val="26"/>
          <w:rtl/>
        </w:rPr>
        <w:tab/>
        <w:t>2</w:t>
      </w:r>
      <w:r w:rsidR="0032200F">
        <w:rPr>
          <w:rFonts w:cs="B Zar" w:hint="cs"/>
          <w:sz w:val="26"/>
          <w:rtl/>
        </w:rPr>
        <w:t>63</w:t>
      </w:r>
    </w:p>
    <w:p w:rsidR="006C62FF" w:rsidRPr="006C62FF" w:rsidP="00BB0446">
      <w:pPr>
        <w:widowControl w:val="0"/>
        <w:tabs>
          <w:tab w:val="right" w:leader="dot" w:pos="6095"/>
        </w:tabs>
        <w:spacing w:line="420" w:lineRule="exact"/>
        <w:ind w:left="0" w:right="0"/>
        <w:jc w:val="both"/>
        <w:rPr>
          <w:rFonts w:cs="B Zar" w:hint="cs"/>
          <w:sz w:val="26"/>
          <w:rtl/>
        </w:rPr>
      </w:pPr>
      <w:r w:rsidRPr="006C62FF">
        <w:rPr>
          <w:rFonts w:cs="B Zar"/>
          <w:sz w:val="26"/>
          <w:rtl/>
        </w:rPr>
        <w:t>توحيد عرفاني</w:t>
      </w:r>
      <w:r w:rsidR="00FF4F0F">
        <w:rPr>
          <w:rFonts w:cs="B Zar" w:hint="cs"/>
          <w:sz w:val="26"/>
          <w:rtl/>
        </w:rPr>
        <w:tab/>
      </w:r>
      <w:r w:rsidR="00BB0446">
        <w:rPr>
          <w:rFonts w:cs="B Zar" w:hint="cs"/>
          <w:sz w:val="26"/>
          <w:rtl/>
        </w:rPr>
        <w:t>269</w:t>
      </w:r>
    </w:p>
    <w:p w:rsidR="006C4210" w:rsidP="00E90B0B">
      <w:pPr>
        <w:pStyle w:val="Heading3"/>
        <w:keepNext w:val="0"/>
        <w:widowControl w:val="0"/>
        <w:tabs>
          <w:tab w:val="right" w:leader="dot" w:pos="6095"/>
        </w:tabs>
        <w:spacing w:before="0" w:after="0" w:line="420" w:lineRule="exact"/>
        <w:ind w:left="0" w:right="0"/>
        <w:jc w:val="left"/>
        <w:rPr>
          <w:rFonts w:cs="B Zar" w:hint="cs"/>
          <w:rtl/>
        </w:rPr>
      </w:pPr>
      <w:r w:rsidRPr="00D836AC">
        <w:rPr>
          <w:rFonts w:cs="B Zar"/>
          <w:rtl/>
        </w:rPr>
        <w:t>بخش چهارم</w:t>
      </w:r>
      <w:r>
        <w:rPr>
          <w:rFonts w:cs="B Zar" w:hint="cs"/>
          <w:rtl/>
        </w:rPr>
        <w:t xml:space="preserve"> : </w:t>
      </w:r>
      <w:r w:rsidRPr="00D836AC">
        <w:rPr>
          <w:rFonts w:cs="B Zar"/>
          <w:rtl/>
        </w:rPr>
        <w:t>اوپانيشادها</w:t>
      </w:r>
      <w:r>
        <w:rPr>
          <w:rFonts w:cs="B Zar" w:hint="cs"/>
          <w:rtl/>
        </w:rPr>
        <w:tab/>
        <w:t>3</w:t>
      </w:r>
      <w:r w:rsidR="00E90B0B">
        <w:rPr>
          <w:rFonts w:cs="B Zar" w:hint="cs"/>
          <w:rtl/>
        </w:rPr>
        <w:t>00</w:t>
      </w:r>
    </w:p>
    <w:p w:rsidR="006C4210" w:rsidRPr="00E33437" w:rsidP="00B22521">
      <w:pPr>
        <w:widowControl w:val="0"/>
        <w:tabs>
          <w:tab w:val="right" w:leader="dot" w:pos="6095"/>
        </w:tabs>
        <w:spacing w:line="420" w:lineRule="exact"/>
        <w:ind w:left="0" w:right="0"/>
        <w:jc w:val="both"/>
        <w:rPr>
          <w:rFonts w:hint="cs"/>
          <w:rtl/>
        </w:rPr>
      </w:pPr>
      <w:r w:rsidRPr="00E33437">
        <w:rPr>
          <w:rFonts w:cs="B Zar"/>
          <w:rtl/>
        </w:rPr>
        <w:t xml:space="preserve">نگارندگان </w:t>
      </w:r>
      <w:r w:rsidRPr="001E1DA0">
        <w:rPr>
          <w:rFonts w:cs="B Zar"/>
          <w:rtl/>
        </w:rPr>
        <w:t>اوپانيشاد</w:t>
      </w:r>
      <w:r w:rsidRPr="001E1DA0" w:rsidR="00E82C14">
        <w:rPr>
          <w:rFonts w:cs="B Zar" w:hint="cs"/>
          <w:rtl/>
        </w:rPr>
        <w:tab/>
        <w:t>3</w:t>
      </w:r>
      <w:r w:rsidR="00B22521">
        <w:rPr>
          <w:rFonts w:cs="B Zar" w:hint="cs"/>
          <w:rtl/>
        </w:rPr>
        <w:t>19</w:t>
      </w:r>
    </w:p>
    <w:p w:rsidR="009C75F3" w:rsidRPr="001410F5" w:rsidP="009F0372">
      <w:pPr>
        <w:pStyle w:val="Heading3"/>
        <w:keepNext w:val="0"/>
        <w:widowControl w:val="0"/>
        <w:tabs>
          <w:tab w:val="right" w:leader="dot" w:pos="6095"/>
        </w:tabs>
        <w:spacing w:before="0" w:after="0" w:line="420" w:lineRule="exact"/>
        <w:ind w:left="0" w:right="0"/>
        <w:jc w:val="left"/>
        <w:rPr>
          <w:rFonts w:cs="B Zar" w:hint="cs"/>
          <w:b w:val="0"/>
          <w:bCs w:val="0"/>
          <w:rtl/>
        </w:rPr>
      </w:pPr>
      <w:r w:rsidRPr="001410F5">
        <w:rPr>
          <w:rFonts w:cs="B Zar" w:hint="cs"/>
          <w:b w:val="0"/>
          <w:bCs w:val="0"/>
          <w:rtl/>
        </w:rPr>
        <w:t>نگرش</w:t>
      </w:r>
      <w:r w:rsidR="00A33270">
        <w:rPr>
          <w:rFonts w:cs="B Zar" w:hint="cs"/>
          <w:b w:val="0"/>
          <w:bCs w:val="0"/>
          <w:rtl/>
          <w:lang w:bidi="fa-IR"/>
        </w:rPr>
        <w:t xml:space="preserve"> ديني</w:t>
      </w:r>
      <w:r w:rsidRPr="001410F5">
        <w:rPr>
          <w:rFonts w:cs="B Zar" w:hint="cs"/>
          <w:b w:val="0"/>
          <w:bCs w:val="0"/>
          <w:rtl/>
        </w:rPr>
        <w:t xml:space="preserve"> اوپانيشاد: آئين وحدت الوجود</w:t>
      </w:r>
      <w:r w:rsidR="001E1DA0">
        <w:rPr>
          <w:rFonts w:cs="B Zar" w:hint="cs"/>
          <w:b w:val="0"/>
          <w:bCs w:val="0"/>
          <w:rtl/>
        </w:rPr>
        <w:tab/>
        <w:t>3</w:t>
      </w:r>
      <w:r w:rsidR="009F0372">
        <w:rPr>
          <w:rFonts w:cs="B Zar" w:hint="cs"/>
          <w:b w:val="0"/>
          <w:bCs w:val="0"/>
          <w:rtl/>
        </w:rPr>
        <w:t>39</w:t>
      </w:r>
    </w:p>
    <w:p w:rsidR="009C75F3" w:rsidRPr="001410F5" w:rsidP="002146DE">
      <w:pPr>
        <w:pStyle w:val="Heading3"/>
        <w:keepNext w:val="0"/>
        <w:widowControl w:val="0"/>
        <w:tabs>
          <w:tab w:val="right" w:leader="dot" w:pos="6095"/>
        </w:tabs>
        <w:spacing w:before="0" w:after="0" w:line="420" w:lineRule="exact"/>
        <w:ind w:left="0" w:right="0"/>
        <w:jc w:val="left"/>
        <w:rPr>
          <w:rFonts w:cs="B Zar" w:hint="cs"/>
          <w:b w:val="0"/>
          <w:bCs w:val="0"/>
          <w:rtl/>
        </w:rPr>
      </w:pPr>
      <w:r w:rsidRPr="001410F5">
        <w:rPr>
          <w:rFonts w:cs="B Zar" w:hint="cs"/>
          <w:b w:val="0"/>
          <w:bCs w:val="0"/>
          <w:rtl/>
        </w:rPr>
        <w:t>خداشناسي اوپانيشاد</w:t>
      </w:r>
      <w:r w:rsidR="00131888">
        <w:rPr>
          <w:rFonts w:cs="B Zar" w:hint="cs"/>
          <w:b w:val="0"/>
          <w:bCs w:val="0"/>
          <w:rtl/>
        </w:rPr>
        <w:tab/>
        <w:t>3</w:t>
      </w:r>
      <w:r w:rsidR="002146DE">
        <w:rPr>
          <w:rFonts w:cs="B Zar" w:hint="cs"/>
          <w:b w:val="0"/>
          <w:bCs w:val="0"/>
          <w:rtl/>
        </w:rPr>
        <w:t>58</w:t>
      </w:r>
    </w:p>
    <w:p w:rsidR="009C75F3" w:rsidRPr="001410F5" w:rsidP="00DC5DDB">
      <w:pPr>
        <w:pStyle w:val="Heading3"/>
        <w:keepNext w:val="0"/>
        <w:widowControl w:val="0"/>
        <w:tabs>
          <w:tab w:val="right" w:leader="dot" w:pos="6095"/>
        </w:tabs>
        <w:spacing w:before="0" w:after="0" w:line="420" w:lineRule="exact"/>
        <w:ind w:left="0" w:right="0"/>
        <w:jc w:val="left"/>
        <w:rPr>
          <w:rFonts w:cs="B Zar" w:hint="cs"/>
          <w:b w:val="0"/>
          <w:bCs w:val="0"/>
          <w:rtl/>
        </w:rPr>
      </w:pPr>
      <w:r w:rsidRPr="001410F5">
        <w:rPr>
          <w:rFonts w:cs="B Zar" w:hint="cs"/>
          <w:b w:val="0"/>
          <w:bCs w:val="0"/>
          <w:rtl/>
        </w:rPr>
        <w:t>جهان</w:t>
      </w:r>
      <w:r w:rsidR="00A33270">
        <w:rPr>
          <w:rFonts w:cs="B Zar" w:hint="cs"/>
          <w:b w:val="0"/>
          <w:bCs w:val="0"/>
          <w:rtl/>
        </w:rPr>
        <w:t xml:space="preserve"> </w:t>
      </w:r>
      <w:r w:rsidRPr="001410F5">
        <w:rPr>
          <w:rFonts w:cs="B Zar" w:hint="cs"/>
          <w:b w:val="0"/>
          <w:bCs w:val="0"/>
          <w:rtl/>
        </w:rPr>
        <w:t>بيني اوپانيشاد</w:t>
      </w:r>
      <w:r w:rsidR="00131888">
        <w:rPr>
          <w:rFonts w:cs="B Zar" w:hint="cs"/>
          <w:b w:val="0"/>
          <w:bCs w:val="0"/>
          <w:rtl/>
        </w:rPr>
        <w:tab/>
        <w:t>3</w:t>
      </w:r>
      <w:r w:rsidR="00DC5DDB">
        <w:rPr>
          <w:rFonts w:cs="B Zar" w:hint="cs"/>
          <w:b w:val="0"/>
          <w:bCs w:val="0"/>
          <w:rtl/>
        </w:rPr>
        <w:t>76</w:t>
      </w:r>
    </w:p>
    <w:p w:rsidR="009C75F3" w:rsidRPr="001410F5" w:rsidP="00FD1A40">
      <w:pPr>
        <w:pStyle w:val="Heading3"/>
        <w:keepNext w:val="0"/>
        <w:widowControl w:val="0"/>
        <w:tabs>
          <w:tab w:val="right" w:leader="dot" w:pos="6095"/>
        </w:tabs>
        <w:spacing w:before="0" w:after="0" w:line="420" w:lineRule="exact"/>
        <w:ind w:left="0" w:right="0"/>
        <w:jc w:val="left"/>
        <w:rPr>
          <w:rFonts w:cs="B Zar" w:hint="cs"/>
          <w:b w:val="0"/>
          <w:bCs w:val="0"/>
          <w:rtl/>
        </w:rPr>
      </w:pPr>
      <w:r w:rsidRPr="001410F5">
        <w:rPr>
          <w:rFonts w:cs="B Zar" w:hint="cs"/>
          <w:b w:val="0"/>
          <w:bCs w:val="0"/>
          <w:rtl/>
        </w:rPr>
        <w:t>انسان شناسي</w:t>
      </w:r>
      <w:r w:rsidR="00A43FFD">
        <w:rPr>
          <w:rFonts w:cs="B Zar" w:hint="cs"/>
          <w:b w:val="0"/>
          <w:bCs w:val="0"/>
          <w:rtl/>
        </w:rPr>
        <w:t xml:space="preserve"> </w:t>
      </w:r>
      <w:r w:rsidRPr="001410F5">
        <w:rPr>
          <w:rFonts w:cs="B Zar" w:hint="cs"/>
          <w:b w:val="0"/>
          <w:bCs w:val="0"/>
          <w:rtl/>
        </w:rPr>
        <w:t xml:space="preserve"> اوپانيشاد</w:t>
      </w:r>
      <w:r w:rsidR="00E530D7">
        <w:rPr>
          <w:rFonts w:cs="B Zar" w:hint="cs"/>
          <w:b w:val="0"/>
          <w:bCs w:val="0"/>
          <w:rtl/>
        </w:rPr>
        <w:tab/>
        <w:t>4</w:t>
      </w:r>
      <w:r w:rsidR="00FF137D">
        <w:rPr>
          <w:rFonts w:cs="B Zar" w:hint="cs"/>
          <w:b w:val="0"/>
          <w:bCs w:val="0"/>
          <w:rtl/>
        </w:rPr>
        <w:t>07</w:t>
      </w:r>
    </w:p>
    <w:p w:rsidR="000C60D6" w:rsidP="003C0EF5">
      <w:pPr>
        <w:widowControl w:val="0"/>
        <w:tabs>
          <w:tab w:val="right" w:leader="dot" w:pos="6095"/>
        </w:tabs>
        <w:spacing w:line="420" w:lineRule="exact"/>
        <w:ind w:left="0" w:right="0"/>
        <w:jc w:val="both"/>
        <w:rPr>
          <w:rFonts w:cs="B Zar"/>
          <w:sz w:val="26"/>
          <w:rtl/>
          <w:lang w:bidi="fa-IR"/>
        </w:rPr>
      </w:pPr>
      <w:r w:rsidRPr="001410F5" w:rsidR="006A4965">
        <w:rPr>
          <w:rFonts w:cs="B Zar"/>
          <w:b/>
          <w:bCs/>
          <w:sz w:val="26"/>
          <w:rtl/>
          <w:lang w:bidi="fa-IR"/>
        </w:rPr>
        <w:t>بخش پنجم</w:t>
      </w:r>
      <w:r w:rsidR="008676D4">
        <w:rPr>
          <w:rFonts w:cs="B Zar"/>
          <w:b/>
          <w:bCs/>
          <w:sz w:val="26"/>
          <w:rtl/>
          <w:lang w:bidi="fa-IR"/>
        </w:rPr>
        <w:t>: عصرگيتا</w:t>
      </w:r>
      <w:r w:rsidR="00161B67">
        <w:rPr>
          <w:rFonts w:cs="B Zar" w:hint="cs"/>
          <w:b/>
          <w:bCs/>
          <w:sz w:val="26"/>
          <w:rtl/>
          <w:lang w:bidi="fa-IR"/>
        </w:rPr>
        <w:tab/>
      </w:r>
      <w:r w:rsidR="00C178FE">
        <w:rPr>
          <w:rFonts w:cs="B Zar" w:hint="cs"/>
          <w:b/>
          <w:bCs/>
          <w:sz w:val="26"/>
          <w:rtl/>
          <w:lang w:bidi="fa-IR"/>
        </w:rPr>
        <w:t>433</w:t>
      </w:r>
      <w:r w:rsidR="008676D4">
        <w:rPr>
          <w:rFonts w:cs="B Zar"/>
          <w:b/>
          <w:bCs/>
          <w:sz w:val="26"/>
          <w:rtl/>
          <w:lang w:bidi="fa-IR"/>
        </w:rPr>
        <w:t xml:space="preserve"> </w:t>
      </w:r>
      <w:r w:rsidR="00E530D7">
        <w:rPr>
          <w:rFonts w:cs="B Zar"/>
          <w:b/>
          <w:bCs/>
          <w:sz w:val="26"/>
          <w:rtl/>
          <w:lang w:bidi="fa-IR"/>
        </w:rPr>
        <w:t xml:space="preserve"> </w:t>
      </w:r>
    </w:p>
    <w:p w:rsidR="009C75F3" w:rsidRPr="00254189" w:rsidP="00C178FE">
      <w:pPr>
        <w:widowControl w:val="0"/>
        <w:tabs>
          <w:tab w:val="right" w:leader="dot" w:pos="6095"/>
        </w:tabs>
        <w:spacing w:line="420" w:lineRule="exact"/>
        <w:ind w:left="0" w:right="0"/>
        <w:jc w:val="both"/>
        <w:rPr>
          <w:rFonts w:cs="B Zar" w:hint="cs"/>
          <w:sz w:val="26"/>
          <w:rtl/>
          <w:lang w:bidi="fa-IR"/>
        </w:rPr>
      </w:pPr>
      <w:r w:rsidR="00161B67">
        <w:rPr>
          <w:rFonts w:cs="B Zar" w:hint="cs"/>
          <w:sz w:val="26"/>
          <w:rtl/>
          <w:lang w:bidi="fa-IR"/>
        </w:rPr>
        <w:t>اهميت گيتا</w:t>
      </w:r>
      <w:r w:rsidR="00C178FE">
        <w:rPr>
          <w:rFonts w:cs="B Zar" w:hint="cs"/>
          <w:sz w:val="26"/>
          <w:rtl/>
          <w:lang w:bidi="fa-IR"/>
        </w:rPr>
        <w:tab/>
        <w:t>43</w:t>
      </w:r>
      <w:r w:rsidR="005E02DE">
        <w:rPr>
          <w:rFonts w:cs="B Zar" w:hint="cs"/>
          <w:sz w:val="26"/>
          <w:rtl/>
          <w:lang w:bidi="fa-IR"/>
        </w:rPr>
        <w:t>4</w:t>
      </w:r>
      <w:r w:rsidR="00161B67">
        <w:rPr>
          <w:rFonts w:cs="B Zar" w:hint="cs"/>
          <w:sz w:val="26"/>
          <w:rtl/>
          <w:lang w:bidi="fa-IR"/>
        </w:rPr>
        <w:t xml:space="preserve"> </w:t>
      </w:r>
    </w:p>
    <w:p w:rsidR="009C75F3" w:rsidRPr="00254189" w:rsidP="00364FE2">
      <w:pPr>
        <w:pStyle w:val="Heading3"/>
        <w:keepNext w:val="0"/>
        <w:widowControl w:val="0"/>
        <w:tabs>
          <w:tab w:val="right" w:leader="dot" w:pos="6095"/>
        </w:tabs>
        <w:spacing w:before="0" w:after="0" w:line="420" w:lineRule="exact"/>
        <w:ind w:left="0" w:right="0"/>
        <w:jc w:val="left"/>
        <w:rPr>
          <w:rFonts w:cs="B Zar" w:hint="cs"/>
          <w:b w:val="0"/>
          <w:bCs w:val="0"/>
          <w:rtl/>
          <w:lang w:bidi="fa-IR"/>
        </w:rPr>
      </w:pPr>
      <w:r w:rsidRPr="00254189">
        <w:rPr>
          <w:rFonts w:cs="B Zar" w:hint="cs"/>
          <w:b w:val="0"/>
          <w:bCs w:val="0"/>
          <w:rtl/>
        </w:rPr>
        <w:t>ماهيت گيتا</w:t>
      </w:r>
      <w:r w:rsidR="00161B67">
        <w:rPr>
          <w:rFonts w:cs="B Zar" w:hint="cs"/>
          <w:b w:val="0"/>
          <w:bCs w:val="0"/>
          <w:rtl/>
          <w:lang w:bidi="fa-IR"/>
        </w:rPr>
        <w:tab/>
        <w:t>44</w:t>
      </w:r>
      <w:r w:rsidR="00364FE2">
        <w:rPr>
          <w:rFonts w:cs="B Zar" w:hint="cs"/>
          <w:b w:val="0"/>
          <w:bCs w:val="0"/>
          <w:rtl/>
          <w:lang w:bidi="fa-IR"/>
        </w:rPr>
        <w:t>1</w:t>
      </w:r>
    </w:p>
    <w:p w:rsidR="009C75F3" w:rsidRPr="00254189" w:rsidP="009D6921">
      <w:pPr>
        <w:pStyle w:val="Heading3"/>
        <w:keepNext w:val="0"/>
        <w:widowControl w:val="0"/>
        <w:tabs>
          <w:tab w:val="right" w:leader="dot" w:pos="6095"/>
        </w:tabs>
        <w:spacing w:before="0" w:after="0" w:line="420" w:lineRule="exact"/>
        <w:ind w:left="0" w:right="0"/>
        <w:jc w:val="left"/>
        <w:rPr>
          <w:rFonts w:cs="B Zar" w:hint="cs"/>
          <w:b w:val="0"/>
          <w:bCs w:val="0"/>
          <w:rtl/>
          <w:lang w:bidi="fa-IR"/>
        </w:rPr>
      </w:pPr>
      <w:r w:rsidR="0001626A">
        <w:rPr>
          <w:rFonts w:cs="B Zar" w:hint="cs"/>
          <w:b w:val="0"/>
          <w:bCs w:val="0"/>
          <w:rtl/>
        </w:rPr>
        <w:t xml:space="preserve">گيتا و </w:t>
      </w:r>
      <w:r w:rsidR="009D6921">
        <w:rPr>
          <w:rFonts w:cs="B Zar" w:hint="cs"/>
          <w:b w:val="0"/>
          <w:bCs w:val="0"/>
          <w:rtl/>
        </w:rPr>
        <w:t>مهابهار</w:t>
      </w:r>
      <w:r w:rsidR="00873CD4">
        <w:rPr>
          <w:rFonts w:cs="B Zar" w:hint="cs"/>
          <w:b w:val="0"/>
          <w:bCs w:val="0"/>
          <w:rtl/>
        </w:rPr>
        <w:t>ا</w:t>
      </w:r>
      <w:r w:rsidR="009D6921">
        <w:rPr>
          <w:rFonts w:cs="B Zar" w:hint="cs"/>
          <w:b w:val="0"/>
          <w:bCs w:val="0"/>
          <w:rtl/>
        </w:rPr>
        <w:t>ت</w:t>
      </w:r>
      <w:r w:rsidR="00873CD4">
        <w:rPr>
          <w:rFonts w:cs="B Zar" w:hint="cs"/>
          <w:b w:val="0"/>
          <w:bCs w:val="0"/>
          <w:rtl/>
        </w:rPr>
        <w:t>ا</w:t>
      </w:r>
      <w:r w:rsidR="001C2E23">
        <w:rPr>
          <w:rFonts w:cs="B Zar" w:hint="cs"/>
          <w:b w:val="0"/>
          <w:bCs w:val="0"/>
          <w:rtl/>
          <w:lang w:bidi="fa-IR"/>
        </w:rPr>
        <w:tab/>
        <w:t>44</w:t>
      </w:r>
      <w:r w:rsidR="00B26C33">
        <w:rPr>
          <w:rFonts w:cs="B Zar" w:hint="cs"/>
          <w:b w:val="0"/>
          <w:bCs w:val="0"/>
          <w:rtl/>
          <w:lang w:bidi="fa-IR"/>
        </w:rPr>
        <w:t>6</w:t>
      </w:r>
    </w:p>
    <w:p w:rsidR="009C75F3" w:rsidRPr="00254189" w:rsidP="00873CD4">
      <w:pPr>
        <w:pStyle w:val="Heading3"/>
        <w:keepNext w:val="0"/>
        <w:widowControl w:val="0"/>
        <w:tabs>
          <w:tab w:val="right" w:leader="dot" w:pos="6095"/>
        </w:tabs>
        <w:spacing w:before="0" w:after="0" w:line="420" w:lineRule="exact"/>
        <w:ind w:left="0" w:right="0"/>
        <w:jc w:val="left"/>
        <w:rPr>
          <w:rFonts w:cs="B Zar" w:hint="cs"/>
          <w:b w:val="0"/>
          <w:bCs w:val="0"/>
          <w:rtl/>
        </w:rPr>
      </w:pPr>
      <w:r w:rsidRPr="00254189">
        <w:rPr>
          <w:rFonts w:cs="B Zar" w:hint="cs"/>
          <w:b w:val="0"/>
          <w:bCs w:val="0"/>
          <w:rtl/>
        </w:rPr>
        <w:t xml:space="preserve"> تاريخ تدوين</w:t>
      </w:r>
      <w:r w:rsidR="00873CD4">
        <w:rPr>
          <w:rFonts w:cs="B Zar" w:hint="cs"/>
          <w:b w:val="0"/>
          <w:bCs w:val="0"/>
          <w:rtl/>
        </w:rPr>
        <w:t xml:space="preserve"> گيتا</w:t>
      </w:r>
      <w:r w:rsidR="00BC18A9">
        <w:rPr>
          <w:rFonts w:cs="B Zar" w:hint="cs"/>
          <w:b w:val="0"/>
          <w:bCs w:val="0"/>
          <w:rtl/>
        </w:rPr>
        <w:tab/>
        <w:t>47</w:t>
      </w:r>
      <w:r w:rsidR="00873CD4">
        <w:rPr>
          <w:rFonts w:cs="B Zar" w:hint="cs"/>
          <w:b w:val="0"/>
          <w:bCs w:val="0"/>
          <w:rtl/>
        </w:rPr>
        <w:t>2</w:t>
      </w:r>
    </w:p>
    <w:p w:rsidR="009C75F3" w:rsidRPr="00254189" w:rsidP="009D6921">
      <w:pPr>
        <w:pStyle w:val="Heading3"/>
        <w:keepNext w:val="0"/>
        <w:widowControl w:val="0"/>
        <w:tabs>
          <w:tab w:val="right" w:leader="dot" w:pos="6095"/>
        </w:tabs>
        <w:spacing w:before="0" w:after="0" w:line="420" w:lineRule="exact"/>
        <w:ind w:left="0" w:right="0"/>
        <w:jc w:val="left"/>
        <w:rPr>
          <w:rFonts w:cs="B Zar" w:hint="cs"/>
          <w:b w:val="0"/>
          <w:bCs w:val="0"/>
          <w:rtl/>
          <w:lang w:bidi="fa-IR"/>
        </w:rPr>
      </w:pPr>
      <w:r w:rsidRPr="00254189">
        <w:rPr>
          <w:rFonts w:cs="B Zar" w:hint="cs"/>
          <w:b w:val="0"/>
          <w:bCs w:val="0"/>
          <w:rtl/>
        </w:rPr>
        <w:t>نگاهي ب</w:t>
      </w:r>
      <w:r w:rsidR="009D6921">
        <w:rPr>
          <w:rFonts w:cs="B Zar" w:hint="cs"/>
          <w:b w:val="0"/>
          <w:bCs w:val="0"/>
          <w:rtl/>
        </w:rPr>
        <w:t>ه</w:t>
      </w:r>
      <w:r w:rsidRPr="00254189">
        <w:rPr>
          <w:rFonts w:cs="B Zar" w:hint="cs"/>
          <w:b w:val="0"/>
          <w:bCs w:val="0"/>
          <w:rtl/>
        </w:rPr>
        <w:t xml:space="preserve"> تفاسير گيتا</w:t>
      </w:r>
      <w:r w:rsidR="00BC18A9">
        <w:rPr>
          <w:rFonts w:cs="B Zar" w:hint="cs"/>
          <w:b w:val="0"/>
          <w:bCs w:val="0"/>
          <w:rtl/>
          <w:lang w:bidi="fa-IR"/>
        </w:rPr>
        <w:tab/>
        <w:t>4</w:t>
      </w:r>
      <w:r w:rsidR="00873CD4">
        <w:rPr>
          <w:rFonts w:cs="B Zar" w:hint="cs"/>
          <w:b w:val="0"/>
          <w:bCs w:val="0"/>
          <w:rtl/>
          <w:lang w:bidi="fa-IR"/>
        </w:rPr>
        <w:t>7</w:t>
      </w:r>
      <w:r w:rsidR="009D6921">
        <w:rPr>
          <w:rFonts w:cs="B Zar" w:hint="cs"/>
          <w:b w:val="0"/>
          <w:bCs w:val="0"/>
          <w:rtl/>
          <w:lang w:bidi="fa-IR"/>
        </w:rPr>
        <w:t>6</w:t>
      </w:r>
    </w:p>
    <w:p w:rsidR="009C75F3" w:rsidRPr="00046163" w:rsidP="003C0EF5">
      <w:pPr>
        <w:widowControl w:val="0"/>
        <w:tabs>
          <w:tab w:val="right" w:leader="dot" w:pos="6095"/>
        </w:tabs>
        <w:spacing w:line="420" w:lineRule="exact"/>
        <w:ind w:left="0" w:right="0"/>
        <w:jc w:val="both"/>
        <w:rPr>
          <w:rFonts w:cs="B Zar" w:hint="cs"/>
          <w:sz w:val="26"/>
          <w:rtl/>
        </w:rPr>
      </w:pPr>
    </w:p>
    <w:p w:rsidR="009C75F3" w:rsidRPr="00046163" w:rsidP="003C0EF5">
      <w:pPr>
        <w:widowControl w:val="0"/>
        <w:tabs>
          <w:tab w:val="right" w:leader="dot" w:pos="6095"/>
        </w:tabs>
        <w:spacing w:line="420" w:lineRule="exact"/>
        <w:ind w:left="0" w:right="0"/>
        <w:jc w:val="both"/>
        <w:rPr>
          <w:rFonts w:cs="B Zar"/>
          <w:sz w:val="26"/>
          <w:rtl/>
        </w:rPr>
      </w:pPr>
    </w:p>
    <w:p w:rsidR="009C75F3" w:rsidP="003C0EF5">
      <w:pPr>
        <w:widowControl w:val="0"/>
        <w:spacing w:line="420" w:lineRule="exact"/>
        <w:ind w:left="0" w:right="0"/>
        <w:jc w:val="both"/>
        <w:rPr>
          <w:rFonts w:cs="B Zar" w:hint="cs"/>
          <w:rtl/>
        </w:rPr>
      </w:pPr>
      <w:r w:rsidRPr="00B67C5A">
        <w:rPr>
          <w:rFonts w:cs="B Zar"/>
          <w:rtl/>
        </w:rPr>
        <w:br w:type="page"/>
      </w:r>
    </w:p>
    <w:p w:rsidR="004516F5" w:rsidRPr="00B67C5A" w:rsidP="003C0EF5">
      <w:pPr>
        <w:widowControl w:val="0"/>
        <w:spacing w:line="420" w:lineRule="exact"/>
        <w:ind w:left="0" w:right="0"/>
        <w:jc w:val="both"/>
        <w:rPr>
          <w:rFonts w:cs="B Zar" w:hint="cs"/>
          <w:rtl/>
        </w:rPr>
      </w:pPr>
    </w:p>
    <w:p w:rsidR="009C75F3" w:rsidRPr="009C3DF7" w:rsidP="003C0EF5">
      <w:pPr>
        <w:pStyle w:val="Heading2"/>
        <w:keepNext w:val="0"/>
        <w:widowControl w:val="0"/>
        <w:spacing w:line="420" w:lineRule="exact"/>
        <w:ind w:left="0" w:right="0"/>
        <w:jc w:val="center"/>
        <w:rPr>
          <w:rFonts w:cs="B Zar"/>
          <w:sz w:val="28"/>
          <w:szCs w:val="28"/>
        </w:rPr>
      </w:pPr>
      <w:r w:rsidRPr="009C3DF7" w:rsidR="00F7610A">
        <w:rPr>
          <w:rFonts w:cs="B Zar" w:hint="cs"/>
          <w:sz w:val="28"/>
          <w:szCs w:val="28"/>
          <w:rtl/>
        </w:rPr>
        <w:t>د</w:t>
      </w:r>
      <w:r w:rsidRPr="009C3DF7">
        <w:rPr>
          <w:rFonts w:cs="B Zar" w:hint="cs"/>
          <w:sz w:val="28"/>
          <w:szCs w:val="28"/>
          <w:rtl/>
        </w:rPr>
        <w:t>ي</w:t>
      </w:r>
      <w:r w:rsidRPr="009C3DF7" w:rsidR="00F7610A">
        <w:rPr>
          <w:rFonts w:cs="B Zar" w:hint="cs"/>
          <w:sz w:val="28"/>
          <w:szCs w:val="28"/>
          <w:rtl/>
        </w:rPr>
        <w:t>ب</w:t>
      </w:r>
      <w:r w:rsidRPr="009C3DF7">
        <w:rPr>
          <w:rFonts w:cs="B Zar" w:hint="cs"/>
          <w:sz w:val="28"/>
          <w:szCs w:val="28"/>
          <w:rtl/>
        </w:rPr>
        <w:t>ا</w:t>
      </w:r>
      <w:r w:rsidRPr="009C3DF7" w:rsidR="00F7610A">
        <w:rPr>
          <w:rFonts w:cs="B Zar" w:hint="cs"/>
          <w:sz w:val="28"/>
          <w:szCs w:val="28"/>
          <w:rtl/>
        </w:rPr>
        <w:t>چه</w:t>
      </w:r>
    </w:p>
    <w:p w:rsidR="009C75F3" w:rsidRPr="00B67C5A" w:rsidP="003C0EF5">
      <w:pPr>
        <w:widowControl w:val="0"/>
        <w:spacing w:line="420" w:lineRule="exact"/>
        <w:ind w:left="0" w:right="0"/>
        <w:jc w:val="both"/>
        <w:rPr>
          <w:rFonts w:cs="B Zar" w:hint="cs"/>
          <w:rtl/>
        </w:rPr>
      </w:pPr>
    </w:p>
    <w:p w:rsidR="00F7610A" w:rsidRPr="00F7610A" w:rsidP="00D1392C">
      <w:pPr>
        <w:widowControl w:val="0"/>
        <w:spacing w:line="420" w:lineRule="exact"/>
        <w:ind w:left="0" w:right="0"/>
        <w:jc w:val="both"/>
        <w:rPr>
          <w:rFonts w:cs="B Zar"/>
          <w:rtl/>
        </w:rPr>
      </w:pPr>
      <w:r w:rsidRPr="00F7610A">
        <w:rPr>
          <w:rFonts w:cs="B Zar"/>
          <w:rtl/>
        </w:rPr>
        <w:t>نوشتن درباره اد</w:t>
      </w:r>
      <w:r w:rsidRPr="00F7610A">
        <w:rPr>
          <w:rFonts w:cs="B Zar" w:hint="cs"/>
          <w:rtl/>
        </w:rPr>
        <w:t>ی</w:t>
      </w:r>
      <w:r w:rsidRPr="00F7610A">
        <w:rPr>
          <w:rFonts w:cs="B Zar" w:hint="eastAsia"/>
          <w:rtl/>
        </w:rPr>
        <w:t>ان</w:t>
      </w:r>
      <w:r w:rsidRPr="00F7610A">
        <w:rPr>
          <w:rFonts w:cs="B Zar"/>
          <w:rtl/>
        </w:rPr>
        <w:t xml:space="preserve"> و مکاتب د</w:t>
      </w:r>
      <w:r w:rsidRPr="00F7610A">
        <w:rPr>
          <w:rFonts w:cs="B Zar" w:hint="cs"/>
          <w:rtl/>
        </w:rPr>
        <w:t>ی</w:t>
      </w:r>
      <w:r w:rsidRPr="00F7610A">
        <w:rPr>
          <w:rFonts w:cs="B Zar" w:hint="eastAsia"/>
          <w:rtl/>
        </w:rPr>
        <w:t>ن</w:t>
      </w:r>
      <w:r w:rsidRPr="00F7610A">
        <w:rPr>
          <w:rFonts w:cs="B Zar" w:hint="cs"/>
          <w:rtl/>
        </w:rPr>
        <w:t>ی</w:t>
      </w:r>
      <w:r w:rsidRPr="00F7610A">
        <w:rPr>
          <w:rFonts w:cs="B Zar"/>
          <w:rtl/>
        </w:rPr>
        <w:t xml:space="preserve"> هند کار</w:t>
      </w:r>
      <w:r w:rsidRPr="00F7610A">
        <w:rPr>
          <w:rFonts w:cs="B Zar" w:hint="cs"/>
          <w:rtl/>
        </w:rPr>
        <w:t>ی</w:t>
      </w:r>
      <w:r w:rsidRPr="00F7610A">
        <w:rPr>
          <w:rFonts w:cs="B Zar"/>
          <w:rtl/>
        </w:rPr>
        <w:t xml:space="preserve"> بس</w:t>
      </w:r>
      <w:r w:rsidRPr="00F7610A">
        <w:rPr>
          <w:rFonts w:cs="B Zar" w:hint="cs"/>
          <w:rtl/>
        </w:rPr>
        <w:t>ی</w:t>
      </w:r>
      <w:r w:rsidRPr="00F7610A">
        <w:rPr>
          <w:rFonts w:cs="B Zar" w:hint="eastAsia"/>
          <w:rtl/>
        </w:rPr>
        <w:t>ار</w:t>
      </w:r>
      <w:r w:rsidRPr="00F7610A">
        <w:rPr>
          <w:rFonts w:cs="B Zar"/>
          <w:rtl/>
        </w:rPr>
        <w:t xml:space="preserve"> دشوار است. از سو</w:t>
      </w:r>
      <w:r w:rsidRPr="00F7610A">
        <w:rPr>
          <w:rFonts w:cs="B Zar" w:hint="cs"/>
          <w:rtl/>
        </w:rPr>
        <w:t>یی</w:t>
      </w:r>
      <w:r w:rsidRPr="00F7610A">
        <w:rPr>
          <w:rFonts w:cs="B Zar"/>
          <w:rtl/>
        </w:rPr>
        <w:t xml:space="preserve"> گستردگ</w:t>
      </w:r>
      <w:r w:rsidRPr="00F7610A">
        <w:rPr>
          <w:rFonts w:cs="B Zar" w:hint="cs"/>
          <w:rtl/>
        </w:rPr>
        <w:t>ی</w:t>
      </w:r>
      <w:r w:rsidRPr="00F7610A">
        <w:rPr>
          <w:rFonts w:cs="B Zar"/>
          <w:rtl/>
        </w:rPr>
        <w:t xml:space="preserve"> و فراخنا</w:t>
      </w:r>
      <w:r w:rsidRPr="00F7610A">
        <w:rPr>
          <w:rFonts w:cs="B Zar" w:hint="cs"/>
          <w:rtl/>
        </w:rPr>
        <w:t>ی</w:t>
      </w:r>
      <w:r w:rsidRPr="00F7610A">
        <w:rPr>
          <w:rFonts w:cs="B Zar"/>
          <w:rtl/>
        </w:rPr>
        <w:t xml:space="preserve"> دامنه بحث، محقق را به تواضع و خاموش</w:t>
      </w:r>
      <w:r w:rsidRPr="00F7610A">
        <w:rPr>
          <w:rFonts w:cs="B Zar" w:hint="cs"/>
          <w:rtl/>
        </w:rPr>
        <w:t>ی</w:t>
      </w:r>
      <w:r w:rsidRPr="00F7610A">
        <w:rPr>
          <w:rFonts w:cs="B Zar"/>
          <w:rtl/>
        </w:rPr>
        <w:t xml:space="preserve"> دعوت م</w:t>
      </w:r>
      <w:r w:rsidRPr="00F7610A">
        <w:rPr>
          <w:rFonts w:cs="B Zar" w:hint="cs"/>
          <w:rtl/>
        </w:rPr>
        <w:t>ی</w:t>
      </w:r>
      <w:r w:rsidR="00B31CC8">
        <w:rPr>
          <w:rFonts w:cs="B Zar" w:hint="cs"/>
          <w:rtl/>
        </w:rPr>
        <w:t>‌</w:t>
      </w:r>
      <w:r w:rsidRPr="00F7610A">
        <w:rPr>
          <w:rFonts w:cs="B Zar"/>
          <w:rtl/>
        </w:rPr>
        <w:t>کند و از سو</w:t>
      </w:r>
      <w:r w:rsidRPr="00F7610A">
        <w:rPr>
          <w:rFonts w:cs="B Zar" w:hint="cs"/>
          <w:rtl/>
        </w:rPr>
        <w:t>ی</w:t>
      </w:r>
      <w:r w:rsidRPr="00F7610A">
        <w:rPr>
          <w:rFonts w:cs="B Zar"/>
          <w:rtl/>
        </w:rPr>
        <w:t xml:space="preserve"> د</w:t>
      </w:r>
      <w:r w:rsidRPr="00F7610A">
        <w:rPr>
          <w:rFonts w:cs="B Zar" w:hint="cs"/>
          <w:rtl/>
        </w:rPr>
        <w:t>ی</w:t>
      </w:r>
      <w:r w:rsidRPr="00F7610A">
        <w:rPr>
          <w:rFonts w:cs="B Zar" w:hint="eastAsia"/>
          <w:rtl/>
        </w:rPr>
        <w:t>گر</w:t>
      </w:r>
      <w:r w:rsidRPr="00F7610A">
        <w:rPr>
          <w:rFonts w:cs="B Zar"/>
          <w:rtl/>
        </w:rPr>
        <w:t xml:space="preserve"> پ</w:t>
      </w:r>
      <w:r w:rsidRPr="00F7610A">
        <w:rPr>
          <w:rFonts w:cs="B Zar" w:hint="cs"/>
          <w:rtl/>
        </w:rPr>
        <w:t>ی</w:t>
      </w:r>
      <w:r w:rsidRPr="00F7610A">
        <w:rPr>
          <w:rFonts w:cs="B Zar" w:hint="eastAsia"/>
          <w:rtl/>
        </w:rPr>
        <w:t>چ</w:t>
      </w:r>
      <w:r w:rsidRPr="00F7610A">
        <w:rPr>
          <w:rFonts w:cs="B Zar" w:hint="cs"/>
          <w:rtl/>
        </w:rPr>
        <w:t>ی</w:t>
      </w:r>
      <w:r w:rsidRPr="00F7610A">
        <w:rPr>
          <w:rFonts w:cs="B Zar" w:hint="eastAsia"/>
          <w:rtl/>
        </w:rPr>
        <w:t>دگ</w:t>
      </w:r>
      <w:r w:rsidRPr="00F7610A">
        <w:rPr>
          <w:rFonts w:cs="B Zar" w:hint="cs"/>
          <w:rtl/>
        </w:rPr>
        <w:t>ی</w:t>
      </w:r>
      <w:r w:rsidRPr="00F7610A">
        <w:rPr>
          <w:rFonts w:cs="B Zar"/>
          <w:rtl/>
        </w:rPr>
        <w:t xml:space="preserve"> مباحث و غموض مفاه</w:t>
      </w:r>
      <w:r w:rsidRPr="00F7610A">
        <w:rPr>
          <w:rFonts w:cs="B Zar" w:hint="cs"/>
          <w:rtl/>
        </w:rPr>
        <w:t>ی</w:t>
      </w:r>
      <w:r w:rsidRPr="00F7610A">
        <w:rPr>
          <w:rFonts w:cs="B Zar" w:hint="eastAsia"/>
          <w:rtl/>
        </w:rPr>
        <w:t>م</w:t>
      </w:r>
      <w:r w:rsidRPr="00F7610A">
        <w:rPr>
          <w:rFonts w:cs="B Zar"/>
          <w:rtl/>
        </w:rPr>
        <w:t xml:space="preserve"> فلسف</w:t>
      </w:r>
      <w:r w:rsidRPr="00F7610A">
        <w:rPr>
          <w:rFonts w:cs="B Zar" w:hint="cs"/>
          <w:rtl/>
        </w:rPr>
        <w:t>ی</w:t>
      </w:r>
      <w:r w:rsidRPr="00F7610A">
        <w:rPr>
          <w:rFonts w:cs="B Zar"/>
          <w:rtl/>
        </w:rPr>
        <w:t xml:space="preserve"> و د</w:t>
      </w:r>
      <w:r w:rsidRPr="00F7610A">
        <w:rPr>
          <w:rFonts w:cs="B Zar" w:hint="cs"/>
          <w:rtl/>
        </w:rPr>
        <w:t>ی</w:t>
      </w:r>
      <w:r w:rsidRPr="00F7610A">
        <w:rPr>
          <w:rFonts w:cs="B Zar" w:hint="eastAsia"/>
          <w:rtl/>
        </w:rPr>
        <w:t>ن</w:t>
      </w:r>
      <w:r w:rsidRPr="00F7610A">
        <w:rPr>
          <w:rFonts w:cs="B Zar" w:hint="cs"/>
          <w:rtl/>
        </w:rPr>
        <w:t>ی</w:t>
      </w:r>
      <w:r w:rsidRPr="00F7610A">
        <w:rPr>
          <w:rFonts w:cs="B Zar"/>
          <w:rtl/>
        </w:rPr>
        <w:t xml:space="preserve"> ا</w:t>
      </w:r>
      <w:r w:rsidRPr="00F7610A">
        <w:rPr>
          <w:rFonts w:cs="B Zar" w:hint="cs"/>
          <w:rtl/>
        </w:rPr>
        <w:t>ی</w:t>
      </w:r>
      <w:r w:rsidRPr="00F7610A">
        <w:rPr>
          <w:rFonts w:cs="B Zar" w:hint="eastAsia"/>
          <w:rtl/>
        </w:rPr>
        <w:t>ن</w:t>
      </w:r>
      <w:r w:rsidRPr="00F7610A">
        <w:rPr>
          <w:rFonts w:cs="B Zar"/>
          <w:rtl/>
        </w:rPr>
        <w:t xml:space="preserve"> د</w:t>
      </w:r>
      <w:r w:rsidRPr="00F7610A">
        <w:rPr>
          <w:rFonts w:cs="B Zar" w:hint="cs"/>
          <w:rtl/>
        </w:rPr>
        <w:t>ی</w:t>
      </w:r>
      <w:r w:rsidRPr="00F7610A">
        <w:rPr>
          <w:rFonts w:cs="B Zar" w:hint="eastAsia"/>
          <w:rtl/>
        </w:rPr>
        <w:t>ار</w:t>
      </w:r>
      <w:r w:rsidRPr="00F7610A">
        <w:rPr>
          <w:rFonts w:cs="B Zar"/>
          <w:rtl/>
        </w:rPr>
        <w:t>، محققان</w:t>
      </w:r>
      <w:r w:rsidRPr="00F7610A">
        <w:rPr>
          <w:rFonts w:cs="B Zar" w:hint="cs"/>
          <w:rtl/>
        </w:rPr>
        <w:t>ی</w:t>
      </w:r>
      <w:r w:rsidRPr="00F7610A">
        <w:rPr>
          <w:rFonts w:cs="B Zar"/>
          <w:rtl/>
        </w:rPr>
        <w:t xml:space="preserve"> را که آشنا</w:t>
      </w:r>
      <w:r w:rsidRPr="00F7610A">
        <w:rPr>
          <w:rFonts w:cs="B Zar" w:hint="cs"/>
          <w:rtl/>
        </w:rPr>
        <w:t>یی</w:t>
      </w:r>
      <w:r w:rsidRPr="00F7610A">
        <w:rPr>
          <w:rFonts w:cs="B Zar"/>
          <w:rtl/>
        </w:rPr>
        <w:t xml:space="preserve"> تام و واف</w:t>
      </w:r>
      <w:r w:rsidRPr="00F7610A">
        <w:rPr>
          <w:rFonts w:cs="B Zar" w:hint="cs"/>
          <w:rtl/>
        </w:rPr>
        <w:t>ی</w:t>
      </w:r>
      <w:r w:rsidRPr="00F7610A">
        <w:rPr>
          <w:rFonts w:cs="B Zar"/>
          <w:rtl/>
        </w:rPr>
        <w:t xml:space="preserve"> با آبشخورها و مباد</w:t>
      </w:r>
      <w:r w:rsidRPr="00F7610A">
        <w:rPr>
          <w:rFonts w:cs="B Zar" w:hint="cs"/>
          <w:rtl/>
        </w:rPr>
        <w:t>ی</w:t>
      </w:r>
      <w:r w:rsidRPr="00F7610A">
        <w:rPr>
          <w:rFonts w:cs="B Zar"/>
          <w:rtl/>
        </w:rPr>
        <w:t xml:space="preserve"> ا</w:t>
      </w:r>
      <w:r w:rsidRPr="00F7610A">
        <w:rPr>
          <w:rFonts w:cs="B Zar" w:hint="cs"/>
          <w:rtl/>
        </w:rPr>
        <w:t>ی</w:t>
      </w:r>
      <w:r w:rsidRPr="00F7610A">
        <w:rPr>
          <w:rFonts w:cs="B Zar"/>
          <w:rtl/>
        </w:rPr>
        <w:t>ن اند</w:t>
      </w:r>
      <w:r w:rsidRPr="00F7610A">
        <w:rPr>
          <w:rFonts w:cs="B Zar" w:hint="cs"/>
          <w:rtl/>
        </w:rPr>
        <w:t>ی</w:t>
      </w:r>
      <w:r w:rsidRPr="00F7610A">
        <w:rPr>
          <w:rFonts w:cs="B Zar" w:hint="eastAsia"/>
          <w:rtl/>
        </w:rPr>
        <w:t>شه</w:t>
      </w:r>
      <w:r w:rsidRPr="00F7610A">
        <w:rPr>
          <w:rFonts w:cs="B Zar"/>
          <w:rtl/>
        </w:rPr>
        <w:t xml:space="preserve"> ها نداشته باشند به ب</w:t>
      </w:r>
      <w:r w:rsidRPr="00F7610A">
        <w:rPr>
          <w:rFonts w:cs="B Zar" w:hint="cs"/>
          <w:rtl/>
        </w:rPr>
        <w:t>ی</w:t>
      </w:r>
      <w:r w:rsidRPr="00F7610A">
        <w:rPr>
          <w:rFonts w:cs="B Zar" w:hint="eastAsia"/>
          <w:rtl/>
        </w:rPr>
        <w:t>راهه</w:t>
      </w:r>
      <w:r w:rsidRPr="00F7610A">
        <w:rPr>
          <w:rFonts w:cs="B Zar"/>
          <w:rtl/>
        </w:rPr>
        <w:t xml:space="preserve"> و سرگردان</w:t>
      </w:r>
      <w:r w:rsidRPr="00F7610A">
        <w:rPr>
          <w:rFonts w:cs="B Zar" w:hint="cs"/>
          <w:rtl/>
        </w:rPr>
        <w:t>ی</w:t>
      </w:r>
      <w:r w:rsidRPr="00F7610A">
        <w:rPr>
          <w:rFonts w:cs="B Zar"/>
          <w:rtl/>
        </w:rPr>
        <w:t xml:space="preserve"> م</w:t>
      </w:r>
      <w:r w:rsidRPr="00F7610A">
        <w:rPr>
          <w:rFonts w:cs="B Zar" w:hint="cs"/>
          <w:rtl/>
        </w:rPr>
        <w:t>ی</w:t>
      </w:r>
      <w:r w:rsidRPr="00F7610A">
        <w:rPr>
          <w:rFonts w:cs="B Zar"/>
          <w:rtl/>
        </w:rPr>
        <w:t xml:space="preserve"> کشاند.</w:t>
      </w:r>
    </w:p>
    <w:p w:rsidR="00F7610A" w:rsidRPr="00F7610A" w:rsidP="00B31CC8">
      <w:pPr>
        <w:widowControl w:val="0"/>
        <w:spacing w:line="420" w:lineRule="exact"/>
        <w:ind w:left="0" w:right="0"/>
        <w:jc w:val="both"/>
        <w:rPr>
          <w:rFonts w:cs="B Zar"/>
          <w:rtl/>
        </w:rPr>
      </w:pPr>
      <w:r w:rsidRPr="00F7610A">
        <w:rPr>
          <w:rFonts w:cs="B Zar"/>
          <w:rtl/>
        </w:rPr>
        <w:t xml:space="preserve"> فلسفه در هند به لحاظ ماهو</w:t>
      </w:r>
      <w:r w:rsidRPr="00F7610A">
        <w:rPr>
          <w:rFonts w:cs="B Zar" w:hint="cs"/>
          <w:rtl/>
        </w:rPr>
        <w:t>ی</w:t>
      </w:r>
      <w:r w:rsidRPr="00F7610A">
        <w:rPr>
          <w:rFonts w:cs="B Zar"/>
          <w:rtl/>
        </w:rPr>
        <w:t xml:space="preserve"> تفاوت ها</w:t>
      </w:r>
      <w:r w:rsidRPr="00F7610A">
        <w:rPr>
          <w:rFonts w:cs="B Zar" w:hint="cs"/>
          <w:rtl/>
        </w:rPr>
        <w:t>ی</w:t>
      </w:r>
      <w:r w:rsidRPr="00F7610A">
        <w:rPr>
          <w:rFonts w:cs="B Zar"/>
          <w:rtl/>
        </w:rPr>
        <w:t xml:space="preserve"> بس</w:t>
      </w:r>
      <w:r w:rsidRPr="00F7610A">
        <w:rPr>
          <w:rFonts w:cs="B Zar" w:hint="cs"/>
          <w:rtl/>
        </w:rPr>
        <w:t>ی</w:t>
      </w:r>
      <w:r w:rsidRPr="00F7610A">
        <w:rPr>
          <w:rFonts w:cs="B Zar" w:hint="eastAsia"/>
          <w:rtl/>
        </w:rPr>
        <w:t>ار</w:t>
      </w:r>
      <w:r w:rsidRPr="00F7610A">
        <w:rPr>
          <w:rFonts w:cs="B Zar"/>
          <w:rtl/>
        </w:rPr>
        <w:t xml:space="preserve"> جد</w:t>
      </w:r>
      <w:r w:rsidRPr="00F7610A">
        <w:rPr>
          <w:rFonts w:cs="B Zar" w:hint="cs"/>
          <w:rtl/>
        </w:rPr>
        <w:t>ی</w:t>
      </w:r>
      <w:r w:rsidRPr="00F7610A">
        <w:rPr>
          <w:rFonts w:cs="B Zar"/>
          <w:rtl/>
        </w:rPr>
        <w:t xml:space="preserve"> با مکاتب فلسف</w:t>
      </w:r>
      <w:r w:rsidRPr="00F7610A">
        <w:rPr>
          <w:rFonts w:cs="B Zar" w:hint="cs"/>
          <w:rtl/>
        </w:rPr>
        <w:t>ی</w:t>
      </w:r>
      <w:r w:rsidRPr="00F7610A">
        <w:rPr>
          <w:rFonts w:cs="B Zar"/>
          <w:rtl/>
        </w:rPr>
        <w:t xml:space="preserve"> غرب</w:t>
      </w:r>
      <w:r w:rsidRPr="00F7610A">
        <w:rPr>
          <w:rFonts w:cs="B Zar" w:hint="cs"/>
          <w:rtl/>
        </w:rPr>
        <w:t>ی</w:t>
      </w:r>
      <w:r w:rsidRPr="00F7610A">
        <w:rPr>
          <w:rFonts w:cs="B Zar"/>
          <w:rtl/>
        </w:rPr>
        <w:t xml:space="preserve"> دارد.حت</w:t>
      </w:r>
      <w:r w:rsidRPr="00F7610A">
        <w:rPr>
          <w:rFonts w:cs="B Zar" w:hint="cs"/>
          <w:rtl/>
        </w:rPr>
        <w:t>ی</w:t>
      </w:r>
      <w:r w:rsidRPr="00F7610A">
        <w:rPr>
          <w:rFonts w:cs="B Zar"/>
          <w:rtl/>
        </w:rPr>
        <w:t xml:space="preserve"> از ح</w:t>
      </w:r>
      <w:r w:rsidRPr="00F7610A">
        <w:rPr>
          <w:rFonts w:cs="B Zar" w:hint="cs"/>
          <w:rtl/>
        </w:rPr>
        <w:t>ی</w:t>
      </w:r>
      <w:r w:rsidRPr="00F7610A">
        <w:rPr>
          <w:rFonts w:cs="B Zar" w:hint="eastAsia"/>
          <w:rtl/>
        </w:rPr>
        <w:t>ث</w:t>
      </w:r>
      <w:r w:rsidRPr="00F7610A">
        <w:rPr>
          <w:rFonts w:cs="B Zar"/>
          <w:rtl/>
        </w:rPr>
        <w:t xml:space="preserve"> تار</w:t>
      </w:r>
      <w:r w:rsidRPr="00F7610A">
        <w:rPr>
          <w:rFonts w:cs="B Zar" w:hint="cs"/>
          <w:rtl/>
        </w:rPr>
        <w:t>ی</w:t>
      </w:r>
      <w:r w:rsidRPr="00F7610A">
        <w:rPr>
          <w:rFonts w:cs="B Zar" w:hint="eastAsia"/>
          <w:rtl/>
        </w:rPr>
        <w:t>خ</w:t>
      </w:r>
      <w:r w:rsidRPr="00F7610A">
        <w:rPr>
          <w:rFonts w:cs="B Zar" w:hint="cs"/>
          <w:rtl/>
        </w:rPr>
        <w:t>ی</w:t>
      </w:r>
      <w:r w:rsidRPr="00F7610A">
        <w:rPr>
          <w:rFonts w:cs="B Zar" w:hint="eastAsia"/>
          <w:rtl/>
        </w:rPr>
        <w:t>،</w:t>
      </w:r>
      <w:r w:rsidRPr="00F7610A">
        <w:rPr>
          <w:rFonts w:cs="B Zar"/>
          <w:rtl/>
        </w:rPr>
        <w:t xml:space="preserve"> برخلاف فلسفه در غرب كه مكتب‌ها پ</w:t>
      </w:r>
      <w:r w:rsidRPr="00F7610A">
        <w:rPr>
          <w:rFonts w:cs="B Zar" w:hint="cs"/>
          <w:rtl/>
        </w:rPr>
        <w:t>ی</w:t>
      </w:r>
      <w:r w:rsidRPr="00F7610A">
        <w:rPr>
          <w:rFonts w:cs="B Zar"/>
          <w:rtl/>
        </w:rPr>
        <w:t xml:space="preserve"> در پ</w:t>
      </w:r>
      <w:r w:rsidRPr="00F7610A">
        <w:rPr>
          <w:rFonts w:cs="B Zar" w:hint="cs"/>
          <w:rtl/>
        </w:rPr>
        <w:t>ی</w:t>
      </w:r>
      <w:r w:rsidRPr="00F7610A">
        <w:rPr>
          <w:rFonts w:cs="B Zar"/>
          <w:rtl/>
        </w:rPr>
        <w:t xml:space="preserve"> </w:t>
      </w:r>
      <w:r w:rsidRPr="00F7610A">
        <w:rPr>
          <w:rFonts w:cs="B Zar" w:hint="cs"/>
          <w:rtl/>
        </w:rPr>
        <w:t>ی</w:t>
      </w:r>
      <w:r w:rsidRPr="00F7610A">
        <w:rPr>
          <w:rFonts w:cs="B Zar" w:hint="eastAsia"/>
          <w:rtl/>
        </w:rPr>
        <w:t>كد</w:t>
      </w:r>
      <w:r w:rsidRPr="00F7610A">
        <w:rPr>
          <w:rFonts w:cs="B Zar" w:hint="cs"/>
          <w:rtl/>
        </w:rPr>
        <w:t>ی</w:t>
      </w:r>
      <w:r w:rsidRPr="00F7610A">
        <w:rPr>
          <w:rFonts w:cs="B Zar" w:hint="eastAsia"/>
          <w:rtl/>
        </w:rPr>
        <w:t>گر</w:t>
      </w:r>
      <w:r w:rsidRPr="00F7610A">
        <w:rPr>
          <w:rFonts w:cs="B Zar"/>
          <w:rtl/>
        </w:rPr>
        <w:t xml:space="preserve"> و نوعاً بر پا</w:t>
      </w:r>
      <w:r w:rsidRPr="00F7610A">
        <w:rPr>
          <w:rFonts w:cs="B Zar" w:hint="cs"/>
          <w:rtl/>
        </w:rPr>
        <w:t>ی</w:t>
      </w:r>
      <w:r w:rsidRPr="00F7610A">
        <w:rPr>
          <w:rFonts w:cs="B Zar" w:hint="eastAsia"/>
          <w:rtl/>
        </w:rPr>
        <w:t>ه</w:t>
      </w:r>
      <w:r w:rsidRPr="00F7610A">
        <w:rPr>
          <w:rFonts w:cs="B Zar"/>
          <w:rtl/>
        </w:rPr>
        <w:t xml:space="preserve"> نف</w:t>
      </w:r>
      <w:r w:rsidRPr="00F7610A">
        <w:rPr>
          <w:rFonts w:cs="B Zar" w:hint="cs"/>
          <w:rtl/>
        </w:rPr>
        <w:t>ی</w:t>
      </w:r>
      <w:r w:rsidRPr="00F7610A">
        <w:rPr>
          <w:rFonts w:cs="B Zar"/>
          <w:rtl/>
        </w:rPr>
        <w:t xml:space="preserve"> مستدلانه مكتب پ</w:t>
      </w:r>
      <w:r w:rsidRPr="00F7610A">
        <w:rPr>
          <w:rFonts w:cs="B Zar" w:hint="cs"/>
          <w:rtl/>
        </w:rPr>
        <w:t>ی</w:t>
      </w:r>
      <w:r w:rsidRPr="00F7610A">
        <w:rPr>
          <w:rFonts w:cs="B Zar" w:hint="eastAsia"/>
          <w:rtl/>
        </w:rPr>
        <w:t>ش</w:t>
      </w:r>
      <w:r w:rsidRPr="00F7610A">
        <w:rPr>
          <w:rFonts w:cs="B Zar" w:hint="cs"/>
          <w:rtl/>
        </w:rPr>
        <w:t>ی</w:t>
      </w:r>
      <w:r w:rsidRPr="00F7610A">
        <w:rPr>
          <w:rFonts w:cs="B Zar" w:hint="eastAsia"/>
          <w:rtl/>
        </w:rPr>
        <w:t>ن</w:t>
      </w:r>
      <w:r w:rsidRPr="00F7610A">
        <w:rPr>
          <w:rFonts w:cs="B Zar"/>
          <w:rtl/>
        </w:rPr>
        <w:t xml:space="preserve"> پد</w:t>
      </w:r>
      <w:r w:rsidRPr="00F7610A">
        <w:rPr>
          <w:rFonts w:cs="B Zar" w:hint="cs"/>
          <w:rtl/>
        </w:rPr>
        <w:t>ی</w:t>
      </w:r>
      <w:r w:rsidRPr="00F7610A">
        <w:rPr>
          <w:rFonts w:cs="B Zar" w:hint="eastAsia"/>
          <w:rtl/>
        </w:rPr>
        <w:t>د</w:t>
      </w:r>
      <w:r w:rsidRPr="00F7610A">
        <w:rPr>
          <w:rFonts w:cs="B Zar"/>
          <w:rtl/>
        </w:rPr>
        <w:t xml:space="preserve"> آمدند، مكتب‌ها</w:t>
      </w:r>
      <w:r w:rsidRPr="00F7610A">
        <w:rPr>
          <w:rFonts w:cs="B Zar" w:hint="cs"/>
          <w:rtl/>
        </w:rPr>
        <w:t>ی</w:t>
      </w:r>
      <w:r w:rsidRPr="00F7610A">
        <w:rPr>
          <w:rFonts w:cs="B Zar"/>
          <w:rtl/>
        </w:rPr>
        <w:t xml:space="preserve"> فلسف</w:t>
      </w:r>
      <w:r w:rsidRPr="00F7610A">
        <w:rPr>
          <w:rFonts w:cs="B Zar" w:hint="cs"/>
          <w:rtl/>
        </w:rPr>
        <w:t>ی</w:t>
      </w:r>
      <w:r w:rsidRPr="00F7610A">
        <w:rPr>
          <w:rFonts w:cs="B Zar"/>
          <w:rtl/>
        </w:rPr>
        <w:t xml:space="preserve"> در هند به موازات و بر شانه يكديگر رشد كردند و ا</w:t>
      </w:r>
      <w:r w:rsidRPr="00F7610A">
        <w:rPr>
          <w:rFonts w:cs="B Zar" w:hint="cs"/>
          <w:rtl/>
        </w:rPr>
        <w:t>ی</w:t>
      </w:r>
      <w:r w:rsidRPr="00F7610A">
        <w:rPr>
          <w:rFonts w:cs="B Zar" w:hint="eastAsia"/>
          <w:rtl/>
        </w:rPr>
        <w:t>راد</w:t>
      </w:r>
      <w:r w:rsidRPr="00F7610A">
        <w:rPr>
          <w:rFonts w:cs="B Zar"/>
          <w:rtl/>
        </w:rPr>
        <w:t xml:space="preserve"> و اشكال مكتب‌ها به هم، نه فقط به ناپد</w:t>
      </w:r>
      <w:r w:rsidRPr="00F7610A">
        <w:rPr>
          <w:rFonts w:cs="B Zar" w:hint="cs"/>
          <w:rtl/>
        </w:rPr>
        <w:t>ی</w:t>
      </w:r>
      <w:r w:rsidRPr="00F7610A">
        <w:rPr>
          <w:rFonts w:cs="B Zar" w:hint="eastAsia"/>
          <w:rtl/>
        </w:rPr>
        <w:t>د</w:t>
      </w:r>
      <w:r w:rsidRPr="00F7610A">
        <w:rPr>
          <w:rFonts w:cs="B Zar"/>
          <w:rtl/>
        </w:rPr>
        <w:t xml:space="preserve"> شدن آنها ن</w:t>
      </w:r>
      <w:r w:rsidRPr="00F7610A">
        <w:rPr>
          <w:rFonts w:cs="B Zar" w:hint="cs"/>
          <w:rtl/>
        </w:rPr>
        <w:t>ی</w:t>
      </w:r>
      <w:r w:rsidRPr="00F7610A">
        <w:rPr>
          <w:rFonts w:cs="B Zar" w:hint="eastAsia"/>
          <w:rtl/>
        </w:rPr>
        <w:t>انجام</w:t>
      </w:r>
      <w:r w:rsidRPr="00F7610A">
        <w:rPr>
          <w:rFonts w:cs="B Zar" w:hint="cs"/>
          <w:rtl/>
        </w:rPr>
        <w:t>ی</w:t>
      </w:r>
      <w:r w:rsidRPr="00F7610A">
        <w:rPr>
          <w:rFonts w:cs="B Zar" w:hint="eastAsia"/>
          <w:rtl/>
        </w:rPr>
        <w:t>د</w:t>
      </w:r>
      <w:r w:rsidRPr="00F7610A">
        <w:rPr>
          <w:rFonts w:cs="B Zar"/>
          <w:rtl/>
        </w:rPr>
        <w:t xml:space="preserve"> بلكه پاسخگو</w:t>
      </w:r>
      <w:r w:rsidRPr="00F7610A">
        <w:rPr>
          <w:rFonts w:cs="B Zar" w:hint="cs"/>
          <w:rtl/>
        </w:rPr>
        <w:t>یی</w:t>
      </w:r>
      <w:r w:rsidRPr="00F7610A">
        <w:rPr>
          <w:rFonts w:cs="B Zar"/>
          <w:rtl/>
        </w:rPr>
        <w:t xml:space="preserve"> و رد اشكال‌ها، سبب شكوفا</w:t>
      </w:r>
      <w:r w:rsidRPr="00F7610A">
        <w:rPr>
          <w:rFonts w:cs="B Zar" w:hint="cs"/>
          <w:rtl/>
        </w:rPr>
        <w:t>یی</w:t>
      </w:r>
      <w:r w:rsidRPr="00F7610A">
        <w:rPr>
          <w:rFonts w:cs="B Zar"/>
          <w:rtl/>
        </w:rPr>
        <w:t xml:space="preserve"> و فخامت همه آنها شد.</w:t>
      </w:r>
    </w:p>
    <w:p w:rsidR="00F7610A" w:rsidRPr="00F7610A" w:rsidP="00D1392C">
      <w:pPr>
        <w:widowControl w:val="0"/>
        <w:spacing w:line="420" w:lineRule="exact"/>
        <w:ind w:left="0" w:right="0"/>
        <w:jc w:val="both"/>
        <w:rPr>
          <w:rFonts w:cs="B Zar"/>
          <w:rtl/>
        </w:rPr>
      </w:pPr>
      <w:r w:rsidRPr="00F7610A">
        <w:rPr>
          <w:rFonts w:cs="B Zar" w:hint="eastAsia"/>
          <w:rtl/>
        </w:rPr>
        <w:t>برخلاف</w:t>
      </w:r>
      <w:r w:rsidRPr="00F7610A">
        <w:rPr>
          <w:rFonts w:cs="B Zar"/>
          <w:rtl/>
        </w:rPr>
        <w:t xml:space="preserve"> فلسفه غرب که عموما راه خود را از  سلوك د</w:t>
      </w:r>
      <w:r w:rsidRPr="00F7610A">
        <w:rPr>
          <w:rFonts w:cs="B Zar" w:hint="cs"/>
          <w:rtl/>
        </w:rPr>
        <w:t>ی</w:t>
      </w:r>
      <w:r w:rsidRPr="00F7610A">
        <w:rPr>
          <w:rFonts w:cs="B Zar" w:hint="eastAsia"/>
          <w:rtl/>
        </w:rPr>
        <w:t>ن</w:t>
      </w:r>
      <w:r w:rsidRPr="00F7610A">
        <w:rPr>
          <w:rFonts w:cs="B Zar" w:hint="cs"/>
          <w:rtl/>
        </w:rPr>
        <w:t>ی</w:t>
      </w:r>
      <w:r w:rsidRPr="00F7610A">
        <w:rPr>
          <w:rFonts w:cs="B Zar"/>
          <w:rtl/>
        </w:rPr>
        <w:t xml:space="preserve"> جدا نموده و </w:t>
      </w:r>
      <w:r w:rsidRPr="00F7610A">
        <w:rPr>
          <w:rFonts w:cs="B Zar" w:hint="cs"/>
          <w:rtl/>
        </w:rPr>
        <w:t>ی</w:t>
      </w:r>
      <w:r w:rsidRPr="00F7610A">
        <w:rPr>
          <w:rFonts w:cs="B Zar" w:hint="eastAsia"/>
          <w:rtl/>
        </w:rPr>
        <w:t>ا</w:t>
      </w:r>
      <w:r w:rsidRPr="00F7610A">
        <w:rPr>
          <w:rFonts w:cs="B Zar"/>
          <w:rtl/>
        </w:rPr>
        <w:t xml:space="preserve"> بعضا درتخالف با آموزه‌ها</w:t>
      </w:r>
      <w:r w:rsidRPr="00F7610A">
        <w:rPr>
          <w:rFonts w:cs="B Zar" w:hint="cs"/>
          <w:rtl/>
        </w:rPr>
        <w:t>ی</w:t>
      </w:r>
      <w:r w:rsidRPr="00F7610A">
        <w:rPr>
          <w:rFonts w:cs="B Zar"/>
          <w:rtl/>
        </w:rPr>
        <w:t xml:space="preserve"> تعبد</w:t>
      </w:r>
      <w:r w:rsidRPr="00F7610A">
        <w:rPr>
          <w:rFonts w:cs="B Zar" w:hint="cs"/>
          <w:rtl/>
        </w:rPr>
        <w:t>ی</w:t>
      </w:r>
      <w:r w:rsidRPr="00F7610A">
        <w:rPr>
          <w:rFonts w:cs="B Zar"/>
          <w:rtl/>
        </w:rPr>
        <w:t xml:space="preserve"> د</w:t>
      </w:r>
      <w:r w:rsidRPr="00F7610A">
        <w:rPr>
          <w:rFonts w:cs="B Zar" w:hint="cs"/>
          <w:rtl/>
        </w:rPr>
        <w:t>ی</w:t>
      </w:r>
      <w:r w:rsidRPr="00F7610A">
        <w:rPr>
          <w:rFonts w:cs="B Zar" w:hint="eastAsia"/>
          <w:rtl/>
        </w:rPr>
        <w:t>ن</w:t>
      </w:r>
      <w:r w:rsidRPr="00F7610A">
        <w:rPr>
          <w:rFonts w:cs="B Zar" w:hint="cs"/>
          <w:rtl/>
        </w:rPr>
        <w:t>ی</w:t>
      </w:r>
      <w:r w:rsidRPr="00F7610A">
        <w:rPr>
          <w:rFonts w:cs="B Zar"/>
          <w:rtl/>
        </w:rPr>
        <w:t xml:space="preserve"> حدوث </w:t>
      </w:r>
      <w:r w:rsidRPr="00F7610A">
        <w:rPr>
          <w:rFonts w:cs="B Zar" w:hint="cs"/>
          <w:rtl/>
        </w:rPr>
        <w:t>ی</w:t>
      </w:r>
      <w:r w:rsidRPr="00F7610A">
        <w:rPr>
          <w:rFonts w:cs="B Zar" w:hint="eastAsia"/>
          <w:rtl/>
        </w:rPr>
        <w:t>افته</w:t>
      </w:r>
      <w:r w:rsidRPr="00F7610A">
        <w:rPr>
          <w:rFonts w:cs="B Zar"/>
          <w:rtl/>
        </w:rPr>
        <w:t xml:space="preserve"> است</w:t>
      </w:r>
      <w:r w:rsidRPr="00F7610A" w:rsidR="00755743">
        <w:rPr>
          <w:rFonts w:cs="B Zar"/>
          <w:rtl/>
        </w:rPr>
        <w:t>،</w:t>
      </w:r>
      <w:r w:rsidRPr="00F7610A">
        <w:rPr>
          <w:rFonts w:cs="B Zar"/>
          <w:rtl/>
        </w:rPr>
        <w:t xml:space="preserve"> ارتباط و چگونگ</w:t>
      </w:r>
      <w:r w:rsidRPr="00F7610A">
        <w:rPr>
          <w:rFonts w:cs="B Zar" w:hint="cs"/>
          <w:rtl/>
        </w:rPr>
        <w:t>ی</w:t>
      </w:r>
      <w:r w:rsidRPr="00F7610A">
        <w:rPr>
          <w:rFonts w:cs="B Zar"/>
          <w:rtl/>
        </w:rPr>
        <w:t xml:space="preserve"> نسبت د</w:t>
      </w:r>
      <w:r w:rsidRPr="00F7610A">
        <w:rPr>
          <w:rFonts w:cs="B Zar" w:hint="cs"/>
          <w:rtl/>
        </w:rPr>
        <w:t>ی</w:t>
      </w:r>
      <w:r w:rsidRPr="00F7610A">
        <w:rPr>
          <w:rFonts w:cs="B Zar" w:hint="eastAsia"/>
          <w:rtl/>
        </w:rPr>
        <w:t>ن</w:t>
      </w:r>
      <w:r w:rsidRPr="00F7610A">
        <w:rPr>
          <w:rFonts w:cs="B Zar"/>
          <w:rtl/>
        </w:rPr>
        <w:t xml:space="preserve"> و عقل در تار</w:t>
      </w:r>
      <w:r w:rsidRPr="00F7610A">
        <w:rPr>
          <w:rFonts w:cs="B Zar" w:hint="cs"/>
          <w:rtl/>
        </w:rPr>
        <w:t>ی</w:t>
      </w:r>
      <w:r w:rsidRPr="00F7610A">
        <w:rPr>
          <w:rFonts w:cs="B Zar" w:hint="eastAsia"/>
          <w:rtl/>
        </w:rPr>
        <w:t>خ</w:t>
      </w:r>
      <w:r w:rsidRPr="00F7610A">
        <w:rPr>
          <w:rFonts w:cs="B Zar"/>
          <w:rtl/>
        </w:rPr>
        <w:t xml:space="preserve"> فلسفه هند هرگز موضوع</w:t>
      </w:r>
      <w:r w:rsidRPr="00F7610A">
        <w:rPr>
          <w:rFonts w:cs="B Zar" w:hint="cs"/>
          <w:rtl/>
        </w:rPr>
        <w:t>ی</w:t>
      </w:r>
      <w:r w:rsidRPr="00F7610A">
        <w:rPr>
          <w:rFonts w:cs="B Zar" w:hint="eastAsia"/>
          <w:rtl/>
        </w:rPr>
        <w:t>ت</w:t>
      </w:r>
      <w:r w:rsidRPr="00F7610A">
        <w:rPr>
          <w:rFonts w:cs="B Zar"/>
          <w:rtl/>
        </w:rPr>
        <w:t xml:space="preserve"> طرح ن</w:t>
      </w:r>
      <w:r w:rsidRPr="00F7610A">
        <w:rPr>
          <w:rFonts w:cs="B Zar" w:hint="cs"/>
          <w:rtl/>
        </w:rPr>
        <w:t>ی</w:t>
      </w:r>
      <w:r w:rsidRPr="00F7610A">
        <w:rPr>
          <w:rFonts w:cs="B Zar" w:hint="eastAsia"/>
          <w:rtl/>
        </w:rPr>
        <w:t>افته</w:t>
      </w:r>
      <w:r w:rsidRPr="00F7610A">
        <w:rPr>
          <w:rFonts w:cs="B Zar"/>
          <w:rtl/>
        </w:rPr>
        <w:t xml:space="preserve"> است به عبارت دق</w:t>
      </w:r>
      <w:r w:rsidRPr="00F7610A">
        <w:rPr>
          <w:rFonts w:cs="B Zar" w:hint="cs"/>
          <w:rtl/>
        </w:rPr>
        <w:t>ی</w:t>
      </w:r>
      <w:r w:rsidRPr="00F7610A">
        <w:rPr>
          <w:rFonts w:cs="B Zar" w:hint="eastAsia"/>
          <w:rtl/>
        </w:rPr>
        <w:t>ق</w:t>
      </w:r>
      <w:r w:rsidRPr="00F7610A">
        <w:rPr>
          <w:rFonts w:cs="B Zar"/>
          <w:rtl/>
        </w:rPr>
        <w:t xml:space="preserve"> تر با</w:t>
      </w:r>
      <w:r w:rsidRPr="00F7610A">
        <w:rPr>
          <w:rFonts w:cs="B Zar" w:hint="cs"/>
          <w:rtl/>
        </w:rPr>
        <w:t>ی</w:t>
      </w:r>
      <w:r w:rsidRPr="00F7610A">
        <w:rPr>
          <w:rFonts w:cs="B Zar" w:hint="eastAsia"/>
          <w:rtl/>
        </w:rPr>
        <w:t>د</w:t>
      </w:r>
      <w:r w:rsidRPr="00F7610A">
        <w:rPr>
          <w:rFonts w:cs="B Zar"/>
          <w:rtl/>
        </w:rPr>
        <w:t xml:space="preserve"> فلسفه هند را همان تفس</w:t>
      </w:r>
      <w:r w:rsidRPr="00F7610A">
        <w:rPr>
          <w:rFonts w:cs="B Zar" w:hint="cs"/>
          <w:rtl/>
        </w:rPr>
        <w:t>ی</w:t>
      </w:r>
      <w:r w:rsidRPr="00F7610A">
        <w:rPr>
          <w:rFonts w:cs="B Zar" w:hint="eastAsia"/>
          <w:rtl/>
        </w:rPr>
        <w:t>ر</w:t>
      </w:r>
      <w:r w:rsidRPr="00F7610A">
        <w:rPr>
          <w:rFonts w:cs="B Zar"/>
          <w:rtl/>
        </w:rPr>
        <w:t xml:space="preserve"> و شرح و ب</w:t>
      </w:r>
      <w:r w:rsidRPr="00F7610A">
        <w:rPr>
          <w:rFonts w:cs="B Zar" w:hint="eastAsia"/>
          <w:rtl/>
        </w:rPr>
        <w:t>سط</w:t>
      </w:r>
      <w:r w:rsidRPr="00F7610A">
        <w:rPr>
          <w:rFonts w:cs="B Zar"/>
          <w:rtl/>
        </w:rPr>
        <w:t xml:space="preserve"> عقلان</w:t>
      </w:r>
      <w:r w:rsidRPr="00F7610A">
        <w:rPr>
          <w:rFonts w:cs="B Zar" w:hint="cs"/>
          <w:rtl/>
        </w:rPr>
        <w:t>ی</w:t>
      </w:r>
      <w:r w:rsidRPr="00F7610A">
        <w:rPr>
          <w:rFonts w:cs="B Zar"/>
          <w:rtl/>
        </w:rPr>
        <w:t xml:space="preserve"> ـ اشراقي وداها به شمار آورد و در </w:t>
      </w:r>
      <w:r w:rsidRPr="00F7610A">
        <w:rPr>
          <w:rFonts w:cs="B Zar" w:hint="cs"/>
          <w:rtl/>
        </w:rPr>
        <w:t>ی</w:t>
      </w:r>
      <w:r w:rsidRPr="00F7610A">
        <w:rPr>
          <w:rFonts w:cs="B Zar" w:hint="eastAsia"/>
          <w:rtl/>
        </w:rPr>
        <w:t>ک</w:t>
      </w:r>
      <w:r w:rsidRPr="00F7610A">
        <w:rPr>
          <w:rFonts w:cs="B Zar"/>
          <w:rtl/>
        </w:rPr>
        <w:t xml:space="preserve"> بررس</w:t>
      </w:r>
      <w:r w:rsidRPr="00F7610A">
        <w:rPr>
          <w:rFonts w:cs="B Zar" w:hint="cs"/>
          <w:rtl/>
        </w:rPr>
        <w:t>ی</w:t>
      </w:r>
      <w:r w:rsidRPr="00F7610A">
        <w:rPr>
          <w:rFonts w:cs="B Zar"/>
          <w:rtl/>
        </w:rPr>
        <w:t xml:space="preserve"> اجمال</w:t>
      </w:r>
      <w:r w:rsidRPr="00F7610A">
        <w:rPr>
          <w:rFonts w:cs="B Zar" w:hint="cs"/>
          <w:rtl/>
        </w:rPr>
        <w:t>ی</w:t>
      </w:r>
      <w:r w:rsidRPr="00F7610A">
        <w:rPr>
          <w:rFonts w:cs="B Zar"/>
          <w:rtl/>
        </w:rPr>
        <w:t xml:space="preserve"> م</w:t>
      </w:r>
      <w:r w:rsidRPr="00F7610A">
        <w:rPr>
          <w:rFonts w:cs="B Zar" w:hint="cs"/>
          <w:rtl/>
        </w:rPr>
        <w:t>ی</w:t>
      </w:r>
      <w:r w:rsidRPr="00F7610A">
        <w:rPr>
          <w:rFonts w:cs="B Zar"/>
          <w:rtl/>
        </w:rPr>
        <w:t xml:space="preserve"> توان در</w:t>
      </w:r>
      <w:r w:rsidRPr="00F7610A">
        <w:rPr>
          <w:rFonts w:cs="B Zar" w:hint="cs"/>
          <w:rtl/>
        </w:rPr>
        <w:t>ی</w:t>
      </w:r>
      <w:r w:rsidRPr="00F7610A">
        <w:rPr>
          <w:rFonts w:cs="B Zar" w:hint="eastAsia"/>
          <w:rtl/>
        </w:rPr>
        <w:t>افت</w:t>
      </w:r>
      <w:r w:rsidRPr="00F7610A">
        <w:rPr>
          <w:rFonts w:cs="B Zar"/>
          <w:rtl/>
        </w:rPr>
        <w:t xml:space="preserve"> که مكاتب اصل</w:t>
      </w:r>
      <w:r w:rsidRPr="00F7610A">
        <w:rPr>
          <w:rFonts w:cs="B Zar" w:hint="cs"/>
          <w:rtl/>
        </w:rPr>
        <w:t>ی</w:t>
      </w:r>
      <w:r w:rsidRPr="00F7610A">
        <w:rPr>
          <w:rFonts w:cs="B Zar"/>
          <w:rtl/>
        </w:rPr>
        <w:t xml:space="preserve"> فلسف</w:t>
      </w:r>
      <w:r w:rsidRPr="00F7610A">
        <w:rPr>
          <w:rFonts w:ascii="Tahoma" w:hAnsi="Tahoma" w:cs="B Zar" w:hint="cs"/>
          <w:rtl/>
        </w:rPr>
        <w:t>ۀ</w:t>
      </w:r>
      <w:r w:rsidRPr="00F7610A">
        <w:rPr>
          <w:rFonts w:cs="B Zar"/>
          <w:rtl/>
        </w:rPr>
        <w:t xml:space="preserve"> هند، در جهت توج</w:t>
      </w:r>
      <w:r w:rsidRPr="00F7610A">
        <w:rPr>
          <w:rFonts w:cs="B Zar" w:hint="cs"/>
          <w:rtl/>
        </w:rPr>
        <w:t>ی</w:t>
      </w:r>
      <w:r w:rsidRPr="00F7610A">
        <w:rPr>
          <w:rFonts w:cs="B Zar" w:hint="eastAsia"/>
          <w:rtl/>
        </w:rPr>
        <w:t>ه</w:t>
      </w:r>
      <w:r w:rsidRPr="00F7610A">
        <w:rPr>
          <w:rFonts w:cs="B Zar"/>
          <w:rtl/>
        </w:rPr>
        <w:t xml:space="preserve"> آموزه‌ها</w:t>
      </w:r>
      <w:r w:rsidRPr="00F7610A">
        <w:rPr>
          <w:rFonts w:cs="B Zar" w:hint="cs"/>
          <w:rtl/>
        </w:rPr>
        <w:t>ی</w:t>
      </w:r>
      <w:r w:rsidRPr="00F7610A">
        <w:rPr>
          <w:rFonts w:cs="B Zar"/>
          <w:rtl/>
        </w:rPr>
        <w:t xml:space="preserve"> وداها پد</w:t>
      </w:r>
      <w:r w:rsidRPr="00F7610A">
        <w:rPr>
          <w:rFonts w:cs="B Zar" w:hint="cs"/>
          <w:rtl/>
        </w:rPr>
        <w:t>ی</w:t>
      </w:r>
      <w:r w:rsidRPr="00F7610A">
        <w:rPr>
          <w:rFonts w:cs="B Zar" w:hint="eastAsia"/>
          <w:rtl/>
        </w:rPr>
        <w:t>د</w:t>
      </w:r>
      <w:r w:rsidRPr="00F7610A">
        <w:rPr>
          <w:rFonts w:cs="B Zar"/>
          <w:rtl/>
        </w:rPr>
        <w:t xml:space="preserve"> آمده اند و صرفا </w:t>
      </w:r>
      <w:r w:rsidRPr="00F7610A">
        <w:rPr>
          <w:rFonts w:cs="B Zar" w:hint="cs"/>
          <w:rtl/>
        </w:rPr>
        <w:t>ی</w:t>
      </w:r>
      <w:r w:rsidRPr="00F7610A">
        <w:rPr>
          <w:rFonts w:cs="B Zar" w:hint="eastAsia"/>
          <w:rtl/>
        </w:rPr>
        <w:t>ک</w:t>
      </w:r>
      <w:r w:rsidRPr="00F7610A">
        <w:rPr>
          <w:rFonts w:cs="B Zar"/>
          <w:rtl/>
        </w:rPr>
        <w:t xml:space="preserve"> مکتب به نام چارواکا ، ماتر</w:t>
      </w:r>
      <w:r w:rsidRPr="00F7610A">
        <w:rPr>
          <w:rFonts w:cs="B Zar" w:hint="cs"/>
          <w:rtl/>
        </w:rPr>
        <w:t>ی</w:t>
      </w:r>
      <w:r w:rsidRPr="00F7610A">
        <w:rPr>
          <w:rFonts w:cs="B Zar" w:hint="eastAsia"/>
          <w:rtl/>
        </w:rPr>
        <w:t>ال</w:t>
      </w:r>
      <w:r w:rsidRPr="00F7610A">
        <w:rPr>
          <w:rFonts w:cs="B Zar" w:hint="cs"/>
          <w:rtl/>
        </w:rPr>
        <w:t>ی</w:t>
      </w:r>
      <w:r w:rsidRPr="00F7610A">
        <w:rPr>
          <w:rFonts w:cs="B Zar" w:hint="eastAsia"/>
          <w:rtl/>
        </w:rPr>
        <w:t>ست</w:t>
      </w:r>
      <w:r w:rsidRPr="00F7610A">
        <w:rPr>
          <w:rFonts w:cs="B Zar"/>
          <w:rtl/>
        </w:rPr>
        <w:t xml:space="preserve"> به شمار م</w:t>
      </w:r>
      <w:r w:rsidRPr="00F7610A">
        <w:rPr>
          <w:rFonts w:cs="B Zar" w:hint="cs"/>
          <w:rtl/>
        </w:rPr>
        <w:t>ی</w:t>
      </w:r>
      <w:r w:rsidRPr="00F7610A">
        <w:rPr>
          <w:rFonts w:cs="B Zar"/>
          <w:rtl/>
        </w:rPr>
        <w:t xml:space="preserve"> رود.  فلسفه در هند برخلاف فلسفه غرب</w:t>
      </w:r>
      <w:r w:rsidRPr="00F7610A">
        <w:rPr>
          <w:rFonts w:cs="B Zar" w:hint="cs"/>
          <w:rtl/>
        </w:rPr>
        <w:t>ی</w:t>
      </w:r>
      <w:r w:rsidRPr="00F7610A">
        <w:rPr>
          <w:rFonts w:cs="B Zar"/>
          <w:rtl/>
        </w:rPr>
        <w:t xml:space="preserve"> ، نقطه عز</w:t>
      </w:r>
      <w:r w:rsidRPr="00F7610A">
        <w:rPr>
          <w:rFonts w:cs="B Zar" w:hint="cs"/>
          <w:rtl/>
        </w:rPr>
        <w:t>ی</w:t>
      </w:r>
      <w:r w:rsidRPr="00F7610A">
        <w:rPr>
          <w:rFonts w:cs="B Zar"/>
          <w:rtl/>
        </w:rPr>
        <w:t>مت خود را د</w:t>
      </w:r>
      <w:r w:rsidRPr="00F7610A">
        <w:rPr>
          <w:rFonts w:cs="B Zar" w:hint="cs"/>
          <w:rtl/>
        </w:rPr>
        <w:t>ی</w:t>
      </w:r>
      <w:r w:rsidRPr="00F7610A">
        <w:rPr>
          <w:rFonts w:cs="B Zar" w:hint="eastAsia"/>
          <w:rtl/>
        </w:rPr>
        <w:t>ن</w:t>
      </w:r>
      <w:r w:rsidRPr="00F7610A">
        <w:rPr>
          <w:rFonts w:cs="B Zar"/>
          <w:rtl/>
        </w:rPr>
        <w:t xml:space="preserve"> قرار داده و پا به پا</w:t>
      </w:r>
      <w:r w:rsidRPr="00F7610A">
        <w:rPr>
          <w:rFonts w:cs="B Zar" w:hint="cs"/>
          <w:rtl/>
        </w:rPr>
        <w:t>ی</w:t>
      </w:r>
      <w:r w:rsidRPr="00F7610A">
        <w:rPr>
          <w:rFonts w:cs="B Zar"/>
          <w:rtl/>
        </w:rPr>
        <w:t xml:space="preserve"> د</w:t>
      </w:r>
      <w:r w:rsidRPr="00F7610A">
        <w:rPr>
          <w:rFonts w:cs="B Zar" w:hint="cs"/>
          <w:rtl/>
        </w:rPr>
        <w:t>ی</w:t>
      </w:r>
      <w:r w:rsidRPr="00F7610A">
        <w:rPr>
          <w:rFonts w:cs="B Zar" w:hint="eastAsia"/>
          <w:rtl/>
        </w:rPr>
        <w:t>ن</w:t>
      </w:r>
      <w:r w:rsidRPr="00F7610A">
        <w:rPr>
          <w:rFonts w:cs="B Zar"/>
          <w:rtl/>
        </w:rPr>
        <w:t xml:space="preserve"> در طول تار</w:t>
      </w:r>
      <w:r w:rsidRPr="00F7610A">
        <w:rPr>
          <w:rFonts w:cs="B Zar" w:hint="cs"/>
          <w:rtl/>
        </w:rPr>
        <w:t>ی</w:t>
      </w:r>
      <w:r w:rsidRPr="00F7610A">
        <w:rPr>
          <w:rFonts w:cs="B Zar" w:hint="eastAsia"/>
          <w:rtl/>
        </w:rPr>
        <w:t>خ</w:t>
      </w:r>
      <w:r w:rsidRPr="00F7610A">
        <w:rPr>
          <w:rFonts w:cs="B Zar"/>
          <w:rtl/>
        </w:rPr>
        <w:t xml:space="preserve"> حرکت نموده و ه</w:t>
      </w:r>
      <w:r w:rsidRPr="00F7610A">
        <w:rPr>
          <w:rFonts w:cs="B Zar" w:hint="cs"/>
          <w:rtl/>
        </w:rPr>
        <w:t>ی</w:t>
      </w:r>
      <w:r w:rsidRPr="00F7610A">
        <w:rPr>
          <w:rFonts w:cs="B Zar" w:hint="eastAsia"/>
          <w:rtl/>
        </w:rPr>
        <w:t>چگاه</w:t>
      </w:r>
      <w:r w:rsidRPr="00F7610A">
        <w:rPr>
          <w:rFonts w:cs="B Zar"/>
          <w:rtl/>
        </w:rPr>
        <w:t xml:space="preserve"> از آن جدا</w:t>
      </w:r>
      <w:r w:rsidRPr="00F7610A">
        <w:rPr>
          <w:rFonts w:cs="B Zar" w:hint="cs"/>
          <w:rtl/>
        </w:rPr>
        <w:t>یی</w:t>
      </w:r>
      <w:r w:rsidRPr="00F7610A">
        <w:rPr>
          <w:rFonts w:cs="B Zar"/>
          <w:rtl/>
        </w:rPr>
        <w:t xml:space="preserve"> و افتراق نداشته است.</w:t>
      </w:r>
    </w:p>
    <w:p w:rsidR="00F7610A" w:rsidRPr="00F7610A" w:rsidP="00D1392C">
      <w:pPr>
        <w:widowControl w:val="0"/>
        <w:spacing w:line="420" w:lineRule="exact"/>
        <w:ind w:left="0" w:right="0"/>
        <w:jc w:val="both"/>
        <w:rPr>
          <w:rFonts w:cs="B Zar"/>
          <w:rtl/>
        </w:rPr>
      </w:pPr>
      <w:r w:rsidRPr="00F7610A">
        <w:rPr>
          <w:rFonts w:cs="B Zar"/>
          <w:rtl/>
        </w:rPr>
        <w:t xml:space="preserve"> برخلاف مفاه</w:t>
      </w:r>
      <w:r w:rsidRPr="00F7610A">
        <w:rPr>
          <w:rFonts w:cs="B Zar" w:hint="cs"/>
          <w:rtl/>
        </w:rPr>
        <w:t>ی</w:t>
      </w:r>
      <w:r w:rsidRPr="00F7610A">
        <w:rPr>
          <w:rFonts w:cs="B Zar" w:hint="eastAsia"/>
          <w:rtl/>
        </w:rPr>
        <w:t>م</w:t>
      </w:r>
      <w:r w:rsidRPr="00F7610A">
        <w:rPr>
          <w:rFonts w:cs="B Zar"/>
          <w:rtl/>
        </w:rPr>
        <w:t xml:space="preserve"> و تعار</w:t>
      </w:r>
      <w:r w:rsidRPr="00F7610A">
        <w:rPr>
          <w:rFonts w:cs="B Zar" w:hint="cs"/>
          <w:rtl/>
        </w:rPr>
        <w:t>ی</w:t>
      </w:r>
      <w:r w:rsidRPr="00F7610A">
        <w:rPr>
          <w:rFonts w:cs="B Zar" w:hint="eastAsia"/>
          <w:rtl/>
        </w:rPr>
        <w:t>ف</w:t>
      </w:r>
      <w:r w:rsidRPr="00F7610A">
        <w:rPr>
          <w:rFonts w:cs="B Zar"/>
          <w:rtl/>
        </w:rPr>
        <w:t xml:space="preserve"> فلسف</w:t>
      </w:r>
      <w:r w:rsidRPr="00F7610A">
        <w:rPr>
          <w:rFonts w:cs="B Zar" w:hint="cs"/>
          <w:rtl/>
        </w:rPr>
        <w:t>ی</w:t>
      </w:r>
      <w:r w:rsidRPr="00F7610A">
        <w:rPr>
          <w:rFonts w:cs="B Zar"/>
          <w:rtl/>
        </w:rPr>
        <w:t xml:space="preserve"> که در غرب کاملا نظر</w:t>
      </w:r>
      <w:r w:rsidRPr="00F7610A">
        <w:rPr>
          <w:rFonts w:cs="B Zar" w:hint="cs"/>
          <w:rtl/>
        </w:rPr>
        <w:t>ی</w:t>
      </w:r>
      <w:r w:rsidRPr="00F7610A">
        <w:rPr>
          <w:rFonts w:cs="B Zar"/>
          <w:rtl/>
        </w:rPr>
        <w:t xml:space="preserve"> و تئور</w:t>
      </w:r>
      <w:r w:rsidRPr="00F7610A">
        <w:rPr>
          <w:rFonts w:cs="B Zar" w:hint="cs"/>
          <w:rtl/>
        </w:rPr>
        <w:t>ی</w:t>
      </w:r>
      <w:r w:rsidRPr="00F7610A">
        <w:rPr>
          <w:rFonts w:cs="B Zar" w:hint="eastAsia"/>
          <w:rtl/>
        </w:rPr>
        <w:t>ک</w:t>
      </w:r>
      <w:r w:rsidRPr="00F7610A">
        <w:rPr>
          <w:rFonts w:cs="B Zar"/>
          <w:rtl/>
        </w:rPr>
        <w:t xml:space="preserve"> اند ، فلسفه در هند جنب</w:t>
      </w:r>
      <w:r w:rsidRPr="00F7610A">
        <w:rPr>
          <w:rFonts w:ascii="Tahoma" w:hAnsi="Tahoma" w:cs="B Zar" w:hint="cs"/>
          <w:rtl/>
        </w:rPr>
        <w:t>ۀ</w:t>
      </w:r>
      <w:r w:rsidRPr="00F7610A">
        <w:rPr>
          <w:rFonts w:cs="B Zar"/>
          <w:rtl/>
        </w:rPr>
        <w:t xml:space="preserve"> عمل</w:t>
      </w:r>
      <w:r w:rsidRPr="00F7610A">
        <w:rPr>
          <w:rFonts w:cs="B Zar" w:hint="cs"/>
          <w:rtl/>
        </w:rPr>
        <w:t>ی</w:t>
      </w:r>
      <w:r w:rsidRPr="00F7610A">
        <w:rPr>
          <w:rFonts w:cs="B Zar"/>
          <w:rtl/>
        </w:rPr>
        <w:t xml:space="preserve"> داشته و به جا</w:t>
      </w:r>
      <w:r w:rsidRPr="00F7610A">
        <w:rPr>
          <w:rFonts w:cs="B Zar" w:hint="cs"/>
          <w:rtl/>
        </w:rPr>
        <w:t>ی</w:t>
      </w:r>
      <w:r w:rsidRPr="00F7610A">
        <w:rPr>
          <w:rFonts w:cs="B Zar"/>
          <w:rtl/>
        </w:rPr>
        <w:t xml:space="preserve"> باز</w:t>
      </w:r>
      <w:r w:rsidRPr="00F7610A">
        <w:rPr>
          <w:rFonts w:cs="B Zar" w:hint="cs"/>
          <w:rtl/>
        </w:rPr>
        <w:t>ی</w:t>
      </w:r>
      <w:r w:rsidRPr="00F7610A">
        <w:rPr>
          <w:rFonts w:cs="B Zar"/>
          <w:rtl/>
        </w:rPr>
        <w:t xml:space="preserve"> ها</w:t>
      </w:r>
      <w:r w:rsidRPr="00F7610A">
        <w:rPr>
          <w:rFonts w:cs="B Zar" w:hint="cs"/>
          <w:rtl/>
        </w:rPr>
        <w:t>ی</w:t>
      </w:r>
      <w:r w:rsidRPr="00F7610A">
        <w:rPr>
          <w:rFonts w:cs="B Zar"/>
          <w:rtl/>
        </w:rPr>
        <w:t xml:space="preserve"> زبان</w:t>
      </w:r>
      <w:r w:rsidRPr="00F7610A">
        <w:rPr>
          <w:rFonts w:cs="B Zar" w:hint="cs"/>
          <w:rtl/>
        </w:rPr>
        <w:t>ی</w:t>
      </w:r>
      <w:r w:rsidRPr="00F7610A">
        <w:rPr>
          <w:rFonts w:cs="B Zar"/>
          <w:rtl/>
        </w:rPr>
        <w:t xml:space="preserve"> و فکر</w:t>
      </w:r>
      <w:r w:rsidRPr="00F7610A">
        <w:rPr>
          <w:rFonts w:cs="B Zar" w:hint="cs"/>
          <w:rtl/>
        </w:rPr>
        <w:t>ی</w:t>
      </w:r>
      <w:r w:rsidRPr="00F7610A">
        <w:rPr>
          <w:rFonts w:cs="B Zar"/>
          <w:rtl/>
        </w:rPr>
        <w:t xml:space="preserve"> </w:t>
      </w:r>
      <w:r w:rsidRPr="00F7610A">
        <w:rPr>
          <w:rFonts w:cs="B Zar" w:hint="cs"/>
          <w:rtl/>
        </w:rPr>
        <w:t>ی</w:t>
      </w:r>
      <w:r w:rsidRPr="00F7610A">
        <w:rPr>
          <w:rFonts w:cs="B Zar" w:hint="eastAsia"/>
          <w:rtl/>
        </w:rPr>
        <w:t>ا</w:t>
      </w:r>
      <w:r w:rsidRPr="00F7610A">
        <w:rPr>
          <w:rFonts w:cs="B Zar"/>
          <w:rtl/>
        </w:rPr>
        <w:t xml:space="preserve"> گفتگو درباب كنجكاو</w:t>
      </w:r>
      <w:r w:rsidRPr="00F7610A">
        <w:rPr>
          <w:rFonts w:cs="B Zar" w:hint="cs"/>
          <w:rtl/>
        </w:rPr>
        <w:t>ی</w:t>
      </w:r>
      <w:r w:rsidRPr="00F7610A">
        <w:rPr>
          <w:rFonts w:cs="B Zar"/>
          <w:rtl/>
        </w:rPr>
        <w:t xml:space="preserve"> بشر درباره ماه</w:t>
      </w:r>
      <w:r w:rsidRPr="00F7610A">
        <w:rPr>
          <w:rFonts w:cs="B Zar" w:hint="cs"/>
          <w:rtl/>
        </w:rPr>
        <w:t>ی</w:t>
      </w:r>
      <w:r w:rsidRPr="00F7610A">
        <w:rPr>
          <w:rFonts w:cs="B Zar" w:hint="eastAsia"/>
          <w:rtl/>
        </w:rPr>
        <w:t>ت</w:t>
      </w:r>
      <w:r w:rsidRPr="00F7610A">
        <w:rPr>
          <w:rFonts w:cs="B Zar"/>
          <w:rtl/>
        </w:rPr>
        <w:t xml:space="preserve"> هست</w:t>
      </w:r>
      <w:r w:rsidRPr="00F7610A">
        <w:rPr>
          <w:rFonts w:cs="B Zar" w:hint="cs"/>
          <w:rtl/>
        </w:rPr>
        <w:t>ی</w:t>
      </w:r>
      <w:r w:rsidRPr="00F7610A">
        <w:rPr>
          <w:rFonts w:cs="B Zar"/>
          <w:rtl/>
        </w:rPr>
        <w:t xml:space="preserve"> تعقلات ف</w:t>
      </w:r>
      <w:r w:rsidRPr="00F7610A">
        <w:rPr>
          <w:rFonts w:cs="B Zar" w:hint="cs"/>
          <w:rtl/>
        </w:rPr>
        <w:t>ی</w:t>
      </w:r>
      <w:r w:rsidRPr="00F7610A">
        <w:rPr>
          <w:rFonts w:cs="B Zar" w:hint="eastAsia"/>
          <w:rtl/>
        </w:rPr>
        <w:t>لسوفانه</w:t>
      </w:r>
      <w:r w:rsidRPr="00F7610A">
        <w:rPr>
          <w:rFonts w:cs="B Zar"/>
          <w:rtl/>
        </w:rPr>
        <w:t xml:space="preserve"> در جهت شناخت مبان</w:t>
      </w:r>
      <w:r w:rsidRPr="00F7610A">
        <w:rPr>
          <w:rFonts w:cs="B Zar" w:hint="cs"/>
          <w:rtl/>
        </w:rPr>
        <w:t>ی</w:t>
      </w:r>
      <w:r w:rsidRPr="00F7610A">
        <w:rPr>
          <w:rFonts w:cs="B Zar"/>
          <w:rtl/>
        </w:rPr>
        <w:t xml:space="preserve"> و ر</w:t>
      </w:r>
      <w:r w:rsidRPr="00F7610A">
        <w:rPr>
          <w:rFonts w:cs="B Zar" w:hint="cs"/>
          <w:rtl/>
        </w:rPr>
        <w:t>ی</w:t>
      </w:r>
      <w:r w:rsidRPr="00F7610A">
        <w:rPr>
          <w:rFonts w:cs="B Zar" w:hint="eastAsia"/>
          <w:rtl/>
        </w:rPr>
        <w:t>شه‌ها،</w:t>
      </w:r>
      <w:r w:rsidRPr="00F7610A">
        <w:rPr>
          <w:rFonts w:cs="B Zar"/>
          <w:rtl/>
        </w:rPr>
        <w:t xml:space="preserve"> فهم‌ چرا</w:t>
      </w:r>
      <w:r w:rsidRPr="00F7610A">
        <w:rPr>
          <w:rFonts w:cs="B Zar" w:hint="cs"/>
          <w:rtl/>
        </w:rPr>
        <w:t>یی</w:t>
      </w:r>
      <w:r w:rsidRPr="00F7610A">
        <w:rPr>
          <w:rFonts w:cs="B Zar"/>
          <w:rtl/>
        </w:rPr>
        <w:t xml:space="preserve"> و چگونگ</w:t>
      </w:r>
      <w:r w:rsidRPr="00F7610A">
        <w:rPr>
          <w:rFonts w:cs="B Zar" w:hint="cs"/>
          <w:rtl/>
        </w:rPr>
        <w:t>ی</w:t>
      </w:r>
      <w:r w:rsidRPr="00F7610A">
        <w:rPr>
          <w:rFonts w:cs="B Zar"/>
          <w:rtl/>
        </w:rPr>
        <w:t xml:space="preserve"> امور و ربط و انسجا</w:t>
      </w:r>
      <w:r w:rsidRPr="00F7610A">
        <w:rPr>
          <w:rFonts w:cs="B Zar" w:hint="eastAsia"/>
          <w:rtl/>
        </w:rPr>
        <w:t>م</w:t>
      </w:r>
      <w:r w:rsidRPr="00F7610A">
        <w:rPr>
          <w:rFonts w:cs="B Zar"/>
          <w:rtl/>
        </w:rPr>
        <w:t xml:space="preserve"> درون</w:t>
      </w:r>
      <w:r w:rsidRPr="00F7610A">
        <w:rPr>
          <w:rFonts w:cs="B Zar" w:hint="cs"/>
          <w:rtl/>
        </w:rPr>
        <w:t>ی</w:t>
      </w:r>
      <w:r w:rsidRPr="00F7610A">
        <w:rPr>
          <w:rFonts w:cs="B Zar"/>
          <w:rtl/>
        </w:rPr>
        <w:t xml:space="preserve"> م</w:t>
      </w:r>
      <w:r w:rsidRPr="00F7610A">
        <w:rPr>
          <w:rFonts w:cs="B Zar" w:hint="cs"/>
          <w:rtl/>
        </w:rPr>
        <w:t>ی</w:t>
      </w:r>
      <w:r w:rsidRPr="00F7610A">
        <w:rPr>
          <w:rFonts w:cs="B Zar" w:hint="eastAsia"/>
          <w:rtl/>
        </w:rPr>
        <w:t>ان</w:t>
      </w:r>
      <w:r w:rsidRPr="00F7610A">
        <w:rPr>
          <w:rFonts w:cs="B Zar"/>
          <w:rtl/>
        </w:rPr>
        <w:t xml:space="preserve"> اش</w:t>
      </w:r>
      <w:r w:rsidRPr="00F7610A">
        <w:rPr>
          <w:rFonts w:cs="B Zar" w:hint="cs"/>
          <w:rtl/>
        </w:rPr>
        <w:t>ی</w:t>
      </w:r>
      <w:r w:rsidRPr="00F7610A">
        <w:rPr>
          <w:rFonts w:cs="B Zar" w:hint="eastAsia"/>
          <w:rtl/>
        </w:rPr>
        <w:t>ا</w:t>
      </w:r>
      <w:r w:rsidRPr="00F7610A">
        <w:rPr>
          <w:rFonts w:cs="B Zar" w:hint="cs"/>
          <w:rtl/>
        </w:rPr>
        <w:t>ی</w:t>
      </w:r>
      <w:r w:rsidRPr="00F7610A">
        <w:rPr>
          <w:rFonts w:cs="B Zar"/>
          <w:rtl/>
        </w:rPr>
        <w:t xml:space="preserve"> عالم و حداکثر تب</w:t>
      </w:r>
      <w:r w:rsidRPr="00F7610A">
        <w:rPr>
          <w:rFonts w:cs="B Zar" w:hint="cs"/>
          <w:rtl/>
        </w:rPr>
        <w:t>یی</w:t>
      </w:r>
      <w:r w:rsidRPr="00F7610A">
        <w:rPr>
          <w:rFonts w:cs="B Zar" w:hint="eastAsia"/>
          <w:rtl/>
        </w:rPr>
        <w:t>ن</w:t>
      </w:r>
      <w:r w:rsidRPr="00F7610A">
        <w:rPr>
          <w:rFonts w:cs="B Zar"/>
          <w:rtl/>
        </w:rPr>
        <w:t xml:space="preserve"> پد</w:t>
      </w:r>
      <w:r w:rsidRPr="00F7610A">
        <w:rPr>
          <w:rFonts w:cs="B Zar" w:hint="cs"/>
          <w:rtl/>
        </w:rPr>
        <w:t>ی</w:t>
      </w:r>
      <w:r w:rsidRPr="00F7610A">
        <w:rPr>
          <w:rFonts w:cs="B Zar" w:hint="eastAsia"/>
          <w:rtl/>
        </w:rPr>
        <w:t>ده‌ها</w:t>
      </w:r>
      <w:r w:rsidRPr="00F7610A">
        <w:rPr>
          <w:rFonts w:cs="B Zar"/>
          <w:rtl/>
        </w:rPr>
        <w:t>، رسالت</w:t>
      </w:r>
      <w:r w:rsidRPr="00F7610A">
        <w:rPr>
          <w:rFonts w:cs="B Zar" w:hint="cs"/>
          <w:rtl/>
        </w:rPr>
        <w:t>ی</w:t>
      </w:r>
      <w:r w:rsidRPr="00F7610A">
        <w:rPr>
          <w:rFonts w:cs="B Zar"/>
          <w:rtl/>
        </w:rPr>
        <w:t xml:space="preserve"> د</w:t>
      </w:r>
      <w:r w:rsidRPr="00F7610A">
        <w:rPr>
          <w:rFonts w:cs="B Zar" w:hint="cs"/>
          <w:rtl/>
        </w:rPr>
        <w:t>ی</w:t>
      </w:r>
      <w:r w:rsidRPr="00F7610A">
        <w:rPr>
          <w:rFonts w:cs="B Zar" w:hint="eastAsia"/>
          <w:rtl/>
        </w:rPr>
        <w:t>گر</w:t>
      </w:r>
      <w:r w:rsidRPr="00F7610A">
        <w:rPr>
          <w:rFonts w:cs="B Zar"/>
          <w:rtl/>
        </w:rPr>
        <w:t xml:space="preserve"> برا</w:t>
      </w:r>
      <w:r w:rsidRPr="00F7610A">
        <w:rPr>
          <w:rFonts w:cs="B Zar" w:hint="cs"/>
          <w:rtl/>
        </w:rPr>
        <w:t>ی</w:t>
      </w:r>
      <w:r w:rsidRPr="00F7610A">
        <w:rPr>
          <w:rFonts w:cs="B Zar"/>
          <w:rtl/>
        </w:rPr>
        <w:t xml:space="preserve"> ف</w:t>
      </w:r>
      <w:r w:rsidRPr="00F7610A">
        <w:rPr>
          <w:rFonts w:cs="B Zar" w:hint="cs"/>
          <w:rtl/>
        </w:rPr>
        <w:t>ی</w:t>
      </w:r>
      <w:r w:rsidRPr="00F7610A">
        <w:rPr>
          <w:rFonts w:cs="B Zar" w:hint="eastAsia"/>
          <w:rtl/>
        </w:rPr>
        <w:t>لسوف</w:t>
      </w:r>
      <w:r w:rsidRPr="00F7610A">
        <w:rPr>
          <w:rFonts w:cs="B Zar"/>
          <w:rtl/>
        </w:rPr>
        <w:t xml:space="preserve"> قائل بوده و از دردها و رنج</w:t>
      </w:r>
      <w:r w:rsidR="00D1392C">
        <w:rPr>
          <w:rFonts w:cs="B Zar" w:hint="cs"/>
          <w:rtl/>
        </w:rPr>
        <w:t>‌</w:t>
      </w:r>
      <w:r w:rsidRPr="00F7610A">
        <w:rPr>
          <w:rFonts w:cs="B Zar"/>
          <w:rtl/>
        </w:rPr>
        <w:t>ها</w:t>
      </w:r>
      <w:r w:rsidRPr="00F7610A">
        <w:rPr>
          <w:rFonts w:cs="B Zar" w:hint="cs"/>
          <w:rtl/>
        </w:rPr>
        <w:t>ی</w:t>
      </w:r>
      <w:r w:rsidRPr="00F7610A">
        <w:rPr>
          <w:rFonts w:cs="B Zar"/>
          <w:rtl/>
        </w:rPr>
        <w:t xml:space="preserve"> اجتناب ناپذ</w:t>
      </w:r>
      <w:r w:rsidRPr="00F7610A">
        <w:rPr>
          <w:rFonts w:cs="B Zar" w:hint="cs"/>
          <w:rtl/>
        </w:rPr>
        <w:t>ی</w:t>
      </w:r>
      <w:r w:rsidRPr="00F7610A">
        <w:rPr>
          <w:rFonts w:cs="B Zar" w:hint="eastAsia"/>
          <w:rtl/>
        </w:rPr>
        <w:t>ر</w:t>
      </w:r>
      <w:r w:rsidRPr="00F7610A">
        <w:rPr>
          <w:rFonts w:cs="B Zar"/>
          <w:rtl/>
        </w:rPr>
        <w:t xml:space="preserve"> آدم</w:t>
      </w:r>
      <w:r w:rsidRPr="00F7610A">
        <w:rPr>
          <w:rFonts w:cs="B Zar" w:hint="cs"/>
          <w:rtl/>
        </w:rPr>
        <w:t>ی</w:t>
      </w:r>
      <w:r w:rsidRPr="00F7610A">
        <w:rPr>
          <w:rFonts w:cs="B Zar"/>
          <w:rtl/>
        </w:rPr>
        <w:t xml:space="preserve">  و راه ها</w:t>
      </w:r>
      <w:r w:rsidRPr="00F7610A">
        <w:rPr>
          <w:rFonts w:cs="B Zar" w:hint="cs"/>
          <w:rtl/>
        </w:rPr>
        <w:t>ی</w:t>
      </w:r>
      <w:r w:rsidRPr="00F7610A">
        <w:rPr>
          <w:rFonts w:cs="B Zar"/>
          <w:rtl/>
        </w:rPr>
        <w:t xml:space="preserve"> عمل</w:t>
      </w:r>
      <w:r w:rsidRPr="00F7610A">
        <w:rPr>
          <w:rFonts w:cs="B Zar" w:hint="cs"/>
          <w:rtl/>
        </w:rPr>
        <w:t>ی</w:t>
      </w:r>
      <w:r w:rsidRPr="00F7610A">
        <w:rPr>
          <w:rFonts w:cs="B Zar"/>
          <w:rtl/>
        </w:rPr>
        <w:t xml:space="preserve"> رها</w:t>
      </w:r>
      <w:r w:rsidRPr="00F7610A">
        <w:rPr>
          <w:rFonts w:cs="B Zar" w:hint="cs"/>
          <w:rtl/>
        </w:rPr>
        <w:t>یی</w:t>
      </w:r>
      <w:r w:rsidRPr="00F7610A">
        <w:rPr>
          <w:rFonts w:cs="B Zar"/>
          <w:rtl/>
        </w:rPr>
        <w:t xml:space="preserve"> از ا</w:t>
      </w:r>
      <w:r w:rsidRPr="00F7610A">
        <w:rPr>
          <w:rFonts w:cs="B Zar" w:hint="cs"/>
          <w:rtl/>
        </w:rPr>
        <w:t>ی</w:t>
      </w:r>
      <w:r w:rsidRPr="00F7610A">
        <w:rPr>
          <w:rFonts w:cs="B Zar" w:hint="eastAsia"/>
          <w:rtl/>
        </w:rPr>
        <w:t>ن</w:t>
      </w:r>
      <w:r w:rsidRPr="00F7610A">
        <w:rPr>
          <w:rFonts w:cs="B Zar"/>
          <w:rtl/>
        </w:rPr>
        <w:t xml:space="preserve"> رنج ها سخن در م</w:t>
      </w:r>
      <w:r w:rsidRPr="00F7610A">
        <w:rPr>
          <w:rFonts w:cs="B Zar" w:hint="cs"/>
          <w:rtl/>
        </w:rPr>
        <w:t>ی</w:t>
      </w:r>
      <w:r w:rsidRPr="00F7610A">
        <w:rPr>
          <w:rFonts w:cs="B Zar" w:hint="eastAsia"/>
          <w:rtl/>
        </w:rPr>
        <w:t>ان</w:t>
      </w:r>
      <w:r w:rsidRPr="00F7610A">
        <w:rPr>
          <w:rFonts w:cs="B Zar"/>
          <w:rtl/>
        </w:rPr>
        <w:t xml:space="preserve"> م</w:t>
      </w:r>
      <w:r w:rsidRPr="00F7610A">
        <w:rPr>
          <w:rFonts w:cs="B Zar" w:hint="cs"/>
          <w:rtl/>
        </w:rPr>
        <w:t>ی</w:t>
      </w:r>
      <w:r w:rsidR="00D1392C">
        <w:rPr>
          <w:rFonts w:cs="B Zar" w:hint="cs"/>
          <w:rtl/>
        </w:rPr>
        <w:t>‌</w:t>
      </w:r>
      <w:r w:rsidRPr="00F7610A">
        <w:rPr>
          <w:rFonts w:cs="B Zar"/>
          <w:rtl/>
        </w:rPr>
        <w:t>آ</w:t>
      </w:r>
      <w:r w:rsidRPr="00F7610A">
        <w:rPr>
          <w:rFonts w:cs="B Zar" w:hint="cs"/>
          <w:rtl/>
        </w:rPr>
        <w:t>ی</w:t>
      </w:r>
      <w:r w:rsidRPr="00F7610A">
        <w:rPr>
          <w:rFonts w:cs="B Zar" w:hint="eastAsia"/>
          <w:rtl/>
        </w:rPr>
        <w:t>د</w:t>
      </w:r>
      <w:r w:rsidRPr="00F7610A">
        <w:rPr>
          <w:rFonts w:cs="B Zar"/>
          <w:rtl/>
        </w:rPr>
        <w:t>. به د</w:t>
      </w:r>
      <w:r w:rsidRPr="00F7610A">
        <w:rPr>
          <w:rFonts w:cs="B Zar" w:hint="cs"/>
          <w:rtl/>
        </w:rPr>
        <w:t>ی</w:t>
      </w:r>
      <w:r w:rsidRPr="00F7610A">
        <w:rPr>
          <w:rFonts w:cs="B Zar" w:hint="eastAsia"/>
          <w:rtl/>
        </w:rPr>
        <w:t>گر</w:t>
      </w:r>
      <w:r w:rsidRPr="00F7610A">
        <w:rPr>
          <w:rFonts w:cs="B Zar"/>
          <w:rtl/>
        </w:rPr>
        <w:t xml:space="preserve"> سخن، در فلسفه هند همه تب</w:t>
      </w:r>
      <w:r w:rsidRPr="00F7610A">
        <w:rPr>
          <w:rFonts w:cs="B Zar" w:hint="cs"/>
          <w:rtl/>
        </w:rPr>
        <w:t>یی</w:t>
      </w:r>
      <w:r w:rsidRPr="00F7610A">
        <w:rPr>
          <w:rFonts w:cs="B Zar" w:hint="eastAsia"/>
          <w:rtl/>
        </w:rPr>
        <w:t>ن‌ها</w:t>
      </w:r>
      <w:r w:rsidRPr="00F7610A">
        <w:rPr>
          <w:rFonts w:cs="B Zar"/>
          <w:rtl/>
        </w:rPr>
        <w:t xml:space="preserve"> و مفهوم‌پرداز</w:t>
      </w:r>
      <w:r w:rsidRPr="00F7610A">
        <w:rPr>
          <w:rFonts w:cs="B Zar" w:hint="cs"/>
          <w:rtl/>
        </w:rPr>
        <w:t>ی‌</w:t>
      </w:r>
      <w:r w:rsidRPr="00F7610A">
        <w:rPr>
          <w:rFonts w:cs="B Zar" w:hint="eastAsia"/>
          <w:rtl/>
        </w:rPr>
        <w:t>ها</w:t>
      </w:r>
      <w:r w:rsidRPr="00F7610A">
        <w:rPr>
          <w:rFonts w:cs="B Zar"/>
          <w:rtl/>
        </w:rPr>
        <w:t xml:space="preserve"> با</w:t>
      </w:r>
      <w:r w:rsidRPr="00F7610A">
        <w:rPr>
          <w:rFonts w:cs="B Zar" w:hint="cs"/>
          <w:rtl/>
        </w:rPr>
        <w:t>ی</w:t>
      </w:r>
      <w:r w:rsidRPr="00F7610A">
        <w:rPr>
          <w:rFonts w:cs="B Zar" w:hint="eastAsia"/>
          <w:rtl/>
        </w:rPr>
        <w:t>د</w:t>
      </w:r>
      <w:r w:rsidRPr="00F7610A">
        <w:rPr>
          <w:rFonts w:cs="B Zar"/>
          <w:rtl/>
        </w:rPr>
        <w:t xml:space="preserve"> به عمل منجر </w:t>
      </w:r>
      <w:r w:rsidRPr="00F7610A">
        <w:rPr>
          <w:rFonts w:cs="B Zar" w:hint="eastAsia"/>
          <w:rtl/>
        </w:rPr>
        <w:t>شود</w:t>
      </w:r>
      <w:r w:rsidRPr="00F7610A">
        <w:rPr>
          <w:rFonts w:cs="B Zar"/>
          <w:rtl/>
        </w:rPr>
        <w:t>.هم</w:t>
      </w:r>
      <w:r w:rsidRPr="00F7610A">
        <w:rPr>
          <w:rFonts w:cs="B Zar" w:hint="cs"/>
          <w:rtl/>
        </w:rPr>
        <w:t>ی</w:t>
      </w:r>
      <w:r w:rsidRPr="00F7610A">
        <w:rPr>
          <w:rFonts w:cs="B Zar" w:hint="eastAsia"/>
          <w:rtl/>
        </w:rPr>
        <w:t>ن</w:t>
      </w:r>
      <w:r w:rsidRPr="00F7610A">
        <w:rPr>
          <w:rFonts w:cs="B Zar"/>
          <w:rtl/>
        </w:rPr>
        <w:t xml:space="preserve"> مساله است که نقطه اتصال و پيوستگي د</w:t>
      </w:r>
      <w:r w:rsidRPr="00F7610A">
        <w:rPr>
          <w:rFonts w:cs="B Zar" w:hint="cs"/>
          <w:rtl/>
        </w:rPr>
        <w:t>ی</w:t>
      </w:r>
      <w:r w:rsidRPr="00F7610A">
        <w:rPr>
          <w:rFonts w:cs="B Zar" w:hint="eastAsia"/>
          <w:rtl/>
        </w:rPr>
        <w:t>ن</w:t>
      </w:r>
      <w:r w:rsidRPr="00F7610A">
        <w:rPr>
          <w:rFonts w:cs="B Zar"/>
          <w:rtl/>
        </w:rPr>
        <w:t xml:space="preserve"> و فلسفه در تار</w:t>
      </w:r>
      <w:r w:rsidRPr="00F7610A">
        <w:rPr>
          <w:rFonts w:cs="B Zar" w:hint="cs"/>
          <w:rtl/>
        </w:rPr>
        <w:t>ی</w:t>
      </w:r>
      <w:r w:rsidRPr="00F7610A">
        <w:rPr>
          <w:rFonts w:cs="B Zar" w:hint="eastAsia"/>
          <w:rtl/>
        </w:rPr>
        <w:t>خ</w:t>
      </w:r>
      <w:r w:rsidRPr="00F7610A">
        <w:rPr>
          <w:rFonts w:cs="B Zar"/>
          <w:rtl/>
        </w:rPr>
        <w:t xml:space="preserve"> اند</w:t>
      </w:r>
      <w:r w:rsidRPr="00F7610A">
        <w:rPr>
          <w:rFonts w:cs="B Zar" w:hint="cs"/>
          <w:rtl/>
        </w:rPr>
        <w:t>ی</w:t>
      </w:r>
      <w:r w:rsidRPr="00F7610A">
        <w:rPr>
          <w:rFonts w:cs="B Zar" w:hint="eastAsia"/>
          <w:rtl/>
        </w:rPr>
        <w:t>شه</w:t>
      </w:r>
      <w:r w:rsidRPr="00F7610A">
        <w:rPr>
          <w:rFonts w:cs="B Zar"/>
          <w:rtl/>
        </w:rPr>
        <w:t xml:space="preserve"> هند را فراهم آورده است.</w:t>
      </w:r>
    </w:p>
    <w:p w:rsidR="00F7610A" w:rsidRPr="00F7610A" w:rsidP="00E4739F">
      <w:pPr>
        <w:widowControl w:val="0"/>
        <w:spacing w:line="420" w:lineRule="exact"/>
        <w:ind w:left="0" w:right="0"/>
        <w:jc w:val="both"/>
        <w:rPr>
          <w:rFonts w:cs="B Zar"/>
          <w:rtl/>
        </w:rPr>
      </w:pPr>
      <w:r w:rsidRPr="00F7610A">
        <w:rPr>
          <w:rFonts w:cs="B Zar" w:hint="eastAsia"/>
          <w:rtl/>
        </w:rPr>
        <w:t>مهم</w:t>
      </w:r>
      <w:r w:rsidRPr="00F7610A">
        <w:rPr>
          <w:rFonts w:cs="B Zar"/>
          <w:rtl/>
        </w:rPr>
        <w:t xml:space="preserve"> تر</w:t>
      </w:r>
      <w:r w:rsidRPr="00F7610A">
        <w:rPr>
          <w:rFonts w:cs="B Zar" w:hint="cs"/>
          <w:rtl/>
        </w:rPr>
        <w:t>ی</w:t>
      </w:r>
      <w:r w:rsidRPr="00F7610A">
        <w:rPr>
          <w:rFonts w:cs="B Zar" w:hint="eastAsia"/>
          <w:rtl/>
        </w:rPr>
        <w:t>ن</w:t>
      </w:r>
      <w:r w:rsidRPr="00F7610A">
        <w:rPr>
          <w:rFonts w:cs="B Zar"/>
          <w:rtl/>
        </w:rPr>
        <w:t xml:space="preserve"> نکته ا</w:t>
      </w:r>
      <w:r w:rsidRPr="00F7610A">
        <w:rPr>
          <w:rFonts w:cs="B Zar" w:hint="cs"/>
          <w:rtl/>
        </w:rPr>
        <w:t>ی</w:t>
      </w:r>
      <w:r w:rsidRPr="00F7610A">
        <w:rPr>
          <w:rFonts w:cs="B Zar"/>
          <w:rtl/>
        </w:rPr>
        <w:t xml:space="preserve"> که در تار</w:t>
      </w:r>
      <w:r w:rsidRPr="00F7610A">
        <w:rPr>
          <w:rFonts w:cs="B Zar" w:hint="cs"/>
          <w:rtl/>
        </w:rPr>
        <w:t>ی</w:t>
      </w:r>
      <w:r w:rsidRPr="00F7610A">
        <w:rPr>
          <w:rFonts w:cs="B Zar" w:hint="eastAsia"/>
          <w:rtl/>
        </w:rPr>
        <w:t>خ</w:t>
      </w:r>
      <w:r w:rsidRPr="00F7610A">
        <w:rPr>
          <w:rFonts w:cs="B Zar"/>
          <w:rtl/>
        </w:rPr>
        <w:t xml:space="preserve"> اند</w:t>
      </w:r>
      <w:r w:rsidRPr="00F7610A">
        <w:rPr>
          <w:rFonts w:cs="B Zar" w:hint="cs"/>
          <w:rtl/>
        </w:rPr>
        <w:t>ی</w:t>
      </w:r>
      <w:r w:rsidRPr="00F7610A">
        <w:rPr>
          <w:rFonts w:cs="B Zar" w:hint="eastAsia"/>
          <w:rtl/>
        </w:rPr>
        <w:t>شه</w:t>
      </w:r>
      <w:r w:rsidRPr="00F7610A">
        <w:rPr>
          <w:rFonts w:cs="B Zar"/>
          <w:rtl/>
        </w:rPr>
        <w:t xml:space="preserve"> و مکاتب فلسف</w:t>
      </w:r>
      <w:r w:rsidRPr="00F7610A">
        <w:rPr>
          <w:rFonts w:cs="B Zar" w:hint="cs"/>
          <w:rtl/>
        </w:rPr>
        <w:t>ی</w:t>
      </w:r>
      <w:r w:rsidRPr="00F7610A">
        <w:rPr>
          <w:rFonts w:cs="B Zar"/>
          <w:rtl/>
        </w:rPr>
        <w:t xml:space="preserve"> هند نبا</w:t>
      </w:r>
      <w:r w:rsidRPr="00F7610A">
        <w:rPr>
          <w:rFonts w:cs="B Zar" w:hint="cs"/>
          <w:rtl/>
        </w:rPr>
        <w:t>ی</w:t>
      </w:r>
      <w:r w:rsidRPr="00F7610A">
        <w:rPr>
          <w:rFonts w:cs="B Zar" w:hint="eastAsia"/>
          <w:rtl/>
        </w:rPr>
        <w:t>د</w:t>
      </w:r>
      <w:r w:rsidRPr="00F7610A">
        <w:rPr>
          <w:rFonts w:cs="B Zar"/>
          <w:rtl/>
        </w:rPr>
        <w:t xml:space="preserve"> از خاطر برد معنو</w:t>
      </w:r>
      <w:r w:rsidRPr="00F7610A">
        <w:rPr>
          <w:rFonts w:cs="B Zar" w:hint="cs"/>
          <w:rtl/>
        </w:rPr>
        <w:t>ی</w:t>
      </w:r>
      <w:r w:rsidRPr="00F7610A">
        <w:rPr>
          <w:rFonts w:cs="B Zar" w:hint="eastAsia"/>
          <w:rtl/>
        </w:rPr>
        <w:t>ت‌گرا</w:t>
      </w:r>
      <w:r w:rsidRPr="00F7610A">
        <w:rPr>
          <w:rFonts w:cs="B Zar" w:hint="cs"/>
          <w:rtl/>
        </w:rPr>
        <w:t>یی</w:t>
      </w:r>
      <w:r w:rsidRPr="00F7610A">
        <w:rPr>
          <w:rFonts w:cs="B Zar"/>
          <w:rtl/>
        </w:rPr>
        <w:t xml:space="preserve"> است. فلسفه در هند بر پا</w:t>
      </w:r>
      <w:r w:rsidRPr="00F7610A">
        <w:rPr>
          <w:rFonts w:cs="B Zar" w:hint="cs"/>
          <w:rtl/>
        </w:rPr>
        <w:t>ی</w:t>
      </w:r>
      <w:r w:rsidRPr="00F7610A">
        <w:rPr>
          <w:rFonts w:cs="B Zar" w:hint="eastAsia"/>
          <w:rtl/>
        </w:rPr>
        <w:t>ه</w:t>
      </w:r>
      <w:r w:rsidRPr="00F7610A">
        <w:rPr>
          <w:rFonts w:cs="B Zar"/>
          <w:rtl/>
        </w:rPr>
        <w:t xml:space="preserve"> باور به وجود روح مستقل از ماده شكل گرفته است و به استثنا</w:t>
      </w:r>
      <w:r w:rsidRPr="00F7610A">
        <w:rPr>
          <w:rFonts w:cs="B Zar" w:hint="cs"/>
          <w:rtl/>
        </w:rPr>
        <w:t>ی</w:t>
      </w:r>
      <w:r w:rsidRPr="00F7610A">
        <w:rPr>
          <w:rFonts w:cs="B Zar"/>
          <w:rtl/>
        </w:rPr>
        <w:t xml:space="preserve"> </w:t>
      </w:r>
      <w:r w:rsidRPr="00F7610A">
        <w:rPr>
          <w:rFonts w:cs="B Zar" w:hint="cs"/>
          <w:rtl/>
        </w:rPr>
        <w:t>ی</w:t>
      </w:r>
      <w:r w:rsidRPr="00F7610A">
        <w:rPr>
          <w:rFonts w:cs="B Zar" w:hint="eastAsia"/>
          <w:rtl/>
        </w:rPr>
        <w:t>ك</w:t>
      </w:r>
      <w:r w:rsidRPr="00F7610A">
        <w:rPr>
          <w:rFonts w:cs="B Zar"/>
          <w:rtl/>
        </w:rPr>
        <w:t xml:space="preserve"> مكتب ماتر</w:t>
      </w:r>
      <w:r w:rsidRPr="00F7610A">
        <w:rPr>
          <w:rFonts w:cs="B Zar" w:hint="cs"/>
          <w:rtl/>
        </w:rPr>
        <w:t>ی</w:t>
      </w:r>
      <w:r w:rsidRPr="00F7610A">
        <w:rPr>
          <w:rFonts w:cs="B Zar" w:hint="eastAsia"/>
          <w:rtl/>
        </w:rPr>
        <w:t>ال</w:t>
      </w:r>
      <w:r w:rsidRPr="00F7610A">
        <w:rPr>
          <w:rFonts w:cs="B Zar" w:hint="cs"/>
          <w:rtl/>
        </w:rPr>
        <w:t>ی</w:t>
      </w:r>
      <w:r w:rsidRPr="00F7610A">
        <w:rPr>
          <w:rFonts w:cs="B Zar" w:hint="eastAsia"/>
          <w:rtl/>
        </w:rPr>
        <w:t>ست</w:t>
      </w:r>
      <w:r w:rsidRPr="00F7610A">
        <w:rPr>
          <w:rFonts w:cs="B Zar"/>
          <w:rtl/>
        </w:rPr>
        <w:t xml:space="preserve"> (چارواكا)،  تمام مکاتب فلسف</w:t>
      </w:r>
      <w:r w:rsidRPr="00F7610A">
        <w:rPr>
          <w:rFonts w:cs="B Zar" w:hint="cs"/>
          <w:rtl/>
        </w:rPr>
        <w:t>ی</w:t>
      </w:r>
      <w:r w:rsidRPr="00F7610A">
        <w:rPr>
          <w:rFonts w:cs="B Zar"/>
          <w:rtl/>
        </w:rPr>
        <w:t xml:space="preserve"> د</w:t>
      </w:r>
      <w:r w:rsidRPr="00F7610A">
        <w:rPr>
          <w:rFonts w:cs="B Zar" w:hint="cs"/>
          <w:rtl/>
        </w:rPr>
        <w:t>ی</w:t>
      </w:r>
      <w:r w:rsidRPr="00F7610A">
        <w:rPr>
          <w:rFonts w:cs="B Zar" w:hint="eastAsia"/>
          <w:rtl/>
        </w:rPr>
        <w:t>گر</w:t>
      </w:r>
      <w:r w:rsidRPr="00F7610A">
        <w:rPr>
          <w:rFonts w:cs="B Zar"/>
          <w:rtl/>
        </w:rPr>
        <w:t xml:space="preserve"> به وجود روح عم</w:t>
      </w:r>
      <w:r w:rsidRPr="00F7610A">
        <w:rPr>
          <w:rFonts w:cs="B Zar" w:hint="cs"/>
          <w:rtl/>
        </w:rPr>
        <w:t>ی</w:t>
      </w:r>
      <w:r w:rsidRPr="00F7610A">
        <w:rPr>
          <w:rFonts w:cs="B Zar" w:hint="eastAsia"/>
          <w:rtl/>
        </w:rPr>
        <w:t>قا</w:t>
      </w:r>
      <w:r w:rsidRPr="00F7610A">
        <w:rPr>
          <w:rFonts w:cs="B Zar"/>
          <w:rtl/>
        </w:rPr>
        <w:t xml:space="preserve"> اعتقاد داشته و ب</w:t>
      </w:r>
      <w:r w:rsidRPr="00F7610A">
        <w:rPr>
          <w:rFonts w:cs="B Zar" w:hint="eastAsia"/>
          <w:rtl/>
        </w:rPr>
        <w:t>ا</w:t>
      </w:r>
      <w:r w:rsidRPr="00F7610A">
        <w:rPr>
          <w:rFonts w:cs="B Zar"/>
          <w:rtl/>
        </w:rPr>
        <w:t xml:space="preserve"> تصر</w:t>
      </w:r>
      <w:r w:rsidRPr="00F7610A">
        <w:rPr>
          <w:rFonts w:cs="B Zar" w:hint="cs"/>
          <w:rtl/>
        </w:rPr>
        <w:t>ی</w:t>
      </w:r>
      <w:r w:rsidRPr="00F7610A">
        <w:rPr>
          <w:rFonts w:cs="B Zar" w:hint="eastAsia"/>
          <w:rtl/>
        </w:rPr>
        <w:t>ح</w:t>
      </w:r>
      <w:r w:rsidRPr="00F7610A">
        <w:rPr>
          <w:rFonts w:cs="B Zar"/>
          <w:rtl/>
        </w:rPr>
        <w:t xml:space="preserve"> </w:t>
      </w:r>
      <w:r w:rsidRPr="00F7610A">
        <w:rPr>
          <w:rFonts w:cs="B Zar" w:hint="cs"/>
          <w:rtl/>
        </w:rPr>
        <w:t>ی</w:t>
      </w:r>
      <w:r w:rsidRPr="00F7610A">
        <w:rPr>
          <w:rFonts w:cs="B Zar" w:hint="eastAsia"/>
          <w:rtl/>
        </w:rPr>
        <w:t>ا</w:t>
      </w:r>
      <w:r w:rsidRPr="00F7610A">
        <w:rPr>
          <w:rFonts w:cs="B Zar"/>
          <w:rtl/>
        </w:rPr>
        <w:t xml:space="preserve"> کنا</w:t>
      </w:r>
      <w:r w:rsidRPr="00F7610A">
        <w:rPr>
          <w:rFonts w:cs="B Zar" w:hint="cs"/>
          <w:rtl/>
        </w:rPr>
        <w:t>ی</w:t>
      </w:r>
      <w:r w:rsidRPr="00F7610A">
        <w:rPr>
          <w:rFonts w:cs="B Zar" w:hint="eastAsia"/>
          <w:rtl/>
        </w:rPr>
        <w:t>ه</w:t>
      </w:r>
      <w:r w:rsidRPr="00F7610A">
        <w:rPr>
          <w:rFonts w:cs="B Zar"/>
          <w:rtl/>
        </w:rPr>
        <w:t xml:space="preserve"> به آن اشاره کرده اند. هم</w:t>
      </w:r>
      <w:r w:rsidRPr="00F7610A">
        <w:rPr>
          <w:rFonts w:cs="B Zar" w:hint="cs"/>
          <w:rtl/>
        </w:rPr>
        <w:t>ی</w:t>
      </w:r>
      <w:r w:rsidRPr="00F7610A">
        <w:rPr>
          <w:rFonts w:cs="B Zar" w:hint="eastAsia"/>
          <w:rtl/>
        </w:rPr>
        <w:t>ن</w:t>
      </w:r>
      <w:r w:rsidRPr="00F7610A">
        <w:rPr>
          <w:rFonts w:cs="B Zar"/>
          <w:rtl/>
        </w:rPr>
        <w:t xml:space="preserve"> نکته باعث گرد</w:t>
      </w:r>
      <w:r w:rsidRPr="00F7610A">
        <w:rPr>
          <w:rFonts w:cs="B Zar" w:hint="cs"/>
          <w:rtl/>
        </w:rPr>
        <w:t>ی</w:t>
      </w:r>
      <w:r w:rsidRPr="00F7610A">
        <w:rPr>
          <w:rFonts w:cs="B Zar" w:hint="eastAsia"/>
          <w:rtl/>
        </w:rPr>
        <w:t>ده</w:t>
      </w:r>
      <w:r w:rsidRPr="00F7610A">
        <w:rPr>
          <w:rFonts w:cs="B Zar"/>
          <w:rtl/>
        </w:rPr>
        <w:t xml:space="preserve"> است که ا</w:t>
      </w:r>
      <w:r w:rsidRPr="00F7610A">
        <w:rPr>
          <w:rFonts w:cs="B Zar" w:hint="cs"/>
          <w:rtl/>
        </w:rPr>
        <w:t>ی</w:t>
      </w:r>
      <w:r w:rsidRPr="00F7610A">
        <w:rPr>
          <w:rFonts w:cs="B Zar" w:hint="eastAsia"/>
          <w:rtl/>
        </w:rPr>
        <w:t>ن</w:t>
      </w:r>
      <w:r w:rsidRPr="00F7610A">
        <w:rPr>
          <w:rFonts w:cs="B Zar"/>
          <w:rtl/>
        </w:rPr>
        <w:t xml:space="preserve"> مکاتب صبغ</w:t>
      </w:r>
      <w:r w:rsidRPr="00F7610A">
        <w:rPr>
          <w:rFonts w:ascii="Tahoma" w:hAnsi="Tahoma" w:cs="B Zar" w:hint="cs"/>
          <w:rtl/>
        </w:rPr>
        <w:t>ۀ</w:t>
      </w:r>
      <w:r w:rsidRPr="00F7610A">
        <w:rPr>
          <w:rFonts w:cs="B Zar"/>
          <w:rtl/>
        </w:rPr>
        <w:t xml:space="preserve"> معنو</w:t>
      </w:r>
      <w:r w:rsidRPr="00F7610A">
        <w:rPr>
          <w:rFonts w:cs="B Zar" w:hint="cs"/>
          <w:rtl/>
        </w:rPr>
        <w:t>ی</w:t>
      </w:r>
      <w:r w:rsidRPr="00F7610A">
        <w:rPr>
          <w:rFonts w:cs="B Zar"/>
          <w:rtl/>
        </w:rPr>
        <w:t xml:space="preserve"> خاص</w:t>
      </w:r>
      <w:r w:rsidRPr="00F7610A">
        <w:rPr>
          <w:rFonts w:cs="B Zar" w:hint="cs"/>
          <w:rtl/>
        </w:rPr>
        <w:t>ی</w:t>
      </w:r>
      <w:r w:rsidRPr="00F7610A">
        <w:rPr>
          <w:rFonts w:cs="B Zar"/>
          <w:rtl/>
        </w:rPr>
        <w:t xml:space="preserve"> پ</w:t>
      </w:r>
      <w:r w:rsidRPr="00F7610A">
        <w:rPr>
          <w:rFonts w:cs="B Zar" w:hint="cs"/>
          <w:rtl/>
        </w:rPr>
        <w:t>ی</w:t>
      </w:r>
      <w:r w:rsidRPr="00F7610A">
        <w:rPr>
          <w:rFonts w:cs="B Zar" w:hint="eastAsia"/>
          <w:rtl/>
        </w:rPr>
        <w:t>دا</w:t>
      </w:r>
      <w:r w:rsidRPr="00F7610A">
        <w:rPr>
          <w:rFonts w:cs="B Zar"/>
          <w:rtl/>
        </w:rPr>
        <w:t xml:space="preserve"> کنند.</w:t>
      </w:r>
    </w:p>
    <w:p w:rsidR="00F7610A" w:rsidRPr="00F7610A" w:rsidP="00D1392C">
      <w:pPr>
        <w:widowControl w:val="0"/>
        <w:spacing w:line="420" w:lineRule="exact"/>
        <w:ind w:left="0" w:right="0"/>
        <w:jc w:val="both"/>
        <w:rPr>
          <w:rFonts w:cs="B Zar"/>
          <w:rtl/>
        </w:rPr>
      </w:pPr>
      <w:r w:rsidRPr="00F7610A">
        <w:rPr>
          <w:rFonts w:cs="B Zar" w:hint="eastAsia"/>
          <w:rtl/>
        </w:rPr>
        <w:t>سخن</w:t>
      </w:r>
      <w:r w:rsidRPr="00F7610A">
        <w:rPr>
          <w:rFonts w:cs="B Zar"/>
          <w:rtl/>
        </w:rPr>
        <w:t xml:space="preserve"> درباره وجوه افتراق فلسفه ها</w:t>
      </w:r>
      <w:r w:rsidRPr="00F7610A">
        <w:rPr>
          <w:rFonts w:cs="B Zar" w:hint="cs"/>
          <w:rtl/>
        </w:rPr>
        <w:t>ی</w:t>
      </w:r>
      <w:r w:rsidRPr="00F7610A">
        <w:rPr>
          <w:rFonts w:cs="B Zar"/>
          <w:rtl/>
        </w:rPr>
        <w:t xml:space="preserve"> هند</w:t>
      </w:r>
      <w:r w:rsidRPr="00F7610A">
        <w:rPr>
          <w:rFonts w:cs="B Zar" w:hint="cs"/>
          <w:rtl/>
        </w:rPr>
        <w:t>ی</w:t>
      </w:r>
      <w:r w:rsidRPr="00F7610A">
        <w:rPr>
          <w:rFonts w:cs="B Zar"/>
          <w:rtl/>
        </w:rPr>
        <w:t xml:space="preserve"> و غرب</w:t>
      </w:r>
      <w:r w:rsidRPr="00F7610A">
        <w:rPr>
          <w:rFonts w:cs="B Zar" w:hint="cs"/>
          <w:rtl/>
        </w:rPr>
        <w:t>ی</w:t>
      </w:r>
      <w:r w:rsidRPr="00F7610A">
        <w:rPr>
          <w:rFonts w:cs="B Zar"/>
          <w:rtl/>
        </w:rPr>
        <w:t xml:space="preserve"> بس</w:t>
      </w:r>
      <w:r w:rsidRPr="00F7610A">
        <w:rPr>
          <w:rFonts w:cs="B Zar" w:hint="cs"/>
          <w:rtl/>
        </w:rPr>
        <w:t>ی</w:t>
      </w:r>
      <w:r w:rsidRPr="00F7610A">
        <w:rPr>
          <w:rFonts w:cs="B Zar" w:hint="eastAsia"/>
          <w:rtl/>
        </w:rPr>
        <w:t>ار</w:t>
      </w:r>
      <w:r w:rsidRPr="00F7610A">
        <w:rPr>
          <w:rFonts w:cs="B Zar"/>
          <w:rtl/>
        </w:rPr>
        <w:t xml:space="preserve"> است اما پا</w:t>
      </w:r>
      <w:r w:rsidRPr="00F7610A">
        <w:rPr>
          <w:rFonts w:cs="B Zar" w:hint="cs"/>
          <w:rtl/>
        </w:rPr>
        <w:t>ی</w:t>
      </w:r>
      <w:r w:rsidRPr="00F7610A">
        <w:rPr>
          <w:rFonts w:cs="B Zar"/>
          <w:rtl/>
        </w:rPr>
        <w:t xml:space="preserve"> در دامن قناعت  م</w:t>
      </w:r>
      <w:r w:rsidRPr="00F7610A">
        <w:rPr>
          <w:rFonts w:cs="B Zar" w:hint="cs"/>
          <w:rtl/>
        </w:rPr>
        <w:t>ی</w:t>
      </w:r>
      <w:r w:rsidRPr="00F7610A">
        <w:rPr>
          <w:rFonts w:cs="B Zar"/>
          <w:rtl/>
        </w:rPr>
        <w:t xml:space="preserve"> کش</w:t>
      </w:r>
      <w:r w:rsidRPr="00F7610A">
        <w:rPr>
          <w:rFonts w:cs="B Zar" w:hint="cs"/>
          <w:rtl/>
        </w:rPr>
        <w:t>ی</w:t>
      </w:r>
      <w:r w:rsidRPr="00F7610A">
        <w:rPr>
          <w:rFonts w:cs="B Zar" w:hint="eastAsia"/>
          <w:rtl/>
        </w:rPr>
        <w:t>م</w:t>
      </w:r>
      <w:r w:rsidRPr="00F7610A">
        <w:rPr>
          <w:rFonts w:cs="B Zar"/>
          <w:rtl/>
        </w:rPr>
        <w:t xml:space="preserve"> و مخاطبان فره</w:t>
      </w:r>
      <w:r w:rsidRPr="00F7610A">
        <w:rPr>
          <w:rFonts w:cs="B Zar" w:hint="cs"/>
          <w:rtl/>
        </w:rPr>
        <w:t>ی</w:t>
      </w:r>
      <w:r w:rsidRPr="00F7610A">
        <w:rPr>
          <w:rFonts w:cs="B Zar" w:hint="eastAsia"/>
          <w:rtl/>
        </w:rPr>
        <w:t>خته</w:t>
      </w:r>
      <w:r w:rsidRPr="00F7610A">
        <w:rPr>
          <w:rFonts w:cs="B Zar"/>
          <w:rtl/>
        </w:rPr>
        <w:t xml:space="preserve"> را به مطالعه</w:t>
      </w:r>
      <w:r w:rsidR="00D1392C">
        <w:rPr>
          <w:rFonts w:cs="B Zar" w:hint="cs"/>
          <w:rtl/>
        </w:rPr>
        <w:t>‌</w:t>
      </w:r>
      <w:r w:rsidRPr="00F7610A">
        <w:rPr>
          <w:rFonts w:cs="B Zar" w:hint="cs"/>
          <w:rtl/>
        </w:rPr>
        <w:t>ی</w:t>
      </w:r>
      <w:r w:rsidRPr="00F7610A">
        <w:rPr>
          <w:rFonts w:cs="B Zar"/>
          <w:rtl/>
        </w:rPr>
        <w:t xml:space="preserve"> کتاب فرارو ارجاع م</w:t>
      </w:r>
      <w:r w:rsidRPr="00F7610A">
        <w:rPr>
          <w:rFonts w:cs="B Zar" w:hint="cs"/>
          <w:rtl/>
        </w:rPr>
        <w:t>ی</w:t>
      </w:r>
      <w:r w:rsidRPr="00F7610A">
        <w:rPr>
          <w:rFonts w:cs="B Zar"/>
          <w:rtl/>
        </w:rPr>
        <w:t xml:space="preserve"> ده</w:t>
      </w:r>
      <w:r w:rsidRPr="00F7610A">
        <w:rPr>
          <w:rFonts w:cs="B Zar" w:hint="cs"/>
          <w:rtl/>
        </w:rPr>
        <w:t>ی</w:t>
      </w:r>
      <w:r w:rsidRPr="00F7610A">
        <w:rPr>
          <w:rFonts w:cs="B Zar" w:hint="eastAsia"/>
          <w:rtl/>
        </w:rPr>
        <w:t>م</w:t>
      </w:r>
    </w:p>
    <w:p w:rsidR="00F7610A" w:rsidP="00D1392C">
      <w:pPr>
        <w:widowControl w:val="0"/>
        <w:spacing w:line="420" w:lineRule="exact"/>
        <w:ind w:left="0" w:right="0"/>
        <w:jc w:val="both"/>
        <w:rPr>
          <w:rFonts w:cs="B Zar" w:hint="cs"/>
          <w:rtl/>
        </w:rPr>
      </w:pPr>
      <w:r w:rsidRPr="00F7610A">
        <w:rPr>
          <w:rFonts w:cs="B Zar" w:hint="eastAsia"/>
          <w:rtl/>
        </w:rPr>
        <w:t>کتاب</w:t>
      </w:r>
      <w:r w:rsidRPr="00F7610A">
        <w:rPr>
          <w:rFonts w:cs="B Zar" w:hint="cs"/>
          <w:rtl/>
        </w:rPr>
        <w:t>ی</w:t>
      </w:r>
      <w:r w:rsidRPr="00F7610A">
        <w:rPr>
          <w:rFonts w:cs="B Zar"/>
          <w:rtl/>
        </w:rPr>
        <w:t xml:space="preserve"> که ا</w:t>
      </w:r>
      <w:r w:rsidRPr="00F7610A">
        <w:rPr>
          <w:rFonts w:cs="B Zar" w:hint="cs"/>
          <w:rtl/>
        </w:rPr>
        <w:t>ی</w:t>
      </w:r>
      <w:r w:rsidRPr="00F7610A">
        <w:rPr>
          <w:rFonts w:cs="B Zar" w:hint="eastAsia"/>
          <w:rtl/>
        </w:rPr>
        <w:t>نک</w:t>
      </w:r>
      <w:r w:rsidRPr="00F7610A">
        <w:rPr>
          <w:rFonts w:cs="B Zar"/>
          <w:rtl/>
        </w:rPr>
        <w:t xml:space="preserve"> پ</w:t>
      </w:r>
      <w:r w:rsidRPr="00F7610A">
        <w:rPr>
          <w:rFonts w:cs="B Zar" w:hint="cs"/>
          <w:rtl/>
        </w:rPr>
        <w:t>ی</w:t>
      </w:r>
      <w:r w:rsidRPr="00F7610A">
        <w:rPr>
          <w:rFonts w:cs="B Zar" w:hint="eastAsia"/>
          <w:rtl/>
        </w:rPr>
        <w:t>ش</w:t>
      </w:r>
      <w:r w:rsidRPr="00F7610A">
        <w:rPr>
          <w:rFonts w:cs="B Zar"/>
          <w:rtl/>
        </w:rPr>
        <w:t xml:space="preserve"> رو</w:t>
      </w:r>
      <w:r w:rsidRPr="00F7610A">
        <w:rPr>
          <w:rFonts w:cs="B Zar" w:hint="cs"/>
          <w:rtl/>
        </w:rPr>
        <w:t>ی</w:t>
      </w:r>
      <w:r w:rsidRPr="00F7610A">
        <w:rPr>
          <w:rFonts w:cs="B Zar"/>
          <w:rtl/>
        </w:rPr>
        <w:t xml:space="preserve"> شماست با اند</w:t>
      </w:r>
      <w:r w:rsidRPr="00F7610A">
        <w:rPr>
          <w:rFonts w:cs="B Zar" w:hint="cs"/>
          <w:rtl/>
        </w:rPr>
        <w:t>ی</w:t>
      </w:r>
      <w:r w:rsidRPr="00F7610A">
        <w:rPr>
          <w:rFonts w:cs="B Zar" w:hint="eastAsia"/>
          <w:rtl/>
        </w:rPr>
        <w:t>ش</w:t>
      </w:r>
      <w:r w:rsidRPr="00F7610A">
        <w:rPr>
          <w:rFonts w:ascii="Tahoma" w:hAnsi="Tahoma" w:cs="B Zar" w:hint="cs"/>
          <w:rtl/>
        </w:rPr>
        <w:t>ۀ</w:t>
      </w:r>
      <w:r w:rsidRPr="00F7610A">
        <w:rPr>
          <w:rFonts w:cs="B Zar"/>
          <w:rtl/>
        </w:rPr>
        <w:t xml:space="preserve"> تکم</w:t>
      </w:r>
      <w:r w:rsidRPr="00F7610A">
        <w:rPr>
          <w:rFonts w:cs="B Zar" w:hint="cs"/>
          <w:rtl/>
        </w:rPr>
        <w:t>ی</w:t>
      </w:r>
      <w:r w:rsidRPr="00F7610A">
        <w:rPr>
          <w:rFonts w:cs="B Zar" w:hint="eastAsia"/>
          <w:rtl/>
        </w:rPr>
        <w:t>ل</w:t>
      </w:r>
      <w:r w:rsidRPr="00F7610A">
        <w:rPr>
          <w:rFonts w:cs="B Zar"/>
          <w:rtl/>
        </w:rPr>
        <w:t xml:space="preserve"> منابع فارس</w:t>
      </w:r>
      <w:r w:rsidRPr="00F7610A">
        <w:rPr>
          <w:rFonts w:cs="B Zar" w:hint="cs"/>
          <w:rtl/>
        </w:rPr>
        <w:t>ی</w:t>
      </w:r>
      <w:r w:rsidRPr="00F7610A">
        <w:rPr>
          <w:rFonts w:cs="B Zar"/>
          <w:rtl/>
        </w:rPr>
        <w:t xml:space="preserve"> در زم</w:t>
      </w:r>
      <w:r w:rsidRPr="00F7610A">
        <w:rPr>
          <w:rFonts w:cs="B Zar" w:hint="cs"/>
          <w:rtl/>
        </w:rPr>
        <w:t>ی</w:t>
      </w:r>
      <w:r w:rsidRPr="00F7610A">
        <w:rPr>
          <w:rFonts w:cs="B Zar" w:hint="eastAsia"/>
          <w:rtl/>
        </w:rPr>
        <w:t>ن</w:t>
      </w:r>
      <w:r w:rsidRPr="00F7610A">
        <w:rPr>
          <w:rFonts w:ascii="Tahoma" w:hAnsi="Tahoma" w:cs="B Zar" w:hint="cs"/>
          <w:rtl/>
        </w:rPr>
        <w:t>ۀ</w:t>
      </w:r>
      <w:r w:rsidRPr="00F7610A">
        <w:rPr>
          <w:rFonts w:cs="B Zar" w:hint="eastAsia"/>
          <w:rtl/>
        </w:rPr>
        <w:t>هند</w:t>
      </w:r>
      <w:r w:rsidRPr="00F7610A">
        <w:rPr>
          <w:rFonts w:cs="B Zar"/>
          <w:rtl/>
        </w:rPr>
        <w:t xml:space="preserve"> و هند شناس</w:t>
      </w:r>
      <w:r w:rsidRPr="00F7610A">
        <w:rPr>
          <w:rFonts w:cs="B Zar" w:hint="cs"/>
          <w:rtl/>
        </w:rPr>
        <w:t>ی</w:t>
      </w:r>
      <w:r w:rsidRPr="00F7610A">
        <w:rPr>
          <w:rFonts w:cs="B Zar"/>
          <w:rtl/>
        </w:rPr>
        <w:t xml:space="preserve"> به رشت</w:t>
      </w:r>
      <w:r w:rsidRPr="00F7610A">
        <w:rPr>
          <w:rFonts w:ascii="Tahoma" w:hAnsi="Tahoma" w:cs="B Zar" w:hint="cs"/>
          <w:rtl/>
        </w:rPr>
        <w:t>ۀ</w:t>
      </w:r>
      <w:r w:rsidRPr="00F7610A">
        <w:rPr>
          <w:rFonts w:cs="B Zar"/>
          <w:rtl/>
        </w:rPr>
        <w:t xml:space="preserve"> تحر</w:t>
      </w:r>
      <w:r w:rsidRPr="00F7610A">
        <w:rPr>
          <w:rFonts w:cs="B Zar" w:hint="cs"/>
          <w:rtl/>
        </w:rPr>
        <w:t>ی</w:t>
      </w:r>
      <w:r w:rsidRPr="00F7610A">
        <w:rPr>
          <w:rFonts w:cs="B Zar" w:hint="eastAsia"/>
          <w:rtl/>
        </w:rPr>
        <w:t>ر</w:t>
      </w:r>
      <w:r w:rsidRPr="00F7610A">
        <w:rPr>
          <w:rFonts w:cs="B Zar"/>
          <w:rtl/>
        </w:rPr>
        <w:t xml:space="preserve"> درآمده است.پروفسور سيد عل</w:t>
      </w:r>
      <w:r w:rsidRPr="00F7610A">
        <w:rPr>
          <w:rFonts w:cs="B Zar" w:hint="cs"/>
          <w:rtl/>
        </w:rPr>
        <w:t>ی</w:t>
      </w:r>
      <w:r w:rsidRPr="00F7610A">
        <w:rPr>
          <w:rFonts w:cs="B Zar"/>
          <w:rtl/>
        </w:rPr>
        <w:t xml:space="preserve"> محمد نقو</w:t>
      </w:r>
      <w:r w:rsidRPr="00F7610A">
        <w:rPr>
          <w:rFonts w:cs="B Zar" w:hint="cs"/>
          <w:rtl/>
        </w:rPr>
        <w:t>ی</w:t>
      </w:r>
      <w:r w:rsidRPr="00F7610A">
        <w:rPr>
          <w:rFonts w:cs="B Zar"/>
          <w:rtl/>
        </w:rPr>
        <w:t xml:space="preserve"> که از فضلاو معار</w:t>
      </w:r>
      <w:r w:rsidRPr="00F7610A">
        <w:rPr>
          <w:rFonts w:cs="B Zar" w:hint="cs"/>
          <w:rtl/>
        </w:rPr>
        <w:t>ی</w:t>
      </w:r>
      <w:r w:rsidRPr="00F7610A">
        <w:rPr>
          <w:rFonts w:cs="B Zar" w:hint="eastAsia"/>
          <w:rtl/>
        </w:rPr>
        <w:t>ف</w:t>
      </w:r>
      <w:r w:rsidRPr="00F7610A">
        <w:rPr>
          <w:rFonts w:cs="B Zar"/>
          <w:rtl/>
        </w:rPr>
        <w:t xml:space="preserve"> اند</w:t>
      </w:r>
      <w:r w:rsidRPr="00F7610A">
        <w:rPr>
          <w:rFonts w:cs="B Zar" w:hint="cs"/>
          <w:rtl/>
        </w:rPr>
        <w:t>ی</w:t>
      </w:r>
      <w:r w:rsidRPr="00F7610A">
        <w:rPr>
          <w:rFonts w:cs="B Zar" w:hint="eastAsia"/>
          <w:rtl/>
        </w:rPr>
        <w:t>شه</w:t>
      </w:r>
      <w:r w:rsidRPr="00F7610A">
        <w:rPr>
          <w:rFonts w:cs="B Zar"/>
          <w:rtl/>
        </w:rPr>
        <w:t xml:space="preserve"> و تفکر اسلام</w:t>
      </w:r>
      <w:r w:rsidRPr="00F7610A">
        <w:rPr>
          <w:rFonts w:cs="B Zar" w:hint="cs"/>
          <w:rtl/>
        </w:rPr>
        <w:t>ی</w:t>
      </w:r>
      <w:r w:rsidRPr="00F7610A">
        <w:rPr>
          <w:rFonts w:cs="B Zar"/>
          <w:rtl/>
        </w:rPr>
        <w:t xml:space="preserve"> در شبه قاره به شمار م</w:t>
      </w:r>
      <w:r w:rsidRPr="00F7610A">
        <w:rPr>
          <w:rFonts w:cs="B Zar" w:hint="cs"/>
          <w:rtl/>
        </w:rPr>
        <w:t>ی</w:t>
      </w:r>
      <w:r w:rsidRPr="00F7610A">
        <w:rPr>
          <w:rFonts w:cs="B Zar"/>
          <w:rtl/>
        </w:rPr>
        <w:t xml:space="preserve"> رود ، رنج نگارش ا</w:t>
      </w:r>
      <w:r w:rsidRPr="00F7610A">
        <w:rPr>
          <w:rFonts w:cs="B Zar" w:hint="cs"/>
          <w:rtl/>
        </w:rPr>
        <w:t>ی</w:t>
      </w:r>
      <w:r w:rsidRPr="00F7610A">
        <w:rPr>
          <w:rFonts w:cs="B Zar" w:hint="eastAsia"/>
          <w:rtl/>
        </w:rPr>
        <w:t>ن</w:t>
      </w:r>
      <w:r w:rsidRPr="00F7610A">
        <w:rPr>
          <w:rFonts w:cs="B Zar"/>
          <w:rtl/>
        </w:rPr>
        <w:t xml:space="preserve"> اثر ارجمند را بر خود هموار نموده و سال</w:t>
      </w:r>
      <w:r w:rsidR="00D1392C">
        <w:rPr>
          <w:rFonts w:cs="B Zar" w:hint="cs"/>
          <w:rtl/>
        </w:rPr>
        <w:t>‌</w:t>
      </w:r>
      <w:r w:rsidRPr="00F7610A">
        <w:rPr>
          <w:rFonts w:cs="B Zar"/>
          <w:rtl/>
        </w:rPr>
        <w:t>ه</w:t>
      </w:r>
      <w:r w:rsidRPr="00F7610A">
        <w:rPr>
          <w:rFonts w:cs="B Zar" w:hint="eastAsia"/>
          <w:rtl/>
        </w:rPr>
        <w:t>ا</w:t>
      </w:r>
      <w:r w:rsidRPr="00F7610A">
        <w:rPr>
          <w:rFonts w:cs="B Zar" w:hint="cs"/>
          <w:rtl/>
        </w:rPr>
        <w:t>ی</w:t>
      </w:r>
      <w:r w:rsidRPr="00F7610A">
        <w:rPr>
          <w:rFonts w:cs="B Zar"/>
          <w:rtl/>
        </w:rPr>
        <w:t xml:space="preserve"> سال با تحق</w:t>
      </w:r>
      <w:r w:rsidRPr="00F7610A">
        <w:rPr>
          <w:rFonts w:cs="B Zar" w:hint="cs"/>
          <w:rtl/>
        </w:rPr>
        <w:t>ی</w:t>
      </w:r>
      <w:r w:rsidRPr="00F7610A">
        <w:rPr>
          <w:rFonts w:cs="B Zar" w:hint="eastAsia"/>
          <w:rtl/>
        </w:rPr>
        <w:t>ق</w:t>
      </w:r>
      <w:r w:rsidRPr="00F7610A">
        <w:rPr>
          <w:rFonts w:cs="B Zar"/>
          <w:rtl/>
        </w:rPr>
        <w:t xml:space="preserve"> و تدق</w:t>
      </w:r>
      <w:r w:rsidRPr="00F7610A">
        <w:rPr>
          <w:rFonts w:cs="B Zar" w:hint="cs"/>
          <w:rtl/>
        </w:rPr>
        <w:t>ی</w:t>
      </w:r>
      <w:r w:rsidRPr="00F7610A">
        <w:rPr>
          <w:rFonts w:cs="B Zar" w:hint="eastAsia"/>
          <w:rtl/>
        </w:rPr>
        <w:t>ق</w:t>
      </w:r>
      <w:r w:rsidRPr="00F7610A">
        <w:rPr>
          <w:rFonts w:cs="B Zar"/>
          <w:rtl/>
        </w:rPr>
        <w:t xml:space="preserve"> در فرهنگ هند و آثار مکتوب موجود توانسته اثر</w:t>
      </w:r>
      <w:r w:rsidRPr="00F7610A">
        <w:rPr>
          <w:rFonts w:cs="B Zar" w:hint="cs"/>
          <w:rtl/>
        </w:rPr>
        <w:t>ی</w:t>
      </w:r>
      <w:r w:rsidRPr="00F7610A">
        <w:rPr>
          <w:rFonts w:cs="B Zar"/>
          <w:rtl/>
        </w:rPr>
        <w:t xml:space="preserve"> در خور و ارزشمند فراهم آورد که هم ا</w:t>
      </w:r>
      <w:r w:rsidRPr="00F7610A">
        <w:rPr>
          <w:rFonts w:cs="B Zar" w:hint="cs"/>
          <w:rtl/>
        </w:rPr>
        <w:t>ی</w:t>
      </w:r>
      <w:r w:rsidRPr="00F7610A">
        <w:rPr>
          <w:rFonts w:cs="B Zar" w:hint="eastAsia"/>
          <w:rtl/>
        </w:rPr>
        <w:t>نک</w:t>
      </w:r>
      <w:r w:rsidRPr="00F7610A">
        <w:rPr>
          <w:rFonts w:cs="B Zar"/>
          <w:rtl/>
        </w:rPr>
        <w:t xml:space="preserve"> </w:t>
      </w:r>
      <w:r w:rsidR="00D1392C">
        <w:rPr>
          <w:rFonts w:cs="B Zar" w:hint="cs"/>
          <w:rtl/>
        </w:rPr>
        <w:t>هر دو جلد</w:t>
      </w:r>
      <w:r w:rsidRPr="00F7610A">
        <w:rPr>
          <w:rFonts w:cs="B Zar"/>
          <w:rtl/>
        </w:rPr>
        <w:t xml:space="preserve"> ا</w:t>
      </w:r>
      <w:r w:rsidRPr="00F7610A">
        <w:rPr>
          <w:rFonts w:cs="B Zar" w:hint="cs"/>
          <w:rtl/>
        </w:rPr>
        <w:t>ی</w:t>
      </w:r>
      <w:r w:rsidRPr="00F7610A">
        <w:rPr>
          <w:rFonts w:cs="B Zar" w:hint="eastAsia"/>
          <w:rtl/>
        </w:rPr>
        <w:t>ن</w:t>
      </w:r>
      <w:r w:rsidRPr="00F7610A">
        <w:rPr>
          <w:rFonts w:cs="B Zar"/>
          <w:rtl/>
        </w:rPr>
        <w:t xml:space="preserve"> مجموع</w:t>
      </w:r>
      <w:r w:rsidR="00D1392C">
        <w:rPr>
          <w:rFonts w:cs="B Zar" w:hint="cs"/>
          <w:rtl/>
        </w:rPr>
        <w:t>ة</w:t>
      </w:r>
      <w:r w:rsidRPr="00F7610A">
        <w:rPr>
          <w:rFonts w:cs="B Zar"/>
          <w:rtl/>
        </w:rPr>
        <w:t xml:space="preserve"> گرانسنگ منتشر م</w:t>
      </w:r>
      <w:r w:rsidRPr="00F7610A">
        <w:rPr>
          <w:rFonts w:cs="B Zar" w:hint="cs"/>
          <w:rtl/>
        </w:rPr>
        <w:t>ی</w:t>
      </w:r>
      <w:r w:rsidR="00D1392C">
        <w:rPr>
          <w:rFonts w:cs="B Zar" w:hint="cs"/>
          <w:rtl/>
        </w:rPr>
        <w:t>‌</w:t>
      </w:r>
      <w:r w:rsidRPr="00F7610A">
        <w:rPr>
          <w:rFonts w:cs="B Zar"/>
          <w:rtl/>
        </w:rPr>
        <w:t>شود</w:t>
      </w:r>
      <w:r w:rsidR="00D1392C">
        <w:rPr>
          <w:rFonts w:cs="B Zar" w:hint="cs"/>
          <w:rtl/>
        </w:rPr>
        <w:t xml:space="preserve">. </w:t>
      </w:r>
    </w:p>
    <w:p w:rsidR="00D1392C" w:rsidRPr="00F7610A" w:rsidP="00D1392C">
      <w:pPr>
        <w:widowControl w:val="0"/>
        <w:spacing w:line="420" w:lineRule="exact"/>
        <w:ind w:left="0" w:right="0"/>
        <w:jc w:val="both"/>
        <w:rPr>
          <w:rFonts w:cs="B Zar"/>
          <w:rtl/>
        </w:rPr>
      </w:pPr>
      <w:r>
        <w:rPr>
          <w:rFonts w:cs="B Zar" w:hint="cs"/>
          <w:rtl/>
        </w:rPr>
        <w:t>در جلد اول این اثر ارزشمند به بررسی سیر تطور مبانی اندیشه دینی و فلسفی مکاتب هند از عصر وداها تا عصر گیتا و در جلد دوّم به بررسی اندیشة دینی در دورة معاصر پرداخته شده است.</w:t>
      </w:r>
    </w:p>
    <w:p w:rsidR="00F7610A" w:rsidRPr="00F7610A" w:rsidP="003C0EF5">
      <w:pPr>
        <w:widowControl w:val="0"/>
        <w:spacing w:line="420" w:lineRule="exact"/>
        <w:ind w:left="0" w:right="0"/>
        <w:jc w:val="both"/>
        <w:rPr>
          <w:rFonts w:cs="B Zar"/>
          <w:rtl/>
        </w:rPr>
      </w:pPr>
      <w:r w:rsidRPr="00F7610A">
        <w:rPr>
          <w:rFonts w:cs="B Zar" w:hint="eastAsia"/>
          <w:rtl/>
        </w:rPr>
        <w:t>سنگ</w:t>
      </w:r>
      <w:r w:rsidRPr="00F7610A">
        <w:rPr>
          <w:rFonts w:cs="B Zar"/>
          <w:rtl/>
        </w:rPr>
        <w:t xml:space="preserve"> نخست</w:t>
      </w:r>
      <w:r w:rsidRPr="00F7610A">
        <w:rPr>
          <w:rFonts w:cs="B Zar" w:hint="cs"/>
          <w:rtl/>
        </w:rPr>
        <w:t>ی</w:t>
      </w:r>
      <w:r w:rsidRPr="00F7610A">
        <w:rPr>
          <w:rFonts w:cs="B Zar" w:hint="eastAsia"/>
          <w:rtl/>
        </w:rPr>
        <w:t>ن</w:t>
      </w:r>
      <w:r w:rsidRPr="00F7610A">
        <w:rPr>
          <w:rFonts w:cs="B Zar"/>
          <w:rtl/>
        </w:rPr>
        <w:t xml:space="preserve"> بنا</w:t>
      </w:r>
      <w:r w:rsidRPr="00F7610A">
        <w:rPr>
          <w:rFonts w:cs="B Zar" w:hint="cs"/>
          <w:rtl/>
        </w:rPr>
        <w:t>ی</w:t>
      </w:r>
      <w:r w:rsidRPr="00F7610A">
        <w:rPr>
          <w:rFonts w:cs="B Zar"/>
          <w:rtl/>
        </w:rPr>
        <w:t xml:space="preserve"> ا</w:t>
      </w:r>
      <w:r w:rsidRPr="00F7610A">
        <w:rPr>
          <w:rFonts w:cs="B Zar" w:hint="cs"/>
          <w:rtl/>
        </w:rPr>
        <w:t>ی</w:t>
      </w:r>
      <w:r w:rsidRPr="00F7610A">
        <w:rPr>
          <w:rFonts w:cs="B Zar" w:hint="eastAsia"/>
          <w:rtl/>
        </w:rPr>
        <w:t>ن</w:t>
      </w:r>
      <w:r w:rsidRPr="00F7610A">
        <w:rPr>
          <w:rFonts w:cs="B Zar"/>
          <w:rtl/>
        </w:rPr>
        <w:t xml:space="preserve"> تحق</w:t>
      </w:r>
      <w:r w:rsidRPr="00F7610A">
        <w:rPr>
          <w:rFonts w:cs="B Zar" w:hint="cs"/>
          <w:rtl/>
        </w:rPr>
        <w:t>ی</w:t>
      </w:r>
      <w:r w:rsidRPr="00F7610A">
        <w:rPr>
          <w:rFonts w:cs="B Zar" w:hint="eastAsia"/>
          <w:rtl/>
        </w:rPr>
        <w:t>ق</w:t>
      </w:r>
      <w:r w:rsidRPr="00F7610A">
        <w:rPr>
          <w:rFonts w:cs="B Zar"/>
          <w:rtl/>
        </w:rPr>
        <w:t xml:space="preserve"> سال ها پ</w:t>
      </w:r>
      <w:r w:rsidRPr="00F7610A">
        <w:rPr>
          <w:rFonts w:cs="B Zar" w:hint="cs"/>
          <w:rtl/>
        </w:rPr>
        <w:t>ی</w:t>
      </w:r>
      <w:r w:rsidRPr="00F7610A">
        <w:rPr>
          <w:rFonts w:cs="B Zar" w:hint="eastAsia"/>
          <w:rtl/>
        </w:rPr>
        <w:t>ش</w:t>
      </w:r>
      <w:r w:rsidRPr="00F7610A">
        <w:rPr>
          <w:rFonts w:cs="B Zar"/>
          <w:rtl/>
        </w:rPr>
        <w:t xml:space="preserve"> و در زمان  برادر ارجمند جناب آقا</w:t>
      </w:r>
      <w:r w:rsidRPr="00F7610A">
        <w:rPr>
          <w:rFonts w:cs="B Zar" w:hint="cs"/>
          <w:rtl/>
        </w:rPr>
        <w:t>ی</w:t>
      </w:r>
      <w:r w:rsidRPr="00F7610A">
        <w:rPr>
          <w:rFonts w:cs="B Zar"/>
          <w:rtl/>
        </w:rPr>
        <w:t xml:space="preserve"> محمد باقر کر</w:t>
      </w:r>
      <w:r w:rsidRPr="00F7610A">
        <w:rPr>
          <w:rFonts w:cs="B Zar" w:hint="cs"/>
          <w:rtl/>
        </w:rPr>
        <w:t>ی</w:t>
      </w:r>
      <w:r w:rsidRPr="00F7610A">
        <w:rPr>
          <w:rFonts w:cs="B Zar" w:hint="eastAsia"/>
          <w:rtl/>
        </w:rPr>
        <w:t>م</w:t>
      </w:r>
      <w:r w:rsidRPr="00F7610A">
        <w:rPr>
          <w:rFonts w:cs="B Zar" w:hint="cs"/>
          <w:rtl/>
        </w:rPr>
        <w:t>ی</w:t>
      </w:r>
      <w:r w:rsidRPr="00F7610A">
        <w:rPr>
          <w:rFonts w:cs="B Zar" w:hint="eastAsia"/>
          <w:rtl/>
        </w:rPr>
        <w:t>ان</w:t>
      </w:r>
      <w:r w:rsidRPr="00F7610A">
        <w:rPr>
          <w:rFonts w:cs="B Zar"/>
          <w:rtl/>
        </w:rPr>
        <w:t xml:space="preserve"> را</w:t>
      </w:r>
      <w:r w:rsidRPr="00F7610A">
        <w:rPr>
          <w:rFonts w:cs="B Zar" w:hint="cs"/>
          <w:rtl/>
        </w:rPr>
        <w:t>ی</w:t>
      </w:r>
      <w:r w:rsidRPr="00F7610A">
        <w:rPr>
          <w:rFonts w:cs="B Zar" w:hint="eastAsia"/>
          <w:rtl/>
        </w:rPr>
        <w:t>زن</w:t>
      </w:r>
      <w:r w:rsidRPr="00F7610A">
        <w:rPr>
          <w:rFonts w:cs="B Zar"/>
          <w:rtl/>
        </w:rPr>
        <w:t xml:space="preserve"> محترم </w:t>
      </w:r>
      <w:r w:rsidR="00755743">
        <w:rPr>
          <w:rFonts w:cs="B Zar" w:hint="cs"/>
          <w:rtl/>
        </w:rPr>
        <w:t>ا</w:t>
      </w:r>
      <w:r w:rsidR="00755743">
        <w:rPr>
          <w:rFonts w:cs="B Zar"/>
          <w:rtl/>
        </w:rPr>
        <w:t>س</w:t>
      </w:r>
      <w:r w:rsidRPr="00F7610A">
        <w:rPr>
          <w:rFonts w:cs="B Zar"/>
          <w:rtl/>
        </w:rPr>
        <w:t>بق فرهنگ</w:t>
      </w:r>
      <w:r w:rsidRPr="00F7610A">
        <w:rPr>
          <w:rFonts w:cs="B Zar" w:hint="cs"/>
          <w:rtl/>
        </w:rPr>
        <w:t>ی</w:t>
      </w:r>
      <w:r w:rsidRPr="00F7610A">
        <w:rPr>
          <w:rFonts w:cs="B Zar"/>
          <w:rtl/>
        </w:rPr>
        <w:t xml:space="preserve"> کشورمان در هند  نهاده شد و  هم</w:t>
      </w:r>
      <w:r w:rsidRPr="00F7610A">
        <w:rPr>
          <w:rFonts w:cs="B Zar" w:hint="cs"/>
          <w:rtl/>
        </w:rPr>
        <w:t>ی</w:t>
      </w:r>
      <w:r w:rsidRPr="00F7610A">
        <w:rPr>
          <w:rFonts w:cs="B Zar" w:hint="eastAsia"/>
          <w:rtl/>
        </w:rPr>
        <w:t>ن</w:t>
      </w:r>
      <w:r w:rsidRPr="00F7610A">
        <w:rPr>
          <w:rFonts w:cs="B Zar"/>
          <w:rtl/>
        </w:rPr>
        <w:t xml:space="preserve"> جا سزاوار است که مراتب سپاسگزار</w:t>
      </w:r>
      <w:r w:rsidRPr="00F7610A">
        <w:rPr>
          <w:rFonts w:cs="B Zar" w:hint="cs"/>
          <w:rtl/>
        </w:rPr>
        <w:t>ی</w:t>
      </w:r>
      <w:r w:rsidRPr="00F7610A">
        <w:rPr>
          <w:rFonts w:cs="B Zar"/>
          <w:rtl/>
        </w:rPr>
        <w:t xml:space="preserve"> از ا</w:t>
      </w:r>
      <w:r w:rsidRPr="00F7610A">
        <w:rPr>
          <w:rFonts w:cs="B Zar" w:hint="cs"/>
          <w:rtl/>
        </w:rPr>
        <w:t>ی</w:t>
      </w:r>
      <w:r w:rsidRPr="00F7610A">
        <w:rPr>
          <w:rFonts w:cs="B Zar" w:hint="eastAsia"/>
          <w:rtl/>
        </w:rPr>
        <w:t>شان</w:t>
      </w:r>
      <w:r w:rsidRPr="00F7610A">
        <w:rPr>
          <w:rFonts w:cs="B Zar"/>
          <w:rtl/>
        </w:rPr>
        <w:t xml:space="preserve"> به عمل آ</w:t>
      </w:r>
      <w:r w:rsidRPr="00F7610A">
        <w:rPr>
          <w:rFonts w:cs="B Zar" w:hint="cs"/>
          <w:rtl/>
        </w:rPr>
        <w:t>ی</w:t>
      </w:r>
      <w:r w:rsidRPr="00F7610A">
        <w:rPr>
          <w:rFonts w:cs="B Zar" w:hint="eastAsia"/>
          <w:rtl/>
        </w:rPr>
        <w:t>د</w:t>
      </w:r>
      <w:r w:rsidRPr="00F7610A">
        <w:rPr>
          <w:rFonts w:cs="B Zar"/>
          <w:rtl/>
        </w:rPr>
        <w:t>.</w:t>
      </w:r>
    </w:p>
    <w:p w:rsidR="00F7610A" w:rsidRPr="00F7610A" w:rsidP="00DB609F">
      <w:pPr>
        <w:widowControl w:val="0"/>
        <w:spacing w:line="420" w:lineRule="exact"/>
        <w:ind w:left="0" w:right="0"/>
        <w:jc w:val="both"/>
        <w:rPr>
          <w:rFonts w:cs="B Zar"/>
          <w:rtl/>
        </w:rPr>
      </w:pPr>
      <w:r w:rsidRPr="00F7610A">
        <w:rPr>
          <w:rFonts w:cs="B Zar"/>
          <w:rtl/>
        </w:rPr>
        <w:t xml:space="preserve">  استفاده از زبان</w:t>
      </w:r>
      <w:r w:rsidRPr="00F7610A">
        <w:rPr>
          <w:rFonts w:cs="B Zar" w:hint="cs"/>
          <w:rtl/>
        </w:rPr>
        <w:t>ی</w:t>
      </w:r>
      <w:r w:rsidRPr="00F7610A">
        <w:rPr>
          <w:rFonts w:cs="B Zar"/>
          <w:rtl/>
        </w:rPr>
        <w:t xml:space="preserve"> نسبتا روان و پره</w:t>
      </w:r>
      <w:r w:rsidRPr="00F7610A">
        <w:rPr>
          <w:rFonts w:cs="B Zar" w:hint="cs"/>
          <w:rtl/>
        </w:rPr>
        <w:t>ی</w:t>
      </w:r>
      <w:r w:rsidRPr="00F7610A">
        <w:rPr>
          <w:rFonts w:cs="B Zar" w:hint="eastAsia"/>
          <w:rtl/>
        </w:rPr>
        <w:t>ز</w:t>
      </w:r>
      <w:r w:rsidRPr="00F7610A">
        <w:rPr>
          <w:rFonts w:cs="B Zar"/>
          <w:rtl/>
        </w:rPr>
        <w:t xml:space="preserve"> از پ</w:t>
      </w:r>
      <w:r w:rsidRPr="00F7610A">
        <w:rPr>
          <w:rFonts w:cs="B Zar" w:hint="cs"/>
          <w:rtl/>
        </w:rPr>
        <w:t>ی</w:t>
      </w:r>
      <w:r w:rsidRPr="00F7610A">
        <w:rPr>
          <w:rFonts w:cs="B Zar" w:hint="eastAsia"/>
          <w:rtl/>
        </w:rPr>
        <w:t>چ</w:t>
      </w:r>
      <w:r w:rsidRPr="00F7610A">
        <w:rPr>
          <w:rFonts w:cs="B Zar" w:hint="cs"/>
          <w:rtl/>
        </w:rPr>
        <w:t>ی</w:t>
      </w:r>
      <w:r w:rsidRPr="00F7610A">
        <w:rPr>
          <w:rFonts w:cs="B Zar" w:hint="eastAsia"/>
          <w:rtl/>
        </w:rPr>
        <w:t>ده</w:t>
      </w:r>
      <w:r w:rsidRPr="00F7610A">
        <w:rPr>
          <w:rFonts w:cs="B Zar"/>
          <w:rtl/>
        </w:rPr>
        <w:t xml:space="preserve"> گو</w:t>
      </w:r>
      <w:r w:rsidRPr="00F7610A">
        <w:rPr>
          <w:rFonts w:cs="B Zar" w:hint="cs"/>
          <w:rtl/>
        </w:rPr>
        <w:t>یی</w:t>
      </w:r>
      <w:r w:rsidRPr="00F7610A">
        <w:rPr>
          <w:rFonts w:cs="B Zar"/>
          <w:rtl/>
        </w:rPr>
        <w:t xml:space="preserve"> و مغلق نو</w:t>
      </w:r>
      <w:r w:rsidRPr="00F7610A">
        <w:rPr>
          <w:rFonts w:cs="B Zar" w:hint="cs"/>
          <w:rtl/>
        </w:rPr>
        <w:t>ی</w:t>
      </w:r>
      <w:r w:rsidRPr="00F7610A">
        <w:rPr>
          <w:rFonts w:cs="B Zar" w:hint="eastAsia"/>
          <w:rtl/>
        </w:rPr>
        <w:t>س</w:t>
      </w:r>
      <w:r w:rsidRPr="00F7610A">
        <w:rPr>
          <w:rFonts w:cs="B Zar" w:hint="cs"/>
          <w:rtl/>
        </w:rPr>
        <w:t>ی</w:t>
      </w:r>
      <w:r w:rsidRPr="00F7610A">
        <w:rPr>
          <w:rFonts w:cs="B Zar"/>
          <w:rtl/>
        </w:rPr>
        <w:t xml:space="preserve"> از عمده تر</w:t>
      </w:r>
      <w:r w:rsidRPr="00F7610A">
        <w:rPr>
          <w:rFonts w:cs="B Zar" w:hint="cs"/>
          <w:rtl/>
        </w:rPr>
        <w:t>ی</w:t>
      </w:r>
      <w:r w:rsidRPr="00F7610A">
        <w:rPr>
          <w:rFonts w:cs="B Zar" w:hint="eastAsia"/>
          <w:rtl/>
        </w:rPr>
        <w:t>ن</w:t>
      </w:r>
      <w:r w:rsidRPr="00F7610A">
        <w:rPr>
          <w:rFonts w:cs="B Zar"/>
          <w:rtl/>
        </w:rPr>
        <w:t xml:space="preserve"> مزا</w:t>
      </w:r>
      <w:r w:rsidRPr="00F7610A">
        <w:rPr>
          <w:rFonts w:cs="B Zar" w:hint="cs"/>
          <w:rtl/>
        </w:rPr>
        <w:t>ی</w:t>
      </w:r>
      <w:r w:rsidRPr="00F7610A">
        <w:rPr>
          <w:rFonts w:cs="B Zar" w:hint="eastAsia"/>
          <w:rtl/>
        </w:rPr>
        <w:t>ا</w:t>
      </w:r>
      <w:r w:rsidRPr="00F7610A">
        <w:rPr>
          <w:rFonts w:cs="B Zar" w:hint="cs"/>
          <w:rtl/>
        </w:rPr>
        <w:t>ی</w:t>
      </w:r>
      <w:r w:rsidRPr="00F7610A">
        <w:rPr>
          <w:rFonts w:cs="B Zar"/>
          <w:rtl/>
        </w:rPr>
        <w:t xml:space="preserve"> ا</w:t>
      </w:r>
      <w:r w:rsidRPr="00F7610A">
        <w:rPr>
          <w:rFonts w:cs="B Zar" w:hint="cs"/>
          <w:rtl/>
        </w:rPr>
        <w:t>ی</w:t>
      </w:r>
      <w:r w:rsidRPr="00F7610A">
        <w:rPr>
          <w:rFonts w:cs="B Zar" w:hint="eastAsia"/>
          <w:rtl/>
        </w:rPr>
        <w:t>ن</w:t>
      </w:r>
      <w:r w:rsidRPr="00F7610A">
        <w:rPr>
          <w:rFonts w:cs="B Zar"/>
          <w:rtl/>
        </w:rPr>
        <w:t xml:space="preserve"> کتاب است. اگرچه نگاه حاکم بر کتاب جامعه شناسانه است اما در ع</w:t>
      </w:r>
      <w:r w:rsidRPr="00F7610A">
        <w:rPr>
          <w:rFonts w:cs="B Zar" w:hint="cs"/>
          <w:rtl/>
        </w:rPr>
        <w:t>ی</w:t>
      </w:r>
      <w:r w:rsidRPr="00F7610A">
        <w:rPr>
          <w:rFonts w:cs="B Zar" w:hint="eastAsia"/>
          <w:rtl/>
        </w:rPr>
        <w:t>ن</w:t>
      </w:r>
      <w:r w:rsidRPr="00F7610A">
        <w:rPr>
          <w:rFonts w:cs="B Zar"/>
          <w:rtl/>
        </w:rPr>
        <w:t xml:space="preserve"> حال مباحث آن ، تار</w:t>
      </w:r>
      <w:r w:rsidRPr="00F7610A">
        <w:rPr>
          <w:rFonts w:cs="B Zar" w:hint="cs"/>
          <w:rtl/>
        </w:rPr>
        <w:t>ی</w:t>
      </w:r>
      <w:r w:rsidRPr="00F7610A">
        <w:rPr>
          <w:rFonts w:cs="B Zar" w:hint="eastAsia"/>
          <w:rtl/>
        </w:rPr>
        <w:t>خ</w:t>
      </w:r>
      <w:r w:rsidRPr="00F7610A">
        <w:rPr>
          <w:rFonts w:cs="B Zar"/>
          <w:rtl/>
        </w:rPr>
        <w:t xml:space="preserve"> باستان، تار</w:t>
      </w:r>
      <w:r w:rsidRPr="00F7610A">
        <w:rPr>
          <w:rFonts w:cs="B Zar" w:hint="cs"/>
          <w:rtl/>
        </w:rPr>
        <w:t>ی</w:t>
      </w:r>
      <w:r w:rsidRPr="00F7610A">
        <w:rPr>
          <w:rFonts w:cs="B Zar" w:hint="eastAsia"/>
          <w:rtl/>
        </w:rPr>
        <w:t>خ</w:t>
      </w:r>
      <w:r w:rsidRPr="00F7610A">
        <w:rPr>
          <w:rFonts w:cs="B Zar"/>
          <w:rtl/>
        </w:rPr>
        <w:t xml:space="preserve"> معاصر، د</w:t>
      </w:r>
      <w:r w:rsidRPr="00F7610A">
        <w:rPr>
          <w:rFonts w:cs="B Zar" w:hint="cs"/>
          <w:rtl/>
        </w:rPr>
        <w:t>ی</w:t>
      </w:r>
      <w:r w:rsidRPr="00F7610A">
        <w:rPr>
          <w:rFonts w:cs="B Zar" w:hint="eastAsia"/>
          <w:rtl/>
        </w:rPr>
        <w:t>ن</w:t>
      </w:r>
      <w:r w:rsidRPr="00F7610A">
        <w:rPr>
          <w:rFonts w:cs="B Zar"/>
          <w:rtl/>
        </w:rPr>
        <w:t xml:space="preserve"> شناس</w:t>
      </w:r>
      <w:r w:rsidRPr="00F7610A">
        <w:rPr>
          <w:rFonts w:cs="B Zar" w:hint="cs"/>
          <w:rtl/>
        </w:rPr>
        <w:t>ی</w:t>
      </w:r>
      <w:r w:rsidRPr="00F7610A">
        <w:rPr>
          <w:rFonts w:cs="B Zar"/>
          <w:rtl/>
        </w:rPr>
        <w:t xml:space="preserve"> تطب</w:t>
      </w:r>
      <w:r w:rsidRPr="00F7610A">
        <w:rPr>
          <w:rFonts w:cs="B Zar" w:hint="cs"/>
          <w:rtl/>
        </w:rPr>
        <w:t>ی</w:t>
      </w:r>
      <w:r w:rsidRPr="00F7610A">
        <w:rPr>
          <w:rFonts w:cs="B Zar" w:hint="eastAsia"/>
          <w:rtl/>
        </w:rPr>
        <w:t>ق</w:t>
      </w:r>
      <w:r w:rsidRPr="00F7610A">
        <w:rPr>
          <w:rFonts w:cs="B Zar" w:hint="cs"/>
          <w:rtl/>
        </w:rPr>
        <w:t>ی</w:t>
      </w:r>
      <w:r w:rsidRPr="00F7610A" w:rsidR="00755743">
        <w:rPr>
          <w:rFonts w:cs="B Zar"/>
          <w:rtl/>
        </w:rPr>
        <w:t>،</w:t>
      </w:r>
      <w:r w:rsidRPr="00F7610A">
        <w:rPr>
          <w:rFonts w:cs="B Zar"/>
          <w:rtl/>
        </w:rPr>
        <w:t xml:space="preserve"> کلام، فلسفه و عرفان را ن</w:t>
      </w:r>
      <w:r w:rsidRPr="00F7610A">
        <w:rPr>
          <w:rFonts w:cs="B Zar" w:hint="cs"/>
          <w:rtl/>
        </w:rPr>
        <w:t>ی</w:t>
      </w:r>
      <w:r w:rsidRPr="00F7610A">
        <w:rPr>
          <w:rFonts w:cs="B Zar" w:hint="eastAsia"/>
          <w:rtl/>
        </w:rPr>
        <w:t>ز</w:t>
      </w:r>
      <w:r w:rsidRPr="00F7610A">
        <w:rPr>
          <w:rFonts w:cs="B Zar"/>
          <w:rtl/>
        </w:rPr>
        <w:t xml:space="preserve"> دربرگرفته و ه</w:t>
      </w:r>
      <w:r w:rsidRPr="00F7610A">
        <w:rPr>
          <w:rFonts w:cs="B Zar" w:hint="eastAsia"/>
          <w:rtl/>
        </w:rPr>
        <w:t>مه</w:t>
      </w:r>
      <w:r w:rsidRPr="00F7610A">
        <w:rPr>
          <w:rFonts w:cs="B Zar"/>
          <w:rtl/>
        </w:rPr>
        <w:t xml:space="preserve"> </w:t>
      </w:r>
      <w:r w:rsidRPr="00F7610A">
        <w:rPr>
          <w:rFonts w:cs="B Zar" w:hint="cs"/>
          <w:rtl/>
        </w:rPr>
        <w:t>ی</w:t>
      </w:r>
      <w:r w:rsidRPr="00F7610A">
        <w:rPr>
          <w:rFonts w:cs="B Zar"/>
          <w:rtl/>
        </w:rPr>
        <w:t xml:space="preserve"> تلاش مؤلف بر ا</w:t>
      </w:r>
      <w:r w:rsidRPr="00F7610A">
        <w:rPr>
          <w:rFonts w:cs="B Zar" w:hint="cs"/>
          <w:rtl/>
        </w:rPr>
        <w:t>ی</w:t>
      </w:r>
      <w:r w:rsidRPr="00F7610A">
        <w:rPr>
          <w:rFonts w:cs="B Zar" w:hint="eastAsia"/>
          <w:rtl/>
        </w:rPr>
        <w:t>ن</w:t>
      </w:r>
      <w:r w:rsidRPr="00F7610A">
        <w:rPr>
          <w:rFonts w:cs="B Zar"/>
          <w:rtl/>
        </w:rPr>
        <w:t xml:space="preserve"> بوده که متن</w:t>
      </w:r>
      <w:r w:rsidRPr="00F7610A">
        <w:rPr>
          <w:rFonts w:cs="B Zar" w:hint="cs"/>
          <w:rtl/>
        </w:rPr>
        <w:t>ی</w:t>
      </w:r>
      <w:r w:rsidRPr="00F7610A">
        <w:rPr>
          <w:rFonts w:cs="B Zar"/>
          <w:rtl/>
        </w:rPr>
        <w:t xml:space="preserve"> منقح و عالمانه برا</w:t>
      </w:r>
      <w:r w:rsidRPr="00F7610A">
        <w:rPr>
          <w:rFonts w:cs="B Zar" w:hint="cs"/>
          <w:rtl/>
        </w:rPr>
        <w:t>ی</w:t>
      </w:r>
      <w:r w:rsidRPr="00F7610A">
        <w:rPr>
          <w:rFonts w:cs="B Zar"/>
          <w:rtl/>
        </w:rPr>
        <w:t xml:space="preserve"> پژوهشگران ا</w:t>
      </w:r>
      <w:r w:rsidRPr="00F7610A">
        <w:rPr>
          <w:rFonts w:cs="B Zar" w:hint="cs"/>
          <w:rtl/>
        </w:rPr>
        <w:t>ی</w:t>
      </w:r>
      <w:r w:rsidRPr="00F7610A">
        <w:rPr>
          <w:rFonts w:cs="B Zar" w:hint="eastAsia"/>
          <w:rtl/>
        </w:rPr>
        <w:t>ن</w:t>
      </w:r>
      <w:r w:rsidRPr="00F7610A">
        <w:rPr>
          <w:rFonts w:cs="B Zar"/>
          <w:rtl/>
        </w:rPr>
        <w:t xml:space="preserve"> حوزه ها فراهم آ</w:t>
      </w:r>
      <w:r w:rsidRPr="00F7610A">
        <w:rPr>
          <w:rFonts w:cs="B Zar" w:hint="cs"/>
          <w:rtl/>
        </w:rPr>
        <w:t>ی</w:t>
      </w:r>
      <w:r w:rsidRPr="00F7610A">
        <w:rPr>
          <w:rFonts w:cs="B Zar" w:hint="eastAsia"/>
          <w:rtl/>
        </w:rPr>
        <w:t>د</w:t>
      </w:r>
      <w:r w:rsidRPr="00F7610A">
        <w:rPr>
          <w:rFonts w:cs="B Zar"/>
          <w:rtl/>
        </w:rPr>
        <w:t xml:space="preserve"> تا در تحق</w:t>
      </w:r>
      <w:r w:rsidRPr="00F7610A">
        <w:rPr>
          <w:rFonts w:cs="B Zar" w:hint="cs"/>
          <w:rtl/>
        </w:rPr>
        <w:t>ی</w:t>
      </w:r>
      <w:r w:rsidRPr="00F7610A">
        <w:rPr>
          <w:rFonts w:cs="B Zar" w:hint="eastAsia"/>
          <w:rtl/>
        </w:rPr>
        <w:t>قات</w:t>
      </w:r>
      <w:r w:rsidRPr="00F7610A">
        <w:rPr>
          <w:rFonts w:cs="B Zar"/>
          <w:rtl/>
        </w:rPr>
        <w:t xml:space="preserve"> بعد</w:t>
      </w:r>
      <w:r w:rsidRPr="00F7610A">
        <w:rPr>
          <w:rFonts w:cs="B Zar" w:hint="cs"/>
          <w:rtl/>
        </w:rPr>
        <w:t>ی</w:t>
      </w:r>
      <w:r w:rsidRPr="00F7610A">
        <w:rPr>
          <w:rFonts w:cs="B Zar"/>
          <w:rtl/>
        </w:rPr>
        <w:t xml:space="preserve"> بتوانند با استناد به منابع جامع تر، به نتا</w:t>
      </w:r>
      <w:r w:rsidRPr="00F7610A">
        <w:rPr>
          <w:rFonts w:cs="B Zar" w:hint="cs"/>
          <w:rtl/>
        </w:rPr>
        <w:t>ی</w:t>
      </w:r>
      <w:r w:rsidRPr="00F7610A">
        <w:rPr>
          <w:rFonts w:cs="B Zar" w:hint="eastAsia"/>
          <w:rtl/>
        </w:rPr>
        <w:t>ج</w:t>
      </w:r>
      <w:r w:rsidRPr="00F7610A">
        <w:rPr>
          <w:rFonts w:cs="B Zar"/>
          <w:rtl/>
        </w:rPr>
        <w:t xml:space="preserve"> ارزشمند تر</w:t>
      </w:r>
      <w:r w:rsidRPr="00F7610A">
        <w:rPr>
          <w:rFonts w:cs="B Zar" w:hint="cs"/>
          <w:rtl/>
        </w:rPr>
        <w:t>ی</w:t>
      </w:r>
      <w:r w:rsidRPr="00F7610A">
        <w:rPr>
          <w:rFonts w:cs="B Zar"/>
          <w:rtl/>
        </w:rPr>
        <w:t xml:space="preserve"> دست </w:t>
      </w:r>
      <w:r w:rsidRPr="00F7610A">
        <w:rPr>
          <w:rFonts w:cs="B Zar" w:hint="cs"/>
          <w:rtl/>
        </w:rPr>
        <w:t>ی</w:t>
      </w:r>
      <w:r w:rsidRPr="00F7610A">
        <w:rPr>
          <w:rFonts w:cs="B Zar" w:hint="eastAsia"/>
          <w:rtl/>
        </w:rPr>
        <w:t>ابند</w:t>
      </w:r>
      <w:r w:rsidRPr="00F7610A">
        <w:rPr>
          <w:rFonts w:cs="B Zar"/>
          <w:rtl/>
        </w:rPr>
        <w:t>.</w:t>
      </w:r>
    </w:p>
    <w:p w:rsidR="004D297C" w:rsidP="004D297C">
      <w:pPr>
        <w:widowControl w:val="0"/>
        <w:tabs>
          <w:tab w:val="right" w:pos="6237"/>
        </w:tabs>
        <w:spacing w:line="420" w:lineRule="exact"/>
        <w:ind w:left="0" w:right="0"/>
        <w:jc w:val="left"/>
        <w:rPr>
          <w:rFonts w:cs="B Zar" w:hint="cs"/>
          <w:rtl/>
        </w:rPr>
      </w:pPr>
    </w:p>
    <w:p w:rsidR="00F7610A" w:rsidRPr="00F7610A" w:rsidP="004D297C">
      <w:pPr>
        <w:widowControl w:val="0"/>
        <w:tabs>
          <w:tab w:val="right" w:pos="6237"/>
        </w:tabs>
        <w:spacing w:line="420" w:lineRule="exact"/>
        <w:ind w:left="2382" w:right="0"/>
        <w:jc w:val="center"/>
        <w:rPr>
          <w:rFonts w:cs="B Zar" w:hint="cs"/>
          <w:rtl/>
        </w:rPr>
      </w:pPr>
      <w:r w:rsidR="00E971C5">
        <w:rPr>
          <w:rFonts w:cs="B Zar" w:hint="cs"/>
          <w:rtl/>
        </w:rPr>
        <w:t>و من الله التوفیق و علیه التکلان</w:t>
      </w:r>
    </w:p>
    <w:p w:rsidR="004D297C" w:rsidP="004D297C">
      <w:pPr>
        <w:widowControl w:val="0"/>
        <w:tabs>
          <w:tab w:val="right" w:pos="6237"/>
        </w:tabs>
        <w:spacing w:line="420" w:lineRule="exact"/>
        <w:ind w:left="2382" w:right="0"/>
        <w:jc w:val="center"/>
        <w:rPr>
          <w:rFonts w:cs="B Zar" w:hint="cs"/>
          <w:b/>
          <w:bCs/>
          <w:rtl/>
        </w:rPr>
      </w:pPr>
    </w:p>
    <w:p w:rsidR="00F7610A" w:rsidRPr="00F7610A" w:rsidP="004D297C">
      <w:pPr>
        <w:widowControl w:val="0"/>
        <w:tabs>
          <w:tab w:val="right" w:pos="6237"/>
        </w:tabs>
        <w:spacing w:line="420" w:lineRule="exact"/>
        <w:ind w:left="2382" w:right="0"/>
        <w:jc w:val="center"/>
        <w:rPr>
          <w:rFonts w:cs="B Zar" w:hint="cs"/>
          <w:b/>
          <w:bCs/>
          <w:rtl/>
        </w:rPr>
      </w:pPr>
      <w:r w:rsidRPr="00F7610A">
        <w:rPr>
          <w:rFonts w:cs="B Zar" w:hint="eastAsia"/>
          <w:b/>
          <w:bCs/>
          <w:rtl/>
        </w:rPr>
        <w:t>دكتر</w:t>
      </w:r>
      <w:r w:rsidRPr="00F7610A">
        <w:rPr>
          <w:rFonts w:cs="B Zar"/>
          <w:b/>
          <w:bCs/>
          <w:rtl/>
        </w:rPr>
        <w:t xml:space="preserve"> كريم نجفي</w:t>
      </w:r>
      <w:r w:rsidR="004D297C">
        <w:rPr>
          <w:rFonts w:cs="B Zar" w:hint="cs"/>
          <w:b/>
          <w:bCs/>
          <w:rtl/>
        </w:rPr>
        <w:t xml:space="preserve"> برزگر</w:t>
      </w:r>
    </w:p>
    <w:p w:rsidR="00F7610A" w:rsidRPr="00F7610A" w:rsidP="004D297C">
      <w:pPr>
        <w:widowControl w:val="0"/>
        <w:tabs>
          <w:tab w:val="right" w:pos="6237"/>
        </w:tabs>
        <w:spacing w:line="420" w:lineRule="exact"/>
        <w:ind w:left="2382" w:right="0"/>
        <w:jc w:val="center"/>
        <w:rPr>
          <w:rFonts w:cs="B Zar"/>
          <w:b/>
          <w:bCs/>
          <w:rtl/>
        </w:rPr>
      </w:pPr>
      <w:r w:rsidRPr="00F7610A">
        <w:rPr>
          <w:rFonts w:cs="B Zar" w:hint="eastAsia"/>
          <w:b/>
          <w:bCs/>
          <w:rtl/>
        </w:rPr>
        <w:t>رايزن</w:t>
      </w:r>
      <w:r w:rsidRPr="00F7610A">
        <w:rPr>
          <w:rFonts w:cs="B Zar"/>
          <w:b/>
          <w:bCs/>
          <w:rtl/>
        </w:rPr>
        <w:t xml:space="preserve"> فرهنگي</w:t>
      </w:r>
    </w:p>
    <w:p w:rsidR="009C75F3" w:rsidRPr="00F7610A" w:rsidP="004D297C">
      <w:pPr>
        <w:widowControl w:val="0"/>
        <w:tabs>
          <w:tab w:val="right" w:pos="6237"/>
        </w:tabs>
        <w:spacing w:line="420" w:lineRule="exact"/>
        <w:ind w:left="2382" w:right="0"/>
        <w:jc w:val="center"/>
        <w:rPr>
          <w:rFonts w:cs="B Zar" w:hint="cs"/>
          <w:rtl/>
        </w:rPr>
      </w:pPr>
      <w:r w:rsidRPr="00F7610A" w:rsidR="00F7610A">
        <w:rPr>
          <w:rFonts w:cs="B Zar" w:hint="eastAsia"/>
          <w:b/>
          <w:bCs/>
          <w:rtl/>
        </w:rPr>
        <w:t>سفارت</w:t>
      </w:r>
      <w:r w:rsidRPr="00F7610A" w:rsidR="00F7610A">
        <w:rPr>
          <w:rFonts w:cs="B Zar"/>
          <w:b/>
          <w:bCs/>
          <w:rtl/>
        </w:rPr>
        <w:t xml:space="preserve"> جمهوري اسلامي ايران ـ دهلي نو</w:t>
      </w:r>
    </w:p>
    <w:p w:rsidR="009C75F3" w:rsidRPr="00B67C5A" w:rsidP="003C0EF5">
      <w:pPr>
        <w:widowControl w:val="0"/>
        <w:spacing w:line="420" w:lineRule="exact"/>
        <w:ind w:left="0" w:right="0"/>
        <w:jc w:val="both"/>
        <w:rPr>
          <w:rFonts w:cs="B Zar" w:hint="cs"/>
          <w:rtl/>
        </w:rPr>
      </w:pPr>
    </w:p>
    <w:p w:rsidR="009C75F3" w:rsidRPr="00B67C5A" w:rsidP="003C0EF5">
      <w:pPr>
        <w:widowControl w:val="0"/>
        <w:spacing w:line="420" w:lineRule="exact"/>
        <w:ind w:left="0" w:right="0"/>
        <w:jc w:val="both"/>
        <w:rPr>
          <w:rFonts w:cs="B Zar" w:hint="cs"/>
          <w:rtl/>
        </w:rPr>
      </w:pPr>
    </w:p>
    <w:p w:rsidR="005B1135" w:rsidP="003C0EF5">
      <w:pPr>
        <w:widowControl w:val="0"/>
        <w:spacing w:line="420" w:lineRule="exact"/>
        <w:ind w:left="0" w:right="0"/>
        <w:jc w:val="both"/>
        <w:rPr>
          <w:rFonts w:cs="B Zar" w:hint="cs"/>
          <w:rtl/>
        </w:rPr>
      </w:pPr>
      <w:r>
        <w:rPr>
          <w:rFonts w:cs="B Zar"/>
          <w:rtl/>
        </w:rPr>
        <w:br w:type="page"/>
      </w:r>
    </w:p>
    <w:p w:rsidR="00AB1F9E" w:rsidP="003C0EF5">
      <w:pPr>
        <w:widowControl w:val="0"/>
        <w:spacing w:line="420" w:lineRule="exact"/>
        <w:ind w:left="0" w:right="0"/>
        <w:jc w:val="both"/>
        <w:rPr>
          <w:rFonts w:cs="B Zar" w:hint="cs"/>
          <w:rtl/>
        </w:rPr>
      </w:pPr>
    </w:p>
    <w:p w:rsidR="0032533F" w:rsidRPr="00E7039C" w:rsidP="0032533F">
      <w:pPr>
        <w:ind w:left="0" w:right="0"/>
        <w:jc w:val="center"/>
        <w:rPr>
          <w:rFonts w:cs="B Zar" w:hint="cs"/>
          <w:b/>
          <w:bCs/>
          <w:sz w:val="28"/>
          <w:szCs w:val="28"/>
          <w:rtl/>
          <w:lang w:bidi="fa-IR"/>
        </w:rPr>
      </w:pPr>
      <w:r w:rsidRPr="00E7039C">
        <w:rPr>
          <w:rFonts w:cs="B Zar" w:hint="cs"/>
          <w:b/>
          <w:bCs/>
          <w:sz w:val="28"/>
          <w:szCs w:val="28"/>
          <w:rtl/>
          <w:lang w:bidi="fa-IR"/>
        </w:rPr>
        <w:t>مقدمه</w:t>
      </w:r>
      <w:r w:rsidR="00FE3C87">
        <w:rPr>
          <w:rFonts w:cs="B Zar" w:hint="cs"/>
          <w:b/>
          <w:bCs/>
          <w:sz w:val="28"/>
          <w:szCs w:val="28"/>
          <w:rtl/>
          <w:lang w:bidi="fa-IR"/>
        </w:rPr>
        <w:t xml:space="preserve"> مولف</w:t>
      </w:r>
    </w:p>
    <w:p w:rsidR="0032533F" w:rsidRPr="00E7039C" w:rsidP="0032533F">
      <w:pPr>
        <w:ind w:left="0" w:right="0"/>
        <w:jc w:val="both"/>
        <w:rPr>
          <w:rFonts w:cs="B Zar" w:hint="cs"/>
          <w:sz w:val="26"/>
          <w:rtl/>
          <w:lang w:bidi="fa-IR"/>
        </w:rPr>
      </w:pPr>
    </w:p>
    <w:p w:rsidR="0032533F" w:rsidRPr="00E7039C" w:rsidP="00533609">
      <w:pPr>
        <w:spacing w:line="440" w:lineRule="exact"/>
        <w:ind w:left="0" w:right="0"/>
        <w:jc w:val="both"/>
        <w:rPr>
          <w:rFonts w:cs="B Zar" w:hint="cs"/>
          <w:sz w:val="26"/>
          <w:rtl/>
          <w:lang w:bidi="fa-IR"/>
        </w:rPr>
      </w:pPr>
      <w:r w:rsidRPr="00E7039C">
        <w:rPr>
          <w:rFonts w:cs="B Zar" w:hint="cs"/>
          <w:sz w:val="26"/>
          <w:rtl/>
          <w:lang w:bidi="fa-IR"/>
        </w:rPr>
        <w:t xml:space="preserve">كتاب سيري در انديشة ديني هند (در دو جلد) در حدود پانزده سال پيش به فرمايش دانشمند محترم </w:t>
      </w:r>
      <w:r w:rsidR="00FC027A">
        <w:rPr>
          <w:rFonts w:cs="B Zar" w:hint="cs"/>
          <w:sz w:val="26"/>
          <w:rtl/>
          <w:lang w:bidi="fa-IR"/>
        </w:rPr>
        <w:t xml:space="preserve">جناب </w:t>
      </w:r>
      <w:r w:rsidRPr="00E7039C">
        <w:rPr>
          <w:rFonts w:cs="B Zar" w:hint="cs"/>
          <w:sz w:val="26"/>
          <w:rtl/>
          <w:lang w:bidi="fa-IR"/>
        </w:rPr>
        <w:t>آقاي محمد باقر كريميان  رايزن اسبق فرهنگي ايران در هند تكميل گرديد. اما چون دورة رايزني آقاي كريميان سپري شد،كتاب</w:t>
      </w:r>
      <w:r w:rsidR="00CF02BF">
        <w:rPr>
          <w:rFonts w:cs="B Zar" w:hint="cs"/>
          <w:sz w:val="26"/>
          <w:rtl/>
          <w:lang w:bidi="fa-IR"/>
        </w:rPr>
        <w:t xml:space="preserve"> مذكور</w:t>
      </w:r>
      <w:r w:rsidRPr="00E7039C">
        <w:rPr>
          <w:rFonts w:cs="B Zar" w:hint="cs"/>
          <w:sz w:val="26"/>
          <w:rtl/>
          <w:lang w:bidi="fa-IR"/>
        </w:rPr>
        <w:t xml:space="preserve"> منتشر نگرديد. </w:t>
      </w:r>
      <w:r w:rsidR="00FC027A">
        <w:rPr>
          <w:rFonts w:cs="B Zar" w:hint="cs"/>
          <w:sz w:val="26"/>
          <w:rtl/>
          <w:lang w:bidi="fa-IR"/>
        </w:rPr>
        <w:t xml:space="preserve">البته </w:t>
      </w:r>
      <w:r w:rsidRPr="00E7039C">
        <w:rPr>
          <w:rFonts w:cs="B Zar" w:hint="cs"/>
          <w:sz w:val="26"/>
          <w:rtl/>
          <w:lang w:bidi="fa-IR"/>
        </w:rPr>
        <w:t>در هم</w:t>
      </w:r>
      <w:r w:rsidR="00FC027A">
        <w:rPr>
          <w:rFonts w:cs="B Zar" w:hint="cs"/>
          <w:sz w:val="26"/>
          <w:rtl/>
          <w:lang w:bidi="fa-IR"/>
        </w:rPr>
        <w:t>ا</w:t>
      </w:r>
      <w:r w:rsidRPr="00E7039C">
        <w:rPr>
          <w:rFonts w:cs="B Zar" w:hint="cs"/>
          <w:sz w:val="26"/>
          <w:rtl/>
          <w:lang w:bidi="fa-IR"/>
        </w:rPr>
        <w:t xml:space="preserve">ن زمان اين اثر افتخار آن را داشت كه </w:t>
      </w:r>
      <w:r w:rsidR="00FC027A">
        <w:rPr>
          <w:rFonts w:cs="B Zar" w:hint="cs"/>
          <w:sz w:val="26"/>
          <w:rtl/>
          <w:lang w:bidi="fa-IR"/>
        </w:rPr>
        <w:t xml:space="preserve">بصورت دست نويس </w:t>
      </w:r>
      <w:r w:rsidRPr="00E7039C">
        <w:rPr>
          <w:rFonts w:cs="B Zar" w:hint="cs"/>
          <w:sz w:val="26"/>
          <w:rtl/>
          <w:lang w:bidi="fa-IR"/>
        </w:rPr>
        <w:t xml:space="preserve">همانند كتاب هاي قدماء تكثير </w:t>
      </w:r>
      <w:r w:rsidR="00533609">
        <w:rPr>
          <w:rFonts w:cs="B Zar" w:hint="cs"/>
          <w:sz w:val="26"/>
          <w:rtl/>
          <w:lang w:bidi="fa-IR"/>
        </w:rPr>
        <w:t xml:space="preserve">گردد </w:t>
      </w:r>
      <w:r w:rsidRPr="00E7039C">
        <w:rPr>
          <w:rFonts w:cs="B Zar" w:hint="cs"/>
          <w:sz w:val="26"/>
          <w:rtl/>
          <w:lang w:bidi="fa-IR"/>
        </w:rPr>
        <w:t>و نسخه هاي آن در كتابخانه</w:t>
      </w:r>
      <w:r w:rsidR="00533609">
        <w:rPr>
          <w:rFonts w:cs="B Zar" w:hint="cs"/>
          <w:sz w:val="26"/>
          <w:rtl/>
          <w:lang w:bidi="fa-IR"/>
        </w:rPr>
        <w:t xml:space="preserve"> </w:t>
      </w:r>
      <w:r w:rsidRPr="00E7039C">
        <w:rPr>
          <w:rFonts w:cs="B Zar" w:hint="cs"/>
          <w:sz w:val="26"/>
          <w:rtl/>
          <w:lang w:bidi="fa-IR"/>
        </w:rPr>
        <w:t xml:space="preserve">هاي قم و تهران </w:t>
      </w:r>
      <w:r w:rsidR="00FC027A">
        <w:rPr>
          <w:rFonts w:cs="B Zar" w:hint="cs"/>
          <w:sz w:val="26"/>
          <w:rtl/>
          <w:lang w:bidi="fa-IR"/>
        </w:rPr>
        <w:t>مورد استفاده</w:t>
      </w:r>
      <w:r w:rsidR="00CF02BF">
        <w:rPr>
          <w:rFonts w:cs="B Zar" w:hint="cs"/>
          <w:sz w:val="26"/>
          <w:rtl/>
          <w:lang w:bidi="fa-IR"/>
        </w:rPr>
        <w:t xml:space="preserve"> </w:t>
      </w:r>
      <w:r w:rsidR="00533609">
        <w:rPr>
          <w:rFonts w:cs="B Zar" w:hint="cs"/>
          <w:sz w:val="26"/>
          <w:rtl/>
          <w:lang w:bidi="fa-IR"/>
        </w:rPr>
        <w:t xml:space="preserve">دانش پژوهان </w:t>
      </w:r>
      <w:r w:rsidR="00FC027A">
        <w:rPr>
          <w:rFonts w:cs="B Zar" w:hint="cs"/>
          <w:sz w:val="26"/>
          <w:rtl/>
          <w:lang w:bidi="fa-IR"/>
        </w:rPr>
        <w:t xml:space="preserve"> قرار گيرد</w:t>
      </w:r>
      <w:r w:rsidRPr="00E7039C">
        <w:rPr>
          <w:rFonts w:cs="B Zar" w:hint="cs"/>
          <w:sz w:val="26"/>
          <w:rtl/>
          <w:lang w:bidi="fa-IR"/>
        </w:rPr>
        <w:t xml:space="preserve"> و </w:t>
      </w:r>
      <w:r w:rsidR="00533609">
        <w:rPr>
          <w:rFonts w:cs="B Zar" w:hint="cs"/>
          <w:sz w:val="26"/>
          <w:rtl/>
          <w:lang w:bidi="fa-IR"/>
        </w:rPr>
        <w:t xml:space="preserve">بحمدالله </w:t>
      </w:r>
      <w:r w:rsidRPr="00E7039C">
        <w:rPr>
          <w:rFonts w:cs="B Zar" w:hint="cs"/>
          <w:sz w:val="26"/>
          <w:rtl/>
          <w:lang w:bidi="fa-IR"/>
        </w:rPr>
        <w:t xml:space="preserve">مورد تجليل علماء </w:t>
      </w:r>
      <w:r w:rsidR="00533609">
        <w:rPr>
          <w:rFonts w:cs="B Zar" w:hint="cs"/>
          <w:sz w:val="26"/>
          <w:rtl/>
          <w:lang w:bidi="fa-IR"/>
        </w:rPr>
        <w:t xml:space="preserve">نيز </w:t>
      </w:r>
      <w:r w:rsidRPr="00E7039C">
        <w:rPr>
          <w:rFonts w:cs="B Zar" w:hint="cs"/>
          <w:sz w:val="26"/>
          <w:rtl/>
          <w:lang w:bidi="fa-IR"/>
        </w:rPr>
        <w:t>واقع شد.</w:t>
      </w:r>
    </w:p>
    <w:p w:rsidR="0032533F" w:rsidRPr="00E7039C" w:rsidP="000050A4">
      <w:pPr>
        <w:spacing w:line="440" w:lineRule="exact"/>
        <w:ind w:left="0" w:right="0"/>
        <w:jc w:val="both"/>
        <w:rPr>
          <w:rFonts w:cs="B Zar" w:hint="cs"/>
          <w:sz w:val="26"/>
          <w:rtl/>
          <w:lang w:bidi="fa-IR"/>
        </w:rPr>
      </w:pPr>
      <w:r w:rsidRPr="00E7039C">
        <w:rPr>
          <w:rFonts w:cs="B Zar" w:hint="cs"/>
          <w:sz w:val="26"/>
          <w:rtl/>
          <w:lang w:bidi="fa-IR"/>
        </w:rPr>
        <w:t xml:space="preserve">تا آن كه دوست ارجمند ما </w:t>
      </w:r>
      <w:r w:rsidR="00FC027A">
        <w:rPr>
          <w:rFonts w:cs="B Zar" w:hint="cs"/>
          <w:sz w:val="26"/>
          <w:rtl/>
          <w:lang w:bidi="fa-IR"/>
        </w:rPr>
        <w:t xml:space="preserve">حجت الاسلام </w:t>
      </w:r>
      <w:r w:rsidR="00C9493C">
        <w:rPr>
          <w:rFonts w:cs="B Zar" w:hint="cs"/>
          <w:sz w:val="26"/>
          <w:rtl/>
          <w:lang w:bidi="fa-IR"/>
        </w:rPr>
        <w:t xml:space="preserve">والمسلمین </w:t>
      </w:r>
      <w:r w:rsidRPr="00E7039C">
        <w:rPr>
          <w:rFonts w:cs="B Zar" w:hint="cs"/>
          <w:sz w:val="26"/>
          <w:rtl/>
          <w:lang w:bidi="fa-IR"/>
        </w:rPr>
        <w:t xml:space="preserve">جناب آقاي دكتر </w:t>
      </w:r>
      <w:r w:rsidR="00FC027A">
        <w:rPr>
          <w:rFonts w:cs="B Zar" w:hint="cs"/>
          <w:sz w:val="26"/>
          <w:rtl/>
          <w:lang w:bidi="fa-IR"/>
        </w:rPr>
        <w:t xml:space="preserve">كريم </w:t>
      </w:r>
      <w:r w:rsidRPr="00E7039C">
        <w:rPr>
          <w:rFonts w:cs="B Zar" w:hint="cs"/>
          <w:sz w:val="26"/>
          <w:rtl/>
          <w:lang w:bidi="fa-IR"/>
        </w:rPr>
        <w:t>نجفي به عنوان رايزن فرهنگي جمهوري اسلامي ايران، وارد هند شد.</w:t>
      </w:r>
      <w:r w:rsidRPr="00C9493C" w:rsidR="00C9493C">
        <w:rPr>
          <w:rFonts w:cs="B Zar" w:hint="cs"/>
          <w:sz w:val="26"/>
          <w:rtl/>
          <w:lang w:bidi="fa-IR"/>
        </w:rPr>
        <w:t xml:space="preserve"> </w:t>
      </w:r>
      <w:r w:rsidRPr="00E7039C">
        <w:rPr>
          <w:rFonts w:cs="B Zar" w:hint="cs"/>
          <w:sz w:val="26"/>
          <w:rtl/>
          <w:lang w:bidi="fa-IR"/>
        </w:rPr>
        <w:t>جناب آقاي دكتر نجفي از جمله فضلايي هستند كه خود در حوزة تاريخ، ادبيات و معارف ديني ايران و هند صاحب نظر</w:t>
      </w:r>
      <w:r w:rsidR="00FC027A">
        <w:rPr>
          <w:rFonts w:cs="B Zar" w:hint="cs"/>
          <w:sz w:val="26"/>
          <w:rtl/>
          <w:lang w:bidi="fa-IR"/>
        </w:rPr>
        <w:t xml:space="preserve"> مي باش</w:t>
      </w:r>
      <w:r w:rsidRPr="00E7039C">
        <w:rPr>
          <w:rFonts w:cs="B Zar" w:hint="cs"/>
          <w:sz w:val="26"/>
          <w:rtl/>
          <w:lang w:bidi="fa-IR"/>
        </w:rPr>
        <w:t>ند.</w:t>
      </w:r>
    </w:p>
    <w:p w:rsidR="0032533F" w:rsidRPr="00E7039C" w:rsidP="000050A4">
      <w:pPr>
        <w:spacing w:line="440" w:lineRule="exact"/>
        <w:ind w:left="0" w:right="0"/>
        <w:jc w:val="both"/>
        <w:rPr>
          <w:rFonts w:cs="B Zar" w:hint="cs"/>
          <w:sz w:val="26"/>
          <w:rtl/>
          <w:lang w:bidi="fa-IR"/>
        </w:rPr>
      </w:pPr>
      <w:r w:rsidRPr="00E7039C">
        <w:rPr>
          <w:rFonts w:cs="B Zar" w:hint="cs"/>
          <w:sz w:val="26"/>
          <w:rtl/>
          <w:lang w:bidi="fa-IR"/>
        </w:rPr>
        <w:t xml:space="preserve">در </w:t>
      </w:r>
      <w:r w:rsidR="00FC027A">
        <w:rPr>
          <w:rFonts w:cs="B Zar" w:hint="cs"/>
          <w:sz w:val="26"/>
          <w:rtl/>
          <w:lang w:bidi="fa-IR"/>
        </w:rPr>
        <w:t>ديدگاه</w:t>
      </w:r>
      <w:r w:rsidRPr="00E7039C">
        <w:rPr>
          <w:rFonts w:cs="B Zar" w:hint="cs"/>
          <w:sz w:val="26"/>
          <w:rtl/>
          <w:lang w:bidi="fa-IR"/>
        </w:rPr>
        <w:t xml:space="preserve"> بنده </w:t>
      </w:r>
      <w:r w:rsidR="00533609">
        <w:rPr>
          <w:rFonts w:cs="B Zar" w:hint="cs"/>
          <w:sz w:val="26"/>
          <w:rtl/>
          <w:lang w:bidi="fa-IR"/>
        </w:rPr>
        <w:t>همان</w:t>
      </w:r>
      <w:r w:rsidR="00BA0710">
        <w:rPr>
          <w:rFonts w:cs="B Zar" w:hint="cs"/>
          <w:sz w:val="26"/>
          <w:rtl/>
          <w:lang w:bidi="fa-IR"/>
        </w:rPr>
        <w:t xml:space="preserve"> </w:t>
      </w:r>
      <w:r w:rsidR="00533609">
        <w:rPr>
          <w:rFonts w:cs="B Zar" w:hint="cs"/>
          <w:sz w:val="26"/>
          <w:rtl/>
          <w:lang w:bidi="fa-IR"/>
        </w:rPr>
        <w:t>گونه</w:t>
      </w:r>
      <w:r w:rsidRPr="00E7039C">
        <w:rPr>
          <w:rFonts w:cs="B Zar" w:hint="cs"/>
          <w:sz w:val="26"/>
          <w:rtl/>
          <w:lang w:bidi="fa-IR"/>
        </w:rPr>
        <w:t xml:space="preserve"> كه دوره </w:t>
      </w:r>
      <w:r w:rsidR="00FC027A">
        <w:rPr>
          <w:rFonts w:cs="B Zar" w:hint="cs"/>
          <w:sz w:val="26"/>
          <w:rtl/>
          <w:lang w:bidi="fa-IR"/>
        </w:rPr>
        <w:t xml:space="preserve">جناب </w:t>
      </w:r>
      <w:r w:rsidRPr="00E7039C">
        <w:rPr>
          <w:rFonts w:cs="B Zar" w:hint="cs"/>
          <w:sz w:val="26"/>
          <w:rtl/>
          <w:lang w:bidi="fa-IR"/>
        </w:rPr>
        <w:t>آقاي كريميان يك دوره تاريخي بوده و خانه فرهنگ جمهوري اسلامي مركز كارهاي تحقيقي گرديد، هم</w:t>
      </w:r>
      <w:r w:rsidR="00BA0710">
        <w:rPr>
          <w:rFonts w:cs="B Zar" w:hint="cs"/>
          <w:sz w:val="26"/>
          <w:rtl/>
          <w:lang w:bidi="fa-IR"/>
        </w:rPr>
        <w:t>چنين</w:t>
      </w:r>
      <w:r w:rsidRPr="00E7039C">
        <w:rPr>
          <w:rFonts w:cs="B Zar" w:hint="cs"/>
          <w:sz w:val="26"/>
          <w:rtl/>
          <w:lang w:bidi="fa-IR"/>
        </w:rPr>
        <w:t xml:space="preserve"> با ورود </w:t>
      </w:r>
      <w:r w:rsidR="00FC027A">
        <w:rPr>
          <w:rFonts w:cs="B Zar" w:hint="cs"/>
          <w:sz w:val="26"/>
          <w:rtl/>
          <w:lang w:bidi="fa-IR"/>
        </w:rPr>
        <w:t xml:space="preserve">جناب </w:t>
      </w:r>
      <w:r w:rsidRPr="00E7039C">
        <w:rPr>
          <w:rFonts w:cs="B Zar" w:hint="cs"/>
          <w:sz w:val="26"/>
          <w:rtl/>
          <w:lang w:bidi="fa-IR"/>
        </w:rPr>
        <w:t xml:space="preserve">آقاي دكتر </w:t>
      </w:r>
      <w:r w:rsidR="00FC027A">
        <w:rPr>
          <w:rFonts w:cs="B Zar" w:hint="cs"/>
          <w:sz w:val="26"/>
          <w:rtl/>
          <w:lang w:bidi="fa-IR"/>
        </w:rPr>
        <w:t xml:space="preserve">كريم </w:t>
      </w:r>
      <w:r w:rsidRPr="00E7039C">
        <w:rPr>
          <w:rFonts w:cs="B Zar" w:hint="cs"/>
          <w:sz w:val="26"/>
          <w:rtl/>
          <w:lang w:bidi="fa-IR"/>
        </w:rPr>
        <w:t>نجفي كه در زم</w:t>
      </w:r>
      <w:r w:rsidR="00304447">
        <w:rPr>
          <w:rFonts w:cs="B Zar" w:hint="cs"/>
          <w:sz w:val="26"/>
          <w:rtl/>
          <w:lang w:bidi="fa-IR"/>
        </w:rPr>
        <w:t>ره السابقون قرار دارند و با هند و</w:t>
      </w:r>
      <w:r w:rsidRPr="00E7039C">
        <w:rPr>
          <w:rFonts w:cs="B Zar" w:hint="cs"/>
          <w:sz w:val="26"/>
          <w:rtl/>
          <w:lang w:bidi="fa-IR"/>
        </w:rPr>
        <w:t xml:space="preserve"> شرايط اين ديار و پروژه هاي علمي سابق رايزني كاملاً آشنائي </w:t>
      </w:r>
      <w:r w:rsidR="00FC027A">
        <w:rPr>
          <w:rFonts w:cs="B Zar" w:hint="cs"/>
          <w:sz w:val="26"/>
          <w:rtl/>
          <w:lang w:bidi="fa-IR"/>
        </w:rPr>
        <w:t>داشته اند و اين اثر نيز يكبار در همان زمان مورد ملاحظه ايشان واقع شده بود</w:t>
      </w:r>
      <w:r w:rsidRPr="00E7039C">
        <w:rPr>
          <w:rFonts w:cs="B Zar" w:hint="cs"/>
          <w:sz w:val="26"/>
          <w:rtl/>
          <w:lang w:bidi="fa-IR"/>
        </w:rPr>
        <w:t xml:space="preserve"> يك دوره تاريخي جديد</w:t>
      </w:r>
      <w:r w:rsidR="00533609">
        <w:rPr>
          <w:rFonts w:cs="B Zar" w:hint="cs"/>
          <w:sz w:val="26"/>
          <w:rtl/>
          <w:lang w:bidi="fa-IR"/>
        </w:rPr>
        <w:t>ي</w:t>
      </w:r>
      <w:r w:rsidRPr="00E7039C">
        <w:rPr>
          <w:rFonts w:cs="B Zar" w:hint="cs"/>
          <w:sz w:val="26"/>
          <w:rtl/>
          <w:lang w:bidi="fa-IR"/>
        </w:rPr>
        <w:t xml:space="preserve"> شروع شد</w:t>
      </w:r>
      <w:r w:rsidR="00BA0710">
        <w:rPr>
          <w:rFonts w:cs="B Zar" w:hint="cs"/>
          <w:sz w:val="26"/>
          <w:rtl/>
          <w:lang w:bidi="fa-IR"/>
        </w:rPr>
        <w:t>ه است</w:t>
      </w:r>
      <w:r w:rsidRPr="00E7039C">
        <w:rPr>
          <w:rFonts w:cs="B Zar" w:hint="cs"/>
          <w:sz w:val="26"/>
          <w:rtl/>
          <w:lang w:bidi="fa-IR"/>
        </w:rPr>
        <w:t xml:space="preserve"> كه در آن فعاليت هاي علمي رايزني</w:t>
      </w:r>
      <w:r w:rsidR="00FC027A">
        <w:rPr>
          <w:rFonts w:cs="B Zar" w:hint="cs"/>
          <w:sz w:val="26"/>
          <w:rtl/>
          <w:lang w:bidi="fa-IR"/>
        </w:rPr>
        <w:t xml:space="preserve"> بيش از پيش </w:t>
      </w:r>
      <w:r w:rsidRPr="00E7039C">
        <w:rPr>
          <w:rFonts w:cs="B Zar" w:hint="cs"/>
          <w:sz w:val="26"/>
          <w:rtl/>
          <w:lang w:bidi="fa-IR"/>
        </w:rPr>
        <w:t xml:space="preserve"> احياء </w:t>
      </w:r>
      <w:r w:rsidR="00533609">
        <w:rPr>
          <w:rFonts w:cs="B Zar" w:hint="cs"/>
          <w:sz w:val="26"/>
          <w:rtl/>
          <w:lang w:bidi="fa-IR"/>
        </w:rPr>
        <w:t>گرديد</w:t>
      </w:r>
      <w:r w:rsidRPr="00E7039C">
        <w:rPr>
          <w:rFonts w:cs="B Zar" w:hint="cs"/>
          <w:sz w:val="26"/>
          <w:rtl/>
          <w:lang w:bidi="fa-IR"/>
        </w:rPr>
        <w:t>، از جمله آثار اين دوره انتشار اين دو جلد كتاب و نيز بسياري كتابها و آثار ديگر است</w:t>
      </w:r>
      <w:r w:rsidR="00FC027A">
        <w:rPr>
          <w:rFonts w:cs="B Zar" w:hint="cs"/>
          <w:sz w:val="26"/>
          <w:rtl/>
          <w:lang w:bidi="fa-IR"/>
        </w:rPr>
        <w:t xml:space="preserve"> و بدين سبب</w:t>
      </w:r>
      <w:r w:rsidRPr="00E7039C">
        <w:rPr>
          <w:rFonts w:cs="B Zar" w:hint="cs"/>
          <w:sz w:val="26"/>
          <w:rtl/>
          <w:lang w:bidi="fa-IR"/>
        </w:rPr>
        <w:t xml:space="preserve"> من از </w:t>
      </w:r>
      <w:r w:rsidR="00533609">
        <w:rPr>
          <w:rFonts w:cs="B Zar" w:hint="cs"/>
          <w:sz w:val="26"/>
          <w:rtl/>
          <w:lang w:bidi="fa-IR"/>
        </w:rPr>
        <w:t xml:space="preserve">جناب آقاي دكتر نجفي </w:t>
      </w:r>
      <w:r w:rsidRPr="00E7039C">
        <w:rPr>
          <w:rFonts w:cs="B Zar" w:hint="cs"/>
          <w:sz w:val="26"/>
          <w:rtl/>
          <w:lang w:bidi="fa-IR"/>
        </w:rPr>
        <w:t xml:space="preserve">براي احياي اين اثر و انتشار آن تشكر </w:t>
      </w:r>
      <w:r w:rsidR="00FC027A">
        <w:rPr>
          <w:rFonts w:cs="B Zar" w:hint="cs"/>
          <w:sz w:val="26"/>
          <w:rtl/>
          <w:lang w:bidi="fa-IR"/>
        </w:rPr>
        <w:t xml:space="preserve">فراوان </w:t>
      </w:r>
      <w:r w:rsidRPr="00E7039C">
        <w:rPr>
          <w:rFonts w:cs="B Zar" w:hint="cs"/>
          <w:sz w:val="26"/>
          <w:rtl/>
          <w:lang w:bidi="fa-IR"/>
        </w:rPr>
        <w:t>مي</w:t>
      </w:r>
      <w:r w:rsidR="00FC027A">
        <w:rPr>
          <w:rFonts w:cs="B Zar" w:hint="cs"/>
          <w:sz w:val="26"/>
          <w:rtl/>
          <w:lang w:bidi="fa-IR"/>
        </w:rPr>
        <w:t xml:space="preserve"> </w:t>
      </w:r>
      <w:r w:rsidRPr="00E7039C">
        <w:rPr>
          <w:rFonts w:cs="B Zar" w:hint="cs"/>
          <w:sz w:val="26"/>
          <w:rtl/>
          <w:lang w:bidi="fa-IR"/>
        </w:rPr>
        <w:t>كنم.</w:t>
      </w:r>
    </w:p>
    <w:p w:rsidR="0032533F" w:rsidRPr="00E7039C" w:rsidP="00533609">
      <w:pPr>
        <w:spacing w:line="440" w:lineRule="exact"/>
        <w:ind w:left="0" w:right="0"/>
        <w:jc w:val="both"/>
        <w:rPr>
          <w:rFonts w:cs="B Zar" w:hint="cs"/>
          <w:sz w:val="26"/>
          <w:rtl/>
          <w:lang w:bidi="fa-IR"/>
        </w:rPr>
      </w:pPr>
      <w:r w:rsidRPr="00E7039C">
        <w:rPr>
          <w:rFonts w:cs="B Zar" w:hint="cs"/>
          <w:sz w:val="26"/>
          <w:rtl/>
          <w:lang w:bidi="fa-IR"/>
        </w:rPr>
        <w:t>لازم است از دوست عزيز جناب آقاي دكتر عبدالحميد ضيايي كه خود دانشمند صاحب اثر و صاحب فكر مي باشند و در ويرايش اين كتاب كوشيده اند، نيز تشكر صميمانه بعمل آورم.</w:t>
      </w:r>
    </w:p>
    <w:p w:rsidR="0032533F" w:rsidRPr="00E7039C" w:rsidP="00BA0710">
      <w:pPr>
        <w:spacing w:line="440" w:lineRule="exact"/>
        <w:ind w:left="0" w:right="0"/>
        <w:jc w:val="both"/>
        <w:rPr>
          <w:rFonts w:cs="B Zar" w:hint="cs"/>
          <w:sz w:val="26"/>
          <w:rtl/>
          <w:lang w:bidi="fa-IR"/>
        </w:rPr>
      </w:pPr>
      <w:r w:rsidRPr="00E7039C">
        <w:rPr>
          <w:rFonts w:cs="B Zar" w:hint="cs"/>
          <w:sz w:val="26"/>
          <w:rtl/>
          <w:lang w:bidi="fa-IR"/>
        </w:rPr>
        <w:t>بتدريج رشته دين شناسي تطبيقي بصورت يك رشته درسي دانشگاه و حوزه در</w:t>
      </w:r>
      <w:r w:rsidR="00304447">
        <w:rPr>
          <w:rFonts w:cs="B Zar" w:hint="cs"/>
          <w:sz w:val="26"/>
          <w:rtl/>
          <w:lang w:bidi="fa-IR"/>
        </w:rPr>
        <w:t xml:space="preserve"> </w:t>
      </w:r>
      <w:r w:rsidRPr="00E7039C">
        <w:rPr>
          <w:rFonts w:cs="B Zar" w:hint="cs"/>
          <w:sz w:val="26"/>
          <w:rtl/>
          <w:lang w:bidi="fa-IR"/>
        </w:rPr>
        <w:t>مي</w:t>
      </w:r>
      <w:r w:rsidR="00304447">
        <w:rPr>
          <w:rFonts w:cs="B Zar" w:hint="eastAsia"/>
          <w:sz w:val="26"/>
          <w:rtl/>
          <w:lang w:bidi="fa-IR"/>
        </w:rPr>
        <w:t>‌</w:t>
      </w:r>
      <w:r w:rsidRPr="00E7039C">
        <w:rPr>
          <w:rFonts w:cs="B Zar" w:hint="cs"/>
          <w:sz w:val="26"/>
          <w:rtl/>
          <w:lang w:bidi="fa-IR"/>
        </w:rPr>
        <w:t>آيد. اميد است اين اثر بعنوان يك كتاب مرجع مورد استفاده قرار گر</w:t>
      </w:r>
      <w:r w:rsidR="00BA0710">
        <w:rPr>
          <w:rFonts w:cs="B Zar" w:hint="cs"/>
          <w:sz w:val="26"/>
          <w:rtl/>
          <w:lang w:bidi="fa-IR"/>
        </w:rPr>
        <w:t>فته</w:t>
      </w:r>
      <w:r w:rsidRPr="00E7039C">
        <w:rPr>
          <w:rFonts w:cs="B Zar" w:hint="cs"/>
          <w:sz w:val="26"/>
          <w:rtl/>
          <w:lang w:bidi="fa-IR"/>
        </w:rPr>
        <w:t xml:space="preserve"> و محققان </w:t>
      </w:r>
      <w:r w:rsidR="00BA0710">
        <w:rPr>
          <w:rFonts w:cs="B Zar" w:hint="cs"/>
          <w:sz w:val="26"/>
          <w:rtl/>
          <w:lang w:bidi="fa-IR"/>
        </w:rPr>
        <w:t>و دانش پژوهان با مطالعه دقيق و ارائه نقطه نظرات ارزنده در تكامل بخشيدن به اين تحقيق بنده را ياري نمايند</w:t>
      </w:r>
      <w:r w:rsidRPr="00E7039C">
        <w:rPr>
          <w:rFonts w:cs="B Zar" w:hint="cs"/>
          <w:sz w:val="26"/>
          <w:rtl/>
          <w:lang w:bidi="fa-IR"/>
        </w:rPr>
        <w:t>.</w:t>
      </w:r>
    </w:p>
    <w:p w:rsidR="0032533F" w:rsidRPr="00E7039C" w:rsidP="0032533F">
      <w:pPr>
        <w:ind w:left="0" w:right="0"/>
        <w:jc w:val="both"/>
        <w:rPr>
          <w:rFonts w:cs="B Zar" w:hint="cs"/>
          <w:sz w:val="26"/>
          <w:rtl/>
          <w:lang w:bidi="fa-IR"/>
        </w:rPr>
      </w:pPr>
    </w:p>
    <w:p w:rsidR="00F91E6E" w:rsidP="000050A4">
      <w:pPr>
        <w:widowControl w:val="0"/>
        <w:spacing w:line="420" w:lineRule="exact"/>
        <w:ind w:left="3897" w:right="0"/>
        <w:jc w:val="center"/>
        <w:rPr>
          <w:rFonts w:cs="B Zar" w:hint="cs"/>
          <w:rtl/>
        </w:rPr>
      </w:pPr>
      <w:r>
        <w:rPr>
          <w:rFonts w:cs="B Zar" w:hint="cs"/>
          <w:rtl/>
        </w:rPr>
        <w:t>با تشكر</w:t>
      </w:r>
    </w:p>
    <w:p w:rsidR="005B1135" w:rsidRPr="005B1135" w:rsidP="000050A4">
      <w:pPr>
        <w:widowControl w:val="0"/>
        <w:spacing w:line="420" w:lineRule="exact"/>
        <w:ind w:left="3897" w:right="0"/>
        <w:jc w:val="center"/>
        <w:rPr>
          <w:rFonts w:cs="B Zar"/>
          <w:rtl/>
        </w:rPr>
      </w:pPr>
      <w:r w:rsidRPr="005B1135">
        <w:rPr>
          <w:rFonts w:cs="B Zar"/>
          <w:rtl/>
        </w:rPr>
        <w:t>سيد علي محمد نقوي</w:t>
      </w:r>
    </w:p>
    <w:p w:rsidR="005B1135" w:rsidRPr="005B1135" w:rsidP="000050A4">
      <w:pPr>
        <w:widowControl w:val="0"/>
        <w:spacing w:line="420" w:lineRule="exact"/>
        <w:ind w:left="3897" w:right="0"/>
        <w:jc w:val="center"/>
        <w:rPr>
          <w:rFonts w:cs="B Zar"/>
          <w:rtl/>
        </w:rPr>
      </w:pPr>
      <w:r w:rsidRPr="005B1135">
        <w:rPr>
          <w:rFonts w:cs="B Zar"/>
          <w:rtl/>
        </w:rPr>
        <w:t xml:space="preserve">دانشگاه </w:t>
      </w:r>
      <w:r w:rsidR="000050A4">
        <w:rPr>
          <w:rFonts w:cs="B Zar" w:hint="cs"/>
          <w:rtl/>
        </w:rPr>
        <w:t xml:space="preserve">اسلامی </w:t>
      </w:r>
      <w:r w:rsidRPr="005B1135">
        <w:rPr>
          <w:rFonts w:cs="B Zar"/>
          <w:rtl/>
        </w:rPr>
        <w:t>علي گره، هند</w:t>
      </w:r>
    </w:p>
    <w:p w:rsidR="005B1135" w:rsidP="000050A4">
      <w:pPr>
        <w:widowControl w:val="0"/>
        <w:spacing w:line="420" w:lineRule="exact"/>
        <w:ind w:left="3897" w:right="0"/>
        <w:jc w:val="center"/>
        <w:rPr>
          <w:rFonts w:cs="B Zar" w:hint="cs"/>
          <w:rtl/>
        </w:rPr>
      </w:pPr>
      <w:r w:rsidR="00C9493C">
        <w:rPr>
          <w:rFonts w:cs="B Zar" w:hint="cs"/>
          <w:rtl/>
        </w:rPr>
        <w:t>د</w:t>
      </w:r>
      <w:r w:rsidR="00473A39">
        <w:rPr>
          <w:rFonts w:cs="B Zar" w:hint="cs"/>
          <w:rtl/>
        </w:rPr>
        <w:t>سامبر</w:t>
      </w:r>
      <w:r w:rsidRPr="005B1135">
        <w:rPr>
          <w:rFonts w:cs="B Zar"/>
          <w:rtl/>
        </w:rPr>
        <w:t xml:space="preserve"> 20</w:t>
      </w:r>
      <w:r w:rsidR="00C9493C">
        <w:rPr>
          <w:rFonts w:cs="B Zar" w:hint="cs"/>
          <w:rtl/>
        </w:rPr>
        <w:t>11</w:t>
      </w:r>
    </w:p>
    <w:p w:rsidR="009C75F3" w:rsidRPr="00B67C5A" w:rsidP="005B1135">
      <w:pPr>
        <w:widowControl w:val="0"/>
        <w:spacing w:line="420" w:lineRule="exact"/>
        <w:ind w:left="0" w:right="0"/>
        <w:jc w:val="both"/>
        <w:rPr>
          <w:rFonts w:cs="B Zar" w:hint="cs"/>
          <w:rtl/>
        </w:rPr>
      </w:pPr>
      <w:r w:rsidRPr="00B67C5A">
        <w:rPr>
          <w:rFonts w:cs="B Zar"/>
          <w:rtl/>
        </w:rPr>
        <w:br w:type="page"/>
      </w:r>
    </w:p>
    <w:p w:rsidR="00FE3C87" w:rsidP="003C0EF5">
      <w:pPr>
        <w:widowControl w:val="0"/>
        <w:spacing w:line="420" w:lineRule="exact"/>
        <w:ind w:left="0" w:right="0"/>
        <w:jc w:val="center"/>
        <w:rPr>
          <w:rFonts w:cs="B Zar" w:hint="cs"/>
          <w:b/>
          <w:bCs/>
          <w:sz w:val="28"/>
          <w:szCs w:val="28"/>
          <w:rtl/>
        </w:rPr>
      </w:pPr>
    </w:p>
    <w:p w:rsidR="009C75F3" w:rsidRPr="00B67C5A" w:rsidP="003C0EF5">
      <w:pPr>
        <w:widowControl w:val="0"/>
        <w:spacing w:line="420" w:lineRule="exact"/>
        <w:ind w:left="0" w:right="0"/>
        <w:jc w:val="center"/>
        <w:rPr>
          <w:rFonts w:cs="B Zar" w:hint="cs"/>
          <w:b/>
          <w:bCs/>
          <w:sz w:val="28"/>
          <w:szCs w:val="28"/>
          <w:rtl/>
        </w:rPr>
      </w:pPr>
      <w:r w:rsidR="00794E90">
        <w:rPr>
          <w:rFonts w:cs="B Zar" w:hint="cs"/>
          <w:b/>
          <w:bCs/>
          <w:sz w:val="28"/>
          <w:szCs w:val="28"/>
          <w:rtl/>
        </w:rPr>
        <w:t xml:space="preserve">مدخل : </w:t>
      </w:r>
      <w:r w:rsidRPr="00B67C5A">
        <w:rPr>
          <w:rFonts w:cs="B Zar" w:hint="cs"/>
          <w:b/>
          <w:bCs/>
          <w:sz w:val="28"/>
          <w:szCs w:val="28"/>
          <w:rtl/>
        </w:rPr>
        <w:t>پژوهشي پيرامون</w:t>
      </w:r>
    </w:p>
    <w:p w:rsidR="009C75F3" w:rsidRPr="00B67C5A" w:rsidP="003C0EF5">
      <w:pPr>
        <w:widowControl w:val="0"/>
        <w:spacing w:line="420" w:lineRule="exact"/>
        <w:ind w:left="0" w:right="0"/>
        <w:jc w:val="center"/>
        <w:rPr>
          <w:rFonts w:cs="B Zar" w:hint="cs"/>
          <w:b/>
          <w:bCs/>
          <w:sz w:val="28"/>
          <w:szCs w:val="28"/>
          <w:rtl/>
        </w:rPr>
      </w:pPr>
      <w:r w:rsidRPr="00B67C5A">
        <w:rPr>
          <w:rFonts w:cs="B Zar" w:hint="cs"/>
          <w:b/>
          <w:bCs/>
          <w:sz w:val="28"/>
          <w:szCs w:val="28"/>
          <w:rtl/>
        </w:rPr>
        <w:t>سهم مسلمانان و ايرانيان در هندشناسي</w:t>
      </w:r>
    </w:p>
    <w:p w:rsidR="007858E9" w:rsidP="00FE3C87">
      <w:pPr>
        <w:widowControl w:val="0"/>
        <w:spacing w:line="420" w:lineRule="exact"/>
        <w:ind w:left="0" w:right="0"/>
        <w:jc w:val="both"/>
        <w:rPr>
          <w:rFonts w:cs="B Zar" w:hint="cs"/>
          <w:rtl/>
        </w:rPr>
      </w:pPr>
    </w:p>
    <w:p w:rsidR="009C75F3" w:rsidRPr="00B67C5A" w:rsidP="00FE3C87">
      <w:pPr>
        <w:widowControl w:val="0"/>
        <w:spacing w:line="420" w:lineRule="exact"/>
        <w:ind w:left="0" w:right="0"/>
        <w:jc w:val="both"/>
        <w:rPr>
          <w:rFonts w:cs="B Zar" w:hint="cs"/>
          <w:rtl/>
        </w:rPr>
      </w:pPr>
      <w:r w:rsidRPr="00B67C5A">
        <w:rPr>
          <w:rFonts w:cs="B Zar" w:hint="cs"/>
          <w:rtl/>
        </w:rPr>
        <w:t>هند كشوري است با تنوع بسيار. در طول تاريخ پنج هزار ساله آن، هزاران دسته و گروه از نژادهاي گوناگون، با فرهنگ‌هاي مختلف، زبانهاي متفاوت و اعتقادات ناهمانند وارد اين ديار شده و در فرهنگ دامنه‌دار هند جذب گرديدند و بر غنا و عمق و تنوع آن افزودند. هند</w:t>
      </w:r>
      <w:r w:rsidRPr="00B67C5A">
        <w:rPr>
          <w:rFonts w:cs="B Zar" w:hint="cs"/>
          <w:rtl/>
          <w:lang w:bidi="fa-IR"/>
        </w:rPr>
        <w:t>،</w:t>
      </w:r>
      <w:r w:rsidRPr="00B67C5A">
        <w:rPr>
          <w:rFonts w:cs="B Zar" w:hint="cs"/>
          <w:rtl/>
        </w:rPr>
        <w:t xml:space="preserve"> امروز هم از تنوع ياد شده برخوردار است. كشور هند داراي چهارده زبان رسمي است‏‏</w:t>
      </w:r>
      <w:r w:rsidRPr="00B67C5A">
        <w:rPr>
          <w:rFonts w:cs="B Zar" w:hint="cs"/>
          <w:rtl/>
          <w:lang w:bidi="fa-IR"/>
        </w:rPr>
        <w:t>؛</w:t>
      </w:r>
      <w:r w:rsidRPr="00B67C5A">
        <w:rPr>
          <w:rFonts w:cs="B Zar" w:hint="cs"/>
          <w:rtl/>
        </w:rPr>
        <w:t xml:space="preserve"> به طوري كه مردم منطقة شمال با زبانهاي جنوب بيگانه‌اند و جنوبي‌ها زبان بنگال را نمي‌فهمند و هر دو با زبان مَراتي نواحي بمبئي ناآشنايند. جنوب داراي جمعيت سياه پوست است و شمال و كشمير داراي جمعيت نسبتاً سپيد پوست و آسام و ناگالند داراي جمعيت زرد پوست.</w:t>
      </w:r>
    </w:p>
    <w:p w:rsidR="009C75F3" w:rsidRPr="00B67C5A" w:rsidP="003C0EF5">
      <w:pPr>
        <w:widowControl w:val="0"/>
        <w:spacing w:line="420" w:lineRule="exact"/>
        <w:ind w:left="0" w:right="0"/>
        <w:jc w:val="both"/>
        <w:rPr>
          <w:rFonts w:cs="B Zar" w:hint="cs"/>
          <w:rtl/>
          <w:lang w:bidi="fa-IR"/>
        </w:rPr>
      </w:pPr>
      <w:r w:rsidRPr="00B67C5A">
        <w:rPr>
          <w:rFonts w:cs="B Zar" w:hint="cs"/>
          <w:rtl/>
        </w:rPr>
        <w:t xml:space="preserve"> عليرغم اين كثرت، در هند وحدت ريشه‌داري وجود دارد. اين وحدت مبتني بر وحدت نظام سياسي يا اقتصادي نيست؛ بلكه چنانچه مورخ شهير فلسفه </w:t>
      </w:r>
      <w:r w:rsidRPr="00B67C5A">
        <w:rPr>
          <w:rFonts w:cs="B Zar" w:hint="cs"/>
          <w:i/>
          <w:iCs/>
          <w:rtl/>
        </w:rPr>
        <w:t>داس گوپتا</w:t>
      </w:r>
      <w:r>
        <w:rPr>
          <w:rStyle w:val="FootnoteReference"/>
          <w:rFonts w:cs="B Zar"/>
          <w:i/>
          <w:iCs/>
          <w:rtl/>
        </w:rPr>
        <w:footnoteReference w:id="2"/>
      </w:r>
      <w:r w:rsidRPr="00B67C5A">
        <w:rPr>
          <w:rFonts w:cs="B Zar" w:hint="cs"/>
          <w:rtl/>
        </w:rPr>
        <w:t xml:space="preserve"> گفته است وحدتي است بر مبناي انديشه فلسفي واحد و ميراث فكري مشترك. دكتر </w:t>
      </w:r>
      <w:r w:rsidRPr="00B67C5A">
        <w:rPr>
          <w:rFonts w:cs="B Zar" w:hint="cs"/>
          <w:iCs/>
          <w:rtl/>
        </w:rPr>
        <w:t>رادا كريشنان</w:t>
      </w:r>
      <w:r w:rsidRPr="00B67C5A">
        <w:rPr>
          <w:rFonts w:cs="B Zar" w:hint="cs"/>
          <w:rtl/>
        </w:rPr>
        <w:t>، انديشمند معتبر ديگر</w:t>
      </w:r>
      <w:r w:rsidRPr="00B67C5A">
        <w:rPr>
          <w:rFonts w:cs="B Zar" w:hint="cs"/>
          <w:rtl/>
          <w:lang w:bidi="fa-IR"/>
        </w:rPr>
        <w:t>،</w:t>
      </w:r>
      <w:r w:rsidRPr="00B67C5A">
        <w:rPr>
          <w:rFonts w:cs="B Zar" w:hint="cs"/>
          <w:rtl/>
        </w:rPr>
        <w:t xml:space="preserve"> خاطر نشان ساخته</w:t>
      </w:r>
      <w:r w:rsidRPr="00B67C5A">
        <w:rPr>
          <w:rFonts w:cs="B Zar" w:hint="cs"/>
          <w:rtl/>
          <w:lang w:bidi="fa-IR"/>
        </w:rPr>
        <w:t xml:space="preserve"> است</w:t>
      </w:r>
      <w:r w:rsidRPr="00B67C5A">
        <w:rPr>
          <w:rFonts w:cs="B Zar" w:hint="cs"/>
          <w:rtl/>
        </w:rPr>
        <w:t xml:space="preserve"> كه آنچه هند به تاريخ بشر تقديم داشته امپراطوري‌ها، كشورگشائي‌ها، پيشرفت تكنولوژيك و فنّي نيست؛ بلكه جوهر عرفاني و فلسفي ويژه‌اي است.</w:t>
      </w:r>
      <w:r>
        <w:rPr>
          <w:rStyle w:val="FootnoteReference"/>
          <w:rFonts w:cs="B Zar"/>
          <w:sz w:val="28"/>
          <w:rtl/>
        </w:rPr>
        <w:footnoteReference w:id="3"/>
      </w:r>
      <w:r w:rsidRPr="00B67C5A">
        <w:rPr>
          <w:rFonts w:cs="B Zar" w:hint="cs"/>
          <w:rtl/>
        </w:rPr>
        <w:t xml:space="preserve"> بر اين اساس،  شناخت سير انديشه در هند و روندهاي فكري و فلسفي آن، در واقع كليدي است براي شناخت فرهنگ معاصر هند و چيستي زير ساختها و عناصر بنيادين تشكيل دهنده آن.</w:t>
      </w:r>
      <w:r w:rsidRPr="00B67C5A">
        <w:rPr>
          <w:rFonts w:cs="B Zar" w:hint="cs"/>
          <w:rtl/>
          <w:lang w:bidi="fa-IR"/>
        </w:rPr>
        <w:t xml:space="preserve"> </w:t>
      </w:r>
    </w:p>
    <w:p w:rsidR="009C75F3" w:rsidRPr="00B67C5A" w:rsidP="003C0EF5">
      <w:pPr>
        <w:widowControl w:val="0"/>
        <w:spacing w:line="420" w:lineRule="exact"/>
        <w:ind w:left="0" w:right="0"/>
        <w:jc w:val="both"/>
        <w:rPr>
          <w:rFonts w:cs="B Zar" w:hint="cs"/>
          <w:rtl/>
        </w:rPr>
      </w:pPr>
      <w:r w:rsidRPr="00B67C5A">
        <w:rPr>
          <w:rFonts w:cs="B Zar" w:hint="cs"/>
          <w:rtl/>
        </w:rPr>
        <w:t xml:space="preserve">هند يكي از كانون هاي سرشار و جوشان معنويت در تاريخ بشر بوده است. در حال حاضر نيز انديشه فلسفي و ديني هند، در جهان مورد توجه بسيار است. در ربع قرن اخير، نسلهاي بالنده، پويا و جستجوگر غربي كه از ماديت محوري و پوچي فرهنگ تمدن غرب به ستوه آمده اند، در نظام فلسفي روح گرايانه </w:t>
      </w:r>
      <w:r w:rsidRPr="00B67C5A">
        <w:rPr>
          <w:rFonts w:cs="B Zar"/>
        </w:rPr>
        <w:t>(spiritualist)</w:t>
      </w:r>
      <w:r w:rsidRPr="00B67C5A">
        <w:rPr>
          <w:rFonts w:cs="B Zar" w:hint="cs"/>
          <w:rtl/>
        </w:rPr>
        <w:t xml:space="preserve"> و عرفاني آن، هند داراي كشش ويژه اي برايشان بوده است. در سطح جوانان طغيانگر غربي نوعي «هندگرائي» بلكه « هند زدگي» به وجود آمده است. البته يكي از علل اين هند زدگي، وجود افراطگري در انديشه غربي است. تاريخ انديشة غربيان همواره از يك افراط ب</w:t>
      </w:r>
      <w:r w:rsidRPr="00B67C5A" w:rsidR="009731BA">
        <w:rPr>
          <w:rFonts w:cs="B Zar" w:hint="cs"/>
          <w:rtl/>
        </w:rPr>
        <w:t>ه يك تفريط و از تفريطي به افراط</w:t>
      </w:r>
      <w:r w:rsidRPr="00B67C5A">
        <w:rPr>
          <w:rFonts w:cs="B Zar" w:hint="cs"/>
          <w:rtl/>
        </w:rPr>
        <w:t xml:space="preserve"> ديگر گرائيده و كمتر در جادة اعتدال ره پيموده و يا در نقطة معتدلي اسقرار پيدا كرده است. مثلاً، لذت جويي و ماده‌پرستي در پايان دورة امپراطور روم و چند همسري آشكار و پنهان زنان و مردان در اين دوران</w:t>
      </w:r>
      <w:r>
        <w:rPr>
          <w:rStyle w:val="FootnoteReference"/>
          <w:rFonts w:cs="B Zar"/>
          <w:sz w:val="28"/>
          <w:szCs w:val="28"/>
          <w:rtl/>
        </w:rPr>
        <w:footnoteReference w:customMarkFollows="1" w:id="4"/>
        <w:t xml:space="preserve">1</w:t>
      </w:r>
      <w:r w:rsidRPr="00B67C5A">
        <w:rPr>
          <w:rFonts w:cs="B Zar" w:hint="cs"/>
          <w:rtl/>
        </w:rPr>
        <w:t xml:space="preserve">، </w:t>
      </w:r>
      <w:r w:rsidRPr="00B67C5A" w:rsidR="0058697D">
        <w:rPr>
          <w:rFonts w:cs="B Zar" w:hint="cs"/>
          <w:rtl/>
        </w:rPr>
        <w:t xml:space="preserve"> </w:t>
      </w:r>
      <w:r w:rsidRPr="00B67C5A">
        <w:rPr>
          <w:rFonts w:cs="B Zar" w:hint="cs"/>
          <w:rtl/>
        </w:rPr>
        <w:t>ناگاه جاي خود را به رهباني‌گري قرون وسطي مي‌دهد كه حتي ازدواج، نوعي ضد ارزش و عملي مانع از تعالي انسان تلقي مي‌گردد. اما اين تفريط هم دوام نمي‌آورد. دوباره افراطي‌گري در ماده‌گرايي در دوران رنسانس پديدار مي‌شود. انسان غربي از اوج انديشه در فلسفه مسيحي و ضديت با هر حركت و تلاش و خواسته دنيوي، با سرعتي شگرف به عالم ماده سرازير مي شود و دوباره تمام تلاش و پويش و انديشه‌اش صرف شناختن پديده هاي طبيعي و پيداكردن راه‌هاي لذت و استفاده و كامجويي از آن مي‌گردد. اين تفريط در ماده پرستي و ابتناء تفكر بر داده‌هاي معرفت حسي، انسان غربي را دلزده و سرگردان و متوجة جهان معنا و معنويت كرده است. يكي از دلايلي كه گرايش غربيان را به فرهنگ و اديان هندي توضيح مي‌دهد، همين سرخوردگي او از ماده‌گرايي و نيز روحية افراط گري در سنت فرهنگ و تمدن غربي است.</w:t>
      </w:r>
    </w:p>
    <w:p w:rsidR="00E4739F" w:rsidRPr="00B67C5A" w:rsidP="003C0EF5">
      <w:pPr>
        <w:widowControl w:val="0"/>
        <w:spacing w:line="420" w:lineRule="exact"/>
        <w:ind w:left="0" w:right="0"/>
        <w:jc w:val="both"/>
        <w:rPr>
          <w:rFonts w:cs="B Zar" w:hint="cs"/>
          <w:b/>
          <w:bCs/>
          <w:rtl/>
        </w:rPr>
      </w:pPr>
    </w:p>
    <w:p w:rsidR="009C75F3" w:rsidRPr="00B67C5A" w:rsidP="003C0EF5">
      <w:pPr>
        <w:widowControl w:val="0"/>
        <w:spacing w:line="420" w:lineRule="exact"/>
        <w:ind w:left="0" w:right="0"/>
        <w:jc w:val="both"/>
        <w:rPr>
          <w:rFonts w:cs="B Zar" w:hint="cs"/>
          <w:b/>
          <w:bCs/>
          <w:rtl/>
        </w:rPr>
      </w:pPr>
      <w:r w:rsidRPr="00B67C5A">
        <w:rPr>
          <w:rFonts w:cs="B Zar" w:hint="cs"/>
          <w:b/>
          <w:bCs/>
          <w:rtl/>
        </w:rPr>
        <w:t>نقش مسلمين در پيشبرد رشته اديان تطبيقي:</w:t>
      </w:r>
    </w:p>
    <w:p w:rsidR="009C75F3" w:rsidRPr="00B67C5A" w:rsidP="003C0EF5">
      <w:pPr>
        <w:widowControl w:val="0"/>
        <w:spacing w:line="420" w:lineRule="exact"/>
        <w:ind w:left="0" w:right="0"/>
        <w:jc w:val="both"/>
        <w:rPr>
          <w:rFonts w:cs="B Zar" w:hint="cs"/>
          <w:rtl/>
        </w:rPr>
      </w:pPr>
      <w:r w:rsidRPr="00B67C5A">
        <w:rPr>
          <w:rFonts w:cs="B Zar" w:hint="cs"/>
          <w:rtl/>
        </w:rPr>
        <w:t>در تاريخ علم، مسلمين از نخستين مللي بوده‌اند كه به مطالعة علمي عقائد و اديان ملل ديگر پرداخته‌اند. در اين تلاش علماي شيعه ايراني</w:t>
      </w:r>
      <w:r w:rsidRPr="00B67C5A">
        <w:rPr>
          <w:rFonts w:cs="B Zar" w:hint="cs"/>
          <w:rtl/>
          <w:lang w:bidi="fa-IR"/>
        </w:rPr>
        <w:t xml:space="preserve"> ـ</w:t>
      </w:r>
      <w:r w:rsidRPr="00B67C5A">
        <w:rPr>
          <w:rFonts w:cs="B Zar" w:hint="cs"/>
          <w:rtl/>
        </w:rPr>
        <w:t xml:space="preserve"> چنانكه از كتاب «اختبار معرفة‌الرجال» تصنيف </w:t>
      </w:r>
      <w:r w:rsidRPr="00B67C5A">
        <w:rPr>
          <w:rFonts w:cs="B Zar" w:hint="cs"/>
          <w:i/>
          <w:iCs/>
          <w:rtl/>
        </w:rPr>
        <w:t>شيخ طوسي</w:t>
      </w:r>
      <w:r w:rsidRPr="00B67C5A">
        <w:rPr>
          <w:rFonts w:cs="B Zar" w:hint="cs"/>
          <w:rtl/>
        </w:rPr>
        <w:t xml:space="preserve"> و «رجال» </w:t>
      </w:r>
      <w:r w:rsidRPr="00B67C5A">
        <w:rPr>
          <w:rFonts w:cs="B Zar" w:hint="cs"/>
          <w:i/>
          <w:iCs/>
          <w:rtl/>
        </w:rPr>
        <w:t>نجاشي</w:t>
      </w:r>
      <w:r w:rsidRPr="00B67C5A">
        <w:rPr>
          <w:rFonts w:cs="B Zar" w:hint="cs"/>
          <w:rtl/>
        </w:rPr>
        <w:t xml:space="preserve"> برمي‌آيد</w:t>
      </w:r>
      <w:r w:rsidRPr="00B67C5A">
        <w:rPr>
          <w:rFonts w:cs="B Zar" w:hint="cs"/>
          <w:rtl/>
          <w:lang w:bidi="fa-IR"/>
        </w:rPr>
        <w:t xml:space="preserve"> ـ</w:t>
      </w:r>
      <w:r w:rsidRPr="00B67C5A">
        <w:rPr>
          <w:rFonts w:cs="B Zar" w:hint="cs"/>
          <w:rtl/>
        </w:rPr>
        <w:t xml:space="preserve"> در راس همه قرار داشتند. غربيان معتقدند كه آنان نخستين ملتي هستند كه به طور جدي به شناسائي و مطالعة ملل و فرهنگ‌هاي ديگر همت گمارده‌اند</w:t>
      </w:r>
      <w:r w:rsidRPr="00B67C5A">
        <w:rPr>
          <w:rFonts w:cs="B Zar" w:hint="cs"/>
          <w:rtl/>
          <w:lang w:bidi="fa-IR"/>
        </w:rPr>
        <w:t>؛</w:t>
      </w:r>
      <w:r w:rsidRPr="00B67C5A">
        <w:rPr>
          <w:rFonts w:cs="B Zar" w:hint="cs"/>
          <w:rtl/>
        </w:rPr>
        <w:t xml:space="preserve"> ولي واقعيت اين است كه هزار سال پيش از اينان، علماي اسلامي با الهام گيري از رهنمود «سيروا في الارض فانظروا» كه قرآن ارائه مي‌دهد، به طور گسترده و دامنه‌دار و با رعايت اصول انصاف و امانت علمي، به مطالعة اديان ديگر پرداخته و كتابهاي كثيري در اين زمينه تأليف كرده‌اند.</w:t>
      </w:r>
    </w:p>
    <w:p w:rsidR="009C75F3" w:rsidRPr="00B67C5A" w:rsidP="003C0EF5">
      <w:pPr>
        <w:widowControl w:val="0"/>
        <w:spacing w:line="420" w:lineRule="exact"/>
        <w:ind w:left="0" w:right="0"/>
        <w:jc w:val="both"/>
        <w:rPr>
          <w:rFonts w:cs="B Zar" w:hint="cs"/>
          <w:rtl/>
        </w:rPr>
      </w:pPr>
      <w:r w:rsidRPr="00B67C5A">
        <w:rPr>
          <w:rFonts w:cs="B Zar" w:hint="cs"/>
          <w:rtl/>
        </w:rPr>
        <w:t>ابن نديم در كتاب «الفهرستٍ» خود از دهها، بلكه صدها كتاب در رشته دين شناسي تطبيقي نام مي‌برد؛ از جمله:</w:t>
      </w:r>
    </w:p>
    <w:p w:rsidR="009C75F3" w:rsidRPr="00B67C5A" w:rsidP="003C0EF5">
      <w:pPr>
        <w:widowControl w:val="0"/>
        <w:spacing w:line="420" w:lineRule="exact"/>
        <w:ind w:left="0" w:right="0"/>
        <w:jc w:val="both"/>
        <w:rPr>
          <w:rFonts w:cs="B Zar" w:hint="cs"/>
          <w:rtl/>
        </w:rPr>
      </w:pPr>
      <w:r w:rsidRPr="00B67C5A">
        <w:rPr>
          <w:rFonts w:cs="B Zar" w:hint="cs"/>
          <w:rtl/>
        </w:rPr>
        <w:t>كتاب «ملل‌الهند و اديانها»، به خط ابن اسحاق كندي</w:t>
      </w:r>
      <w:r w:rsidRPr="00B67C5A" w:rsidR="00EB1E24">
        <w:rPr>
          <w:rFonts w:cs="B Zar" w:hint="cs"/>
          <w:sz w:val="28"/>
          <w:rtl/>
        </w:rPr>
        <w:t>.</w:t>
      </w:r>
      <w:r>
        <w:rPr>
          <w:rStyle w:val="FootnoteReference"/>
          <w:rFonts w:cs="B Zar"/>
          <w:sz w:val="28"/>
          <w:rtl/>
        </w:rPr>
        <w:footnoteReference w:id="5"/>
      </w:r>
      <w:r w:rsidRPr="00B67C5A" w:rsidR="00EB1E24">
        <w:rPr>
          <w:rFonts w:cs="B Zar" w:hint="cs"/>
          <w:sz w:val="28"/>
          <w:rtl/>
        </w:rPr>
        <w:t xml:space="preserve"> </w:t>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كتاب «آداب‌الهند والصين»؛</w:t>
      </w:r>
    </w:p>
    <w:p w:rsidR="009C75F3" w:rsidRPr="00B67C5A" w:rsidP="003C0EF5">
      <w:pPr>
        <w:widowControl w:val="0"/>
        <w:spacing w:line="420" w:lineRule="exact"/>
        <w:ind w:left="0" w:right="0"/>
        <w:jc w:val="both"/>
        <w:rPr>
          <w:rFonts w:cs="B Zar" w:hint="cs"/>
        </w:rPr>
      </w:pPr>
      <w:r w:rsidRPr="00B67C5A">
        <w:rPr>
          <w:rFonts w:cs="B Zar" w:hint="cs"/>
          <w:rtl/>
        </w:rPr>
        <w:t>كتاب «الاداب و الامثال علي مذهب الفرس و الروم والعرب»</w:t>
      </w:r>
      <w:r>
        <w:rPr>
          <w:rStyle w:val="FootnoteReference"/>
          <w:rFonts w:cs="B Zar"/>
          <w:rtl/>
        </w:rPr>
        <w:footnoteReference w:id="6"/>
      </w:r>
      <w:r w:rsidRPr="00B67C5A">
        <w:rPr>
          <w:rFonts w:cs="B Zar" w:hint="cs"/>
          <w:rtl/>
        </w:rPr>
        <w:t>؛</w:t>
      </w:r>
    </w:p>
    <w:p w:rsidR="0029753A" w:rsidP="003C0EF5">
      <w:pPr>
        <w:widowControl w:val="0"/>
        <w:spacing w:line="420" w:lineRule="exact"/>
        <w:ind w:left="0" w:right="0"/>
        <w:jc w:val="both"/>
        <w:rPr>
          <w:rFonts w:cs="B Zar" w:hint="cs"/>
          <w:rtl/>
        </w:rPr>
      </w:pPr>
      <w:r w:rsidRPr="00B67C5A" w:rsidR="009C75F3">
        <w:rPr>
          <w:rFonts w:cs="B Zar" w:hint="cs"/>
          <w:rtl/>
        </w:rPr>
        <w:t>كتاب الاديان العرب</w:t>
      </w:r>
      <w:r>
        <w:rPr>
          <w:rStyle w:val="FootnoteReference"/>
          <w:rFonts w:cs="B Zar"/>
          <w:rtl/>
        </w:rPr>
        <w:footnoteReference w:id="7"/>
      </w:r>
      <w:r w:rsidRPr="00B67C5A" w:rsidR="009C75F3">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كتاب «الرّد علي اهل الاديان»، تاليف ابوهذيل العلاف (متوفي: 235 هـ )</w:t>
      </w:r>
      <w:r>
        <w:rPr>
          <w:rStyle w:val="FootnoteReference"/>
          <w:rFonts w:cs="B Zar"/>
          <w:rtl/>
        </w:rPr>
        <w:footnoteReference w:id="8"/>
      </w:r>
      <w:r w:rsidRPr="00B67C5A" w:rsidR="002D36F9">
        <w:rPr>
          <w:rFonts w:cs="B Zar" w:hint="cs"/>
          <w:rtl/>
        </w:rPr>
        <w:t xml:space="preserve"> </w:t>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كتاب تاريخ «سنّي العالم»، تاليف ابو عيسي</w:t>
      </w:r>
      <w:r>
        <w:rPr>
          <w:rStyle w:val="FootnoteReference"/>
          <w:rFonts w:cs="B Zar"/>
          <w:rtl/>
        </w:rPr>
        <w:footnoteReference w:id="9"/>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كتاب «الطريق»</w:t>
      </w:r>
      <w:r>
        <w:rPr>
          <w:rStyle w:val="FootnoteReference"/>
          <w:rFonts w:cs="B Zar"/>
          <w:rtl/>
        </w:rPr>
        <w:footnoteReference w:id="10"/>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كتاب «الملوك والامم السالفه و الباقيه»</w:t>
      </w:r>
      <w:r>
        <w:rPr>
          <w:rStyle w:val="FootnoteReference"/>
          <w:rFonts w:cs="B Zar"/>
          <w:rtl/>
        </w:rPr>
        <w:footnoteReference w:id="11"/>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كتاب «البلدان الكبير و البلدان الصغير»، اثر هشام كلبي</w:t>
      </w:r>
      <w:r>
        <w:rPr>
          <w:rStyle w:val="FootnoteReference"/>
          <w:rFonts w:cs="B Zar"/>
          <w:rtl/>
        </w:rPr>
        <w:footnoteReference w:id="12"/>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كتاب «البلدان الكبير و البلدان الصغير»، تاليف ابويحيي بلاذري</w:t>
      </w:r>
      <w:r>
        <w:rPr>
          <w:rStyle w:val="FootnoteReference"/>
          <w:rFonts w:cs="B Zar"/>
          <w:rtl/>
        </w:rPr>
        <w:footnoteReference w:id="13"/>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كتاب «شرائع الاديان»</w:t>
      </w:r>
      <w:r>
        <w:rPr>
          <w:rStyle w:val="FootnoteReference"/>
          <w:rFonts w:cs="B Zar"/>
          <w:rtl/>
        </w:rPr>
        <w:footnoteReference w:id="14"/>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كتاب «الديانه»</w:t>
      </w:r>
      <w:r>
        <w:rPr>
          <w:rStyle w:val="FootnoteReference"/>
          <w:rFonts w:cs="B Zar"/>
          <w:rtl/>
        </w:rPr>
        <w:footnoteReference w:id="15"/>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شيخ طوسي نقل مي‌كند كه ابو سهل نوبخت تتبعات فراواني در زمينه اديان غير اسلامي و عقايد پيروان آنها داشته است. كتاب «الاراء و الديانات» وي از اين جمله است. حسين بن موسي نوبختي، پسر خواهر ابو سهل نوبخت، متكلم و عالم بزرگ شيعه، كتاب ديگري به نام</w:t>
      </w:r>
      <w:r w:rsidRPr="00B67C5A">
        <w:rPr>
          <w:rFonts w:cs="B Zar" w:hint="cs"/>
          <w:i/>
          <w:iCs/>
          <w:rtl/>
        </w:rPr>
        <w:t xml:space="preserve"> «كتاب الرد علي اصحاب التناسخ»</w:t>
      </w:r>
      <w:r w:rsidRPr="00B67C5A">
        <w:rPr>
          <w:rFonts w:cs="B Zar" w:hint="cs"/>
          <w:rtl/>
        </w:rPr>
        <w:t xml:space="preserve"> درخصوص بررسي عقايد هندوان دارد. چنانكه مي‌دانيم خاندان نوبخت به محبت علي (ع) و فرزندانش معروف بوده اند.</w:t>
      </w:r>
      <w:r>
        <w:rPr>
          <w:rStyle w:val="FootnoteReference"/>
          <w:rFonts w:cs="B Zar"/>
          <w:sz w:val="28"/>
          <w:rtl/>
        </w:rPr>
        <w:footnoteReference w:id="16"/>
      </w:r>
    </w:p>
    <w:p w:rsidR="009C75F3" w:rsidRPr="00B67C5A" w:rsidP="003C0EF5">
      <w:pPr>
        <w:widowControl w:val="0"/>
        <w:spacing w:line="420" w:lineRule="exact"/>
        <w:ind w:left="0" w:right="0"/>
        <w:jc w:val="both"/>
        <w:rPr>
          <w:rFonts w:cs="B Zar" w:hint="cs"/>
          <w:rtl/>
        </w:rPr>
      </w:pPr>
      <w:r w:rsidRPr="00B67C5A">
        <w:rPr>
          <w:rFonts w:cs="B Zar" w:hint="cs"/>
          <w:rtl/>
        </w:rPr>
        <w:t>مورّخان و جغرافي‌دانان مسلمان نيز در كتابهاي خود به بررسي اديان و مكاتب فكري ملل بيگانه پرداخته‌اند؛ از جمله: ‌يعقوبي در «التاريخ» ابوابي با اين عناوين دارد: دين بني‌اسرائيل</w:t>
      </w:r>
      <w:r>
        <w:rPr>
          <w:rStyle w:val="FootnoteReference"/>
          <w:rFonts w:cs="B Zar"/>
          <w:sz w:val="28"/>
          <w:rtl/>
        </w:rPr>
        <w:footnoteReference w:id="17"/>
      </w:r>
      <w:r w:rsidRPr="00B67C5A">
        <w:rPr>
          <w:rFonts w:cs="B Zar" w:hint="cs"/>
          <w:rtl/>
        </w:rPr>
        <w:t>، دين و كتاب‌هاي هنديان</w:t>
      </w:r>
      <w:r>
        <w:rPr>
          <w:rStyle w:val="FootnoteReference"/>
          <w:rFonts w:cs="B Zar"/>
          <w:sz w:val="28"/>
          <w:rtl/>
        </w:rPr>
        <w:footnoteReference w:id="18"/>
      </w:r>
      <w:r w:rsidRPr="00B67C5A">
        <w:rPr>
          <w:rFonts w:cs="B Zar" w:hint="cs"/>
          <w:rtl/>
        </w:rPr>
        <w:t>، آثار علمي يونانيان</w:t>
      </w:r>
      <w:r>
        <w:rPr>
          <w:rStyle w:val="FootnoteReference"/>
          <w:rFonts w:cs="B Zar"/>
          <w:sz w:val="28"/>
          <w:rtl/>
        </w:rPr>
        <w:footnoteReference w:id="19"/>
      </w:r>
      <w:r w:rsidRPr="00B67C5A">
        <w:rPr>
          <w:rFonts w:cs="B Zar" w:hint="cs"/>
          <w:rtl/>
        </w:rPr>
        <w:t>، مكاتب فلسفي روميان</w:t>
      </w:r>
      <w:r>
        <w:rPr>
          <w:rStyle w:val="FootnoteReference"/>
          <w:rFonts w:cs="B Zar"/>
          <w:sz w:val="28"/>
          <w:rtl/>
        </w:rPr>
        <w:footnoteReference w:id="20"/>
      </w:r>
      <w:r w:rsidRPr="00B67C5A">
        <w:rPr>
          <w:rFonts w:cs="B Zar" w:hint="cs"/>
          <w:rtl/>
        </w:rPr>
        <w:t>، پادشاهان نصراني و مذهب روم</w:t>
      </w:r>
      <w:r>
        <w:rPr>
          <w:rStyle w:val="FootnoteReference"/>
          <w:rFonts w:cs="B Zar"/>
          <w:sz w:val="28"/>
          <w:rtl/>
        </w:rPr>
        <w:footnoteReference w:id="21"/>
      </w:r>
      <w:r w:rsidRPr="00B67C5A">
        <w:rPr>
          <w:rFonts w:cs="B Zar" w:hint="cs"/>
          <w:rtl/>
        </w:rPr>
        <w:t>، كيش و آئين ايرانيان</w:t>
      </w:r>
      <w:r>
        <w:rPr>
          <w:rStyle w:val="FootnoteReference"/>
          <w:rFonts w:cs="B Zar"/>
          <w:sz w:val="28"/>
          <w:rtl/>
        </w:rPr>
        <w:footnoteReference w:id="22"/>
      </w:r>
      <w:r w:rsidRPr="00B67C5A">
        <w:rPr>
          <w:rFonts w:cs="B Zar" w:hint="cs"/>
          <w:rtl/>
        </w:rPr>
        <w:t>، كيش چينيان</w:t>
      </w:r>
      <w:r>
        <w:rPr>
          <w:rStyle w:val="FootnoteReference"/>
          <w:rFonts w:cs="B Zar"/>
          <w:sz w:val="28"/>
          <w:rtl/>
        </w:rPr>
        <w:footnoteReference w:id="23"/>
      </w:r>
      <w:r w:rsidRPr="00B67C5A">
        <w:rPr>
          <w:rFonts w:cs="B Zar" w:hint="cs"/>
          <w:rtl/>
        </w:rPr>
        <w:t>، كيش مصريان</w:t>
      </w:r>
      <w:r>
        <w:rPr>
          <w:rStyle w:val="FootnoteReference"/>
          <w:rFonts w:cs="B Zar"/>
          <w:sz w:val="28"/>
          <w:rtl/>
        </w:rPr>
        <w:footnoteReference w:id="24"/>
      </w:r>
      <w:r w:rsidRPr="00B67C5A">
        <w:rPr>
          <w:rFonts w:cs="B Zar" w:hint="cs"/>
          <w:rtl/>
        </w:rPr>
        <w:t>، كيشهاي عرب</w:t>
      </w:r>
      <w:r>
        <w:rPr>
          <w:rStyle w:val="FootnoteReference"/>
          <w:rFonts w:cs="B Zar"/>
          <w:sz w:val="28"/>
          <w:rtl/>
        </w:rPr>
        <w:footnoteReference w:id="25"/>
      </w:r>
      <w:r w:rsidRPr="00B67C5A">
        <w:rPr>
          <w:rFonts w:cs="B Zar" w:hint="cs"/>
          <w:rtl/>
        </w:rPr>
        <w:t>، بت‌هاي عرب</w:t>
      </w:r>
      <w:r>
        <w:rPr>
          <w:rStyle w:val="FootnoteReference"/>
          <w:rFonts w:cs="B Zar"/>
          <w:sz w:val="28"/>
          <w:rtl/>
        </w:rPr>
        <w:footnoteReference w:id="26"/>
      </w:r>
      <w:r w:rsidRPr="00B67C5A">
        <w:rPr>
          <w:rFonts w:cs="B Zar" w:hint="cs"/>
          <w:rtl/>
        </w:rPr>
        <w:t>، تلبيه‌هاي عرب و ازلام عرب.</w:t>
      </w:r>
    </w:p>
    <w:p w:rsidR="009C75F3" w:rsidRPr="00B67C5A" w:rsidP="003C0EF5">
      <w:pPr>
        <w:widowControl w:val="0"/>
        <w:spacing w:line="420" w:lineRule="exact"/>
        <w:ind w:left="0" w:right="0"/>
        <w:jc w:val="both"/>
        <w:rPr>
          <w:rFonts w:cs="B Zar" w:hint="cs"/>
          <w:rtl/>
        </w:rPr>
      </w:pPr>
      <w:r w:rsidRPr="00B67C5A">
        <w:rPr>
          <w:rFonts w:cs="B Zar" w:hint="cs"/>
          <w:rtl/>
        </w:rPr>
        <w:t xml:space="preserve">دينوري در كتاب </w:t>
      </w:r>
      <w:r w:rsidRPr="00B67C5A">
        <w:rPr>
          <w:rFonts w:cs="B Zar" w:hint="cs"/>
          <w:i/>
          <w:iCs/>
          <w:rtl/>
        </w:rPr>
        <w:t>«اخبارالطوال»</w:t>
      </w:r>
      <w:r w:rsidRPr="00B67C5A">
        <w:rPr>
          <w:rFonts w:cs="B Zar" w:hint="cs"/>
          <w:rtl/>
        </w:rPr>
        <w:t xml:space="preserve"> نيز مباحثي در اين زمينه دارد؛ از جمله: زرتشت و دعوتش</w:t>
      </w:r>
      <w:r>
        <w:rPr>
          <w:rStyle w:val="FootnoteReference"/>
          <w:rFonts w:cs="B Zar"/>
          <w:sz w:val="28"/>
          <w:rtl/>
        </w:rPr>
        <w:footnoteReference w:id="27"/>
      </w:r>
      <w:r w:rsidRPr="00B67C5A">
        <w:rPr>
          <w:rFonts w:cs="B Zar" w:hint="cs"/>
          <w:rtl/>
        </w:rPr>
        <w:t>، آئين مائي</w:t>
      </w:r>
      <w:r>
        <w:rPr>
          <w:rStyle w:val="FootnoteReference"/>
          <w:rFonts w:cs="B Zar"/>
          <w:sz w:val="28"/>
          <w:rtl/>
        </w:rPr>
        <w:footnoteReference w:id="28"/>
      </w:r>
      <w:r w:rsidRPr="00B67C5A">
        <w:rPr>
          <w:rFonts w:cs="B Zar" w:hint="cs"/>
          <w:rtl/>
        </w:rPr>
        <w:t>، آئين مزدوكي</w:t>
      </w:r>
      <w:r>
        <w:rPr>
          <w:rStyle w:val="FootnoteReference"/>
          <w:rFonts w:cs="B Zar"/>
          <w:sz w:val="28"/>
          <w:rtl/>
        </w:rPr>
        <w:footnoteReference w:id="29"/>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تاريخ طبري، اگرچه به طور عمده به بررسي تاريخ اسلام اختصاص دارد، ولي در جلد اول و دوم به بررسي اساطير و اديان ملل ديگر نيز گمارده است. از جمله فصول تاريخ طبري در زمينه دين شناسي تطبيقي عبارتند از:</w:t>
      </w:r>
    </w:p>
    <w:p w:rsidR="009C75F3" w:rsidRPr="00B67C5A" w:rsidP="003C0EF5">
      <w:pPr>
        <w:widowControl w:val="0"/>
        <w:spacing w:line="420" w:lineRule="exact"/>
        <w:ind w:left="0" w:right="0"/>
        <w:jc w:val="both"/>
        <w:rPr>
          <w:rFonts w:cs="B Zar" w:hint="cs"/>
          <w:rtl/>
        </w:rPr>
      </w:pPr>
      <w:r w:rsidRPr="00B67C5A">
        <w:rPr>
          <w:rFonts w:cs="B Zar" w:hint="cs"/>
          <w:rtl/>
        </w:rPr>
        <w:t>اشاره به آئين يهوديان و بني اسرائيل</w:t>
      </w:r>
      <w:r>
        <w:rPr>
          <w:rStyle w:val="FootnoteReference"/>
          <w:rFonts w:cs="B Zar"/>
          <w:sz w:val="28"/>
          <w:rtl/>
        </w:rPr>
        <w:footnoteReference w:id="30"/>
      </w:r>
      <w:r w:rsidRPr="00B67C5A">
        <w:rPr>
          <w:rFonts w:cs="B Zar" w:hint="cs"/>
          <w:rtl/>
        </w:rPr>
        <w:t>، اشاره به آئين و دين ايرانيان قديم</w:t>
      </w:r>
      <w:r>
        <w:rPr>
          <w:rStyle w:val="FootnoteReference"/>
          <w:rFonts w:cs="B Zar"/>
          <w:sz w:val="28"/>
          <w:rtl/>
        </w:rPr>
        <w:footnoteReference w:id="31"/>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بيش از همه مورخان سابق‌الذكر، ابوالحسن ‌المسعودي مورخ بزرگ، به مطالعه و بررسي دين و آئين ملل بيگانه اهميت داده است. كتاب وي «مروج الذهب» گنجينه بزرگ اطلاعات در زمينه اديان تطبيقي است.</w:t>
      </w:r>
    </w:p>
    <w:p w:rsidR="009C75F3" w:rsidRPr="00B67C5A" w:rsidP="003C0EF5">
      <w:pPr>
        <w:widowControl w:val="0"/>
        <w:spacing w:line="420" w:lineRule="exact"/>
        <w:ind w:left="0" w:right="0"/>
        <w:jc w:val="both"/>
        <w:rPr>
          <w:rFonts w:cs="B Zar" w:hint="cs"/>
          <w:rtl/>
        </w:rPr>
      </w:pPr>
      <w:r w:rsidRPr="00B67C5A">
        <w:rPr>
          <w:rFonts w:cs="B Zar" w:hint="cs"/>
          <w:rtl/>
        </w:rPr>
        <w:t>مسعودي در جلد اول كتاب مروج الذهب به بررسي اديان يونانيان، هنديان و چينيان پرداخته و در جلد دوم، فصل سيزدهم، از «ذكر ديانات العرب و آرائها في‌الجاهليه» و همچنين فصول چهاردهم تا بيستم اين كتاب را به بررسي رخساره‌هاي مختلف انديشه فلسفي، اعتقادات ديني، و مناسك مذهبي اعراب اختصاص داده، سپس به بررسي اعياد مذهبي، بت‌ها و معبدهاي اعراب، ايرانيان، يونانيان و هنديان پرداخته است. تقريباً تمام جلد اول و دوم مروّج الذهب (در حدود 800 صفحه) از لحاظ موضوع به دين شناسي تطبيقي اختصاص دارد</w:t>
      </w:r>
      <w:r>
        <w:rPr>
          <w:rStyle w:val="FootnoteReference"/>
          <w:rFonts w:cs="B Zar"/>
          <w:sz w:val="28"/>
          <w:rtl/>
        </w:rPr>
        <w:footnoteReference w:id="32"/>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اين روال را ابوريحان البيروني كه براستي از بنيانگذاران اصلي رشته اديان تطبيقي و هندشناسي است، به اوج رسانيد</w:t>
      </w:r>
      <w:r>
        <w:rPr>
          <w:rStyle w:val="FootnoteReference"/>
          <w:rFonts w:cs="B Zar"/>
          <w:sz w:val="28"/>
          <w:rtl/>
        </w:rPr>
        <w:footnoteReference w:id="33"/>
      </w:r>
      <w:r w:rsidRPr="00B67C5A">
        <w:rPr>
          <w:rFonts w:cs="B Zar" w:hint="cs"/>
          <w:rtl/>
        </w:rPr>
        <w:t xml:space="preserve">. كتاب </w:t>
      </w:r>
      <w:r w:rsidRPr="00B67C5A">
        <w:rPr>
          <w:rFonts w:cs="B Zar" w:hint="cs"/>
          <w:i/>
          <w:iCs/>
          <w:rtl/>
        </w:rPr>
        <w:t>«ماللهند»</w:t>
      </w:r>
      <w:r w:rsidRPr="00B67C5A">
        <w:rPr>
          <w:rFonts w:cs="B Zar" w:hint="cs"/>
          <w:rtl/>
        </w:rPr>
        <w:t xml:space="preserve"> او نياز به تعريف ندارد.</w:t>
      </w:r>
    </w:p>
    <w:p w:rsidR="009C75F3" w:rsidRPr="00B67C5A" w:rsidP="003C0EF5">
      <w:pPr>
        <w:widowControl w:val="0"/>
        <w:spacing w:line="420" w:lineRule="exact"/>
        <w:ind w:left="0" w:right="0"/>
        <w:jc w:val="both"/>
        <w:rPr>
          <w:rFonts w:cs="B Zar" w:hint="cs"/>
          <w:rtl/>
        </w:rPr>
      </w:pPr>
      <w:r w:rsidRPr="00B67C5A">
        <w:rPr>
          <w:rFonts w:cs="B Zar" w:hint="cs"/>
          <w:rtl/>
        </w:rPr>
        <w:t>گذشته از آثار و تأليفات در دين شناسي عمومي، مسلمانان تصانيف مستقلي راجع به تك تك اديان نگاشته‌اند. به عنوان نمونه بسياري از دانشمندان مسلمان به مطالعه تاريخ و فرهنگ و اعتقادات ديني ايران باستان و دين زرتشت پرداخته‌اند.</w:t>
      </w:r>
    </w:p>
    <w:p w:rsidR="009C75F3" w:rsidRPr="00B67C5A" w:rsidP="003C0EF5">
      <w:pPr>
        <w:widowControl w:val="0"/>
        <w:spacing w:line="420" w:lineRule="exact"/>
        <w:ind w:left="0" w:right="0"/>
        <w:jc w:val="both"/>
        <w:rPr>
          <w:rFonts w:cs="B Zar" w:hint="cs"/>
          <w:rtl/>
        </w:rPr>
      </w:pPr>
      <w:r w:rsidRPr="00B67C5A">
        <w:rPr>
          <w:rFonts w:cs="B Zar" w:hint="cs"/>
          <w:rtl/>
        </w:rPr>
        <w:t>برخي كتابها در اين زمينه عبارتند از:</w:t>
      </w:r>
    </w:p>
    <w:p w:rsidR="009C75F3" w:rsidRPr="00B67C5A" w:rsidP="003C0EF5">
      <w:pPr>
        <w:widowControl w:val="0"/>
        <w:spacing w:line="420" w:lineRule="exact"/>
        <w:ind w:left="0" w:right="0"/>
        <w:jc w:val="both"/>
        <w:rPr>
          <w:rFonts w:cs="B Zar" w:hint="cs"/>
          <w:rtl/>
        </w:rPr>
      </w:pPr>
      <w:r w:rsidRPr="00B67C5A">
        <w:rPr>
          <w:rFonts w:cs="B Zar" w:hint="cs"/>
          <w:rtl/>
        </w:rPr>
        <w:t xml:space="preserve">كتاب «اخبارالفرس» تأليف هيثم بن عدي (متوفي: 207 هـ </w:t>
      </w:r>
      <w:r>
        <w:rPr>
          <w:rStyle w:val="FootnoteReference"/>
          <w:rFonts w:cs="B Zar"/>
          <w:sz w:val="28"/>
          <w:rtl/>
        </w:rPr>
        <w:footnoteReference w:id="34"/>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«فضائل الفرس» اثرِ ابوعبيده معمربن مثناي تيمي</w:t>
      </w:r>
      <w:r>
        <w:rPr>
          <w:rStyle w:val="FootnoteReference"/>
          <w:rFonts w:cs="B Zar"/>
          <w:sz w:val="28"/>
          <w:rtl/>
        </w:rPr>
        <w:footnoteReference w:id="35"/>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«مزدك» تأليف عبدالله بن مقفع اديب به نام عرب</w:t>
      </w:r>
      <w:r>
        <w:rPr>
          <w:rStyle w:val="FootnoteReference"/>
          <w:rFonts w:cs="B Zar"/>
          <w:sz w:val="28"/>
          <w:rtl/>
        </w:rPr>
        <w:footnoteReference w:id="36"/>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«مزدك» اثر ابان بن عبدالحميد لاحقي</w:t>
      </w:r>
      <w:r>
        <w:rPr>
          <w:rStyle w:val="FootnoteReference"/>
          <w:rFonts w:cs="B Zar"/>
          <w:sz w:val="28"/>
          <w:rtl/>
        </w:rPr>
        <w:footnoteReference w:id="37"/>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«التاج في سيرة انوشيروان» اثر عبدالله بن مقفع</w:t>
      </w:r>
      <w:r>
        <w:rPr>
          <w:rStyle w:val="FootnoteReference"/>
          <w:rFonts w:cs="B Zar"/>
          <w:sz w:val="28"/>
          <w:rtl/>
        </w:rPr>
        <w:footnoteReference w:id="38"/>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النيران</w:t>
      </w:r>
      <w:r>
        <w:rPr>
          <w:rStyle w:val="FootnoteReference"/>
          <w:rFonts w:cs="B Zar"/>
          <w:sz w:val="28"/>
          <w:rtl/>
        </w:rPr>
        <w:footnoteReference w:id="39"/>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 xml:space="preserve"> كتاب «الردّ‌علي اصحاب الاثنين»</w:t>
      </w:r>
      <w:r>
        <w:rPr>
          <w:rStyle w:val="FootnoteReference"/>
          <w:rFonts w:cs="B Zar"/>
          <w:rtl/>
        </w:rPr>
        <w:footnoteReference w:id="40"/>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«الرّد علي‌الاحبار و المجوس»، اثر عيسي بن صبيح‌المردار(م: 226 هـ) از بزرگان علماي معتزله كه اعتزال را در بغداد رواج داد؛</w:t>
      </w:r>
    </w:p>
    <w:p w:rsidR="009C75F3" w:rsidRPr="00B67C5A" w:rsidP="003C0EF5">
      <w:pPr>
        <w:widowControl w:val="0"/>
        <w:spacing w:line="420" w:lineRule="exact"/>
        <w:ind w:left="0" w:right="0"/>
        <w:jc w:val="both"/>
        <w:rPr>
          <w:rFonts w:cs="B Zar" w:hint="cs"/>
        </w:rPr>
      </w:pPr>
      <w:r w:rsidRPr="00B67C5A">
        <w:rPr>
          <w:rFonts w:cs="B Zar" w:hint="cs"/>
          <w:rtl/>
        </w:rPr>
        <w:t>كتاب « الردّ علي المجوس»، اثر اصم</w:t>
      </w:r>
      <w:r>
        <w:rPr>
          <w:rStyle w:val="FootnoteReference"/>
          <w:rFonts w:cs="B Zar"/>
          <w:sz w:val="28"/>
          <w:rtl/>
        </w:rPr>
        <w:footnoteReference w:id="41"/>
      </w:r>
      <w:r w:rsidRPr="00B67C5A">
        <w:rPr>
          <w:rFonts w:cs="B Zar" w:hint="cs"/>
          <w:rtl/>
        </w:rPr>
        <w:t xml:space="preserve"> (از علماي معتزلي)؛</w:t>
      </w:r>
    </w:p>
    <w:p w:rsidR="009C75F3" w:rsidRPr="00B67C5A" w:rsidP="003C0EF5">
      <w:pPr>
        <w:widowControl w:val="0"/>
        <w:spacing w:line="420" w:lineRule="exact"/>
        <w:ind w:left="0" w:right="0"/>
        <w:jc w:val="both"/>
        <w:rPr>
          <w:rFonts w:cs="B Zar" w:hint="cs"/>
        </w:rPr>
      </w:pPr>
      <w:r w:rsidRPr="00B67C5A">
        <w:rPr>
          <w:rFonts w:cs="B Zar" w:hint="cs"/>
          <w:rtl/>
        </w:rPr>
        <w:t>كتاب «الرد علي المجوس». تأليف ابو عيسي وراق (از متكلمان معتزله)؛</w:t>
      </w:r>
    </w:p>
    <w:p w:rsidR="009C75F3" w:rsidRPr="00B67C5A" w:rsidP="003C0EF5">
      <w:pPr>
        <w:widowControl w:val="0"/>
        <w:spacing w:line="420" w:lineRule="exact"/>
        <w:ind w:left="0" w:right="0"/>
        <w:jc w:val="both"/>
        <w:rPr>
          <w:rFonts w:cs="B Zar" w:hint="cs"/>
        </w:rPr>
      </w:pPr>
      <w:r w:rsidRPr="00B67C5A">
        <w:rPr>
          <w:rFonts w:cs="B Zar" w:hint="cs"/>
          <w:rtl/>
        </w:rPr>
        <w:t>كتاب «الفرس و انسابها»، نوشته ابوالحسن نسّابه</w:t>
      </w:r>
      <w:r>
        <w:rPr>
          <w:rStyle w:val="FootnoteReference"/>
          <w:rFonts w:cs="B Zar"/>
          <w:sz w:val="28"/>
          <w:rtl/>
        </w:rPr>
        <w:footnoteReference w:id="42"/>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تاريخ العجم، تأليف هيثم بن عدي</w:t>
      </w:r>
      <w:r>
        <w:rPr>
          <w:rStyle w:val="FootnoteReference"/>
          <w:rFonts w:cs="B Zar"/>
          <w:sz w:val="28"/>
          <w:rtl/>
        </w:rPr>
        <w:footnoteReference w:id="43"/>
      </w:r>
      <w:r w:rsidRPr="00B67C5A">
        <w:rPr>
          <w:rFonts w:cs="B Zar" w:hint="cs"/>
          <w:rtl/>
        </w:rPr>
        <w:t xml:space="preserve"> (از عالمان بزرگ انساب و مناقب و مثالب) ؛</w:t>
      </w:r>
    </w:p>
    <w:p w:rsidR="009C75F3" w:rsidRPr="00B67C5A" w:rsidP="003C0EF5">
      <w:pPr>
        <w:widowControl w:val="0"/>
        <w:spacing w:line="420" w:lineRule="exact"/>
        <w:ind w:left="0" w:right="0"/>
        <w:jc w:val="both"/>
        <w:rPr>
          <w:rFonts w:cs="B Zar" w:hint="cs"/>
        </w:rPr>
      </w:pPr>
      <w:r w:rsidRPr="00B67C5A">
        <w:rPr>
          <w:rFonts w:cs="B Zar" w:hint="cs"/>
          <w:rtl/>
        </w:rPr>
        <w:t>هشام بن حكم صحابي بزرگ امام جعفر صادق‌(ع) و از علماي بزرگ و متكلمان به نام تاريخ شيعه نيز كتابي دارد به نام «الردّ علي الصحاب الاثنين</w:t>
      </w:r>
      <w:r>
        <w:rPr>
          <w:rStyle w:val="FootnoteReference"/>
          <w:rFonts w:cs="B Zar"/>
          <w:sz w:val="28"/>
          <w:rtl/>
        </w:rPr>
        <w:footnoteReference w:id="44"/>
      </w:r>
      <w:r w:rsidRPr="00B67C5A">
        <w:rPr>
          <w:rFonts w:cs="B Zar" w:hint="cs"/>
          <w:rtl/>
        </w:rPr>
        <w:t>» .</w:t>
      </w:r>
    </w:p>
    <w:p w:rsidR="009C75F3" w:rsidRPr="00B67C5A" w:rsidP="003C0EF5">
      <w:pPr>
        <w:widowControl w:val="0"/>
        <w:spacing w:line="420" w:lineRule="exact"/>
        <w:ind w:left="0" w:right="0"/>
        <w:jc w:val="both"/>
        <w:rPr>
          <w:rFonts w:cs="B Zar" w:hint="cs"/>
        </w:rPr>
      </w:pPr>
      <w:r w:rsidRPr="00B67C5A">
        <w:rPr>
          <w:rFonts w:cs="B Zar" w:hint="cs"/>
          <w:rtl/>
        </w:rPr>
        <w:t>عدّه</w:t>
      </w:r>
      <w:r w:rsidRPr="00B67C5A" w:rsidR="00164DAD">
        <w:rPr>
          <w:rFonts w:cs="B Zar" w:hint="cs"/>
          <w:rtl/>
        </w:rPr>
        <w:t>‌</w:t>
      </w:r>
      <w:r w:rsidRPr="00B67C5A">
        <w:rPr>
          <w:rFonts w:cs="B Zar" w:hint="cs"/>
          <w:rtl/>
        </w:rPr>
        <w:t>اي از دانشمندان به مطالعه دين مسيحي و تاريخ و فرهنگ روميان و يونانيان كه پيشتازان فرهنگ غربي در آن دوره بوده‌اند، پرداختند. ابن نديم در اين زمينه از دهها كتاب اسم برده است، از جملة آنها به كتابهاي زير مي‌توان اشاره كرد:</w:t>
      </w:r>
    </w:p>
    <w:p w:rsidR="009C75F3" w:rsidRPr="00B67C5A" w:rsidP="003C0EF5">
      <w:pPr>
        <w:widowControl w:val="0"/>
        <w:spacing w:line="420" w:lineRule="exact"/>
        <w:ind w:left="0" w:right="0"/>
        <w:jc w:val="both"/>
        <w:rPr>
          <w:rFonts w:cs="B Zar" w:hint="cs"/>
        </w:rPr>
      </w:pPr>
      <w:r w:rsidRPr="00B67C5A">
        <w:rPr>
          <w:rFonts w:cs="B Zar" w:hint="cs"/>
          <w:rtl/>
        </w:rPr>
        <w:t xml:space="preserve"> ترجمة انجيل متي، انجيل مرقس، انجيل لوقا و انجيل يوحنا</w:t>
      </w:r>
      <w:r>
        <w:rPr>
          <w:rStyle w:val="FootnoteReference"/>
          <w:rFonts w:cs="B Zar"/>
          <w:rtl/>
        </w:rPr>
        <w:footnoteReference w:id="45"/>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 xml:space="preserve"> كتاب تاريخ الروم ـ كتاب ادب الروم</w:t>
      </w:r>
      <w:r>
        <w:rPr>
          <w:rStyle w:val="FootnoteReference"/>
          <w:rFonts w:cs="B Zar"/>
          <w:rtl/>
        </w:rPr>
        <w:footnoteReference w:id="46"/>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 xml:space="preserve"> كتاب في نوادر</w:t>
      </w:r>
      <w:r w:rsidRPr="00B67C5A" w:rsidR="00164DAD">
        <w:rPr>
          <w:rFonts w:cs="B Zar" w:hint="cs"/>
          <w:rtl/>
        </w:rPr>
        <w:t xml:space="preserve"> </w:t>
      </w:r>
      <w:r w:rsidRPr="00B67C5A">
        <w:rPr>
          <w:rFonts w:cs="B Zar" w:hint="cs"/>
          <w:rtl/>
        </w:rPr>
        <w:t>اليونانيّين</w:t>
      </w:r>
      <w:r w:rsidRPr="00B67C5A">
        <w:rPr>
          <w:rFonts w:cs="B Zar" w:hint="cs"/>
          <w:rtl/>
          <w:lang w:bidi="fa-IR"/>
        </w:rPr>
        <w:t>؛</w:t>
      </w:r>
      <w:r>
        <w:rPr>
          <w:rStyle w:val="FootnoteReference"/>
          <w:rFonts w:cs="B Zar"/>
          <w:sz w:val="28"/>
          <w:rtl/>
        </w:rPr>
        <w:footnoteReference w:id="47"/>
      </w:r>
    </w:p>
    <w:p w:rsidR="0011420A" w:rsidP="003C0EF5">
      <w:pPr>
        <w:widowControl w:val="0"/>
        <w:spacing w:line="420" w:lineRule="exact"/>
        <w:ind w:left="0" w:right="0"/>
        <w:jc w:val="both"/>
        <w:rPr>
          <w:rFonts w:cs="B Zar" w:hint="cs"/>
          <w:rtl/>
        </w:rPr>
      </w:pPr>
      <w:r w:rsidRPr="00B67C5A" w:rsidR="009C75F3">
        <w:rPr>
          <w:rFonts w:cs="B Zar" w:hint="cs"/>
          <w:rtl/>
        </w:rPr>
        <w:t>كتاب الرد علي النصاري، تأليف بشربن معتبر</w:t>
      </w:r>
      <w:r>
        <w:rPr>
          <w:rStyle w:val="FootnoteReference"/>
          <w:rFonts w:cs="B Zar"/>
          <w:sz w:val="28"/>
          <w:rtl/>
        </w:rPr>
        <w:footnoteReference w:id="48"/>
      </w:r>
      <w:r w:rsidRPr="00B67C5A" w:rsidR="009C75F3">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 xml:space="preserve"> الردّ علي النصاري، تأليف عيسي بن صبيح المردار</w:t>
      </w:r>
      <w:r>
        <w:rPr>
          <w:rStyle w:val="FootnoteReference"/>
          <w:rFonts w:cs="B Zar"/>
          <w:sz w:val="28"/>
          <w:rtl/>
        </w:rPr>
        <w:footnoteReference w:id="49"/>
      </w:r>
      <w:r w:rsidRPr="00B67C5A">
        <w:rPr>
          <w:rFonts w:cs="B Zar" w:hint="cs"/>
          <w:rtl/>
        </w:rPr>
        <w:t xml:space="preserve"> (از بزرگان معتزله)</w:t>
      </w:r>
      <w:r w:rsidRPr="00B67C5A">
        <w:rPr>
          <w:rFonts w:cs="B Zar" w:hint="cs"/>
          <w:rtl/>
          <w:lang w:bidi="fa-IR"/>
        </w:rPr>
        <w:t>؛</w:t>
      </w:r>
    </w:p>
    <w:p w:rsidR="009C75F3" w:rsidRPr="00B67C5A" w:rsidP="003C0EF5">
      <w:pPr>
        <w:widowControl w:val="0"/>
        <w:spacing w:line="420" w:lineRule="exact"/>
        <w:ind w:left="0" w:right="0"/>
        <w:jc w:val="both"/>
        <w:rPr>
          <w:rFonts w:cs="B Zar" w:hint="cs"/>
        </w:rPr>
      </w:pPr>
      <w:r w:rsidRPr="00B67C5A">
        <w:rPr>
          <w:rFonts w:cs="B Zar" w:hint="cs"/>
          <w:rtl/>
        </w:rPr>
        <w:t xml:space="preserve"> الردّ علي النصاري، اثر جاحظ، اديب بزرگ عرب</w:t>
      </w:r>
      <w:r w:rsidRPr="00B67C5A">
        <w:rPr>
          <w:rFonts w:cs="B Zar" w:hint="cs"/>
          <w:rtl/>
          <w:lang w:bidi="fa-IR"/>
        </w:rPr>
        <w:t>؛</w:t>
      </w:r>
      <w:r>
        <w:rPr>
          <w:rStyle w:val="FootnoteReference"/>
          <w:rFonts w:cs="B Zar"/>
          <w:sz w:val="28"/>
          <w:rtl/>
        </w:rPr>
        <w:footnoteReference w:id="50"/>
      </w:r>
    </w:p>
    <w:p w:rsidR="009C75F3" w:rsidRPr="00B67C5A" w:rsidP="003C0EF5">
      <w:pPr>
        <w:widowControl w:val="0"/>
        <w:spacing w:line="420" w:lineRule="exact"/>
        <w:ind w:left="0" w:right="0"/>
        <w:jc w:val="both"/>
        <w:rPr>
          <w:rFonts w:cs="B Zar" w:hint="cs"/>
        </w:rPr>
      </w:pPr>
      <w:r w:rsidRPr="00B67C5A">
        <w:rPr>
          <w:rFonts w:cs="B Zar" w:hint="cs"/>
          <w:rtl/>
        </w:rPr>
        <w:t xml:space="preserve"> الردّ علي النصاري، اثر صراربن عمر، از علماي معتزله</w:t>
      </w:r>
      <w:r w:rsidRPr="00B67C5A">
        <w:rPr>
          <w:rFonts w:cs="B Zar" w:hint="cs"/>
          <w:rtl/>
          <w:lang w:bidi="fa-IR"/>
        </w:rPr>
        <w:t>؛</w:t>
      </w:r>
      <w:r>
        <w:rPr>
          <w:rStyle w:val="FootnoteReference"/>
          <w:rFonts w:cs="B Zar"/>
          <w:sz w:val="28"/>
          <w:rtl/>
        </w:rPr>
        <w:footnoteReference w:id="51"/>
      </w:r>
    </w:p>
    <w:p w:rsidR="009C75F3" w:rsidRPr="00B67C5A" w:rsidP="003C0EF5">
      <w:pPr>
        <w:widowControl w:val="0"/>
        <w:spacing w:line="420" w:lineRule="exact"/>
        <w:ind w:left="0" w:right="0"/>
        <w:jc w:val="both"/>
        <w:rPr>
          <w:rFonts w:cs="B Zar" w:hint="cs"/>
        </w:rPr>
      </w:pPr>
      <w:r w:rsidRPr="00B67C5A">
        <w:rPr>
          <w:rFonts w:cs="B Zar" w:hint="cs"/>
          <w:rtl/>
        </w:rPr>
        <w:t xml:space="preserve"> سه كتاب «الردّ علي النصاري» صغير و اوسط و كبير</w:t>
      </w:r>
      <w:r w:rsidRPr="00B67C5A">
        <w:rPr>
          <w:rFonts w:cs="B Zar" w:hint="cs"/>
          <w:rtl/>
          <w:lang w:bidi="fa-IR"/>
        </w:rPr>
        <w:t>؛</w:t>
      </w:r>
      <w:r>
        <w:rPr>
          <w:rStyle w:val="FootnoteReference"/>
          <w:rFonts w:cs="B Zar"/>
          <w:sz w:val="28"/>
          <w:rtl/>
        </w:rPr>
        <w:footnoteReference w:id="52"/>
      </w:r>
    </w:p>
    <w:p w:rsidR="009C75F3" w:rsidRPr="00B67C5A" w:rsidP="003C0EF5">
      <w:pPr>
        <w:widowControl w:val="0"/>
        <w:spacing w:line="420" w:lineRule="exact"/>
        <w:ind w:left="0" w:right="0"/>
        <w:jc w:val="both"/>
        <w:rPr>
          <w:rFonts w:cs="B Zar" w:hint="cs"/>
          <w:rtl/>
        </w:rPr>
      </w:pPr>
      <w:r w:rsidRPr="00B67C5A">
        <w:rPr>
          <w:rFonts w:cs="B Zar" w:hint="cs"/>
          <w:rtl/>
        </w:rPr>
        <w:t>چنانچه اشاره شد، يعقوبي در تاريخ خود</w:t>
      </w:r>
      <w:r>
        <w:rPr>
          <w:rStyle w:val="FootnoteReference"/>
          <w:rFonts w:cs="B Zar"/>
          <w:sz w:val="28"/>
          <w:rtl/>
        </w:rPr>
        <w:footnoteReference w:id="53"/>
      </w:r>
      <w:r w:rsidRPr="00B67C5A">
        <w:rPr>
          <w:rFonts w:cs="B Zar" w:hint="cs"/>
          <w:rtl/>
        </w:rPr>
        <w:t>، و نيز طبري در تاريخ الرسل و الملوك</w:t>
      </w:r>
      <w:r>
        <w:rPr>
          <w:rStyle w:val="FootnoteReference"/>
          <w:rFonts w:cs="B Zar"/>
          <w:sz w:val="28"/>
          <w:rtl/>
        </w:rPr>
        <w:footnoteReference w:id="54"/>
      </w:r>
      <w:r w:rsidRPr="00B67C5A">
        <w:rPr>
          <w:rFonts w:cs="B Zar" w:hint="cs"/>
          <w:rtl/>
        </w:rPr>
        <w:t>، و همچنين مسعودي در مروّج الذهب، به بررسي آئين روميان و نصاري</w:t>
      </w:r>
      <w:r>
        <w:rPr>
          <w:rStyle w:val="FootnoteReference"/>
          <w:rFonts w:cs="B Zar"/>
          <w:sz w:val="28"/>
          <w:rtl/>
        </w:rPr>
        <w:footnoteReference w:id="55"/>
      </w:r>
      <w:r w:rsidRPr="00B67C5A">
        <w:rPr>
          <w:rFonts w:cs="B Zar" w:hint="cs"/>
          <w:rtl/>
        </w:rPr>
        <w:t xml:space="preserve"> پرداخته‌اند.</w:t>
      </w:r>
    </w:p>
    <w:p w:rsidR="009C75F3" w:rsidRPr="00B67C5A" w:rsidP="003C0EF5">
      <w:pPr>
        <w:widowControl w:val="0"/>
        <w:spacing w:line="420" w:lineRule="exact"/>
        <w:ind w:left="0" w:right="0"/>
        <w:jc w:val="both"/>
        <w:rPr>
          <w:rFonts w:cs="B Zar" w:hint="cs"/>
          <w:rtl/>
        </w:rPr>
      </w:pPr>
      <w:r w:rsidRPr="00B67C5A">
        <w:rPr>
          <w:rFonts w:cs="B Zar" w:hint="cs"/>
          <w:rtl/>
        </w:rPr>
        <w:t>برخي ديگر از علماي اسلامي و متكلمان، دين يهود را مورد پژوهش، سنجش و ارزيابي قرار دادند. از جمله كتابهائي كه مسلمين تا قرن چهارم هجري دربارة آئين يهود تصنيف كردند، عبارتند از:</w:t>
      </w:r>
    </w:p>
    <w:p w:rsidR="009C75F3" w:rsidRPr="00B67C5A" w:rsidP="003C0EF5">
      <w:pPr>
        <w:widowControl w:val="0"/>
        <w:spacing w:line="420" w:lineRule="exact"/>
        <w:ind w:left="0" w:right="0"/>
        <w:jc w:val="both"/>
        <w:rPr>
          <w:rFonts w:cs="B Zar" w:hint="cs"/>
          <w:rtl/>
        </w:rPr>
      </w:pPr>
      <w:r w:rsidRPr="00B67C5A">
        <w:rPr>
          <w:rFonts w:cs="B Zar" w:hint="cs"/>
          <w:rtl/>
        </w:rPr>
        <w:t>كتاب المبادي التوراة؛</w:t>
      </w:r>
    </w:p>
    <w:p w:rsidR="009C75F3" w:rsidRPr="00B67C5A" w:rsidP="003C0EF5">
      <w:pPr>
        <w:widowControl w:val="0"/>
        <w:spacing w:line="420" w:lineRule="exact"/>
        <w:ind w:left="0" w:right="0"/>
        <w:jc w:val="both"/>
        <w:rPr>
          <w:rFonts w:cs="B Zar" w:hint="cs"/>
        </w:rPr>
      </w:pPr>
      <w:r w:rsidRPr="00B67C5A">
        <w:rPr>
          <w:rFonts w:cs="B Zar" w:hint="cs"/>
          <w:rtl/>
        </w:rPr>
        <w:t>كتاب الشرائع التوراة؛</w:t>
      </w:r>
    </w:p>
    <w:p w:rsidR="009C75F3" w:rsidRPr="00B67C5A" w:rsidP="003C0EF5">
      <w:pPr>
        <w:widowControl w:val="0"/>
        <w:spacing w:line="420" w:lineRule="exact"/>
        <w:ind w:left="0" w:right="0"/>
        <w:jc w:val="both"/>
        <w:rPr>
          <w:rFonts w:cs="B Zar" w:hint="cs"/>
        </w:rPr>
      </w:pPr>
      <w:r w:rsidRPr="00B67C5A">
        <w:rPr>
          <w:rFonts w:cs="B Zar" w:hint="cs"/>
          <w:rtl/>
        </w:rPr>
        <w:t>كتاب تفسير التوراة؛</w:t>
      </w:r>
    </w:p>
    <w:p w:rsidR="009C75F3" w:rsidRPr="00B67C5A" w:rsidP="003C0EF5">
      <w:pPr>
        <w:widowControl w:val="0"/>
        <w:spacing w:line="420" w:lineRule="exact"/>
        <w:ind w:left="0" w:right="0"/>
        <w:jc w:val="both"/>
        <w:rPr>
          <w:rFonts w:cs="B Zar" w:hint="cs"/>
        </w:rPr>
      </w:pPr>
      <w:r w:rsidRPr="00B67C5A">
        <w:rPr>
          <w:rFonts w:cs="B Zar" w:hint="cs"/>
          <w:rtl/>
        </w:rPr>
        <w:t>تفسير الاشعياء؛</w:t>
      </w:r>
      <w:r>
        <w:rPr>
          <w:rStyle w:val="FootnoteReference"/>
          <w:rFonts w:cs="B Zar"/>
          <w:sz w:val="28"/>
          <w:rtl/>
        </w:rPr>
        <w:footnoteReference w:id="56"/>
      </w:r>
    </w:p>
    <w:p w:rsidR="009C75F3" w:rsidRPr="00B67C5A" w:rsidP="003C0EF5">
      <w:pPr>
        <w:widowControl w:val="0"/>
        <w:spacing w:line="420" w:lineRule="exact"/>
        <w:ind w:left="0" w:right="0"/>
        <w:jc w:val="both"/>
        <w:rPr>
          <w:rFonts w:cs="B Zar" w:hint="cs"/>
        </w:rPr>
      </w:pPr>
      <w:r w:rsidRPr="00B67C5A">
        <w:rPr>
          <w:rFonts w:cs="B Zar" w:hint="cs"/>
          <w:rtl/>
        </w:rPr>
        <w:t>كتاب «تفسير النكت» در تفسير زبور؛</w:t>
      </w:r>
    </w:p>
    <w:p w:rsidR="009C75F3" w:rsidRPr="00B67C5A" w:rsidP="003C0EF5">
      <w:pPr>
        <w:widowControl w:val="0"/>
        <w:spacing w:line="420" w:lineRule="exact"/>
        <w:ind w:left="0" w:right="0"/>
        <w:jc w:val="both"/>
        <w:rPr>
          <w:rFonts w:cs="B Zar" w:hint="cs"/>
        </w:rPr>
      </w:pPr>
      <w:r w:rsidRPr="00B67C5A">
        <w:rPr>
          <w:rFonts w:cs="B Zar" w:hint="cs"/>
          <w:rtl/>
        </w:rPr>
        <w:t>كتاب «تفسير السفرالثالث من النصف‌الآخر من التوراة»</w:t>
      </w:r>
      <w:r>
        <w:rPr>
          <w:rStyle w:val="FootnoteReference"/>
          <w:rFonts w:cs="B Zar"/>
          <w:rtl/>
        </w:rPr>
        <w:footnoteReference w:id="57"/>
      </w:r>
      <w:r w:rsidRPr="00B67C5A">
        <w:rPr>
          <w:rFonts w:cs="B Zar" w:hint="cs"/>
          <w:rtl/>
        </w:rPr>
        <w:t>؛</w:t>
      </w:r>
    </w:p>
    <w:p w:rsidR="009C75F3" w:rsidRPr="00B67C5A" w:rsidP="003C0EF5">
      <w:pPr>
        <w:widowControl w:val="0"/>
        <w:spacing w:line="420" w:lineRule="exact"/>
        <w:ind w:left="0" w:right="0"/>
        <w:jc w:val="both"/>
        <w:rPr>
          <w:rFonts w:cs="B Zar"/>
          <w:rtl/>
        </w:rPr>
      </w:pPr>
      <w:r w:rsidRPr="00B67C5A">
        <w:rPr>
          <w:rFonts w:cs="B Zar" w:hint="cs"/>
          <w:rtl/>
        </w:rPr>
        <w:t>كتاب الردّ علي‌اليهود، تأليف ابو هذيل العلّاف</w:t>
      </w:r>
      <w:r>
        <w:rPr>
          <w:rStyle w:val="FootnoteReference"/>
          <w:rFonts w:cs="B Zar"/>
          <w:rtl/>
        </w:rPr>
        <w:footnoteReference w:id="58"/>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الردّ علي‌اليهود، تأليف بشربن معتمر</w:t>
      </w:r>
      <w:r>
        <w:rPr>
          <w:rStyle w:val="FootnoteReference"/>
          <w:rFonts w:cs="B Zar"/>
          <w:sz w:val="28"/>
          <w:rtl/>
        </w:rPr>
        <w:footnoteReference w:id="59"/>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الردّ علي‌اليهود، اثر عيسي بن صبيح المردار</w:t>
      </w:r>
      <w:r>
        <w:rPr>
          <w:rStyle w:val="FootnoteReference"/>
          <w:rFonts w:cs="B Zar"/>
          <w:sz w:val="28"/>
          <w:rtl/>
        </w:rPr>
        <w:footnoteReference w:id="60"/>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الردّ علي‌اليهود، اثر جاحظ</w:t>
      </w:r>
      <w:r>
        <w:rPr>
          <w:rStyle w:val="FootnoteReference"/>
          <w:rFonts w:cs="B Zar"/>
          <w:sz w:val="28"/>
          <w:rtl/>
        </w:rPr>
        <w:footnoteReference w:id="61"/>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االردّ علي‌اليهود، اثر ابو عيسي الورّاق</w:t>
      </w:r>
      <w:r>
        <w:rPr>
          <w:rStyle w:val="FootnoteReference"/>
          <w:rFonts w:cs="B Zar"/>
          <w:sz w:val="28"/>
          <w:rtl/>
        </w:rPr>
        <w:footnoteReference w:id="62"/>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اصمّ يكي از دانشمندان معتزلي زمان مامون نيز كتابي به همين عنوان دارد</w:t>
      </w:r>
      <w:r>
        <w:rPr>
          <w:rStyle w:val="FootnoteReference"/>
          <w:rFonts w:cs="B Zar"/>
          <w:sz w:val="28"/>
          <w:rtl/>
        </w:rPr>
        <w:footnoteReference w:id="63"/>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از جمله كتابهائي كه علماي اسلامي در مورد اديان و ملل ديگر تصنيف كردند، كتابي است به خط ابن اسحاق‌الكندي، فيلسوف معروف كه ابن نديم به آن اشاره مي‌كند و آن ترجمه كتاب الحنفاء، متعلق به مذهب صابئين</w:t>
      </w:r>
      <w:r w:rsidRPr="00B67C5A">
        <w:rPr>
          <w:rFonts w:cs="B Zar" w:hint="cs"/>
          <w:rtl/>
          <w:lang w:bidi="fa-IR"/>
        </w:rPr>
        <w:t xml:space="preserve"> ـ</w:t>
      </w:r>
      <w:r w:rsidRPr="00B67C5A">
        <w:rPr>
          <w:rFonts w:cs="B Zar" w:hint="cs"/>
          <w:rtl/>
        </w:rPr>
        <w:t xml:space="preserve"> كه خود را از پيروان آئين حضرت ابراهيم دانسته اند</w:t>
      </w:r>
      <w:r>
        <w:rPr>
          <w:rStyle w:val="FootnoteReference"/>
          <w:rFonts w:cs="B Zar"/>
          <w:sz w:val="28"/>
          <w:rtl/>
        </w:rPr>
        <w:footnoteReference w:id="64"/>
      </w:r>
      <w:r w:rsidRPr="00B67C5A">
        <w:rPr>
          <w:rFonts w:cs="B Zar" w:hint="cs"/>
          <w:rtl/>
          <w:lang w:bidi="fa-IR"/>
        </w:rPr>
        <w:t>ـ</w:t>
      </w:r>
      <w:r w:rsidRPr="00B67C5A">
        <w:rPr>
          <w:rFonts w:cs="B Zar" w:hint="cs"/>
          <w:rtl/>
        </w:rPr>
        <w:t xml:space="preserve"> مي باشد.</w:t>
      </w:r>
    </w:p>
    <w:p w:rsidR="009C75F3" w:rsidRPr="00B67C5A" w:rsidP="003C0EF5">
      <w:pPr>
        <w:widowControl w:val="0"/>
        <w:spacing w:line="420" w:lineRule="exact"/>
        <w:ind w:left="0" w:right="0"/>
        <w:jc w:val="both"/>
        <w:rPr>
          <w:rFonts w:cs="B Zar" w:hint="cs"/>
          <w:rtl/>
        </w:rPr>
      </w:pPr>
      <w:r w:rsidRPr="00B67C5A">
        <w:rPr>
          <w:rFonts w:cs="B Zar" w:hint="cs"/>
          <w:rtl/>
        </w:rPr>
        <w:t>از جمله پژوهشهاي بسيار جالبي كه در رشتة جامع</w:t>
      </w:r>
      <w:r w:rsidRPr="00B67C5A" w:rsidR="00164DAD">
        <w:rPr>
          <w:rFonts w:cs="B Zar" w:hint="cs"/>
          <w:rtl/>
        </w:rPr>
        <w:t>ه‌</w:t>
      </w:r>
      <w:r w:rsidRPr="00B67C5A">
        <w:rPr>
          <w:rFonts w:cs="B Zar" w:hint="cs"/>
          <w:rtl/>
        </w:rPr>
        <w:t>شناسي اديان و رشته دين شناسي تطبيقي داراي اهميت زيادي است، تحقيقاتي است كه علماي اسلامي در خصوص بت‌ها و خدايان، معبدها و سنن ديني اديان و مذاهب گوناگون انجام داده‌اند و عموماً «كتاب الاصنام» نام دارد. از جمله اين آثار كتابهاي زير مي‌باشد:</w:t>
      </w:r>
    </w:p>
    <w:p w:rsidR="009C75F3" w:rsidRPr="00B67C5A" w:rsidP="003C0EF5">
      <w:pPr>
        <w:widowControl w:val="0"/>
        <w:spacing w:line="420" w:lineRule="exact"/>
        <w:ind w:left="0" w:right="0"/>
        <w:jc w:val="both"/>
        <w:rPr>
          <w:rFonts w:cs="B Zar" w:hint="cs"/>
          <w:rtl/>
        </w:rPr>
      </w:pPr>
      <w:r w:rsidRPr="00B67C5A">
        <w:rPr>
          <w:rFonts w:cs="B Zar" w:hint="cs"/>
          <w:rtl/>
        </w:rPr>
        <w:t>كتاب الاصنام، اثر جاحظ، اديب بزرگ</w:t>
      </w:r>
      <w:r>
        <w:rPr>
          <w:rStyle w:val="FootnoteReference"/>
          <w:rFonts w:cs="B Zar"/>
          <w:sz w:val="28"/>
          <w:rtl/>
        </w:rPr>
        <w:footnoteReference w:id="65"/>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الاصنام، اثر هشام كلبي (متوفي: 206 هـ )</w:t>
      </w:r>
      <w:r>
        <w:rPr>
          <w:rStyle w:val="FootnoteReference"/>
          <w:rFonts w:cs="B Zar"/>
          <w:sz w:val="28"/>
          <w:rtl/>
        </w:rPr>
        <w:footnoteReference w:id="66"/>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مذاهب الكلدانيين في‌الاصنام، اثر ابن وحشيه كلداني؛</w:t>
      </w:r>
    </w:p>
    <w:p w:rsidR="009C75F3" w:rsidRPr="00B67C5A" w:rsidP="003C0EF5">
      <w:pPr>
        <w:widowControl w:val="0"/>
        <w:spacing w:line="420" w:lineRule="exact"/>
        <w:ind w:left="0" w:right="0"/>
        <w:jc w:val="both"/>
        <w:rPr>
          <w:rFonts w:cs="B Zar" w:hint="cs"/>
        </w:rPr>
      </w:pPr>
      <w:r w:rsidRPr="00B67C5A">
        <w:rPr>
          <w:rFonts w:cs="B Zar" w:hint="cs"/>
          <w:rtl/>
        </w:rPr>
        <w:t>كتاب الاصنام اثر ابن وحشيه</w:t>
      </w:r>
      <w:r>
        <w:rPr>
          <w:rStyle w:val="FootnoteReference"/>
          <w:rFonts w:cs="B Zar"/>
          <w:sz w:val="28"/>
          <w:rtl/>
        </w:rPr>
        <w:footnoteReference w:id="67"/>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الاصنام و ما كانت العرب و العجم تعبد من دون‌الله، تأليف ابن فيصل الكاتب</w:t>
      </w:r>
      <w:r>
        <w:rPr>
          <w:rStyle w:val="FootnoteReference"/>
          <w:rFonts w:cs="B Zar"/>
          <w:sz w:val="28"/>
          <w:rtl/>
        </w:rPr>
        <w:footnoteReference w:id="68"/>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الردّ علي عبده الاصنام، تأليف ابو زيد بلخي</w:t>
      </w:r>
      <w:r>
        <w:rPr>
          <w:rStyle w:val="FootnoteReference"/>
          <w:rFonts w:cs="B Zar"/>
          <w:sz w:val="28"/>
          <w:rtl/>
        </w:rPr>
        <w:footnoteReference w:id="69"/>
      </w:r>
      <w:r w:rsidRPr="00B67C5A">
        <w:rPr>
          <w:rFonts w:cs="B Zar" w:hint="cs"/>
          <w:rtl/>
        </w:rPr>
        <w:t>.</w:t>
      </w:r>
    </w:p>
    <w:p w:rsidR="009C75F3" w:rsidP="003C0EF5">
      <w:pPr>
        <w:widowControl w:val="0"/>
        <w:spacing w:line="420" w:lineRule="exact"/>
        <w:ind w:left="0" w:right="0"/>
        <w:jc w:val="both"/>
        <w:rPr>
          <w:rFonts w:cs="B Zar" w:hint="cs"/>
          <w:rtl/>
        </w:rPr>
      </w:pPr>
      <w:r w:rsidRPr="00B67C5A">
        <w:rPr>
          <w:rFonts w:cs="B Zar" w:hint="cs"/>
          <w:rtl/>
        </w:rPr>
        <w:t>در ميان مورخين، يعقوبي در جلد اول تاريخ خود دين و آئين بت پرستان را بررسي كرده</w:t>
      </w:r>
      <w:r>
        <w:rPr>
          <w:rStyle w:val="FootnoteReference"/>
          <w:rFonts w:cs="B Zar"/>
          <w:sz w:val="28"/>
          <w:rtl/>
        </w:rPr>
        <w:footnoteReference w:id="70"/>
      </w:r>
      <w:r w:rsidRPr="00B67C5A">
        <w:rPr>
          <w:rFonts w:cs="B Zar" w:hint="cs"/>
          <w:rtl/>
        </w:rPr>
        <w:t>، طبري نيز، اگرچه اهميت زيادي براي اديان ديگر قائل نشده و تنها آئين يهود را مفصل بحث نموده است</w:t>
      </w:r>
      <w:r>
        <w:rPr>
          <w:rStyle w:val="FootnoteReference"/>
          <w:rFonts w:cs="B Zar"/>
          <w:sz w:val="28"/>
          <w:rtl/>
        </w:rPr>
        <w:footnoteReference w:id="71"/>
      </w:r>
      <w:r w:rsidRPr="00B67C5A">
        <w:rPr>
          <w:rFonts w:cs="B Zar" w:hint="cs"/>
          <w:rtl/>
        </w:rPr>
        <w:t>، ولي به طور گذرا اشاراتي به بت‌هاي اقوام مختلف دارد؛ اما بزرگترين گ</w:t>
      </w:r>
      <w:r w:rsidRPr="00B67C5A" w:rsidR="00164DAD">
        <w:rPr>
          <w:rFonts w:cs="B Zar" w:hint="cs"/>
          <w:rtl/>
        </w:rPr>
        <w:t>نجينة اطلاعات در اين زمينه «مرو</w:t>
      </w:r>
      <w:r w:rsidRPr="00B67C5A">
        <w:rPr>
          <w:rFonts w:cs="B Zar" w:hint="cs"/>
          <w:rtl/>
        </w:rPr>
        <w:t>ج</w:t>
      </w:r>
      <w:r w:rsidRPr="00B67C5A" w:rsidR="00164DAD">
        <w:rPr>
          <w:rFonts w:cs="B Zar" w:hint="cs"/>
          <w:rtl/>
        </w:rPr>
        <w:t>‌</w:t>
      </w:r>
      <w:r w:rsidRPr="00B67C5A">
        <w:rPr>
          <w:rFonts w:cs="B Zar" w:hint="cs"/>
          <w:rtl/>
        </w:rPr>
        <w:t>الذهب» ابوالحسن مسعودي است. مسعودي را بايد به نوعي جامعه شناس دين دانست. او براي مطالعة بت‌ها و انواع بت‌پرستي‌ها و معبدها و آئين‌هاي معبدهاي هنديان، چينيان، ايرانيان و عربها</w:t>
      </w:r>
      <w:r w:rsidRPr="00B67C5A">
        <w:rPr>
          <w:rFonts w:cs="B Zar" w:hint="cs"/>
          <w:rtl/>
          <w:lang w:bidi="fa-IR"/>
        </w:rPr>
        <w:t>،</w:t>
      </w:r>
      <w:r w:rsidRPr="00B67C5A">
        <w:rPr>
          <w:rFonts w:cs="B Zar" w:hint="cs"/>
          <w:rtl/>
        </w:rPr>
        <w:t xml:space="preserve"> اهميت قائل شده</w:t>
      </w:r>
      <w:r w:rsidRPr="00B67C5A">
        <w:rPr>
          <w:rFonts w:cs="B Zar" w:hint="cs"/>
          <w:rtl/>
          <w:lang w:bidi="fa-IR"/>
        </w:rPr>
        <w:t>،</w:t>
      </w:r>
      <w:r w:rsidRPr="00B67C5A">
        <w:rPr>
          <w:rFonts w:cs="B Zar" w:hint="cs"/>
          <w:rtl/>
        </w:rPr>
        <w:t xml:space="preserve">  ديدي كاملاً مقايسه اي دارد.</w:t>
      </w:r>
      <w:r>
        <w:rPr>
          <w:rStyle w:val="FootnoteReference"/>
          <w:rFonts w:cs="B Zar"/>
          <w:sz w:val="28"/>
          <w:rtl/>
        </w:rPr>
        <w:footnoteReference w:id="72"/>
      </w:r>
    </w:p>
    <w:p w:rsidR="009F03A5" w:rsidP="003C0EF5">
      <w:pPr>
        <w:widowControl w:val="0"/>
        <w:spacing w:line="420" w:lineRule="exact"/>
        <w:ind w:left="0" w:right="0"/>
        <w:jc w:val="both"/>
        <w:rPr>
          <w:rFonts w:cs="B Zar" w:hint="cs"/>
          <w:rtl/>
        </w:rPr>
      </w:pPr>
    </w:p>
    <w:p w:rsidR="009C75F3" w:rsidRPr="00B67C5A" w:rsidP="003C0EF5">
      <w:pPr>
        <w:widowControl w:val="0"/>
        <w:spacing w:line="420" w:lineRule="exact"/>
        <w:ind w:left="0" w:right="0"/>
        <w:jc w:val="both"/>
        <w:rPr>
          <w:rFonts w:cs="B Zar" w:hint="cs"/>
          <w:b/>
          <w:bCs/>
          <w:rtl/>
        </w:rPr>
      </w:pPr>
      <w:r w:rsidRPr="00B67C5A">
        <w:rPr>
          <w:rFonts w:cs="B Zar" w:hint="cs"/>
          <w:b/>
          <w:bCs/>
          <w:rtl/>
        </w:rPr>
        <w:t>دستاورد ايرانيان و دانشمندان اسلامي در هند شناسي</w:t>
      </w:r>
    </w:p>
    <w:p w:rsidR="009C75F3" w:rsidRPr="00B67C5A" w:rsidP="003C0EF5">
      <w:pPr>
        <w:widowControl w:val="0"/>
        <w:spacing w:line="420" w:lineRule="exact"/>
        <w:ind w:left="0" w:right="0"/>
        <w:jc w:val="both"/>
        <w:rPr>
          <w:rFonts w:cs="B Zar" w:hint="cs"/>
          <w:rtl/>
        </w:rPr>
      </w:pPr>
      <w:r w:rsidRPr="00B67C5A">
        <w:rPr>
          <w:rFonts w:cs="B Zar" w:hint="cs"/>
          <w:rtl/>
        </w:rPr>
        <w:t xml:space="preserve">قرنها پيش از ماكس مولر و خاورشناسان غربي، هند شناسي </w:t>
      </w:r>
      <w:r w:rsidRPr="00B67C5A">
        <w:rPr>
          <w:rFonts w:cs="B Zar"/>
        </w:rPr>
        <w:t>(Indology)</w:t>
      </w:r>
      <w:r w:rsidRPr="00B67C5A">
        <w:rPr>
          <w:rFonts w:cs="B Zar" w:hint="cs"/>
          <w:rtl/>
        </w:rPr>
        <w:t xml:space="preserve"> را علماي اسلامي پايه گذاردند. مسلمين براي هندشناسي اهميت ويژه‌اي قائل بودند و به مطالعه رخساره‌هاي مختلف دين و فرهنگ هند، از جمله فلسفه، رياضيات، طب و تكنولوژي هند پرداختند. ابن نديم در اين زمينه نيز از دهها كتاب نام مي‌برد، از جمله:</w:t>
      </w:r>
    </w:p>
    <w:p w:rsidR="009C75F3" w:rsidRPr="00B67C5A" w:rsidP="003C0EF5">
      <w:pPr>
        <w:widowControl w:val="0"/>
        <w:spacing w:line="420" w:lineRule="exact"/>
        <w:ind w:left="0" w:right="0"/>
        <w:jc w:val="both"/>
        <w:rPr>
          <w:rFonts w:cs="B Zar" w:hint="cs"/>
          <w:rtl/>
        </w:rPr>
      </w:pPr>
      <w:r w:rsidRPr="00B67C5A">
        <w:rPr>
          <w:rFonts w:cs="B Zar" w:hint="cs"/>
          <w:rtl/>
        </w:rPr>
        <w:t>كتاب ملل الهند و اديانها</w:t>
      </w:r>
      <w:r>
        <w:rPr>
          <w:rStyle w:val="FootnoteReference"/>
          <w:rFonts w:cs="B Zar"/>
          <w:sz w:val="28"/>
          <w:rtl/>
        </w:rPr>
        <w:footnoteReference w:id="73"/>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«مثاناق الهندي في الاداب»</w:t>
      </w:r>
      <w:r>
        <w:rPr>
          <w:rStyle w:val="FootnoteReference"/>
          <w:rFonts w:cs="B Zar"/>
          <w:sz w:val="28"/>
          <w:rtl/>
        </w:rPr>
        <w:footnoteReference w:id="74"/>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«الهنديين الجواد و البخيل و الاحتجاج بينهما</w:t>
      </w:r>
      <w:r>
        <w:rPr>
          <w:rStyle w:val="FootnoteReference"/>
          <w:rFonts w:cs="B Zar"/>
          <w:sz w:val="28"/>
          <w:rtl/>
        </w:rPr>
        <w:footnoteReference w:id="75"/>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الهندي</w:t>
      </w:r>
      <w:r>
        <w:rPr>
          <w:rStyle w:val="FootnoteReference"/>
          <w:rFonts w:cs="B Zar"/>
          <w:sz w:val="28"/>
          <w:rtl/>
        </w:rPr>
        <w:footnoteReference w:id="76"/>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الهندي في قصّه هبوط آدم</w:t>
      </w:r>
      <w:r>
        <w:rPr>
          <w:rStyle w:val="FootnoteReference"/>
          <w:rFonts w:cs="B Zar"/>
          <w:sz w:val="28"/>
          <w:rtl/>
        </w:rPr>
        <w:footnoteReference w:id="77"/>
      </w:r>
      <w:r w:rsidRPr="00B67C5A">
        <w:rPr>
          <w:rFonts w:cs="B Zar" w:hint="cs"/>
          <w:rtl/>
        </w:rPr>
        <w:t xml:space="preserve">؛ </w:t>
      </w:r>
    </w:p>
    <w:p w:rsidR="009C75F3" w:rsidRPr="00B67C5A" w:rsidP="003C0EF5">
      <w:pPr>
        <w:widowControl w:val="0"/>
        <w:spacing w:line="420" w:lineRule="exact"/>
        <w:ind w:left="0" w:right="0"/>
        <w:jc w:val="both"/>
        <w:rPr>
          <w:rFonts w:cs="B Zar" w:hint="cs"/>
        </w:rPr>
      </w:pPr>
      <w:r w:rsidRPr="00B67C5A">
        <w:rPr>
          <w:rFonts w:cs="B Zar" w:hint="cs"/>
          <w:rtl/>
        </w:rPr>
        <w:t>كتاب الهابل في الحكمه؛</w:t>
      </w:r>
    </w:p>
    <w:p w:rsidR="009C75F3" w:rsidRPr="00B67C5A" w:rsidP="003C0EF5">
      <w:pPr>
        <w:widowControl w:val="0"/>
        <w:spacing w:line="420" w:lineRule="exact"/>
        <w:ind w:left="0" w:right="0"/>
        <w:jc w:val="both"/>
        <w:rPr>
          <w:rFonts w:cs="B Zar" w:hint="cs"/>
        </w:rPr>
      </w:pPr>
      <w:r w:rsidRPr="00B67C5A">
        <w:rPr>
          <w:rFonts w:cs="B Zar" w:hint="cs"/>
          <w:rtl/>
        </w:rPr>
        <w:t>كتاب حدود المنطق الهند؛</w:t>
      </w:r>
    </w:p>
    <w:p w:rsidR="009C75F3" w:rsidRPr="00B67C5A" w:rsidP="003C0EF5">
      <w:pPr>
        <w:widowControl w:val="0"/>
        <w:spacing w:line="420" w:lineRule="exact"/>
        <w:ind w:left="0" w:right="0"/>
        <w:jc w:val="both"/>
        <w:rPr>
          <w:rFonts w:cs="B Zar" w:hint="cs"/>
        </w:rPr>
      </w:pPr>
      <w:r w:rsidRPr="00B67C5A">
        <w:rPr>
          <w:rFonts w:cs="B Zar" w:hint="cs"/>
          <w:rtl/>
        </w:rPr>
        <w:t>كتاب سارترم و كتاب بيد پا في‌الحكمه.</w:t>
      </w:r>
    </w:p>
    <w:p w:rsidR="005B5775" w:rsidRPr="00B67C5A" w:rsidP="003C0EF5">
      <w:pPr>
        <w:widowControl w:val="0"/>
        <w:spacing w:line="420" w:lineRule="exact"/>
        <w:ind w:left="0" w:right="0"/>
        <w:jc w:val="both"/>
        <w:rPr>
          <w:rFonts w:cs="B Zar" w:hint="cs"/>
          <w:rtl/>
        </w:rPr>
      </w:pPr>
      <w:r w:rsidRPr="00B67C5A" w:rsidR="009C75F3">
        <w:rPr>
          <w:rFonts w:cs="B Zar" w:hint="cs"/>
          <w:rtl/>
        </w:rPr>
        <w:t>ابن نديم مي گويد: يحيي بن خالد برمكي كه علاقه خاصّي به فرهنگ هند داشت و از نيرومندترين وزراي اعظم خلفاي عبّاسي بود، يكي از انديشمندان را به هند اعزام كرد تا پژوهشهاي ژرف و دامنه‌داري در عقايد و مكاتب فلسفي هند انجام دهد و آن را به صورت كتاب در آورد</w:t>
      </w:r>
      <w:r>
        <w:rPr>
          <w:rStyle w:val="FootnoteReference"/>
          <w:rFonts w:cs="B Zar"/>
          <w:sz w:val="28"/>
          <w:rtl/>
        </w:rPr>
        <w:footnoteReference w:id="78"/>
      </w:r>
      <w:r w:rsidRPr="00B67C5A" w:rsidR="009C75F3">
        <w:rPr>
          <w:rFonts w:cs="B Zar" w:hint="cs"/>
          <w:rtl/>
        </w:rPr>
        <w:t>. همچنين ابن نديم از انديشمندي هندي به نام «منكه» نام مي‌برد كه در دستگاه  اسحاق بن سليمان بن علي الهاشمي بوده و بنا به دستور او متون ديني و فلسفي هند را به زبان عربي ترجمه كرده است</w:t>
      </w:r>
      <w:r>
        <w:rPr>
          <w:rStyle w:val="FootnoteReference"/>
          <w:rFonts w:cs="B Zar"/>
          <w:sz w:val="28"/>
          <w:rtl/>
        </w:rPr>
        <w:footnoteReference w:id="79"/>
      </w:r>
      <w:r w:rsidRPr="00B67C5A" w:rsidR="009C75F3">
        <w:rPr>
          <w:rFonts w:cs="B Zar" w:hint="cs"/>
          <w:rtl/>
        </w:rPr>
        <w:t xml:space="preserve"> و نيز از انديشمندان مسلمان ديگري نام مي‌برد كه به مطالعة اساطير و اصول اعتقادي و نظريه‌هاي فلسفي و اديان هند پرداخته‌اند: ابن مقفع مترجم بنام </w:t>
      </w:r>
      <w:r w:rsidRPr="00B67C5A" w:rsidR="009C75F3">
        <w:rPr>
          <w:rFonts w:cs="B Zar" w:hint="cs"/>
          <w:i/>
          <w:iCs/>
          <w:rtl/>
        </w:rPr>
        <w:t>كليله و دمنه</w:t>
      </w:r>
      <w:r w:rsidRPr="00B67C5A" w:rsidR="009C75F3">
        <w:rPr>
          <w:rFonts w:cs="B Zar" w:hint="cs"/>
          <w:rtl/>
        </w:rPr>
        <w:t xml:space="preserve">، سهل بن هارون، سلم رئيس </w:t>
      </w:r>
      <w:r w:rsidRPr="00B67C5A" w:rsidR="009C75F3">
        <w:rPr>
          <w:rFonts w:cs="B Zar" w:hint="cs"/>
          <w:i/>
          <w:iCs/>
          <w:rtl/>
        </w:rPr>
        <w:t>بيت‌الحكمه</w:t>
      </w:r>
      <w:r w:rsidRPr="00B67C5A" w:rsidR="009C75F3">
        <w:rPr>
          <w:rFonts w:cs="B Zar" w:hint="cs"/>
          <w:rtl/>
        </w:rPr>
        <w:t xml:space="preserve"> و مريد الاسود در زمرة هند شناسان متخصص محسوب مي‌شده‌اند.</w:t>
      </w:r>
    </w:p>
    <w:p w:rsidR="009C75F3" w:rsidRPr="00B67C5A" w:rsidP="003C0EF5">
      <w:pPr>
        <w:widowControl w:val="0"/>
        <w:spacing w:line="420" w:lineRule="exact"/>
        <w:ind w:left="0" w:right="0"/>
        <w:jc w:val="both"/>
        <w:rPr>
          <w:rFonts w:cs="B Zar" w:hint="cs"/>
          <w:rtl/>
        </w:rPr>
      </w:pPr>
      <w:r w:rsidRPr="00B67C5A">
        <w:rPr>
          <w:rFonts w:cs="B Zar" w:hint="cs"/>
          <w:rtl/>
        </w:rPr>
        <w:t>مسلمين به مطالعه دستاورد هنديان در علوم و تكنولوژي نيز همّت گماردند. از جمله كتابهاي مستقلي كه علماي مسلمان در اين زمينه تصنيف كردند، عبارتند از:</w:t>
      </w:r>
    </w:p>
    <w:p w:rsidR="009C75F3" w:rsidRPr="00B67C5A" w:rsidP="003C0EF5">
      <w:pPr>
        <w:widowControl w:val="0"/>
        <w:spacing w:line="420" w:lineRule="exact"/>
        <w:ind w:left="0" w:right="0"/>
        <w:jc w:val="both"/>
        <w:rPr>
          <w:rFonts w:cs="B Zar" w:hint="cs"/>
          <w:rtl/>
        </w:rPr>
      </w:pPr>
      <w:r w:rsidRPr="00B67C5A">
        <w:rPr>
          <w:rFonts w:cs="B Zar" w:hint="cs"/>
          <w:rtl/>
        </w:rPr>
        <w:t>كتاب (سُسرد) اثرِ منكه هندي؛</w:t>
      </w:r>
    </w:p>
    <w:p w:rsidR="009C75F3" w:rsidRPr="00B67C5A" w:rsidP="003C0EF5">
      <w:pPr>
        <w:widowControl w:val="0"/>
        <w:spacing w:line="420" w:lineRule="exact"/>
        <w:ind w:left="0" w:right="0"/>
        <w:jc w:val="both"/>
        <w:rPr>
          <w:rFonts w:cs="B Zar" w:hint="cs"/>
        </w:rPr>
      </w:pPr>
      <w:r w:rsidRPr="00B67C5A">
        <w:rPr>
          <w:rFonts w:cs="B Zar" w:hint="cs"/>
          <w:rtl/>
        </w:rPr>
        <w:t>كتاب «استانگرالجامع»؛</w:t>
      </w:r>
    </w:p>
    <w:p w:rsidR="009C75F3" w:rsidRPr="00B67C5A" w:rsidP="003C0EF5">
      <w:pPr>
        <w:widowControl w:val="0"/>
        <w:spacing w:line="420" w:lineRule="exact"/>
        <w:ind w:left="0" w:right="0"/>
        <w:jc w:val="both"/>
        <w:rPr>
          <w:rFonts w:cs="B Zar" w:hint="cs"/>
        </w:rPr>
      </w:pPr>
      <w:r w:rsidRPr="00B67C5A">
        <w:rPr>
          <w:rFonts w:cs="B Zar" w:hint="cs"/>
          <w:rtl/>
        </w:rPr>
        <w:t>كتاب «سيرك»، ترجمة عبدالله بن علي؛</w:t>
      </w:r>
    </w:p>
    <w:p w:rsidR="009C75F3" w:rsidRPr="00B67C5A" w:rsidP="003C0EF5">
      <w:pPr>
        <w:widowControl w:val="0"/>
        <w:spacing w:line="420" w:lineRule="exact"/>
        <w:ind w:left="0" w:right="0"/>
        <w:jc w:val="both"/>
        <w:rPr>
          <w:rFonts w:cs="B Zar" w:hint="cs"/>
        </w:rPr>
      </w:pPr>
      <w:r w:rsidRPr="00B67C5A">
        <w:rPr>
          <w:rFonts w:cs="B Zar" w:hint="cs"/>
          <w:rtl/>
        </w:rPr>
        <w:t>كتاب «سند ستاق» ترجمة ابن دهن؛</w:t>
      </w:r>
    </w:p>
    <w:p w:rsidR="009C75F3" w:rsidRPr="00B67C5A" w:rsidP="003C0EF5">
      <w:pPr>
        <w:widowControl w:val="0"/>
        <w:spacing w:line="420" w:lineRule="exact"/>
        <w:ind w:left="0" w:right="0"/>
        <w:jc w:val="both"/>
        <w:rPr>
          <w:rFonts w:cs="B Zar" w:hint="cs"/>
        </w:rPr>
      </w:pPr>
      <w:r w:rsidRPr="00B67C5A">
        <w:rPr>
          <w:rFonts w:cs="B Zar" w:hint="cs"/>
          <w:rtl/>
        </w:rPr>
        <w:t>كتاب «مختصرالهند في‌العقاقير»؛</w:t>
      </w:r>
    </w:p>
    <w:p w:rsidR="009C75F3" w:rsidRPr="00B67C5A" w:rsidP="003C0EF5">
      <w:pPr>
        <w:widowControl w:val="0"/>
        <w:spacing w:line="420" w:lineRule="exact"/>
        <w:ind w:left="0" w:right="0"/>
        <w:jc w:val="both"/>
        <w:rPr>
          <w:rFonts w:cs="B Zar" w:hint="cs"/>
        </w:rPr>
      </w:pPr>
      <w:r w:rsidRPr="00B67C5A">
        <w:rPr>
          <w:rFonts w:cs="B Zar" w:hint="cs"/>
          <w:rtl/>
        </w:rPr>
        <w:t>كتاب علاجات «الحبالي للهند»؛</w:t>
      </w:r>
    </w:p>
    <w:p w:rsidR="009C75F3" w:rsidRPr="00B67C5A" w:rsidP="003C0EF5">
      <w:pPr>
        <w:widowControl w:val="0"/>
        <w:spacing w:line="420" w:lineRule="exact"/>
        <w:ind w:left="0" w:right="0"/>
        <w:jc w:val="both"/>
        <w:rPr>
          <w:rFonts w:cs="B Zar" w:hint="cs"/>
        </w:rPr>
      </w:pPr>
      <w:r w:rsidRPr="00B67C5A">
        <w:rPr>
          <w:rFonts w:cs="B Zar" w:hint="cs"/>
          <w:rtl/>
        </w:rPr>
        <w:t>كتاب «قوقشتل في‌الادويه»؛</w:t>
      </w:r>
    </w:p>
    <w:p w:rsidR="009C75F3" w:rsidRPr="00B67C5A" w:rsidP="003C0EF5">
      <w:pPr>
        <w:widowControl w:val="0"/>
        <w:spacing w:line="420" w:lineRule="exact"/>
        <w:ind w:left="0" w:right="0"/>
        <w:jc w:val="both"/>
        <w:rPr>
          <w:rFonts w:cs="B Zar" w:hint="cs"/>
        </w:rPr>
      </w:pPr>
      <w:r w:rsidRPr="00B67C5A">
        <w:rPr>
          <w:rFonts w:cs="B Zar" w:hint="cs"/>
          <w:rtl/>
        </w:rPr>
        <w:t>كتاب «روساء الهنديه في علاجات النساء»؛</w:t>
      </w:r>
    </w:p>
    <w:p w:rsidR="009C75F3" w:rsidRPr="00B67C5A" w:rsidP="003C0EF5">
      <w:pPr>
        <w:widowControl w:val="0"/>
        <w:spacing w:line="420" w:lineRule="exact"/>
        <w:ind w:left="0" w:right="0"/>
        <w:jc w:val="both"/>
        <w:rPr>
          <w:rFonts w:cs="B Zar" w:hint="cs"/>
        </w:rPr>
      </w:pPr>
      <w:r w:rsidRPr="00B67C5A">
        <w:rPr>
          <w:rFonts w:cs="B Zar" w:hint="cs"/>
          <w:rtl/>
        </w:rPr>
        <w:t>كتاب «السكر للهند»</w:t>
      </w:r>
      <w:r>
        <w:rPr>
          <w:rStyle w:val="FootnoteReference"/>
          <w:rFonts w:cs="B Zar"/>
          <w:sz w:val="28"/>
          <w:rtl/>
        </w:rPr>
        <w:footnoteReference w:id="80"/>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«التوهم في‌الامراض و العلل»، تأليف قوقشتل الهندي»؛</w:t>
      </w:r>
    </w:p>
    <w:p w:rsidR="009C75F3" w:rsidRPr="00B67C5A" w:rsidP="003C0EF5">
      <w:pPr>
        <w:widowControl w:val="0"/>
        <w:spacing w:line="420" w:lineRule="exact"/>
        <w:ind w:left="0" w:right="0"/>
        <w:jc w:val="both"/>
        <w:rPr>
          <w:rFonts w:cs="B Zar" w:hint="cs"/>
        </w:rPr>
      </w:pPr>
      <w:r w:rsidRPr="00B67C5A">
        <w:rPr>
          <w:rFonts w:cs="B Zar" w:hint="cs"/>
          <w:rtl/>
        </w:rPr>
        <w:t>كتاب «جفرالهندي في فراسات السيوف و نعتها و صفاتها</w:t>
      </w:r>
      <w:r>
        <w:rPr>
          <w:rStyle w:val="FootnoteReference"/>
          <w:rFonts w:cs="B Zar"/>
          <w:sz w:val="28"/>
          <w:rtl/>
        </w:rPr>
        <w:footnoteReference w:id="81"/>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«البحث في‌الحساب‌الهند»، تأليف ابوحنيفه دينوري، مورخ به نام</w:t>
      </w:r>
      <w:r>
        <w:rPr>
          <w:rStyle w:val="FootnoteReference"/>
          <w:rFonts w:cs="B Zar"/>
          <w:sz w:val="28"/>
          <w:rtl/>
        </w:rPr>
        <w:footnoteReference w:id="82"/>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«جفرالهند»، اثر المدائني، مورخ معروف</w:t>
      </w:r>
      <w:r>
        <w:rPr>
          <w:rStyle w:val="FootnoteReference"/>
          <w:rFonts w:cs="B Zar"/>
          <w:sz w:val="28"/>
          <w:rtl/>
        </w:rPr>
        <w:footnoteReference w:id="83"/>
      </w:r>
      <w:r w:rsidRPr="00B67C5A">
        <w:rPr>
          <w:rFonts w:cs="B Zar" w:hint="cs"/>
          <w:rtl/>
        </w:rPr>
        <w:t>؛</w:t>
      </w:r>
    </w:p>
    <w:p w:rsidR="009C75F3" w:rsidRPr="00B67C5A" w:rsidP="003C0EF5">
      <w:pPr>
        <w:widowControl w:val="0"/>
        <w:spacing w:line="420" w:lineRule="exact"/>
        <w:ind w:left="0" w:right="0"/>
        <w:jc w:val="both"/>
        <w:rPr>
          <w:rFonts w:cs="B Zar" w:hint="cs"/>
        </w:rPr>
      </w:pPr>
      <w:r w:rsidRPr="00B67C5A">
        <w:rPr>
          <w:rFonts w:cs="B Zar" w:hint="cs"/>
          <w:rtl/>
        </w:rPr>
        <w:t>كتاب الجفرالهند و تفسيره، اثر عطارد بن محمد؛</w:t>
      </w:r>
    </w:p>
    <w:p w:rsidR="009C75F3" w:rsidRPr="00B67C5A" w:rsidP="003C0EF5">
      <w:pPr>
        <w:widowControl w:val="0"/>
        <w:spacing w:line="420" w:lineRule="exact"/>
        <w:ind w:left="0" w:right="0"/>
        <w:jc w:val="both"/>
        <w:rPr>
          <w:rFonts w:cs="B Zar" w:hint="cs"/>
        </w:rPr>
      </w:pPr>
      <w:r w:rsidRPr="00B67C5A">
        <w:rPr>
          <w:rFonts w:cs="B Zar" w:hint="cs"/>
          <w:rtl/>
        </w:rPr>
        <w:t>كتاب الزيج المحلول في‌السند هند، اثر يعقوب بن طارق؛</w:t>
      </w:r>
    </w:p>
    <w:p w:rsidR="009C75F3" w:rsidRPr="00B67C5A" w:rsidP="003C0EF5">
      <w:pPr>
        <w:widowControl w:val="0"/>
        <w:spacing w:line="420" w:lineRule="exact"/>
        <w:ind w:left="0" w:right="0"/>
        <w:jc w:val="both"/>
        <w:rPr>
          <w:rFonts w:cs="B Zar" w:hint="cs"/>
        </w:rPr>
      </w:pPr>
      <w:r w:rsidRPr="00B67C5A">
        <w:rPr>
          <w:rFonts w:cs="B Zar" w:hint="cs"/>
          <w:rtl/>
        </w:rPr>
        <w:t>كتاب الحساب الهندي، تأليف سند بن علي،</w:t>
      </w:r>
    </w:p>
    <w:p w:rsidR="009C75F3" w:rsidRPr="00B67C5A" w:rsidP="003C0EF5">
      <w:pPr>
        <w:widowControl w:val="0"/>
        <w:spacing w:line="420" w:lineRule="exact"/>
        <w:ind w:left="0" w:right="0"/>
        <w:jc w:val="both"/>
        <w:rPr>
          <w:rFonts w:cs="B Zar" w:hint="cs"/>
        </w:rPr>
      </w:pPr>
      <w:r w:rsidRPr="00B67C5A">
        <w:rPr>
          <w:rFonts w:cs="B Zar" w:hint="cs"/>
          <w:rtl/>
        </w:rPr>
        <w:t>كتاب الحلم الهندي، اثر ابن ابي‌الدنيا كه معلم مكتفي بالله و از علماء و محدثان بزرگ بوده است؛</w:t>
      </w:r>
    </w:p>
    <w:p w:rsidR="009C75F3" w:rsidRPr="00B67C5A" w:rsidP="003C0EF5">
      <w:pPr>
        <w:widowControl w:val="0"/>
        <w:spacing w:line="420" w:lineRule="exact"/>
        <w:ind w:left="0" w:right="0"/>
        <w:jc w:val="both"/>
        <w:rPr>
          <w:rFonts w:cs="B Zar" w:hint="cs"/>
        </w:rPr>
      </w:pPr>
      <w:r w:rsidRPr="00B67C5A">
        <w:rPr>
          <w:rFonts w:cs="B Zar" w:hint="cs"/>
          <w:rtl/>
        </w:rPr>
        <w:t>ديك الهندي في الرجل وامرأته؛</w:t>
      </w:r>
    </w:p>
    <w:p w:rsidR="009C75F3" w:rsidRPr="00B67C5A" w:rsidP="003C0EF5">
      <w:pPr>
        <w:widowControl w:val="0"/>
        <w:spacing w:line="420" w:lineRule="exact"/>
        <w:ind w:left="0" w:right="0"/>
        <w:jc w:val="both"/>
        <w:rPr>
          <w:rFonts w:cs="B Zar" w:hint="cs"/>
        </w:rPr>
      </w:pPr>
      <w:r w:rsidRPr="00B67C5A">
        <w:rPr>
          <w:rFonts w:cs="B Zar" w:hint="cs"/>
          <w:rtl/>
        </w:rPr>
        <w:t>كتاب «دويني الهنديه في‌العلاجات النساء؛</w:t>
      </w:r>
    </w:p>
    <w:p w:rsidR="009C75F3" w:rsidRPr="00B67C5A" w:rsidP="003C0EF5">
      <w:pPr>
        <w:widowControl w:val="0"/>
        <w:spacing w:line="420" w:lineRule="exact"/>
        <w:ind w:left="0" w:right="0"/>
        <w:jc w:val="both"/>
        <w:rPr>
          <w:rFonts w:cs="B Zar" w:hint="cs"/>
        </w:rPr>
      </w:pPr>
      <w:r w:rsidRPr="00B67C5A">
        <w:rPr>
          <w:rFonts w:cs="B Zar" w:hint="cs"/>
          <w:rtl/>
        </w:rPr>
        <w:t>كتاب «زجرالهند»؛</w:t>
      </w:r>
    </w:p>
    <w:p w:rsidR="009C75F3" w:rsidRPr="00B67C5A" w:rsidP="003C0EF5">
      <w:pPr>
        <w:widowControl w:val="0"/>
        <w:spacing w:line="420" w:lineRule="exact"/>
        <w:ind w:left="0" w:right="0"/>
        <w:jc w:val="both"/>
        <w:rPr>
          <w:rFonts w:cs="B Zar" w:hint="cs"/>
        </w:rPr>
      </w:pPr>
      <w:r w:rsidRPr="00B67C5A">
        <w:rPr>
          <w:rFonts w:cs="B Zar" w:hint="cs"/>
          <w:rtl/>
        </w:rPr>
        <w:t>كتاب «زيج السند هند»، ترجمة عبدالله ابن اماجور؛</w:t>
      </w:r>
    </w:p>
    <w:p w:rsidR="009C75F3" w:rsidRPr="00B67C5A" w:rsidP="003C0EF5">
      <w:pPr>
        <w:widowControl w:val="0"/>
        <w:spacing w:line="420" w:lineRule="exact"/>
        <w:ind w:left="0" w:right="0"/>
        <w:jc w:val="both"/>
        <w:rPr>
          <w:rFonts w:cs="B Zar" w:hint="cs"/>
        </w:rPr>
      </w:pPr>
      <w:r w:rsidRPr="00B67C5A">
        <w:rPr>
          <w:rFonts w:cs="B Zar" w:hint="cs"/>
          <w:rtl/>
        </w:rPr>
        <w:t>كتاب «المسومات للهند»؛</w:t>
      </w:r>
    </w:p>
    <w:p w:rsidR="009C75F3" w:rsidRPr="00B67C5A" w:rsidP="003C0EF5">
      <w:pPr>
        <w:widowControl w:val="0"/>
        <w:spacing w:line="420" w:lineRule="exact"/>
        <w:ind w:left="0" w:right="0"/>
        <w:jc w:val="both"/>
        <w:rPr>
          <w:rFonts w:cs="B Zar" w:hint="cs"/>
        </w:rPr>
      </w:pPr>
      <w:r w:rsidRPr="00B67C5A">
        <w:rPr>
          <w:rFonts w:cs="B Zar" w:hint="cs"/>
          <w:rtl/>
        </w:rPr>
        <w:t>كتاب «شاناق‌الهندي في امر تدبير الحرب»؛</w:t>
      </w:r>
    </w:p>
    <w:p w:rsidR="009C75F3" w:rsidRPr="00B67C5A" w:rsidP="003C0EF5">
      <w:pPr>
        <w:widowControl w:val="0"/>
        <w:spacing w:line="420" w:lineRule="exact"/>
        <w:ind w:left="0" w:right="0"/>
        <w:jc w:val="both"/>
        <w:rPr>
          <w:rFonts w:cs="B Zar" w:hint="cs"/>
        </w:rPr>
      </w:pPr>
      <w:r w:rsidRPr="00B67C5A">
        <w:rPr>
          <w:rFonts w:cs="B Zar" w:hint="cs"/>
          <w:rtl/>
        </w:rPr>
        <w:t>كتاب «العمال‌الهند»، اثر مدائني، مورخ بزرگ؛</w:t>
      </w:r>
    </w:p>
    <w:p w:rsidR="009C75F3" w:rsidRPr="00B67C5A" w:rsidP="003C0EF5">
      <w:pPr>
        <w:widowControl w:val="0"/>
        <w:spacing w:line="420" w:lineRule="exact"/>
        <w:ind w:left="0" w:right="0"/>
        <w:jc w:val="both"/>
        <w:rPr>
          <w:rFonts w:cs="B Zar" w:hint="cs"/>
        </w:rPr>
      </w:pPr>
      <w:r w:rsidRPr="00B67C5A">
        <w:rPr>
          <w:rFonts w:cs="B Zar" w:hint="cs"/>
          <w:rtl/>
        </w:rPr>
        <w:t>كتاب «محاوره اسطانس توهير ملك الهند»؛</w:t>
      </w:r>
    </w:p>
    <w:p w:rsidR="009C75F3" w:rsidRPr="00B67C5A" w:rsidP="003C0EF5">
      <w:pPr>
        <w:widowControl w:val="0"/>
        <w:spacing w:line="420" w:lineRule="exact"/>
        <w:ind w:left="0" w:right="0"/>
        <w:jc w:val="both"/>
        <w:rPr>
          <w:rFonts w:cs="B Zar" w:hint="cs"/>
        </w:rPr>
      </w:pPr>
      <w:r w:rsidRPr="00B67C5A">
        <w:rPr>
          <w:rFonts w:cs="B Zar" w:hint="cs"/>
          <w:rtl/>
        </w:rPr>
        <w:t>كتاب «مختصر للهند في العقاقير</w:t>
      </w:r>
      <w:r>
        <w:rPr>
          <w:rStyle w:val="FootnoteReference"/>
          <w:rFonts w:cs="B Zar"/>
          <w:sz w:val="28"/>
          <w:rtl/>
        </w:rPr>
        <w:footnoteReference w:id="84"/>
      </w:r>
      <w:r w:rsidRPr="00B67C5A">
        <w:rPr>
          <w:rFonts w:cs="B Zar" w:hint="cs"/>
          <w:rtl/>
        </w:rPr>
        <w:t>».</w:t>
      </w:r>
    </w:p>
    <w:p w:rsidR="009C75F3" w:rsidP="003C0EF5">
      <w:pPr>
        <w:widowControl w:val="0"/>
        <w:spacing w:line="420" w:lineRule="exact"/>
        <w:ind w:left="0" w:right="0"/>
        <w:jc w:val="both"/>
        <w:rPr>
          <w:rFonts w:cs="B Zar" w:hint="cs"/>
          <w:rtl/>
        </w:rPr>
      </w:pPr>
      <w:r w:rsidRPr="00B67C5A">
        <w:rPr>
          <w:rFonts w:cs="B Zar" w:hint="cs"/>
          <w:rtl/>
        </w:rPr>
        <w:t>مسعودي در جلد اول مروج الذهب و سپس البيروني در آثار گوناگون، هندشناسي را به اوج رساندند</w:t>
      </w:r>
      <w:r>
        <w:rPr>
          <w:rStyle w:val="FootnoteReference"/>
          <w:rFonts w:cs="B Zar"/>
          <w:sz w:val="28"/>
          <w:rtl/>
        </w:rPr>
        <w:footnoteReference w:id="85"/>
      </w:r>
      <w:r w:rsidRPr="00B67C5A">
        <w:rPr>
          <w:rFonts w:cs="B Zar" w:hint="cs"/>
          <w:rtl/>
        </w:rPr>
        <w:t>. به اين ترتيب مي بينيم مسلمانان كتابهاي انبوهي در زمينه شناخت دين و فرهنگ ملل بيگانه نوشته اند. بررسي ادبيات هند و يونان و روم نشان مي دهد كه علي‌رغم پيشرفت عظيم در امر علم و دانش و تدوين هزاران كتاب، ملل قديم كاملاً خود محور بوده و اهميتي براي مطالعة فرهنگ‌هاي بيگانه قائل نبودند و نخستين ملت در تاريخ كه براي شناخت اديان و فرهنگ‌هاي ملل ديگر ارج نهاد، مسلمين بودند. از اين‌رو آنان را بايد بنيانگذار اين رشته از معارف انساني تلقي كرد.</w:t>
      </w:r>
    </w:p>
    <w:p w:rsidR="009C75F3" w:rsidRPr="00B67C5A" w:rsidP="003C0EF5">
      <w:pPr>
        <w:widowControl w:val="0"/>
        <w:spacing w:line="420" w:lineRule="exact"/>
        <w:ind w:left="0" w:right="0"/>
        <w:jc w:val="both"/>
        <w:rPr>
          <w:rFonts w:cs="B Zar" w:hint="cs"/>
          <w:b/>
          <w:bCs/>
          <w:rtl/>
        </w:rPr>
      </w:pPr>
      <w:r w:rsidRPr="00B67C5A">
        <w:rPr>
          <w:rFonts w:cs="B Zar" w:hint="cs"/>
          <w:b/>
          <w:bCs/>
          <w:rtl/>
        </w:rPr>
        <w:t>روش اديان شناسي مسلمين</w:t>
      </w:r>
    </w:p>
    <w:p w:rsidR="009C75F3" w:rsidRPr="00B67C5A" w:rsidP="003C0EF5">
      <w:pPr>
        <w:widowControl w:val="0"/>
        <w:spacing w:line="420" w:lineRule="exact"/>
        <w:ind w:left="0" w:right="0"/>
        <w:jc w:val="both"/>
        <w:rPr>
          <w:rFonts w:cs="B Zar" w:hint="cs"/>
          <w:rtl/>
        </w:rPr>
      </w:pPr>
      <w:r w:rsidRPr="00B67C5A">
        <w:rPr>
          <w:rFonts w:cs="B Zar" w:hint="cs"/>
          <w:rtl/>
        </w:rPr>
        <w:t>روشي كه مسلمانان در پژوهشهاي فرهنگ و اديان بيگانه در پيش گرفته‌اند</w:t>
      </w:r>
      <w:r w:rsidRPr="00B67C5A">
        <w:rPr>
          <w:rFonts w:cs="B Zar" w:hint="cs"/>
          <w:rtl/>
          <w:lang w:bidi="fa-IR"/>
        </w:rPr>
        <w:t>،</w:t>
      </w:r>
      <w:r w:rsidRPr="00B67C5A">
        <w:rPr>
          <w:rFonts w:cs="B Zar" w:hint="cs"/>
          <w:rtl/>
        </w:rPr>
        <w:t xml:space="preserve"> رعايت انصاف</w:t>
      </w:r>
      <w:r w:rsidRPr="00B67C5A" w:rsidR="00391DBD">
        <w:rPr>
          <w:rFonts w:cs="B Zar" w:hint="cs"/>
          <w:rtl/>
        </w:rPr>
        <w:t>ِِِِ</w:t>
      </w:r>
      <w:r w:rsidRPr="00B67C5A">
        <w:rPr>
          <w:rFonts w:cs="B Zar" w:hint="cs"/>
          <w:rtl/>
        </w:rPr>
        <w:t xml:space="preserve"> و امانت در نقل و تفسير عقائد و انديشه‌هاي ديگران، با حفظ ديدگاه‌هاي مكتبي خود بوده است. غربي‌ها به مطالعه منصفانه فرهنگ‌هاي ديگر مي‌بالند، اما بسياري از مطالعات آنان غرض ورزانه است؛ ليكن هزار سال پيش از آنها مسلمين و علماي اسلامي معتقد بودند كه روش درست آن است كه اديان و عقايد ديگران را به دور از تحريف و غرض ورزي، آنگونه كه انديشمندان آن مكتب خود عقيده دارند، ترسيم كنند و سپس به طور منصفانه، منطقي و عميق، به ارزيابي و سنجش و احياناً نقد و رد آن بپردازند. ابوريحان بيروني در مقدمة كتاب تحقيق ماللهند مي گويد:</w:t>
      </w:r>
    </w:p>
    <w:p w:rsidR="009C75F3" w:rsidRPr="00B67C5A" w:rsidP="003C0EF5">
      <w:pPr>
        <w:widowControl w:val="0"/>
        <w:spacing w:line="420" w:lineRule="exact"/>
        <w:ind w:left="0" w:right="0"/>
        <w:jc w:val="both"/>
        <w:rPr>
          <w:rFonts w:cs="B Zar" w:hint="cs"/>
          <w:rtl/>
        </w:rPr>
      </w:pPr>
      <w:r w:rsidRPr="00B67C5A">
        <w:rPr>
          <w:rFonts w:cs="B Zar" w:hint="cs"/>
          <w:rtl/>
        </w:rPr>
        <w:t>«همي يافتم استاد ابو سهل عبدالمعتصم ابي علي بن نوح تفليسي را ـ كه تأييد حق با او باد ـ كه قبيح مي شمرد قصد كسي را كه به كتاب خويش،  بهر عيب‌جوئي بر معتزله، بر مبناي اين قول آن جماعت كه «خداي بزرگ دانا است به ذات خويش</w:t>
      </w:r>
      <w:r>
        <w:rPr>
          <w:rStyle w:val="FootnoteReference"/>
          <w:rFonts w:cs="B Zar"/>
          <w:sz w:val="28"/>
          <w:rtl/>
        </w:rPr>
        <w:footnoteReference w:id="86"/>
      </w:r>
      <w:r w:rsidRPr="00B67C5A">
        <w:rPr>
          <w:rFonts w:cs="B Zar" w:hint="cs"/>
          <w:rtl/>
        </w:rPr>
        <w:t>، به عوام قوم خويش چنين مي‌نمايد كه، آنان او را به جهل منسوب مي‌دارند.»</w:t>
      </w:r>
      <w:r>
        <w:rPr>
          <w:rStyle w:val="FootnoteReference"/>
          <w:rFonts w:cs="B Zar"/>
          <w:sz w:val="28"/>
          <w:rtl/>
        </w:rPr>
        <w:footnoteReference w:id="87"/>
      </w:r>
      <w:r w:rsidRPr="00B67C5A">
        <w:rPr>
          <w:rFonts w:cs="B Zar" w:hint="cs"/>
          <w:rtl/>
        </w:rPr>
        <w:t xml:space="preserve"> و ادامه مي‌دهد: «اين معني كه در باب مذاهبي از يك دين صدق مي كند، در باب ملل متباين و نحله‌هايي كه با ما هيچ اصل و فرع مشتركي ندارند، صادق تر است».</w:t>
      </w:r>
    </w:p>
    <w:p w:rsidR="009C75F3" w:rsidRPr="00B67C5A" w:rsidP="003C0EF5">
      <w:pPr>
        <w:widowControl w:val="0"/>
        <w:spacing w:line="420" w:lineRule="exact"/>
        <w:ind w:left="0" w:right="0"/>
        <w:jc w:val="both"/>
        <w:rPr>
          <w:rFonts w:cs="B Zar" w:hint="cs"/>
          <w:rtl/>
        </w:rPr>
      </w:pPr>
      <w:r w:rsidRPr="00B67C5A">
        <w:rPr>
          <w:rFonts w:cs="B Zar" w:hint="cs"/>
          <w:rtl/>
        </w:rPr>
        <w:t>مقصود بيروني آنست كه در ضمن بررسي اديان و مكاتب فلسفه، بايد عقايد آنان را، آنگونه كه هست بيان كرد و سپس ارزيابي و نقد نمود، نه آنكه نخست اعتقادات آنان را تحريف كرده و سپس رد نمائيم. در جاي ديگر مي گويد:</w:t>
      </w:r>
    </w:p>
    <w:p w:rsidR="009C75F3" w:rsidRPr="00B67C5A" w:rsidP="003C0EF5">
      <w:pPr>
        <w:widowControl w:val="0"/>
        <w:spacing w:line="420" w:lineRule="exact"/>
        <w:ind w:left="0" w:right="0"/>
        <w:jc w:val="both"/>
        <w:rPr>
          <w:rFonts w:cs="B Zar" w:hint="cs"/>
          <w:rtl/>
        </w:rPr>
      </w:pPr>
      <w:r w:rsidRPr="00B67C5A">
        <w:rPr>
          <w:rFonts w:cs="B Zar" w:hint="cs"/>
          <w:rtl/>
        </w:rPr>
        <w:t>«و آنكه از دروغ بپرهيزد و در دامن راستي آويزد، هم به نزد دروغ زن</w:t>
      </w:r>
      <w:r w:rsidRPr="00B67C5A" w:rsidR="00391DBD">
        <w:rPr>
          <w:rFonts w:cs="B Zar" w:hint="cs"/>
          <w:rtl/>
        </w:rPr>
        <w:t>،</w:t>
      </w:r>
      <w:r w:rsidRPr="00B67C5A">
        <w:rPr>
          <w:rFonts w:cs="B Zar" w:hint="cs"/>
          <w:rtl/>
        </w:rPr>
        <w:t xml:space="preserve"> محمود باشد، چه برسد به غير او كه اسلام دستور داده است، «ق</w:t>
      </w:r>
      <w:r w:rsidRPr="00B67C5A" w:rsidR="00391DBD">
        <w:rPr>
          <w:rFonts w:cs="B Zar" w:hint="cs"/>
          <w:rtl/>
        </w:rPr>
        <w:t>و</w:t>
      </w:r>
      <w:r w:rsidRPr="00B67C5A">
        <w:rPr>
          <w:rFonts w:cs="B Zar" w:hint="cs"/>
          <w:rtl/>
        </w:rPr>
        <w:t>ل</w:t>
      </w:r>
      <w:r w:rsidRPr="00B67C5A" w:rsidR="00391DBD">
        <w:rPr>
          <w:rFonts w:cs="B Zar" w:hint="cs"/>
          <w:rtl/>
        </w:rPr>
        <w:t>عا</w:t>
      </w:r>
      <w:r w:rsidRPr="00B67C5A">
        <w:rPr>
          <w:rFonts w:cs="B Zar" w:hint="cs"/>
          <w:rtl/>
        </w:rPr>
        <w:t xml:space="preserve"> الحق ولو علي انفسكم» سپس مي‌افزايد:</w:t>
      </w:r>
    </w:p>
    <w:p w:rsidR="009C75F3" w:rsidRPr="00B67C5A" w:rsidP="003C0EF5">
      <w:pPr>
        <w:widowControl w:val="0"/>
        <w:spacing w:line="420" w:lineRule="exact"/>
        <w:ind w:left="0" w:right="0"/>
        <w:jc w:val="both"/>
        <w:rPr>
          <w:rFonts w:cs="B Zar" w:hint="cs"/>
          <w:rtl/>
        </w:rPr>
      </w:pPr>
      <w:r w:rsidRPr="00B67C5A">
        <w:rPr>
          <w:rFonts w:cs="B Zar" w:hint="cs"/>
          <w:rtl/>
        </w:rPr>
        <w:t>«عدل مرضي طبع آدمي زادگان است و محبوب و مرغوب آنان؛ نيز چنين است راستي، مگر به نزد كسي كه حلاوت آن را در نيافته باشد»</w:t>
      </w:r>
      <w:r>
        <w:rPr>
          <w:rStyle w:val="FootnoteReference"/>
          <w:rFonts w:cs="B Zar"/>
          <w:sz w:val="28"/>
          <w:rtl/>
        </w:rPr>
        <w:footnoteReference w:id="88"/>
      </w:r>
    </w:p>
    <w:p w:rsidR="009C75F3" w:rsidP="003C0EF5">
      <w:pPr>
        <w:widowControl w:val="0"/>
        <w:spacing w:line="420" w:lineRule="exact"/>
        <w:ind w:left="0" w:right="0"/>
        <w:jc w:val="both"/>
        <w:rPr>
          <w:rFonts w:cs="B Zar" w:hint="cs"/>
          <w:rtl/>
        </w:rPr>
      </w:pPr>
      <w:r w:rsidRPr="00B67C5A">
        <w:rPr>
          <w:rFonts w:cs="B Zar" w:hint="cs"/>
          <w:rtl/>
        </w:rPr>
        <w:t>البته‌رعايت عدل و انصاف به معناي هرهري مسلكي نيست. انديشمندان و پژوهشگران اسلامي با حفظ ديدگاه هاي مكتبي خود و تعهد شديد به آن، به مطالعة فرهنگهاي ديگر پرداخته اند. در گزارش اصول اعتقادي و فلسفي، آنان با اصل امانت در نقل و احترام به فرهنگهاي ديگر عمل كرده و از اهانت اجتناب ورزيده‌اند؛ اما در عين حال، هر جا لازم بوده، با استدلال منطقي عقايد آنان را مورد سنجش و ارزيابي و نقد قرار مي‌داده‌اند. برخلاف پژوهشگران غربي كه ادعاي نفاق‌آميزي راجع به بي طرفي كامل و عدم تعهد دارند، دانشمندان مسلمانان، پيشاپيش تصريح مي‌كرده‌اند كه تعهد آنان به نگرش اسلامي است. در اثبات اين نكته مي توان به آغاز نمودن كتاب آنان با بسم الله و ذكر پيشگفتاري مشتمل بر حمد باري و درود بر پيغمبر اسلام«ص» و آل و اصحاب آن حضرت مي‌‌باشد كه تقريباً بدون استثناء در تمام آثار و رسايل و كتب به جاي مانده از مسلمانان ديده مي‌شود. در عين حال در متن تحقيق، آنان وقار علمي و امانت داري پژوهش را به شدت رعايت مي‌كرده‌اند. روش ما نيز در مطالعة اديان و مكاتب هند همين خواهد بود،</w:t>
      </w:r>
    </w:p>
    <w:p w:rsidR="009F03A5" w:rsidRPr="00B67C5A" w:rsidP="003C0EF5">
      <w:pPr>
        <w:widowControl w:val="0"/>
        <w:spacing w:line="420" w:lineRule="exact"/>
        <w:ind w:left="0" w:right="0"/>
        <w:jc w:val="both"/>
        <w:rPr>
          <w:rFonts w:cs="B Zar" w:hint="cs"/>
          <w:rtl/>
        </w:rPr>
      </w:pPr>
    </w:p>
    <w:p w:rsidR="009C75F3" w:rsidRPr="00B67C5A" w:rsidP="003C0EF5">
      <w:pPr>
        <w:widowControl w:val="0"/>
        <w:spacing w:line="420" w:lineRule="exact"/>
        <w:ind w:left="0" w:right="0"/>
        <w:jc w:val="both"/>
        <w:rPr>
          <w:rFonts w:cs="B Zar" w:hint="cs"/>
          <w:b/>
          <w:bCs/>
          <w:rtl/>
        </w:rPr>
      </w:pPr>
      <w:r w:rsidRPr="00B67C5A">
        <w:rPr>
          <w:rFonts w:cs="B Zar" w:hint="cs"/>
          <w:b/>
          <w:bCs/>
          <w:rtl/>
        </w:rPr>
        <w:t>تعريف اديان و مكاتب هند:</w:t>
      </w:r>
    </w:p>
    <w:p w:rsidR="009C75F3" w:rsidRPr="00B67C5A" w:rsidP="003C0EF5">
      <w:pPr>
        <w:widowControl w:val="0"/>
        <w:spacing w:line="420" w:lineRule="exact"/>
        <w:ind w:left="0" w:right="0"/>
        <w:jc w:val="both"/>
        <w:rPr>
          <w:rFonts w:cs="B Zar" w:hint="cs"/>
          <w:rtl/>
        </w:rPr>
      </w:pPr>
      <w:r w:rsidRPr="00B67C5A">
        <w:rPr>
          <w:rFonts w:cs="B Zar" w:hint="cs"/>
          <w:rtl/>
        </w:rPr>
        <w:t>پيش از آغاز مباحث كتاب، لازم است ما مقصود خود را از تعبير «اديان و مكاتب هند» بيان كنيم؛ چرا كه در هند به جز مذهب هندو، تمام اديان بزرگ از جمله اسلام، مسيحيت، يهوديت و دين زرتشتي حضور دارند. مسلمانان بخش بزرگي از جمعيت هند را تشكيل مي‌دهند و طي هزار سال فرهنگ ويژه اسلامي خويش را نهادينه كرده‌اند. زر</w:t>
      </w:r>
      <w:r w:rsidRPr="00B67C5A" w:rsidR="00DD77D0">
        <w:rPr>
          <w:rFonts w:cs="B Zar" w:hint="cs"/>
          <w:rtl/>
        </w:rPr>
        <w:t>ت</w:t>
      </w:r>
      <w:r w:rsidRPr="00B67C5A">
        <w:rPr>
          <w:rFonts w:cs="B Zar" w:hint="cs"/>
          <w:rtl/>
        </w:rPr>
        <w:t xml:space="preserve">شتيان نيز از دوازده قرن پيش، هند را به عنوان يكي از دو مركز خود برگزيده‌اند. پس از عصر كلاسيك اوستائي هخامنشي و نو كلاسيك ساساني، در واقع سير اصلي انديشه زردشتي نه در ايران، بلكه در هند استمرار يافته است؛ ولي مقصود ما از اديان و مكاتب هند، مكاتب فلسفي و ادياني است كه در سرزمين هند ظهور يافته‌اند. مثلاً بوديسم اگرچه از دو هزار سال </w:t>
      </w:r>
      <w:r w:rsidRPr="00B67C5A">
        <w:rPr>
          <w:rFonts w:cs="B Zar" w:hint="cs"/>
          <w:rtl/>
          <w:lang w:bidi="fa-IR"/>
        </w:rPr>
        <w:t>پ</w:t>
      </w:r>
      <w:r w:rsidRPr="00B67C5A">
        <w:rPr>
          <w:rFonts w:cs="B Zar" w:hint="cs"/>
          <w:rtl/>
        </w:rPr>
        <w:t>يش از آنكه در هند جايگاه بروز و مجال حضور پيدا كند، در چين و خاور دور حيات و پويايي دارد، ولي هنوز جزو «اديان هند» محسوب مي‌شود. همچنين آئين زر</w:t>
      </w:r>
      <w:r w:rsidRPr="00B67C5A" w:rsidR="00DD77D0">
        <w:rPr>
          <w:rFonts w:cs="B Zar" w:hint="cs"/>
          <w:rtl/>
        </w:rPr>
        <w:t>ت</w:t>
      </w:r>
      <w:r w:rsidRPr="00B67C5A">
        <w:rPr>
          <w:rFonts w:cs="B Zar" w:hint="cs"/>
          <w:rtl/>
        </w:rPr>
        <w:t>شتي، هر چند در ايران نقشي غير برجسته يافته و در هند پرورش يافته است، ديني ايراني به شمار مي‌رود. همچنين، با آنكه مركز بهائيت در اسرائيل قرار دارد ولي خاستگاه آن ايران است.</w:t>
      </w:r>
    </w:p>
    <w:p w:rsidR="009C75F3" w:rsidRPr="00B67C5A" w:rsidP="003C0EF5">
      <w:pPr>
        <w:widowControl w:val="0"/>
        <w:spacing w:line="420" w:lineRule="exact"/>
        <w:ind w:left="0" w:right="0"/>
        <w:jc w:val="both"/>
        <w:rPr>
          <w:rFonts w:cs="B Zar" w:hint="cs"/>
          <w:rtl/>
        </w:rPr>
      </w:pPr>
      <w:r w:rsidRPr="00B67C5A">
        <w:rPr>
          <w:rFonts w:cs="B Zar" w:hint="cs"/>
          <w:rtl/>
        </w:rPr>
        <w:t>تاريخ فرهنگ اسلامي در هند داستاني جدا دارد. اسلام را نمي توان در مقوله انديشه هندي، انديشه ايراني و يا انديشه عرب خلاصه كرد. به همين علت،  همواره ما دستاوردهاي فكري و فرهنگي مسلمين هند را در ضمن بررسي سير انديشه اسلامي در جهان بررسي مي‌كنيم نه در ذيل بررسي انديشه هند. بدين‌سان در اين اثر تنها سير تاريخي و خطوط كلي انديشه «هندوئيسم</w:t>
      </w:r>
      <w:r w:rsidRPr="00B67C5A">
        <w:rPr>
          <w:rFonts w:cs="B Zar" w:hint="cs"/>
          <w:rtl/>
          <w:lang w:bidi="fa-IR"/>
        </w:rPr>
        <w:t>»</w:t>
      </w:r>
      <w:r w:rsidRPr="00B67C5A">
        <w:rPr>
          <w:rFonts w:cs="B Zar" w:hint="cs"/>
          <w:rtl/>
        </w:rPr>
        <w:t xml:space="preserve"> را بررسي خواهيم كرد.</w:t>
      </w:r>
    </w:p>
    <w:p w:rsidR="009C75F3" w:rsidP="003C0EF5">
      <w:pPr>
        <w:widowControl w:val="0"/>
        <w:spacing w:line="420" w:lineRule="exact"/>
        <w:ind w:left="0" w:right="0"/>
        <w:jc w:val="both"/>
        <w:rPr>
          <w:rFonts w:cs="B Zar" w:hint="cs"/>
          <w:rtl/>
        </w:rPr>
      </w:pPr>
      <w:r w:rsidRPr="00B67C5A">
        <w:rPr>
          <w:rFonts w:cs="B Zar" w:hint="cs"/>
          <w:rtl/>
        </w:rPr>
        <w:t>در عين حال، اشاره به تأثير متقابل ملل مختلف، از جمله مسلمانان هند بر تكوين و تحوّلات نظام اعتقادي و انديشة هندوان را از نظر دور نخواهيم داشت.</w:t>
      </w:r>
    </w:p>
    <w:p w:rsidR="00BF2C39" w:rsidRPr="00B67C5A" w:rsidP="003C0EF5">
      <w:pPr>
        <w:widowControl w:val="0"/>
        <w:spacing w:line="420" w:lineRule="exact"/>
        <w:ind w:left="0" w:right="0"/>
        <w:jc w:val="both"/>
        <w:rPr>
          <w:rFonts w:cs="B Zar" w:hint="cs"/>
          <w:rtl/>
        </w:rPr>
      </w:pPr>
    </w:p>
    <w:p w:rsidR="00C32217" w:rsidP="003C0EF5">
      <w:pPr>
        <w:widowControl w:val="0"/>
        <w:spacing w:line="420" w:lineRule="exact"/>
        <w:ind w:left="0" w:right="0"/>
        <w:jc w:val="both"/>
        <w:rPr>
          <w:rFonts w:cs="B Zar" w:hint="cs"/>
          <w:b/>
          <w:bCs/>
          <w:rtl/>
        </w:rPr>
      </w:pPr>
    </w:p>
    <w:p w:rsidR="009C75F3" w:rsidRPr="00B67C5A" w:rsidP="003C0EF5">
      <w:pPr>
        <w:widowControl w:val="0"/>
        <w:spacing w:line="420" w:lineRule="exact"/>
        <w:ind w:left="0" w:right="0"/>
        <w:jc w:val="both"/>
        <w:rPr>
          <w:rFonts w:cs="B Zar" w:hint="cs"/>
          <w:b/>
          <w:bCs/>
          <w:rtl/>
        </w:rPr>
      </w:pPr>
      <w:r w:rsidRPr="00B67C5A">
        <w:rPr>
          <w:rFonts w:cs="B Zar" w:hint="cs"/>
          <w:b/>
          <w:bCs/>
          <w:rtl/>
        </w:rPr>
        <w:t>دورانهاي تاريخ هند</w:t>
      </w:r>
    </w:p>
    <w:p w:rsidR="009C75F3" w:rsidRPr="00B67C5A" w:rsidP="003C0EF5">
      <w:pPr>
        <w:widowControl w:val="0"/>
        <w:spacing w:line="420" w:lineRule="exact"/>
        <w:ind w:left="0" w:right="0"/>
        <w:jc w:val="both"/>
        <w:rPr>
          <w:rFonts w:cs="B Zar" w:hint="cs"/>
          <w:rtl/>
        </w:rPr>
      </w:pPr>
      <w:r w:rsidRPr="00B67C5A">
        <w:rPr>
          <w:rFonts w:cs="B Zar" w:hint="cs"/>
          <w:rtl/>
        </w:rPr>
        <w:t>براي سهولت در بررسي سير انديشة هند، مي‌بايستي تاريخ هند به چند دوره دسته‌بندي شود. محققاني كه تحت تأثير غرب مي باشند، تقسيم بندي معمول غربيان را مي‌‌پذيرند، و مراحل سه گانه تاريخ اروپا را بر تاريخ ملل خويش تطبيق مي دهند. آنها به پيروي از غربيها، تاريخ هند و نيز تاريخ اسلامي را در سه مرحله: دورة باستاني، دورة قرون وسطي و دورة جديد تقسيم مي كنند.</w:t>
      </w:r>
    </w:p>
    <w:p w:rsidR="009C75F3" w:rsidRPr="00B67C5A" w:rsidP="003C0EF5">
      <w:pPr>
        <w:widowControl w:val="0"/>
        <w:spacing w:line="420" w:lineRule="exact"/>
        <w:ind w:left="0" w:right="0"/>
        <w:jc w:val="both"/>
        <w:rPr>
          <w:rFonts w:cs="B Zar" w:hint="cs"/>
          <w:rtl/>
        </w:rPr>
      </w:pPr>
      <w:r w:rsidRPr="00B67C5A">
        <w:rPr>
          <w:rFonts w:cs="B Zar" w:hint="cs"/>
          <w:rtl/>
        </w:rPr>
        <w:t>تاريخ اروپاي دورة باستاني يا كلاسيك را دورة طلائي مي‌گويند كه با انقراض امپراطوري روم غربي، به وسيلة دسته هاي مهاجم آتيلا به پايان رسيد. دورة قرون وسطي را كه معمولاً دورة جمود و ركود است، عصر تاريك مي‌خوانند. اين دوره، تا انقراض امپراطوري روم شرقي و تصرف شهر قسطنطينه بوسيلة مسلمين و پراكنده شدن دانشمندان آن ديار در سراسر اروپا ادامه يافت. دورة جديد كه از رنسانس شروع مي شود، دورة بيداري مجدد و عصر روشنگري ناميده شده است.اين تقسيم بندي تاريخي در مورد تاريخ هند و تاريخ اسلامي قابل قبول نيست؛  چرا كه اگر دورة كلاسيك تاريخ اسلامي را از صدر اسلام تا هجوم مغولها بدانيم و دورة قرون وسطي را از آن زمان تا حملة ناپلئون به مصر و دورة جديد را از آن زمان تا عصر حاضر محسوب داريم، در اينصورت اين دشواري وجود دارد كه ممكن است در دوره پس از حمله مغول، قدرت سياسي و نيز تمدن و فرهنگ عراق و سوريه و مناطق عربي به سوي اضمحلال گرائيده باشد، ولي قدرت سياسي مسلمانان در تركيه عثماني و ايران صفوي و هند تحت استيلاي مغولان، به اوج خود رسيد. درست است كه در دوران وسطاي اسلامي در ايران فيلسوفي نظير</w:t>
      </w:r>
      <w:r w:rsidRPr="00B67C5A" w:rsidR="00DD77D0">
        <w:rPr>
          <w:rFonts w:cs="B Zar" w:hint="cs"/>
          <w:rtl/>
        </w:rPr>
        <w:t xml:space="preserve"> </w:t>
      </w:r>
      <w:r w:rsidRPr="00B67C5A">
        <w:rPr>
          <w:rFonts w:cs="B Zar" w:hint="cs"/>
          <w:rtl/>
        </w:rPr>
        <w:t>كندي، فارابي، ابن سينا و ابن رشد ظهور نكرد، اما انديشمنداني چون خواجه نصير طوسي، ميرداماد، ملاصدرا و ديگر مشاهير در همين دوران، فلسفه را به درجات متعالي</w:t>
      </w:r>
      <w:r w:rsidRPr="00B67C5A" w:rsidR="00DD77D0">
        <w:rPr>
          <w:rFonts w:cs="B Zar" w:hint="cs"/>
          <w:rtl/>
        </w:rPr>
        <w:t>‌</w:t>
      </w:r>
      <w:r w:rsidRPr="00B67C5A">
        <w:rPr>
          <w:rFonts w:cs="B Zar" w:hint="cs"/>
          <w:rtl/>
        </w:rPr>
        <w:t xml:space="preserve">تري رسانيدند. ممكن است در ادبيات عرب، اديب و شاعري به پايه </w:t>
      </w:r>
      <w:r w:rsidRPr="00B67C5A">
        <w:rPr>
          <w:rFonts w:cs="B Zar" w:hint="cs"/>
          <w:i/>
          <w:iCs/>
          <w:rtl/>
        </w:rPr>
        <w:t>جاحظ، ابن قتيبه، ابوالفرج، متنبي، ابوالعلامعري</w:t>
      </w:r>
      <w:r w:rsidRPr="00B67C5A">
        <w:rPr>
          <w:rFonts w:cs="B Zar" w:hint="cs"/>
          <w:rtl/>
        </w:rPr>
        <w:t xml:space="preserve"> نداشته باشيم، ولي پيدايش </w:t>
      </w:r>
      <w:r w:rsidRPr="00B67C5A">
        <w:rPr>
          <w:rFonts w:cs="B Zar" w:hint="cs"/>
          <w:i/>
          <w:iCs/>
          <w:rtl/>
        </w:rPr>
        <w:t>سعدي، فردوسي، مولوي، حافظ</w:t>
      </w:r>
      <w:r w:rsidRPr="00B67C5A">
        <w:rPr>
          <w:rFonts w:cs="B Zar" w:hint="cs"/>
          <w:rtl/>
        </w:rPr>
        <w:t xml:space="preserve"> در ايران و </w:t>
      </w:r>
      <w:r w:rsidRPr="00B67C5A">
        <w:rPr>
          <w:rFonts w:cs="B Zar" w:hint="cs"/>
          <w:i/>
          <w:iCs/>
          <w:rtl/>
        </w:rPr>
        <w:t>اميرخسرو، ميرتقي مير، خواجه آتش، و غالب</w:t>
      </w:r>
      <w:r w:rsidRPr="00B67C5A">
        <w:rPr>
          <w:rFonts w:cs="B Zar" w:hint="cs"/>
          <w:rtl/>
        </w:rPr>
        <w:t xml:space="preserve"> در هند، پس از اين دوره بوده است. اگر در جهان تسنن فقيهاني هم چون</w:t>
      </w:r>
      <w:r w:rsidRPr="00B67C5A">
        <w:rPr>
          <w:rFonts w:cs="B Zar" w:hint="cs"/>
          <w:i/>
          <w:iCs/>
          <w:rtl/>
        </w:rPr>
        <w:t xml:space="preserve"> ابوحنيفه، مالك، شافعي</w:t>
      </w:r>
      <w:r w:rsidRPr="00B67C5A">
        <w:rPr>
          <w:rFonts w:cs="B Zar" w:hint="cs"/>
          <w:rtl/>
        </w:rPr>
        <w:t xml:space="preserve"> و </w:t>
      </w:r>
      <w:r w:rsidRPr="00B67C5A">
        <w:rPr>
          <w:rFonts w:cs="B Zar" w:hint="cs"/>
          <w:i/>
          <w:iCs/>
          <w:rtl/>
        </w:rPr>
        <w:t>ابن حنبل</w:t>
      </w:r>
      <w:r w:rsidRPr="00B67C5A">
        <w:rPr>
          <w:rFonts w:cs="B Zar" w:hint="cs"/>
          <w:rtl/>
        </w:rPr>
        <w:t xml:space="preserve"> ديگر ظهور نكردند، اما شخصيتهاي بنام اهل سنت، نظير</w:t>
      </w:r>
      <w:r w:rsidRPr="00B67C5A">
        <w:rPr>
          <w:rFonts w:cs="B Zar" w:hint="cs"/>
          <w:rtl/>
          <w:lang w:bidi="fa-IR"/>
        </w:rPr>
        <w:t>:</w:t>
      </w:r>
      <w:r w:rsidRPr="00B67C5A">
        <w:rPr>
          <w:rFonts w:cs="B Zar" w:hint="cs"/>
          <w:rtl/>
        </w:rPr>
        <w:t xml:space="preserve"> </w:t>
      </w:r>
      <w:r w:rsidRPr="00B67C5A">
        <w:rPr>
          <w:rFonts w:cs="B Zar" w:hint="cs"/>
          <w:i/>
          <w:iCs/>
          <w:rtl/>
        </w:rPr>
        <w:t xml:space="preserve">احمد سرهندي </w:t>
      </w:r>
      <w:r w:rsidRPr="00B67C5A">
        <w:rPr>
          <w:rFonts w:cs="B Zar" w:hint="cs"/>
          <w:rtl/>
        </w:rPr>
        <w:t>و</w:t>
      </w:r>
      <w:r w:rsidRPr="00B67C5A">
        <w:rPr>
          <w:rFonts w:cs="B Zar" w:hint="cs"/>
          <w:i/>
          <w:iCs/>
          <w:rtl/>
        </w:rPr>
        <w:t xml:space="preserve"> شاه ولي الله</w:t>
      </w:r>
      <w:r w:rsidRPr="00B67C5A">
        <w:rPr>
          <w:rFonts w:cs="B Zar" w:hint="cs"/>
          <w:rtl/>
        </w:rPr>
        <w:t xml:space="preserve"> در اين دوران در هند پا به عرصة وجود گذاردند. </w:t>
      </w:r>
    </w:p>
    <w:p w:rsidR="009C75F3" w:rsidRPr="00B67C5A" w:rsidP="003C0EF5">
      <w:pPr>
        <w:widowControl w:val="0"/>
        <w:spacing w:line="420" w:lineRule="exact"/>
        <w:ind w:left="0" w:right="0"/>
        <w:jc w:val="both"/>
        <w:rPr>
          <w:rFonts w:cs="B Zar" w:hint="cs"/>
          <w:rtl/>
        </w:rPr>
      </w:pPr>
      <w:r w:rsidRPr="00B67C5A">
        <w:rPr>
          <w:rFonts w:cs="B Zar" w:hint="cs"/>
          <w:rtl/>
        </w:rPr>
        <w:t xml:space="preserve">اگر در جهان تشيع نام آوراني چون </w:t>
      </w:r>
      <w:r w:rsidRPr="00B67C5A">
        <w:rPr>
          <w:rFonts w:cs="B Zar" w:hint="cs"/>
          <w:i/>
          <w:iCs/>
          <w:rtl/>
        </w:rPr>
        <w:t>كليني، صدوق، مفيد، سيد مرتضي، شيخ طوسي</w:t>
      </w:r>
      <w:r w:rsidRPr="00B67C5A">
        <w:rPr>
          <w:rFonts w:cs="B Zar" w:hint="cs"/>
          <w:rtl/>
        </w:rPr>
        <w:t xml:space="preserve"> و ...، ديگر ديده نشدند، ليكن فقها و اصوليين ديگري قد علم كردند كه فقه و اصول را به اوج خود رسانيدند و آثار گرانبها و دائره المعارف‌هاي احاديث و اخباري همچون </w:t>
      </w:r>
      <w:r w:rsidRPr="00B67C5A">
        <w:rPr>
          <w:rFonts w:cs="B Zar" w:hint="cs"/>
          <w:i/>
          <w:iCs/>
          <w:rtl/>
        </w:rPr>
        <w:t>بحارالانوار</w:t>
      </w:r>
      <w:r w:rsidRPr="00B67C5A">
        <w:rPr>
          <w:rFonts w:cs="B Zar" w:hint="cs"/>
          <w:rtl/>
        </w:rPr>
        <w:t xml:space="preserve"> و </w:t>
      </w:r>
      <w:r w:rsidRPr="00B67C5A">
        <w:rPr>
          <w:rFonts w:cs="B Zar" w:hint="cs"/>
          <w:i/>
          <w:iCs/>
          <w:rtl/>
        </w:rPr>
        <w:t>وسائل الشيعه</w:t>
      </w:r>
      <w:r w:rsidRPr="00B67C5A">
        <w:rPr>
          <w:rFonts w:cs="B Zar" w:hint="cs"/>
          <w:rtl/>
        </w:rPr>
        <w:t xml:space="preserve"> در همين دوره تدوين گرديد و مجموعه‌هاي بزرگ فقهي نظير </w:t>
      </w:r>
      <w:r w:rsidRPr="00B67C5A">
        <w:rPr>
          <w:rFonts w:cs="B Zar" w:hint="cs"/>
          <w:i/>
          <w:iCs/>
          <w:rtl/>
        </w:rPr>
        <w:t>حدائق</w:t>
      </w:r>
      <w:r w:rsidRPr="00B67C5A">
        <w:rPr>
          <w:rFonts w:cs="B Zar" w:hint="cs"/>
          <w:rtl/>
        </w:rPr>
        <w:t xml:space="preserve"> و </w:t>
      </w:r>
      <w:r w:rsidRPr="00B67C5A">
        <w:rPr>
          <w:rFonts w:cs="B Zar" w:hint="cs"/>
          <w:i/>
          <w:iCs/>
          <w:rtl/>
        </w:rPr>
        <w:t>جواهر</w:t>
      </w:r>
      <w:r w:rsidRPr="00B67C5A">
        <w:rPr>
          <w:rFonts w:cs="B Zar" w:hint="cs"/>
          <w:rtl/>
        </w:rPr>
        <w:t xml:space="preserve"> منتشر شد، و علم اصول پس از </w:t>
      </w:r>
      <w:r w:rsidRPr="00B67C5A">
        <w:rPr>
          <w:rFonts w:cs="B Zar" w:hint="cs"/>
          <w:i/>
          <w:iCs/>
          <w:rtl/>
        </w:rPr>
        <w:t>وحيد بهبهاني</w:t>
      </w:r>
      <w:r w:rsidRPr="00B67C5A">
        <w:rPr>
          <w:rFonts w:cs="B Zar" w:hint="cs"/>
          <w:rtl/>
        </w:rPr>
        <w:t xml:space="preserve"> و </w:t>
      </w:r>
      <w:r w:rsidRPr="00B67C5A">
        <w:rPr>
          <w:rFonts w:cs="B Zar" w:hint="cs"/>
          <w:i/>
          <w:iCs/>
          <w:rtl/>
        </w:rPr>
        <w:t>شيخ مرتضي انصاري</w:t>
      </w:r>
      <w:r w:rsidRPr="00B67C5A">
        <w:rPr>
          <w:rFonts w:cs="B Zar" w:hint="cs"/>
          <w:rtl/>
        </w:rPr>
        <w:t xml:space="preserve"> به اوج خود رسيد. اگر در دوره اي كه برخي آنرا قرون وسطاي تاريخ اسلامي تلقي مي‌كنند، فرماندهاني همانند </w:t>
      </w:r>
      <w:r w:rsidRPr="00B67C5A">
        <w:rPr>
          <w:rFonts w:cs="B Zar" w:hint="cs"/>
          <w:i/>
          <w:iCs/>
          <w:rtl/>
        </w:rPr>
        <w:t xml:space="preserve">طارق و محمد بن قاسم </w:t>
      </w:r>
      <w:r w:rsidRPr="00B67C5A">
        <w:rPr>
          <w:rFonts w:cs="B Zar" w:hint="cs"/>
          <w:rtl/>
        </w:rPr>
        <w:t xml:space="preserve">و </w:t>
      </w:r>
      <w:r w:rsidRPr="00B67C5A">
        <w:rPr>
          <w:rFonts w:cs="B Zar" w:hint="cs"/>
          <w:i/>
          <w:iCs/>
          <w:rtl/>
        </w:rPr>
        <w:t>صلاح‌الدين ايوبي</w:t>
      </w:r>
      <w:r w:rsidRPr="00B67C5A">
        <w:rPr>
          <w:rFonts w:cs="B Zar" w:hint="cs"/>
          <w:rtl/>
        </w:rPr>
        <w:t xml:space="preserve"> نبودند، كشورگشايان بزرگ ديگري نظير </w:t>
      </w:r>
      <w:r w:rsidRPr="00B67C5A">
        <w:rPr>
          <w:rFonts w:cs="B Zar" w:hint="cs"/>
          <w:i/>
          <w:iCs/>
          <w:rtl/>
        </w:rPr>
        <w:t>بيبرس، بايزيد، محمد فاتح</w:t>
      </w:r>
      <w:r w:rsidRPr="00B67C5A">
        <w:rPr>
          <w:rFonts w:cs="B Zar" w:hint="cs"/>
          <w:rtl/>
        </w:rPr>
        <w:t xml:space="preserve"> و </w:t>
      </w:r>
      <w:r w:rsidRPr="00B67C5A">
        <w:rPr>
          <w:rFonts w:cs="B Zar" w:hint="cs"/>
          <w:i/>
          <w:iCs/>
          <w:rtl/>
        </w:rPr>
        <w:t>سليمان كبير، شاه اسماعيل، شاه عباس، اكبر، اورنگ زيب</w:t>
      </w:r>
      <w:r w:rsidRPr="00B67C5A">
        <w:rPr>
          <w:rFonts w:cs="B Zar" w:hint="cs"/>
          <w:rtl/>
        </w:rPr>
        <w:t xml:space="preserve">  و نادر شاه ... قد علم كردند. پس در تاريخ مسلمانان، دوره جمود و ركود و توقف كامل نيست، و اگر باشد،  تنها در قرن نوزدهم يعني، در دوران تسلط مطلق امپرياليسم غربي ايجاد شده است. از اين‌رو تلاش غرب‌گرايان براي تقسيم تاريخ اسلامي به سه دوره كلاسيك و قرون وسطي و جديد تلاشي بيهوده و واهي اشت.</w:t>
      </w:r>
    </w:p>
    <w:p w:rsidR="009C75F3" w:rsidRPr="00B67C5A" w:rsidP="003C0EF5">
      <w:pPr>
        <w:widowControl w:val="0"/>
        <w:spacing w:line="420" w:lineRule="exact"/>
        <w:ind w:left="0" w:right="0"/>
        <w:jc w:val="both"/>
        <w:rPr>
          <w:rFonts w:cs="B Zar" w:hint="cs"/>
          <w:rtl/>
        </w:rPr>
      </w:pPr>
      <w:r w:rsidRPr="00B67C5A">
        <w:rPr>
          <w:rFonts w:cs="B Zar" w:hint="cs"/>
          <w:rtl/>
        </w:rPr>
        <w:t>همچنين تقسيم تاريخ هند به سه دوره ياد شده موجه و پذيرفتني نيست. البته برخي دانشمندان معاصر هندو به خصوص آنان كه علاوه بر دلبستگي به غرب، تعصب ضد اسلامي نيز دارند، كوشيده‌اند تاريخ هند را در سه دوره تقسيم كنند. از جمله مورخ معروف معاصر، اوك، مي‌گويد: تاريخ هند به سه دوره مشخص تقسيم مي‌شود:</w:t>
      </w:r>
    </w:p>
    <w:p w:rsidR="009C75F3" w:rsidRPr="00B67C5A" w:rsidP="003C0EF5">
      <w:pPr>
        <w:widowControl w:val="0"/>
        <w:spacing w:line="420" w:lineRule="exact"/>
        <w:ind w:left="0" w:right="0"/>
        <w:jc w:val="both"/>
        <w:rPr>
          <w:rFonts w:cs="B Zar" w:hint="cs"/>
          <w:rtl/>
        </w:rPr>
      </w:pPr>
      <w:r w:rsidRPr="00B67C5A">
        <w:rPr>
          <w:rFonts w:cs="B Zar" w:hint="cs"/>
          <w:rtl/>
        </w:rPr>
        <w:t>دوره كلاسيك: از 3000 ق.م تا 1206 م (دورة هندوئيسم)؛</w:t>
      </w:r>
    </w:p>
    <w:p w:rsidR="009C75F3" w:rsidRPr="00B67C5A" w:rsidP="003C0EF5">
      <w:pPr>
        <w:widowControl w:val="0"/>
        <w:spacing w:line="420" w:lineRule="exact"/>
        <w:ind w:left="0" w:right="0"/>
        <w:jc w:val="both"/>
        <w:rPr>
          <w:rFonts w:cs="B Zar" w:hint="cs"/>
          <w:rtl/>
        </w:rPr>
      </w:pPr>
      <w:r w:rsidRPr="00B67C5A">
        <w:rPr>
          <w:rFonts w:cs="B Zar" w:hint="cs"/>
          <w:rtl/>
        </w:rPr>
        <w:t>دوره قرون وسطي: از 1206  تا 1857 م (دورة اسلامي)؛</w:t>
      </w:r>
    </w:p>
    <w:p w:rsidR="009C75F3" w:rsidRPr="00B67C5A" w:rsidP="003C0EF5">
      <w:pPr>
        <w:widowControl w:val="0"/>
        <w:spacing w:line="420" w:lineRule="exact"/>
        <w:ind w:left="0" w:right="0"/>
        <w:jc w:val="both"/>
        <w:rPr>
          <w:rFonts w:cs="B Zar" w:hint="cs"/>
          <w:rtl/>
        </w:rPr>
      </w:pPr>
      <w:r w:rsidRPr="00B67C5A">
        <w:rPr>
          <w:rFonts w:cs="B Zar" w:hint="cs"/>
          <w:rtl/>
        </w:rPr>
        <w:t>دورة جديد: از 1857 م به بعد (دورة تأثير غرب).</w:t>
      </w:r>
    </w:p>
    <w:p w:rsidR="009C75F3" w:rsidRPr="00B67C5A" w:rsidP="003C0EF5">
      <w:pPr>
        <w:widowControl w:val="0"/>
        <w:spacing w:line="420" w:lineRule="exact"/>
        <w:ind w:left="0" w:right="0"/>
        <w:jc w:val="both"/>
        <w:rPr>
          <w:rFonts w:cs="B Zar" w:hint="cs"/>
          <w:rtl/>
        </w:rPr>
      </w:pPr>
      <w:r w:rsidRPr="00B67C5A">
        <w:rPr>
          <w:rFonts w:cs="B Zar" w:hint="cs"/>
          <w:rtl/>
        </w:rPr>
        <w:t>اگر ما هند را تنها عبارت از هندوئيسم بدانيم، اين طبقه‌بندي درست است</w:t>
      </w:r>
      <w:r w:rsidRPr="00B67C5A">
        <w:rPr>
          <w:rFonts w:cs="B Zar" w:hint="cs"/>
          <w:rtl/>
          <w:lang w:bidi="fa-IR"/>
        </w:rPr>
        <w:t>،</w:t>
      </w:r>
      <w:r w:rsidRPr="00B67C5A">
        <w:rPr>
          <w:rFonts w:cs="B Zar" w:hint="cs"/>
          <w:rtl/>
        </w:rPr>
        <w:t xml:space="preserve"> ولي اگر مقصود دسته بندي تاريخ هند به طور كلي در سه دوره باشد، نظريه فوق قابل توجيه نيست ؛ چرا كه وحدت و عظمت هند در دوره‌اي كه قرون وسطي ناميده شده به اوج خود رسيد. قدرت سياسي و گستردگي هند در زمان </w:t>
      </w:r>
      <w:r w:rsidRPr="00B67C5A">
        <w:rPr>
          <w:rFonts w:cs="B Zar" w:hint="cs"/>
          <w:i/>
          <w:iCs/>
          <w:rtl/>
        </w:rPr>
        <w:t>چندرگپت</w:t>
      </w:r>
      <w:r w:rsidRPr="00B67C5A">
        <w:rPr>
          <w:rFonts w:cs="B Zar" w:hint="cs"/>
          <w:rtl/>
        </w:rPr>
        <w:t xml:space="preserve"> و يا </w:t>
      </w:r>
      <w:r w:rsidRPr="00B67C5A">
        <w:rPr>
          <w:rFonts w:cs="B Zar" w:hint="cs"/>
          <w:i/>
          <w:iCs/>
          <w:rtl/>
        </w:rPr>
        <w:t>آشوكا</w:t>
      </w:r>
      <w:r w:rsidRPr="00B67C5A">
        <w:rPr>
          <w:rFonts w:cs="B Zar" w:hint="cs"/>
          <w:rtl/>
        </w:rPr>
        <w:t xml:space="preserve">، هيچگاه به اندازه عظمت و شكوه اين كشور در دورة زمامداري </w:t>
      </w:r>
      <w:r w:rsidRPr="00B67C5A">
        <w:rPr>
          <w:rFonts w:cs="B Zar" w:hint="cs"/>
          <w:i/>
          <w:iCs/>
          <w:rtl/>
        </w:rPr>
        <w:t>علاء الدين خلجي</w:t>
      </w:r>
      <w:r w:rsidRPr="00B67C5A">
        <w:rPr>
          <w:rFonts w:cs="B Zar" w:hint="cs"/>
          <w:rtl/>
        </w:rPr>
        <w:t xml:space="preserve">، </w:t>
      </w:r>
      <w:r w:rsidRPr="00B67C5A">
        <w:rPr>
          <w:rFonts w:cs="B Zar" w:hint="cs"/>
          <w:i/>
          <w:iCs/>
          <w:rtl/>
        </w:rPr>
        <w:t xml:space="preserve">اكبر </w:t>
      </w:r>
      <w:r w:rsidRPr="00B67C5A">
        <w:rPr>
          <w:rFonts w:cs="B Zar" w:hint="cs"/>
          <w:rtl/>
        </w:rPr>
        <w:t xml:space="preserve">و </w:t>
      </w:r>
      <w:r w:rsidRPr="00B67C5A">
        <w:rPr>
          <w:rFonts w:cs="B Zar" w:hint="cs"/>
          <w:i/>
          <w:iCs/>
          <w:rtl/>
        </w:rPr>
        <w:t>اورنگ</w:t>
      </w:r>
      <w:r w:rsidRPr="00B67C5A">
        <w:rPr>
          <w:rFonts w:cs="B Zar" w:hint="cs"/>
          <w:i/>
          <w:iCs/>
          <w:rtl/>
          <w:lang w:bidi="fa-IR"/>
        </w:rPr>
        <w:t xml:space="preserve"> </w:t>
      </w:r>
      <w:r w:rsidRPr="00B67C5A">
        <w:rPr>
          <w:rFonts w:cs="B Zar" w:hint="cs"/>
          <w:i/>
          <w:iCs/>
          <w:rtl/>
        </w:rPr>
        <w:t>زيب</w:t>
      </w:r>
      <w:r w:rsidRPr="00B67C5A">
        <w:rPr>
          <w:rFonts w:cs="B Zar" w:hint="cs"/>
          <w:rtl/>
        </w:rPr>
        <w:t xml:space="preserve"> نبوده است. معماري، هنر، شعر، ادبيات و فلسفه در هند، همه در دوره‌اي كه قرون وسطي ناميده شده است به اوج بيشتري رسيد. دورة اسلامي در هند، دورة احداث شاهكارهاي معماري </w:t>
      </w:r>
      <w:r w:rsidRPr="00B67C5A">
        <w:rPr>
          <w:rFonts w:cs="B Zar" w:hint="cs"/>
          <w:i/>
          <w:iCs/>
          <w:rtl/>
        </w:rPr>
        <w:t>قطب منار</w:t>
      </w:r>
      <w:r w:rsidRPr="00B67C5A">
        <w:rPr>
          <w:rFonts w:cs="B Zar" w:hint="cs"/>
          <w:rtl/>
        </w:rPr>
        <w:t xml:space="preserve"> و </w:t>
      </w:r>
      <w:r w:rsidRPr="00B67C5A">
        <w:rPr>
          <w:rFonts w:cs="B Zar" w:hint="cs"/>
          <w:i/>
          <w:iCs/>
          <w:rtl/>
        </w:rPr>
        <w:t>تاج محل</w:t>
      </w:r>
      <w:r w:rsidRPr="00B67C5A">
        <w:rPr>
          <w:rFonts w:cs="B Zar" w:hint="cs"/>
          <w:rtl/>
        </w:rPr>
        <w:t xml:space="preserve"> است؛ دورة سلطان موسيقي هند، </w:t>
      </w:r>
      <w:r w:rsidRPr="00B67C5A">
        <w:rPr>
          <w:rFonts w:cs="B Zar" w:hint="cs"/>
          <w:iCs/>
          <w:rtl/>
        </w:rPr>
        <w:t>تان سين</w:t>
      </w:r>
      <w:r w:rsidRPr="00B67C5A">
        <w:rPr>
          <w:rFonts w:cs="B Zar" w:hint="cs"/>
          <w:rtl/>
        </w:rPr>
        <w:t xml:space="preserve"> است؛ دورة شعراي بزرگ، نظير </w:t>
      </w:r>
      <w:r w:rsidRPr="00B67C5A">
        <w:rPr>
          <w:rFonts w:cs="B Zar" w:hint="cs"/>
          <w:i/>
          <w:iCs/>
          <w:rtl/>
        </w:rPr>
        <w:t>ميرزا غالب</w:t>
      </w:r>
      <w:r w:rsidRPr="00B67C5A">
        <w:rPr>
          <w:rFonts w:cs="B Zar" w:hint="cs"/>
          <w:rtl/>
        </w:rPr>
        <w:t xml:space="preserve">، </w:t>
      </w:r>
      <w:r w:rsidRPr="00B67C5A">
        <w:rPr>
          <w:rFonts w:cs="B Zar" w:hint="cs"/>
          <w:i/>
          <w:iCs/>
          <w:rtl/>
        </w:rPr>
        <w:t>كبيرداس</w:t>
      </w:r>
      <w:r w:rsidRPr="00B67C5A">
        <w:rPr>
          <w:rFonts w:cs="B Zar" w:hint="cs"/>
          <w:rtl/>
        </w:rPr>
        <w:t xml:space="preserve">، </w:t>
      </w:r>
      <w:r w:rsidRPr="00B67C5A">
        <w:rPr>
          <w:rFonts w:cs="B Zar" w:hint="cs"/>
          <w:i/>
          <w:iCs/>
          <w:rtl/>
        </w:rPr>
        <w:t>تُلسي داس</w:t>
      </w:r>
      <w:r w:rsidRPr="00B67C5A">
        <w:rPr>
          <w:rFonts w:cs="B Zar" w:hint="cs"/>
          <w:rtl/>
        </w:rPr>
        <w:t xml:space="preserve">، </w:t>
      </w:r>
      <w:r w:rsidRPr="00B67C5A">
        <w:rPr>
          <w:rFonts w:cs="B Zar" w:hint="cs"/>
          <w:i/>
          <w:iCs/>
          <w:rtl/>
        </w:rPr>
        <w:t>سُور داس</w:t>
      </w:r>
      <w:r w:rsidRPr="00B67C5A">
        <w:rPr>
          <w:rFonts w:cs="B Zar" w:hint="cs"/>
          <w:rtl/>
        </w:rPr>
        <w:t xml:space="preserve"> و </w:t>
      </w:r>
      <w:r w:rsidRPr="00B67C5A">
        <w:rPr>
          <w:rFonts w:cs="B Zar" w:hint="cs"/>
          <w:i/>
          <w:iCs/>
          <w:rtl/>
        </w:rPr>
        <w:t xml:space="preserve">رحيم </w:t>
      </w:r>
      <w:r w:rsidRPr="00B67C5A">
        <w:rPr>
          <w:rFonts w:cs="B Zar" w:hint="cs"/>
          <w:rtl/>
        </w:rPr>
        <w:t xml:space="preserve">و </w:t>
      </w:r>
      <w:r w:rsidRPr="00B67C5A">
        <w:rPr>
          <w:rFonts w:cs="B Zar" w:hint="cs"/>
          <w:i/>
          <w:iCs/>
          <w:rtl/>
        </w:rPr>
        <w:t>گرونانك</w:t>
      </w:r>
      <w:r w:rsidRPr="00B67C5A">
        <w:rPr>
          <w:rFonts w:cs="B Zar" w:hint="cs"/>
          <w:rtl/>
        </w:rPr>
        <w:t xml:space="preserve"> است. پس چگونه اين دوره را قرون وسطي يا عصر جمود و ركود و تاريكي مي توان ناميد؟</w:t>
      </w:r>
    </w:p>
    <w:p w:rsidR="009C75F3" w:rsidRPr="00B67C5A" w:rsidP="003C0EF5">
      <w:pPr>
        <w:widowControl w:val="0"/>
        <w:spacing w:line="420" w:lineRule="exact"/>
        <w:ind w:left="0" w:right="0"/>
        <w:jc w:val="both"/>
        <w:rPr>
          <w:rFonts w:cs="B Zar" w:hint="cs"/>
          <w:rtl/>
        </w:rPr>
      </w:pPr>
      <w:r w:rsidRPr="00B67C5A">
        <w:rPr>
          <w:rFonts w:cs="B Zar" w:hint="cs"/>
          <w:rtl/>
        </w:rPr>
        <w:t>در اين كتاب، ما تاريخ هند را در دوره هاي زير تقسيم مي كنيم</w:t>
      </w:r>
      <w:r>
        <w:rPr>
          <w:rStyle w:val="FootnoteReference"/>
          <w:rFonts w:cs="B Zar"/>
          <w:sz w:val="28"/>
          <w:rtl/>
        </w:rPr>
        <w:footnoteReference w:id="89"/>
      </w:r>
      <w:r w:rsidRPr="00B67C5A">
        <w:rPr>
          <w:rFonts w:cs="B Zar" w:hint="cs"/>
          <w:rtl/>
        </w:rPr>
        <w:t>:</w:t>
      </w:r>
    </w:p>
    <w:p w:rsidR="009C75F3" w:rsidRPr="00B67C5A" w:rsidP="003C0EF5">
      <w:pPr>
        <w:widowControl w:val="0"/>
        <w:spacing w:line="420" w:lineRule="exact"/>
        <w:ind w:left="0" w:right="0"/>
        <w:jc w:val="both"/>
        <w:rPr>
          <w:rFonts w:cs="B Zar" w:hint="cs"/>
          <w:rtl/>
        </w:rPr>
      </w:pPr>
      <w:r w:rsidRPr="00B67C5A">
        <w:rPr>
          <w:rFonts w:cs="B Zar" w:hint="cs"/>
          <w:rtl/>
        </w:rPr>
        <w:t>عصر پارينه: از 3000 تا 1500 ق م (پيش از ورود آريائي ها به هند)؛</w:t>
      </w:r>
    </w:p>
    <w:p w:rsidR="009C75F3" w:rsidRPr="00B67C5A" w:rsidP="003C0EF5">
      <w:pPr>
        <w:widowControl w:val="0"/>
        <w:spacing w:line="420" w:lineRule="exact"/>
        <w:ind w:left="0" w:right="0"/>
        <w:jc w:val="both"/>
        <w:rPr>
          <w:rFonts w:cs="B Zar" w:hint="cs"/>
        </w:rPr>
      </w:pPr>
      <w:r w:rsidRPr="00B67C5A">
        <w:rPr>
          <w:rFonts w:cs="B Zar" w:hint="cs"/>
          <w:rtl/>
        </w:rPr>
        <w:t>عصر كلاسيك: از 1500 ق م تا 300 م (دورة ودايي)؛</w:t>
      </w:r>
    </w:p>
    <w:p w:rsidR="009C75F3" w:rsidRPr="00B67C5A" w:rsidP="003C0EF5">
      <w:pPr>
        <w:widowControl w:val="0"/>
        <w:spacing w:line="420" w:lineRule="exact"/>
        <w:ind w:left="0" w:right="0"/>
        <w:jc w:val="both"/>
        <w:rPr>
          <w:rFonts w:cs="B Zar" w:hint="cs"/>
        </w:rPr>
      </w:pPr>
      <w:r w:rsidRPr="00B67C5A">
        <w:rPr>
          <w:rFonts w:cs="B Zar" w:hint="cs"/>
          <w:rtl/>
        </w:rPr>
        <w:t>عصر اعتراض: از 300 م تا 500 م (دورة بوديسم و جينيسم)؛</w:t>
      </w:r>
    </w:p>
    <w:p w:rsidR="009C75F3" w:rsidRPr="00B67C5A" w:rsidP="003C0EF5">
      <w:pPr>
        <w:widowControl w:val="0"/>
        <w:spacing w:line="420" w:lineRule="exact"/>
        <w:ind w:left="0" w:right="0"/>
        <w:jc w:val="both"/>
        <w:rPr>
          <w:rFonts w:cs="B Zar" w:hint="cs"/>
        </w:rPr>
      </w:pPr>
      <w:r w:rsidRPr="00B67C5A">
        <w:rPr>
          <w:rFonts w:cs="B Zar" w:hint="cs"/>
          <w:rtl/>
        </w:rPr>
        <w:t>عصر نو كلاسيك: از 500 م تا 1000م (دورة برهمنيسم و هندوئيسم)؛</w:t>
      </w:r>
    </w:p>
    <w:p w:rsidR="009C75F3" w:rsidRPr="00B67C5A" w:rsidP="003C0EF5">
      <w:pPr>
        <w:widowControl w:val="0"/>
        <w:spacing w:line="420" w:lineRule="exact"/>
        <w:ind w:left="0" w:right="0"/>
        <w:jc w:val="both"/>
        <w:rPr>
          <w:rFonts w:cs="B Zar" w:hint="cs"/>
        </w:rPr>
      </w:pPr>
      <w:r w:rsidRPr="00B67C5A">
        <w:rPr>
          <w:rFonts w:cs="B Zar" w:hint="cs"/>
          <w:rtl/>
        </w:rPr>
        <w:t>عصر اسلامي: از 1000 م تا 1857م (دورة حاكميت مسلمانان)؛</w:t>
      </w:r>
    </w:p>
    <w:p w:rsidR="009C75F3" w:rsidP="003C0EF5">
      <w:pPr>
        <w:widowControl w:val="0"/>
        <w:spacing w:line="420" w:lineRule="exact"/>
        <w:ind w:left="0" w:right="0"/>
        <w:jc w:val="both"/>
        <w:rPr>
          <w:rFonts w:cs="B Zar" w:hint="cs"/>
          <w:rtl/>
        </w:rPr>
      </w:pPr>
      <w:r w:rsidRPr="00B67C5A">
        <w:rPr>
          <w:rFonts w:cs="B Zar" w:hint="cs"/>
          <w:rtl/>
        </w:rPr>
        <w:t>عصر تجدد: از 1857 م به بعد (دورة استعمار و ايجاد نهضت جديد).</w:t>
      </w:r>
    </w:p>
    <w:p w:rsidR="009F03A5" w:rsidRPr="00B67C5A" w:rsidP="003C0EF5">
      <w:pPr>
        <w:widowControl w:val="0"/>
        <w:spacing w:line="420" w:lineRule="exact"/>
        <w:ind w:left="0" w:right="0"/>
        <w:jc w:val="both"/>
        <w:rPr>
          <w:rFonts w:cs="B Zar" w:hint="cs"/>
        </w:rPr>
      </w:pPr>
    </w:p>
    <w:p w:rsidR="009C75F3" w:rsidRPr="00B67C5A" w:rsidP="003C0EF5">
      <w:pPr>
        <w:widowControl w:val="0"/>
        <w:spacing w:line="420" w:lineRule="exact"/>
        <w:ind w:left="0" w:right="0"/>
        <w:jc w:val="both"/>
        <w:rPr>
          <w:rFonts w:cs="B Zar" w:hint="cs"/>
          <w:b/>
          <w:bCs/>
          <w:rtl/>
        </w:rPr>
      </w:pPr>
      <w:r w:rsidRPr="00B67C5A">
        <w:rPr>
          <w:rFonts w:cs="B Zar" w:hint="cs"/>
          <w:b/>
          <w:bCs/>
          <w:rtl/>
        </w:rPr>
        <w:t xml:space="preserve">حوزه تحقيق </w:t>
      </w:r>
    </w:p>
    <w:p w:rsidR="009C75F3" w:rsidP="003C0EF5">
      <w:pPr>
        <w:widowControl w:val="0"/>
        <w:spacing w:line="420" w:lineRule="exact"/>
        <w:ind w:left="0" w:right="0"/>
        <w:jc w:val="both"/>
        <w:rPr>
          <w:rFonts w:cs="B Zar" w:hint="cs"/>
          <w:rtl/>
        </w:rPr>
      </w:pPr>
      <w:r w:rsidRPr="00B67C5A">
        <w:rPr>
          <w:rFonts w:cs="B Zar" w:hint="cs"/>
          <w:rtl/>
        </w:rPr>
        <w:t xml:space="preserve">محور اصلي مطالعة ما در اين كتاب، انديشة فلسفي ـ ديني هند </w:t>
      </w:r>
      <w:r w:rsidRPr="00B67C5A" w:rsidR="00036F6F">
        <w:rPr>
          <w:rFonts w:cs="B Zar" w:hint="cs"/>
          <w:rtl/>
        </w:rPr>
        <w:t>از عصر حاضر است. جلد اول شامل مطالعه سير انديشه ديني در عصر كلاسيك و توكلاسيك و جلد دوم شامل مطالعه سير انديشه ديني در دوره جديد تا عصر حاضر است.</w:t>
      </w:r>
      <w:r w:rsidRPr="00B67C5A">
        <w:rPr>
          <w:rFonts w:cs="B Zar" w:hint="cs"/>
          <w:rtl/>
        </w:rPr>
        <w:t xml:space="preserve"> جريان انديشه، زنجيرواره‌اي است كه اگر يك حلقة آن را بردارند، زنجير به كلي گسسته مي‌شود. امروز زائيده ديروز و فردا زائيده امروز است. جريان انديشه موج‌وار به ساحل امروز رسيده است، و از جائي كه موج فرو نشسته، موج ديگري برخاسته است. اگر افرادي نظير </w:t>
      </w:r>
      <w:r w:rsidRPr="00B67C5A">
        <w:rPr>
          <w:rFonts w:cs="B Zar" w:hint="cs"/>
          <w:i/>
          <w:iCs/>
          <w:rtl/>
        </w:rPr>
        <w:t>سُوامي</w:t>
      </w:r>
      <w:r w:rsidRPr="00B67C5A">
        <w:rPr>
          <w:rFonts w:cs="B Zar" w:hint="cs"/>
          <w:rtl/>
        </w:rPr>
        <w:t xml:space="preserve"> </w:t>
      </w:r>
      <w:r w:rsidRPr="00B67C5A">
        <w:rPr>
          <w:rFonts w:cs="B Zar" w:hint="cs"/>
          <w:i/>
          <w:iCs/>
          <w:rtl/>
        </w:rPr>
        <w:t>ويكاناند</w:t>
      </w:r>
      <w:r w:rsidRPr="00B67C5A">
        <w:rPr>
          <w:rFonts w:cs="B Zar" w:hint="cs"/>
          <w:rtl/>
        </w:rPr>
        <w:t xml:space="preserve"> و</w:t>
      </w:r>
      <w:r w:rsidRPr="00B67C5A">
        <w:rPr>
          <w:rFonts w:cs="B Zar" w:hint="cs"/>
          <w:i/>
          <w:iCs/>
          <w:rtl/>
        </w:rPr>
        <w:t xml:space="preserve"> گاندي</w:t>
      </w:r>
      <w:r w:rsidRPr="00B67C5A">
        <w:rPr>
          <w:rFonts w:cs="B Zar" w:hint="cs"/>
          <w:rtl/>
        </w:rPr>
        <w:t xml:space="preserve">، </w:t>
      </w:r>
      <w:r w:rsidRPr="00B67C5A">
        <w:rPr>
          <w:rFonts w:cs="B Zar" w:hint="cs"/>
          <w:i/>
          <w:iCs/>
          <w:rtl/>
        </w:rPr>
        <w:t>تاگور</w:t>
      </w:r>
      <w:r w:rsidRPr="00B67C5A">
        <w:rPr>
          <w:rFonts w:cs="B Zar" w:hint="cs"/>
          <w:rtl/>
        </w:rPr>
        <w:t xml:space="preserve"> و </w:t>
      </w:r>
      <w:r w:rsidRPr="00B67C5A">
        <w:rPr>
          <w:rFonts w:cs="B Zar" w:hint="cs"/>
          <w:i/>
          <w:iCs/>
          <w:rtl/>
        </w:rPr>
        <w:t>رادا كريشنان</w:t>
      </w:r>
      <w:r w:rsidRPr="00B67C5A">
        <w:rPr>
          <w:rFonts w:cs="B Zar" w:hint="cs"/>
          <w:rtl/>
        </w:rPr>
        <w:t xml:space="preserve"> در دورة جديد، انديشمندان و رهبران بلند قامتي محسوب مي‌شوند، به خاطر آن است كه بر دوش انديشة صدها حكيم و فرزانه و «</w:t>
      </w:r>
      <w:r w:rsidRPr="00B67C5A">
        <w:rPr>
          <w:rFonts w:cs="B Zar" w:hint="cs"/>
          <w:i/>
          <w:iCs/>
          <w:rtl/>
        </w:rPr>
        <w:t>ريشي</w:t>
      </w:r>
      <w:r w:rsidRPr="00B67C5A">
        <w:rPr>
          <w:rFonts w:cs="B Zar" w:hint="cs"/>
          <w:rtl/>
        </w:rPr>
        <w:t>» و «</w:t>
      </w:r>
      <w:r w:rsidRPr="00B67C5A">
        <w:rPr>
          <w:rFonts w:cs="B Zar" w:hint="cs"/>
          <w:i/>
          <w:iCs/>
          <w:rtl/>
        </w:rPr>
        <w:t>آچاريه</w:t>
      </w:r>
      <w:r w:rsidRPr="00B67C5A">
        <w:rPr>
          <w:rFonts w:cs="B Zar" w:hint="cs"/>
          <w:rtl/>
        </w:rPr>
        <w:t>» ايستاده اند. اگر  در فرهنگ اسلامي ما قرآن كريم ريشه و اساس و خاستگاه و مبداء فرهنگ است، در فرهنگ هندو ودا، اوپانيشاد و گيتا  سه منبع اصلي تفكراند و تا زماني كه به طور دقيق و موشكافانه، مبادي و جوهر آن را در نيابيم، نمي‌توانيم روح حاكم بر فرهنگ و انديشه هند جديد را بفهميم.</w:t>
      </w:r>
    </w:p>
    <w:p w:rsidR="009F03A5" w:rsidRPr="00B67C5A" w:rsidP="003C0EF5">
      <w:pPr>
        <w:widowControl w:val="0"/>
        <w:spacing w:line="420" w:lineRule="exact"/>
        <w:ind w:left="0" w:right="0"/>
        <w:jc w:val="both"/>
        <w:rPr>
          <w:rFonts w:cs="B Zar" w:hint="cs"/>
          <w:rtl/>
        </w:rPr>
      </w:pPr>
    </w:p>
    <w:p w:rsidR="009C75F3" w:rsidRPr="00B67C5A" w:rsidP="003C0EF5">
      <w:pPr>
        <w:pStyle w:val="Heading2"/>
        <w:keepNext w:val="0"/>
        <w:widowControl w:val="0"/>
        <w:spacing w:line="420" w:lineRule="exact"/>
        <w:ind w:left="0" w:right="0"/>
        <w:jc w:val="both"/>
        <w:rPr>
          <w:rFonts w:cs="B Zar" w:hint="cs"/>
          <w:sz w:val="28"/>
          <w:szCs w:val="28"/>
          <w:rtl/>
        </w:rPr>
      </w:pPr>
      <w:r w:rsidRPr="00B67C5A">
        <w:rPr>
          <w:rFonts w:cs="B Zar" w:hint="cs"/>
          <w:sz w:val="28"/>
          <w:szCs w:val="28"/>
          <w:rtl/>
        </w:rPr>
        <w:t>تبادل فرهنگي ايران و هند</w:t>
      </w:r>
    </w:p>
    <w:p w:rsidR="009C75F3" w:rsidRPr="00B67C5A" w:rsidP="003C0EF5">
      <w:pPr>
        <w:widowControl w:val="0"/>
        <w:spacing w:line="420" w:lineRule="exact"/>
        <w:ind w:left="0" w:right="0"/>
        <w:jc w:val="both"/>
        <w:rPr>
          <w:rFonts w:cs="B Zar" w:hint="cs"/>
          <w:rtl/>
        </w:rPr>
      </w:pPr>
      <w:r w:rsidRPr="00B67C5A">
        <w:rPr>
          <w:rFonts w:cs="B Zar" w:hint="cs"/>
          <w:rtl/>
        </w:rPr>
        <w:t>جريان انديشه همچنانكه از نظر عمودي گسستني نيست، از نظر افقي نيز نمي توان آن را مجزا و گسيخته فهميد. انديشة يك مذهب و يك ملت با انديشه ملل و اديان همجوار، سنخيت و پيوند دارد. همچنانكه جلو</w:t>
      </w:r>
      <w:r w:rsidRPr="00B67C5A" w:rsidR="00644FCA">
        <w:rPr>
          <w:rFonts w:cs="B Zar" w:hint="cs"/>
          <w:rtl/>
        </w:rPr>
        <w:t>ي</w:t>
      </w:r>
      <w:r w:rsidRPr="00B67C5A">
        <w:rPr>
          <w:rFonts w:cs="B Zar" w:hint="cs"/>
          <w:rtl/>
        </w:rPr>
        <w:t xml:space="preserve"> وزش باد را نمي توان گرفت، يا نورچراغ را نمي</w:t>
      </w:r>
      <w:r w:rsidRPr="00B67C5A" w:rsidR="0052087B">
        <w:rPr>
          <w:rFonts w:cs="B Zar" w:hint="cs"/>
          <w:rtl/>
        </w:rPr>
        <w:t>‌</w:t>
      </w:r>
      <w:r w:rsidRPr="00B67C5A">
        <w:rPr>
          <w:rFonts w:cs="B Zar" w:hint="cs"/>
          <w:rtl/>
        </w:rPr>
        <w:t>توان در محدوده‌اي محصور كرد، وزش نسيم انديشه و نور حكمت نيز در مرزهاي جغرافيائي و ملي محصور نمي ماند.</w:t>
      </w:r>
    </w:p>
    <w:p w:rsidR="009C75F3" w:rsidRPr="00B67C5A" w:rsidP="003C0EF5">
      <w:pPr>
        <w:widowControl w:val="0"/>
        <w:spacing w:line="420" w:lineRule="exact"/>
        <w:ind w:left="0" w:right="0"/>
        <w:jc w:val="both"/>
        <w:rPr>
          <w:rFonts w:cs="B Zar" w:hint="cs"/>
          <w:rtl/>
        </w:rPr>
      </w:pPr>
      <w:r w:rsidRPr="00B67C5A">
        <w:rPr>
          <w:rFonts w:cs="B Zar" w:hint="cs"/>
          <w:rtl/>
        </w:rPr>
        <w:t>انديشة هند نيز از اين قاعده مستثني نبوده و اين دستاوردها تحت تأثير انديشه و فرهنگ ملل مجاور قرار گرفته و به خصوص ميان ايران و هند تبادل فرهنگي دامنه‌داري وجود داشته است. تأثيرگذاري متقابل فرهنگ ايران و هند، منشاء در ريشة مشترك آريائي، و سپس ميراث مشترك اسلامي در ادوار بعدي دارد. آريائي‌ها احتمالاً پس از عبور از ايران وارد هند شدند و بنابراين امكان ندارد تحت تاثير فرهنگ ايراني قرار نگرفته و اين اندوخته را با خود به سرزمين جديد نبرده باشند. آنها در هند نظام دامنه‌داري از انديشة ديني و مناسك مذهبي به وجود آوردند و نخستين كتاب</w:t>
      </w:r>
      <w:r w:rsidRPr="00B67C5A" w:rsidR="0052087B">
        <w:rPr>
          <w:rFonts w:cs="B Zar" w:hint="cs"/>
          <w:rtl/>
        </w:rPr>
        <w:t>‌</w:t>
      </w:r>
      <w:r w:rsidRPr="00B67C5A">
        <w:rPr>
          <w:rFonts w:cs="B Zar" w:hint="cs"/>
          <w:rtl/>
        </w:rPr>
        <w:t xml:space="preserve">هاي مقدس جهان (وداهاي چهارگانه) را تدوين كردند. از سوي ديگر، ممكن نيست اين دستاوردها بر برادران و خويشان آريائي ايراني تاثيري نداشته باشد. دانشمندان برجسته‌اي نظير اس. رايناخ </w:t>
      </w:r>
      <w:r w:rsidRPr="00B67C5A">
        <w:rPr>
          <w:rFonts w:cs="B Zar"/>
        </w:rPr>
        <w:t>(S.Reinach)</w:t>
      </w:r>
      <w:r w:rsidRPr="00B67C5A">
        <w:rPr>
          <w:rFonts w:cs="B Zar" w:hint="cs"/>
          <w:rtl/>
        </w:rPr>
        <w:t xml:space="preserve">، جكسون </w:t>
      </w:r>
      <w:r w:rsidRPr="00B67C5A">
        <w:rPr>
          <w:rFonts w:cs="B Zar"/>
        </w:rPr>
        <w:t>(A.V.W.Jackson)</w:t>
      </w:r>
      <w:r w:rsidRPr="00B67C5A">
        <w:rPr>
          <w:rFonts w:cs="B Zar" w:hint="cs"/>
          <w:rtl/>
        </w:rPr>
        <w:t xml:space="preserve">، رومن گرشمان </w:t>
      </w:r>
      <w:r w:rsidRPr="00B67C5A">
        <w:rPr>
          <w:rFonts w:cs="B Zar"/>
        </w:rPr>
        <w:t>(Girshman)</w:t>
      </w:r>
      <w:r w:rsidRPr="00B67C5A">
        <w:rPr>
          <w:rFonts w:cs="B Zar" w:hint="cs"/>
          <w:rtl/>
        </w:rPr>
        <w:t xml:space="preserve"> و غيره، تأثير متقابل فرهنگ هند و ايران را به اثبات رسانيده‌اند. گذشته از تبادل فرهنگي تدريجي نامحسوس و بطئي، در برخي از برهه‌هاي زماني تاريخ، اين تأثير به صورت موجي فراگير و متمايز صورت گرفته است. در ميان اين دوره‌ها مي‌توان از دوره هاي زير نام برد: دورة كورش كه مناطق پنجاب و ايالت سرحد هند در قلمرو ايران قرار گرفت؛ دورة زمامداري آشوكا كه افغانستان و هرات و برخي از مناطق مرزي ايران تحت سلطة امپراطوري هند درآمد و نفوذ بوديسم در افغانستان فعلي و ايران توسعه يافت؛ </w:t>
      </w:r>
      <w:r w:rsidRPr="00B67C5A" w:rsidR="0052087B">
        <w:rPr>
          <w:rFonts w:cs="B Zar" w:hint="cs"/>
          <w:rtl/>
        </w:rPr>
        <w:t>دورة</w:t>
      </w:r>
      <w:r w:rsidRPr="00B67C5A">
        <w:rPr>
          <w:rFonts w:cs="B Zar" w:hint="cs"/>
          <w:rtl/>
        </w:rPr>
        <w:t xml:space="preserve"> اردشير بابكان كه مجدداً منطقة پنجاب و سند تحت فرمانداري نظامي ساسانيان قرار گرفت؛ دورة انوشيروان كه تعداد انبوهي از هنديان طبقه جات </w:t>
      </w:r>
      <w:r w:rsidRPr="00B67C5A">
        <w:rPr>
          <w:rFonts w:cs="B Zar"/>
        </w:rPr>
        <w:t>(Jat)</w:t>
      </w:r>
      <w:r w:rsidRPr="00B67C5A">
        <w:rPr>
          <w:rFonts w:cs="B Zar" w:hint="cs"/>
          <w:rtl/>
        </w:rPr>
        <w:t>، به ايران و يمن مهاجرت كردند و در تاريخ اسلامي</w:t>
      </w:r>
      <w:r w:rsidRPr="00B67C5A" w:rsidR="0052087B">
        <w:rPr>
          <w:rFonts w:cs="B Zar" w:hint="cs"/>
          <w:rtl/>
        </w:rPr>
        <w:t xml:space="preserve"> به</w:t>
      </w:r>
      <w:r w:rsidRPr="00B67C5A">
        <w:rPr>
          <w:rFonts w:cs="B Zar" w:hint="cs"/>
          <w:rtl/>
        </w:rPr>
        <w:t xml:space="preserve"> «زُط» معروف شدند و يك تيپ از ارتش ساسانيان متشكل از اينان بوده است، و در يمن حتي پس از سيف ذي‌يزن حكومت را به دست گرفتند و در جنگ صفين در لشكر اميرالمؤمنين علي(ع) قرار داشته‌اند. پس از دورة عبدالملك و وليدبن عبدالملك كه سند گشوده شد، اكثر مواليان و شيعيان عرب و ايراني كه مورد شكنجه و سركوب اموي‌ها و عباسيان قرار مي‌گرفته‌اند به منطقه دوردست سند فرار كرده و حتي در سند در مرحلة بعدي شيعيان زيدي كه اكثر آنان از موالي ايراني بودند قدرت سياسي را به دست گرفتند و فرماندار عبّاسي را كشتند.</w:t>
      </w:r>
    </w:p>
    <w:p w:rsidR="009C75F3" w:rsidRPr="00B67C5A" w:rsidP="003C0EF5">
      <w:pPr>
        <w:widowControl w:val="0"/>
        <w:spacing w:line="420" w:lineRule="exact"/>
        <w:ind w:left="0" w:right="0"/>
        <w:jc w:val="both"/>
        <w:rPr>
          <w:rFonts w:cs="B Zar" w:hint="cs"/>
          <w:rtl/>
        </w:rPr>
      </w:pPr>
      <w:r w:rsidRPr="00B67C5A">
        <w:rPr>
          <w:rFonts w:cs="B Zar" w:hint="cs"/>
          <w:rtl/>
        </w:rPr>
        <w:t>در دورة محمود غزنوي در يورشهاي بي‌امان او بر هند، بسياري از انديشمندان و هنرمندان ايراني و اسلامي نظير ابوريحان به هند رفتند و مرحلة تازه‌اي از تبادل فرهنگي ايران و هند آغاز گرديد. در دوره‌هاي بعدي به طور مستمر، اين تبادل فرهنگي جريان داشت. در زماني كه ايران مورد ترك تازي‌هاي قشون مغول قرار گرفت و بسياري از مناطق آن كشور ويران گرديد، صدها هزار خانواده ايراني به هند مهاجرت كردند و در آنجا ماندگار شدند. اكثر اينان از طبقات ميانه و از جمله دانشمندان، علماء، اديبان، شاعران، معماران و هنرمندان بودند. در نتيجه، از آن پس عنصر «اسلامي‌ـ</w:t>
      </w:r>
      <w:r w:rsidRPr="00B67C5A">
        <w:rPr>
          <w:rFonts w:cs="B Zar" w:hint="cs"/>
          <w:rtl/>
          <w:lang w:bidi="fa-IR"/>
        </w:rPr>
        <w:t xml:space="preserve"> </w:t>
      </w:r>
      <w:r w:rsidRPr="00B67C5A">
        <w:rPr>
          <w:rFonts w:cs="B Zar" w:hint="cs"/>
          <w:rtl/>
        </w:rPr>
        <w:t>‌ايران</w:t>
      </w:r>
      <w:r w:rsidRPr="00B67C5A">
        <w:rPr>
          <w:rFonts w:cs="B Zar" w:hint="cs"/>
          <w:rtl/>
          <w:lang w:bidi="fa-IR"/>
        </w:rPr>
        <w:t>ي</w:t>
      </w:r>
      <w:r w:rsidRPr="00B67C5A">
        <w:rPr>
          <w:rFonts w:cs="B Zar" w:hint="cs"/>
          <w:rtl/>
        </w:rPr>
        <w:t xml:space="preserve">» به شدت در فرهنگ هند ريشه‌دار گرديد. به واقع، حركتهاي پايدار و استوار تأثيرگذار فرهنگ ايران بر هند، هنگامي صورت گرفت كه همايون پسر </w:t>
      </w:r>
      <w:r w:rsidRPr="00B67C5A">
        <w:rPr>
          <w:rFonts w:cs="B Zar" w:hint="cs"/>
          <w:i/>
          <w:iCs/>
          <w:rtl/>
        </w:rPr>
        <w:t>بابر</w:t>
      </w:r>
      <w:r w:rsidRPr="00B67C5A">
        <w:rPr>
          <w:rFonts w:cs="B Zar" w:hint="cs"/>
          <w:rtl/>
        </w:rPr>
        <w:t xml:space="preserve"> بنيانگذار سلطنت، سردار افغاني، </w:t>
      </w:r>
      <w:r w:rsidRPr="00B67C5A">
        <w:rPr>
          <w:rFonts w:cs="B Zar" w:hint="cs"/>
          <w:i/>
          <w:iCs/>
          <w:rtl/>
        </w:rPr>
        <w:t>شيرشاه سوري،</w:t>
      </w:r>
      <w:r w:rsidRPr="00B67C5A">
        <w:rPr>
          <w:rFonts w:cs="B Zar" w:hint="cs"/>
          <w:rtl/>
          <w:lang w:bidi="fa-IR"/>
        </w:rPr>
        <w:t xml:space="preserve"> را</w:t>
      </w:r>
      <w:r w:rsidRPr="00B67C5A">
        <w:rPr>
          <w:rFonts w:cs="B Zar" w:hint="cs"/>
          <w:rtl/>
        </w:rPr>
        <w:t xml:space="preserve"> از هند فراري داد و همايون به دربار شاه طهماسپ صفوي پناهنده شد و سپس با نيروهاي كمكي ايراني وارد هند گرديد و حكومت از دست رفته را مجدداً </w:t>
      </w:r>
      <w:r w:rsidRPr="00B67C5A">
        <w:rPr>
          <w:rFonts w:cs="B Zar" w:hint="cs"/>
          <w:rtl/>
          <w:lang w:bidi="fa-IR"/>
        </w:rPr>
        <w:t xml:space="preserve">به دست </w:t>
      </w:r>
      <w:r w:rsidRPr="00B67C5A">
        <w:rPr>
          <w:rFonts w:cs="B Zar" w:hint="cs"/>
          <w:rtl/>
        </w:rPr>
        <w:t>گرفت.</w:t>
      </w:r>
    </w:p>
    <w:p w:rsidR="009C75F3" w:rsidRPr="00B67C5A" w:rsidP="003C0EF5">
      <w:pPr>
        <w:widowControl w:val="0"/>
        <w:spacing w:line="420" w:lineRule="exact"/>
        <w:ind w:left="0" w:right="0"/>
        <w:jc w:val="both"/>
        <w:rPr>
          <w:rFonts w:cs="B Zar" w:hint="cs"/>
          <w:rtl/>
        </w:rPr>
      </w:pPr>
      <w:r w:rsidRPr="00B67C5A">
        <w:rPr>
          <w:rFonts w:cs="B Zar" w:hint="cs"/>
          <w:rtl/>
        </w:rPr>
        <w:t>آميزش فرهنگ هند و ايران نه تنها در تكوين نظريه‌هاي متصوفه و پيروان مكتب اشراقي در ايران، بلكه در گستردگي، عمق و غناي مذاهب هندي نيز بسيار نقش داشته است. دكتر تاراچند، مورخ بزرگ هند نيز، تاثير «اسلامي ـ ايراني» را بر چگونگي ايجاد و توسعه مكتب «</w:t>
      </w:r>
      <w:r w:rsidRPr="00B67C5A">
        <w:rPr>
          <w:rFonts w:cs="B Zar" w:hint="cs"/>
          <w:i/>
          <w:iCs/>
          <w:rtl/>
        </w:rPr>
        <w:t>بهاگتي</w:t>
      </w:r>
      <w:r w:rsidRPr="00B67C5A">
        <w:rPr>
          <w:rFonts w:cs="B Zar" w:hint="cs"/>
          <w:rtl/>
        </w:rPr>
        <w:t>» مورد تاكيد قرار داده است. مطالعة فعل و انفعال و تأثير و تأثّر فرهنگها، حوزه جالب پژوهشي است، اما نياز به مطالعات وسيعي دارد كه از حدود اين اثر خارج است؛ ولي در عين حال، ما ضمن بررسي سير انديشة هند، تأثير متقابل فرهنگها به خصوص مبادله فرهنگي هند و ايران را مدنظر داشته و در خلال بيان وجوه اشتراك و افتراق اديان هندي با دين اسلام، به اين مقوله پرداخته‌ايم. البته بايد يادآور شويم كه مطالعة تطبيقي انديشه نيز بحري است بيكران؛ بنابراين در اين مختصر، مجال نداريم حق اين موضوع را ادا كنيم. اين مبحث را به فرصت‌هاي ديگر و به انديشمندان ديگر واگذار مي‌كنيم.</w:t>
      </w:r>
    </w:p>
    <w:p w:rsidR="009C75F3" w:rsidRPr="00B67C5A" w:rsidP="003C0EF5">
      <w:pPr>
        <w:widowControl w:val="0"/>
        <w:spacing w:line="420" w:lineRule="exact"/>
        <w:ind w:left="0" w:right="0"/>
        <w:jc w:val="both"/>
        <w:rPr>
          <w:rFonts w:cs="B Zar" w:hint="cs"/>
          <w:rtl/>
        </w:rPr>
      </w:pPr>
    </w:p>
    <w:p w:rsidR="00D01F1E" w:rsidP="00D01F1E">
      <w:pPr>
        <w:widowControl w:val="0"/>
        <w:spacing w:line="420" w:lineRule="exact"/>
        <w:ind w:left="0" w:right="0"/>
        <w:jc w:val="both"/>
        <w:rPr>
          <w:rFonts w:cs="B Zar" w:hint="cs"/>
          <w:b/>
          <w:bCs/>
          <w:rtl/>
        </w:rPr>
      </w:pPr>
      <w:r w:rsidRPr="00B67C5A" w:rsidR="0052087B">
        <w:rPr>
          <w:rFonts w:cs="B Zar"/>
          <w:rtl/>
        </w:rPr>
        <w:br w:type="page"/>
      </w:r>
    </w:p>
    <w:p w:rsidR="00D01F1E" w:rsidP="00D01F1E">
      <w:pPr>
        <w:widowControl w:val="0"/>
        <w:spacing w:line="420" w:lineRule="exact"/>
        <w:ind w:left="0" w:right="0"/>
        <w:jc w:val="both"/>
        <w:rPr>
          <w:rFonts w:cs="B Zar" w:hint="cs"/>
          <w:b/>
          <w:bCs/>
          <w:rtl/>
        </w:rPr>
      </w:pPr>
    </w:p>
    <w:p w:rsidR="009C75F3" w:rsidRPr="00B67C5A" w:rsidP="00D01F1E">
      <w:pPr>
        <w:widowControl w:val="0"/>
        <w:spacing w:line="420" w:lineRule="exact"/>
        <w:ind w:left="0" w:right="0"/>
        <w:jc w:val="both"/>
        <w:rPr>
          <w:rFonts w:cs="B Zar" w:hint="cs"/>
          <w:b/>
          <w:bCs/>
          <w:rtl/>
        </w:rPr>
      </w:pPr>
      <w:r w:rsidR="00D01F1E">
        <w:rPr>
          <w:rFonts w:cs="B Zar" w:hint="cs"/>
          <w:b/>
          <w:bCs/>
          <w:rtl/>
        </w:rPr>
        <w:t xml:space="preserve">                                             </w:t>
      </w:r>
      <w:r w:rsidRPr="00B67C5A">
        <w:rPr>
          <w:rFonts w:cs="B Zar" w:hint="cs"/>
          <w:b/>
          <w:bCs/>
          <w:rtl/>
        </w:rPr>
        <w:t>مآخذ بخش</w:t>
      </w:r>
    </w:p>
    <w:p w:rsidR="006F1DAD" w:rsidP="003C0EF5">
      <w:pPr>
        <w:widowControl w:val="0"/>
        <w:bidi w:val="0"/>
        <w:spacing w:line="420" w:lineRule="exact"/>
        <w:rPr>
          <w:rFonts w:cs="B Zar"/>
        </w:rPr>
      </w:pPr>
    </w:p>
    <w:p w:rsidR="009C75F3" w:rsidRPr="00B67C5A" w:rsidP="00D01F1E">
      <w:pPr>
        <w:widowControl w:val="0"/>
        <w:bidi w:val="0"/>
        <w:spacing w:line="320" w:lineRule="exact"/>
        <w:ind w:left="227" w:hanging="227"/>
        <w:rPr>
          <w:rFonts w:cs="B Zar"/>
        </w:rPr>
      </w:pPr>
      <w:r w:rsidRPr="00B67C5A" w:rsidR="0052087B">
        <w:rPr>
          <w:rFonts w:cs="B Zar"/>
        </w:rPr>
        <w:t>-</w:t>
      </w:r>
      <w:r w:rsidR="003F023D">
        <w:rPr>
          <w:rFonts w:cs="B Zar"/>
        </w:rPr>
        <w:t xml:space="preserve"> </w:t>
      </w:r>
      <w:r w:rsidR="00D01F1E">
        <w:rPr>
          <w:rFonts w:cs="B Zar"/>
        </w:rPr>
        <w:tab/>
      </w:r>
      <w:smartTag w:uri="urn:schemas-microsoft-com:office:smarttags" w:element="City">
        <w:r w:rsidRPr="00B67C5A">
          <w:rPr>
            <w:rFonts w:cs="B Zar"/>
          </w:rPr>
          <w:t>Cambridge</w:t>
        </w:r>
      </w:smartTag>
      <w:r w:rsidRPr="00B67C5A">
        <w:rPr>
          <w:rFonts w:cs="B Zar"/>
        </w:rPr>
        <w:t xml:space="preserve"> History of </w:t>
      </w:r>
      <w:smartTag w:uri="urn:schemas-microsoft-com:office:smarttags" w:element="country-region">
        <w:r w:rsidRPr="00B67C5A">
          <w:rPr>
            <w:rFonts w:cs="B Zar"/>
          </w:rPr>
          <w:t>India</w:t>
        </w:r>
      </w:smartTag>
      <w:r w:rsidRPr="00B67C5A">
        <w:rPr>
          <w:rFonts w:cs="B Zar"/>
        </w:rPr>
        <w:t xml:space="preserve">, </w:t>
      </w:r>
      <w:smartTag w:uri="urn:schemas-microsoft-com:office:smarttags" w:element="place">
        <w:smartTag w:uri="urn:schemas-microsoft-com:office:smarttags" w:element="City">
          <w:r w:rsidRPr="00B67C5A">
            <w:rPr>
              <w:rFonts w:cs="B Zar"/>
            </w:rPr>
            <w:t>London</w:t>
          </w:r>
        </w:smartTag>
      </w:smartTag>
      <w:r w:rsidRPr="00B67C5A">
        <w:rPr>
          <w:rFonts w:cs="B Zar"/>
        </w:rPr>
        <w:t>, 19</w:t>
      </w:r>
      <w:r w:rsidRPr="00B67C5A">
        <w:rPr>
          <w:rFonts w:cs="B Zar"/>
        </w:rPr>
        <w:t>65</w:t>
      </w:r>
    </w:p>
    <w:p w:rsidR="009C75F3" w:rsidRPr="00B67C5A" w:rsidP="00D01F1E">
      <w:pPr>
        <w:widowControl w:val="0"/>
        <w:bidi w:val="0"/>
        <w:spacing w:line="320" w:lineRule="exact"/>
        <w:ind w:left="227" w:hanging="227"/>
        <w:rPr>
          <w:rFonts w:cs="B Zar"/>
        </w:rPr>
      </w:pPr>
      <w:r w:rsidRPr="00B67C5A" w:rsidR="0052087B">
        <w:rPr>
          <w:rFonts w:cs="B Zar"/>
        </w:rPr>
        <w:t xml:space="preserve">- </w:t>
      </w:r>
      <w:r w:rsidR="00D01F1E">
        <w:rPr>
          <w:rFonts w:cs="B Zar"/>
        </w:rPr>
        <w:tab/>
      </w:r>
      <w:r w:rsidRPr="00B67C5A">
        <w:rPr>
          <w:rFonts w:cs="B Zar"/>
        </w:rPr>
        <w:t>Das Gupta: The Histor</w:t>
      </w:r>
      <w:r w:rsidR="00316E36">
        <w:rPr>
          <w:rFonts w:cs="B Zar"/>
        </w:rPr>
        <w:t>y of the Indian Philosophy Vol.</w:t>
      </w:r>
      <w:r w:rsidRPr="00B67C5A">
        <w:rPr>
          <w:rFonts w:cs="B Zar"/>
        </w:rPr>
        <w:t>,</w:t>
      </w:r>
      <w:r w:rsidR="003A1037">
        <w:rPr>
          <w:rFonts w:cs="B Zar"/>
        </w:rPr>
        <w:t xml:space="preserve"> </w:t>
      </w:r>
      <w:smartTag w:uri="urn:schemas-microsoft-com:office:smarttags" w:element="place">
        <w:smartTag w:uri="urn:schemas-microsoft-com:office:smarttags" w:element="City">
          <w:r w:rsidRPr="00B67C5A">
            <w:rPr>
              <w:rFonts w:cs="B Zar"/>
            </w:rPr>
            <w:t>New Delhi</w:t>
          </w:r>
        </w:smartTag>
      </w:smartTag>
      <w:r w:rsidRPr="00B67C5A">
        <w:rPr>
          <w:rFonts w:cs="B Zar"/>
        </w:rPr>
        <w:t>, 1965,</w:t>
      </w:r>
    </w:p>
    <w:p w:rsidR="009C75F3" w:rsidRPr="00B67C5A" w:rsidP="00D01F1E">
      <w:pPr>
        <w:widowControl w:val="0"/>
        <w:bidi w:val="0"/>
        <w:spacing w:line="320" w:lineRule="exact"/>
        <w:ind w:left="227" w:hanging="227"/>
        <w:rPr>
          <w:rFonts w:cs="B Zar"/>
          <w:rtl/>
        </w:rPr>
      </w:pPr>
      <w:r w:rsidRPr="00B67C5A" w:rsidR="0052087B">
        <w:rPr>
          <w:rFonts w:cs="B Zar"/>
        </w:rPr>
        <w:t xml:space="preserve">- </w:t>
      </w:r>
      <w:r w:rsidR="00D01F1E">
        <w:rPr>
          <w:rFonts w:cs="B Zar"/>
        </w:rPr>
        <w:tab/>
      </w:r>
      <w:r w:rsidRPr="00B67C5A">
        <w:rPr>
          <w:rFonts w:cs="B Zar"/>
        </w:rPr>
        <w:t>Gibbon: The Rise and Fall of the Roman Emp</w:t>
      </w:r>
      <w:r w:rsidR="006728B7">
        <w:rPr>
          <w:rFonts w:cs="B Zar"/>
        </w:rPr>
        <w:t>i</w:t>
      </w:r>
      <w:r w:rsidRPr="00B67C5A">
        <w:rPr>
          <w:rFonts w:cs="B Zar"/>
        </w:rPr>
        <w:t>r</w:t>
      </w:r>
      <w:r w:rsidR="006728B7">
        <w:rPr>
          <w:rFonts w:cs="B Zar"/>
        </w:rPr>
        <w:t>e</w:t>
      </w:r>
      <w:r w:rsidRPr="00B67C5A">
        <w:rPr>
          <w:rFonts w:cs="B Zar"/>
        </w:rPr>
        <w:t xml:space="preserve">, </w:t>
      </w:r>
      <w:smartTag w:uri="urn:schemas-microsoft-com:office:smarttags" w:element="place">
        <w:smartTag w:uri="urn:schemas-microsoft-com:office:smarttags" w:element="City">
          <w:r w:rsidRPr="00B67C5A">
            <w:rPr>
              <w:rFonts w:cs="B Zar"/>
            </w:rPr>
            <w:t>London</w:t>
          </w:r>
        </w:smartTag>
      </w:smartTag>
      <w:r w:rsidRPr="00B67C5A">
        <w:rPr>
          <w:rFonts w:cs="B Zar"/>
        </w:rPr>
        <w:t>, 1962</w:t>
      </w:r>
    </w:p>
    <w:p w:rsidR="009C75F3" w:rsidRPr="00B67C5A" w:rsidP="00D01F1E">
      <w:pPr>
        <w:widowControl w:val="0"/>
        <w:bidi w:val="0"/>
        <w:spacing w:line="320" w:lineRule="exact"/>
        <w:ind w:left="227" w:hanging="227"/>
        <w:rPr>
          <w:rFonts w:cs="B Zar"/>
        </w:rPr>
      </w:pPr>
      <w:r w:rsidRPr="00B67C5A" w:rsidR="0052087B">
        <w:rPr>
          <w:rFonts w:cs="B Zar"/>
        </w:rPr>
        <w:t xml:space="preserve">- </w:t>
      </w:r>
      <w:r w:rsidRPr="00B67C5A">
        <w:rPr>
          <w:rFonts w:cs="B Zar"/>
        </w:rPr>
        <w:t xml:space="preserve">S. Radhakrishnan: The Principal Upanishads, Introduction, </w:t>
      </w:r>
      <w:smartTag w:uri="urn:schemas-microsoft-com:office:smarttags" w:element="place">
        <w:smartTag w:uri="urn:schemas-microsoft-com:office:smarttags" w:element="City">
          <w:r w:rsidRPr="00B67C5A">
            <w:rPr>
              <w:rFonts w:cs="B Zar"/>
            </w:rPr>
            <w:t>New Delhi</w:t>
          </w:r>
        </w:smartTag>
      </w:smartTag>
      <w:r w:rsidRPr="00B67C5A">
        <w:rPr>
          <w:rFonts w:cs="B Zar"/>
        </w:rPr>
        <w:t xml:space="preserve"> 1958</w:t>
      </w:r>
    </w:p>
    <w:p w:rsidR="00FC2FC4" w:rsidRPr="00B67C5A" w:rsidP="003A1037">
      <w:pPr>
        <w:widowControl w:val="0"/>
        <w:spacing w:line="420" w:lineRule="exact"/>
        <w:ind w:left="227" w:right="0" w:hanging="227"/>
        <w:jc w:val="both"/>
        <w:rPr>
          <w:rFonts w:cs="B Zar" w:hint="cs"/>
          <w:rtl/>
        </w:rPr>
      </w:pPr>
      <w:r w:rsidRPr="00B67C5A">
        <w:rPr>
          <w:rFonts w:cs="B Zar" w:hint="cs"/>
          <w:rtl/>
          <w:lang w:bidi="fa-IR"/>
        </w:rPr>
        <w:t xml:space="preserve">- </w:t>
      </w:r>
      <w:r w:rsidRPr="00B67C5A" w:rsidR="009C75F3">
        <w:rPr>
          <w:rFonts w:cs="B Zar" w:hint="cs"/>
          <w:rtl/>
        </w:rPr>
        <w:t>قرآن كريم</w:t>
      </w:r>
    </w:p>
    <w:p w:rsidR="009C75F3" w:rsidRPr="00B67C5A" w:rsidP="003A1037">
      <w:pPr>
        <w:widowControl w:val="0"/>
        <w:spacing w:line="420" w:lineRule="exact"/>
        <w:ind w:left="227" w:right="0" w:hanging="227"/>
        <w:jc w:val="both"/>
        <w:rPr>
          <w:rFonts w:cs="B Zar"/>
          <w:rtl/>
        </w:rPr>
      </w:pPr>
      <w:r w:rsidRPr="00B67C5A" w:rsidR="00FC2FC4">
        <w:rPr>
          <w:rFonts w:cs="B Zar" w:hint="cs"/>
          <w:rtl/>
        </w:rPr>
        <w:t xml:space="preserve">- </w:t>
      </w:r>
      <w:r w:rsidRPr="00B67C5A">
        <w:rPr>
          <w:rFonts w:cs="B Zar" w:hint="cs"/>
          <w:rtl/>
        </w:rPr>
        <w:t>ابن النديم: الفهرست ترجمه  محمذ رضا نجدد، انتشارات امير كبير تهران 1366</w:t>
      </w:r>
    </w:p>
    <w:p w:rsidR="009C75F3" w:rsidRPr="00B67C5A" w:rsidP="003A1037">
      <w:pPr>
        <w:widowControl w:val="0"/>
        <w:spacing w:line="420" w:lineRule="exact"/>
        <w:ind w:left="227" w:right="0" w:hanging="227"/>
        <w:jc w:val="both"/>
        <w:rPr>
          <w:rFonts w:cs="B Zar" w:hint="cs"/>
          <w:rtl/>
        </w:rPr>
      </w:pPr>
      <w:r w:rsidRPr="00B67C5A" w:rsidR="00FC2FC4">
        <w:rPr>
          <w:rFonts w:cs="B Zar" w:hint="cs"/>
          <w:rtl/>
        </w:rPr>
        <w:t xml:space="preserve">- </w:t>
      </w:r>
      <w:r w:rsidRPr="00B67C5A">
        <w:rPr>
          <w:rFonts w:cs="B Zar" w:hint="cs"/>
          <w:rtl/>
        </w:rPr>
        <w:t xml:space="preserve">ابن حزم: </w:t>
      </w:r>
      <w:r w:rsidRPr="00B67C5A" w:rsidR="00FC2FC4">
        <w:rPr>
          <w:rFonts w:cs="B Zar" w:hint="cs"/>
          <w:rtl/>
        </w:rPr>
        <w:t>ال</w:t>
      </w:r>
      <w:r w:rsidRPr="00B67C5A">
        <w:rPr>
          <w:rFonts w:cs="B Zar" w:hint="cs"/>
          <w:rtl/>
        </w:rPr>
        <w:t>ملل والنحل</w:t>
      </w:r>
    </w:p>
    <w:p w:rsidR="009C75F3" w:rsidRPr="00B67C5A" w:rsidP="003A1037">
      <w:pPr>
        <w:widowControl w:val="0"/>
        <w:spacing w:line="420" w:lineRule="exact"/>
        <w:ind w:left="227" w:right="0" w:hanging="227"/>
        <w:jc w:val="both"/>
        <w:rPr>
          <w:rFonts w:cs="B Zar" w:hint="cs"/>
          <w:rtl/>
        </w:rPr>
      </w:pPr>
      <w:r w:rsidRPr="00B67C5A" w:rsidR="00FC2FC4">
        <w:rPr>
          <w:rFonts w:cs="B Zar" w:hint="cs"/>
          <w:rtl/>
        </w:rPr>
        <w:t xml:space="preserve">- </w:t>
      </w:r>
      <w:r w:rsidRPr="00B67C5A">
        <w:rPr>
          <w:rFonts w:cs="B Zar" w:hint="cs"/>
          <w:rtl/>
        </w:rPr>
        <w:t>ابوريحان بيروني: «تحقيق ماللهند» ، لكهن</w:t>
      </w:r>
      <w:r w:rsidRPr="00B67C5A" w:rsidR="00FC2FC4">
        <w:rPr>
          <w:rFonts w:cs="B Zar" w:hint="cs"/>
          <w:rtl/>
        </w:rPr>
        <w:t>و</w:t>
      </w:r>
      <w:r w:rsidRPr="00B67C5A">
        <w:rPr>
          <w:rFonts w:cs="B Zar" w:hint="cs"/>
          <w:rtl/>
        </w:rPr>
        <w:t>، 1936</w:t>
      </w:r>
    </w:p>
    <w:p w:rsidR="009C75F3" w:rsidRPr="00B67C5A" w:rsidP="003A1037">
      <w:pPr>
        <w:widowControl w:val="0"/>
        <w:spacing w:line="420" w:lineRule="exact"/>
        <w:ind w:left="227" w:right="0" w:hanging="227"/>
        <w:jc w:val="both"/>
        <w:rPr>
          <w:rFonts w:cs="B Zar" w:hint="cs"/>
          <w:rtl/>
        </w:rPr>
      </w:pPr>
      <w:r w:rsidRPr="00B67C5A" w:rsidR="00FC2FC4">
        <w:rPr>
          <w:rFonts w:cs="B Zar" w:hint="cs"/>
          <w:rtl/>
        </w:rPr>
        <w:t xml:space="preserve">-  </w:t>
      </w:r>
      <w:r w:rsidRPr="00B67C5A">
        <w:rPr>
          <w:rFonts w:cs="B Zar" w:hint="cs"/>
          <w:rtl/>
        </w:rPr>
        <w:t>الخوئ: معجم الرجال الحديث، نجف،1378-1398</w:t>
      </w:r>
    </w:p>
    <w:p w:rsidR="009C75F3" w:rsidRPr="00B67C5A" w:rsidP="003A1037">
      <w:pPr>
        <w:widowControl w:val="0"/>
        <w:spacing w:line="420" w:lineRule="exact"/>
        <w:ind w:left="227" w:right="0" w:hanging="227"/>
        <w:jc w:val="both"/>
        <w:rPr>
          <w:rFonts w:cs="B Zar" w:hint="cs"/>
          <w:rtl/>
        </w:rPr>
      </w:pPr>
      <w:r w:rsidRPr="00B67C5A" w:rsidR="00FC2FC4">
        <w:rPr>
          <w:rFonts w:cs="B Zar" w:hint="cs"/>
          <w:rtl/>
        </w:rPr>
        <w:t xml:space="preserve">- </w:t>
      </w:r>
      <w:r w:rsidRPr="00B67C5A">
        <w:rPr>
          <w:rFonts w:cs="B Zar" w:hint="cs"/>
          <w:rtl/>
        </w:rPr>
        <w:t xml:space="preserve">دينوري: اخبارالطوال، ص 49، نجف </w:t>
      </w:r>
    </w:p>
    <w:p w:rsidR="009C75F3" w:rsidRPr="00B67C5A" w:rsidP="003A1037">
      <w:pPr>
        <w:widowControl w:val="0"/>
        <w:spacing w:line="420" w:lineRule="exact"/>
        <w:ind w:left="227" w:right="0" w:hanging="227"/>
        <w:jc w:val="both"/>
        <w:rPr>
          <w:rFonts w:cs="B Zar" w:hint="cs"/>
          <w:rtl/>
        </w:rPr>
      </w:pPr>
      <w:r w:rsidRPr="00B67C5A" w:rsidR="00FC2FC4">
        <w:rPr>
          <w:rFonts w:cs="B Zar" w:hint="cs"/>
          <w:rtl/>
        </w:rPr>
        <w:t xml:space="preserve">- </w:t>
      </w:r>
      <w:r w:rsidRPr="00B67C5A">
        <w:rPr>
          <w:rFonts w:cs="B Zar" w:hint="cs"/>
          <w:rtl/>
        </w:rPr>
        <w:t>زركلي</w:t>
      </w:r>
      <w:r w:rsidRPr="00B67C5A">
        <w:rPr>
          <w:rFonts w:hint="cs"/>
          <w:rtl/>
        </w:rPr>
        <w:t>‚</w:t>
      </w:r>
      <w:r w:rsidRPr="00B67C5A">
        <w:rPr>
          <w:rFonts w:cs="B Zar" w:hint="cs"/>
          <w:rtl/>
        </w:rPr>
        <w:t xml:space="preserve"> الاعلام،</w:t>
      </w:r>
    </w:p>
    <w:p w:rsidR="009C75F3" w:rsidRPr="00B67C5A" w:rsidP="003A1037">
      <w:pPr>
        <w:widowControl w:val="0"/>
        <w:spacing w:line="420" w:lineRule="exact"/>
        <w:ind w:left="227" w:right="0" w:hanging="227"/>
        <w:jc w:val="both"/>
        <w:rPr>
          <w:rFonts w:cs="B Zar" w:hint="cs"/>
          <w:rtl/>
        </w:rPr>
      </w:pPr>
      <w:r w:rsidRPr="00B67C5A" w:rsidR="00FC2FC4">
        <w:rPr>
          <w:rFonts w:cs="B Zar" w:hint="cs"/>
          <w:rtl/>
        </w:rPr>
        <w:t xml:space="preserve">- </w:t>
      </w:r>
      <w:r w:rsidRPr="00B67C5A">
        <w:rPr>
          <w:rFonts w:cs="B Zar" w:hint="cs"/>
          <w:rtl/>
        </w:rPr>
        <w:t>شهرستاني: ملل والنحل</w:t>
      </w:r>
    </w:p>
    <w:p w:rsidR="009C75F3" w:rsidRPr="00B67C5A" w:rsidP="003A1037">
      <w:pPr>
        <w:widowControl w:val="0"/>
        <w:spacing w:line="420" w:lineRule="exact"/>
        <w:ind w:left="227" w:right="0" w:hanging="227"/>
        <w:jc w:val="both"/>
        <w:rPr>
          <w:rFonts w:cs="B Zar"/>
          <w:rtl/>
        </w:rPr>
      </w:pPr>
      <w:r w:rsidRPr="00B67C5A" w:rsidR="00FC2FC4">
        <w:rPr>
          <w:rFonts w:cs="B Zar" w:hint="cs"/>
          <w:rtl/>
        </w:rPr>
        <w:t xml:space="preserve">- </w:t>
      </w:r>
      <w:r w:rsidRPr="00B67C5A">
        <w:rPr>
          <w:rFonts w:cs="B Zar" w:hint="cs"/>
          <w:rtl/>
        </w:rPr>
        <w:t xml:space="preserve">شيخ طوسي: اختبار معرفه‌الرجال معروف به رجال كشي، احوال ابنِ نوبختي، تهران.1352 </w:t>
      </w:r>
    </w:p>
    <w:p w:rsidR="009C75F3" w:rsidRPr="00B67C5A" w:rsidP="003A1037">
      <w:pPr>
        <w:widowControl w:val="0"/>
        <w:spacing w:line="420" w:lineRule="exact"/>
        <w:ind w:left="227" w:right="0" w:hanging="227"/>
        <w:jc w:val="both"/>
        <w:rPr>
          <w:rFonts w:cs="B Zar"/>
          <w:rtl/>
        </w:rPr>
      </w:pPr>
      <w:r w:rsidRPr="00B67C5A" w:rsidR="00FC2FC4">
        <w:rPr>
          <w:rFonts w:cs="B Zar" w:hint="cs"/>
          <w:rtl/>
        </w:rPr>
        <w:t xml:space="preserve">- </w:t>
      </w:r>
      <w:r w:rsidRPr="00B67C5A">
        <w:rPr>
          <w:rFonts w:cs="B Zar" w:hint="cs"/>
          <w:rtl/>
        </w:rPr>
        <w:t>طبري: تاريخ الرسل و الملوك،ترجمه پاينده، تهران، 13621356</w:t>
      </w:r>
    </w:p>
    <w:p w:rsidR="009C75F3" w:rsidRPr="00B67C5A" w:rsidP="003A1037">
      <w:pPr>
        <w:widowControl w:val="0"/>
        <w:spacing w:line="420" w:lineRule="exact"/>
        <w:ind w:left="227" w:right="0" w:hanging="227"/>
        <w:jc w:val="both"/>
        <w:rPr>
          <w:rFonts w:cs="B Zar"/>
          <w:rtl/>
        </w:rPr>
      </w:pPr>
      <w:r w:rsidRPr="00B67C5A" w:rsidR="00FC2FC4">
        <w:rPr>
          <w:rFonts w:cs="B Zar" w:hint="cs"/>
          <w:rtl/>
        </w:rPr>
        <w:t xml:space="preserve">- </w:t>
      </w:r>
      <w:r w:rsidRPr="00B67C5A">
        <w:rPr>
          <w:rFonts w:cs="B Zar" w:hint="cs"/>
          <w:rtl/>
        </w:rPr>
        <w:t>مسعودي: التنبيه والاشراف،،ترحنه پاينده، تهران، 1349</w:t>
      </w:r>
    </w:p>
    <w:p w:rsidR="009C75F3" w:rsidRPr="00B67C5A" w:rsidP="003C0EF5">
      <w:pPr>
        <w:widowControl w:val="0"/>
        <w:spacing w:line="420" w:lineRule="exact"/>
        <w:ind w:left="0" w:right="0"/>
        <w:jc w:val="both"/>
        <w:rPr>
          <w:rFonts w:cs="B Zar"/>
          <w:rtl/>
        </w:rPr>
      </w:pPr>
      <w:r w:rsidRPr="00B67C5A" w:rsidR="00FC2FC4">
        <w:rPr>
          <w:rFonts w:cs="B Zar" w:hint="cs"/>
          <w:rtl/>
        </w:rPr>
        <w:t xml:space="preserve">- </w:t>
      </w:r>
      <w:r w:rsidRPr="00B67C5A">
        <w:rPr>
          <w:rFonts w:cs="B Zar" w:hint="cs"/>
          <w:rtl/>
        </w:rPr>
        <w:t>منتهي الارب،</w:t>
      </w:r>
    </w:p>
    <w:p w:rsidR="009C75F3" w:rsidRPr="00B67C5A" w:rsidP="003C0EF5">
      <w:pPr>
        <w:widowControl w:val="0"/>
        <w:spacing w:line="420" w:lineRule="exact"/>
        <w:ind w:left="0" w:right="0"/>
        <w:jc w:val="both"/>
        <w:rPr>
          <w:rFonts w:cs="B Zar"/>
          <w:rtl/>
        </w:rPr>
      </w:pPr>
      <w:r w:rsidRPr="00B67C5A" w:rsidR="00FC2FC4">
        <w:rPr>
          <w:rFonts w:cs="B Zar" w:hint="cs"/>
          <w:rtl/>
        </w:rPr>
        <w:t xml:space="preserve">- </w:t>
      </w:r>
      <w:r w:rsidRPr="00B67C5A">
        <w:rPr>
          <w:rFonts w:cs="B Zar" w:hint="cs"/>
          <w:rtl/>
        </w:rPr>
        <w:t>المنجد</w:t>
      </w:r>
    </w:p>
    <w:p w:rsidR="009C75F3" w:rsidRPr="00B67C5A" w:rsidP="00D01F1E">
      <w:pPr>
        <w:widowControl w:val="0"/>
        <w:spacing w:line="420" w:lineRule="exact"/>
        <w:ind w:left="227" w:right="0" w:hanging="227"/>
        <w:jc w:val="both"/>
        <w:rPr>
          <w:rFonts w:cs="B Zar"/>
          <w:rtl/>
        </w:rPr>
      </w:pPr>
      <w:r w:rsidRPr="00B67C5A" w:rsidR="00FC2FC4">
        <w:rPr>
          <w:rFonts w:cs="B Zar" w:hint="cs"/>
          <w:rtl/>
        </w:rPr>
        <w:t xml:space="preserve">- </w:t>
      </w:r>
      <w:r w:rsidRPr="00B67C5A">
        <w:rPr>
          <w:rFonts w:cs="B Zar" w:hint="cs"/>
          <w:rtl/>
        </w:rPr>
        <w:t>مسعودي: مروج الذهب، بيروت،139</w:t>
      </w:r>
    </w:p>
    <w:p w:rsidR="009C75F3" w:rsidRPr="00B67C5A" w:rsidP="00D01F1E">
      <w:pPr>
        <w:widowControl w:val="0"/>
        <w:spacing w:line="420" w:lineRule="exact"/>
        <w:ind w:left="227" w:right="0" w:hanging="227"/>
        <w:jc w:val="both"/>
        <w:rPr>
          <w:rFonts w:cs="B Zar" w:hint="cs"/>
          <w:rtl/>
        </w:rPr>
      </w:pPr>
      <w:r w:rsidRPr="00B67C5A" w:rsidR="00FC2FC4">
        <w:rPr>
          <w:rFonts w:cs="B Zar" w:hint="cs"/>
          <w:rtl/>
        </w:rPr>
        <w:t xml:space="preserve">- </w:t>
      </w:r>
      <w:r w:rsidRPr="00B67C5A">
        <w:rPr>
          <w:rFonts w:cs="B Zar" w:hint="cs"/>
          <w:rtl/>
        </w:rPr>
        <w:t>يعقوبي، تاريخ، ج 1، ص 79، تهران، ترجمه ابراهيم ايتي، انتشارات علمي، تهران،1366</w:t>
      </w:r>
    </w:p>
    <w:p w:rsidR="0011420A" w:rsidRPr="00C0097A" w:rsidP="003C0EF5">
      <w:pPr>
        <w:widowControl w:val="0"/>
        <w:bidi w:val="0"/>
        <w:spacing w:line="420" w:lineRule="exact"/>
        <w:ind w:firstLine="567"/>
        <w:jc w:val="center"/>
        <w:rPr>
          <w:rFonts w:cs="B Zar"/>
          <w:sz w:val="28"/>
          <w:lang w:bidi="fa-IR"/>
        </w:rPr>
      </w:pPr>
      <w:r>
        <w:rPr>
          <w:rFonts w:cs="B Zar"/>
          <w:rtl/>
          <w:lang w:bidi="fa-IR"/>
        </w:rPr>
        <w:br w:type="page"/>
      </w:r>
    </w:p>
    <w:p w:rsidR="0011420A" w:rsidRPr="00C0097A" w:rsidP="003C0EF5">
      <w:pPr>
        <w:widowControl w:val="0"/>
        <w:spacing w:line="420" w:lineRule="exact"/>
        <w:ind w:left="0" w:right="0" w:firstLine="567"/>
        <w:jc w:val="center"/>
        <w:rPr>
          <w:rFonts w:cs="B Zar" w:hint="cs"/>
          <w:sz w:val="28"/>
          <w:rtl/>
        </w:rPr>
      </w:pPr>
    </w:p>
    <w:p w:rsidR="0011420A" w:rsidRPr="00C0097A" w:rsidP="003C0EF5">
      <w:pPr>
        <w:widowControl w:val="0"/>
        <w:bidi w:val="0"/>
        <w:spacing w:line="420" w:lineRule="exact"/>
        <w:ind w:firstLine="567"/>
        <w:jc w:val="center"/>
        <w:rPr>
          <w:rFonts w:cs="B Zar"/>
          <w:sz w:val="28"/>
        </w:rPr>
      </w:pPr>
    </w:p>
    <w:p w:rsidR="0011420A" w:rsidRPr="00C0097A" w:rsidP="003C0EF5">
      <w:pPr>
        <w:widowControl w:val="0"/>
        <w:spacing w:line="420" w:lineRule="exact"/>
        <w:ind w:left="0" w:right="0" w:firstLine="567"/>
        <w:jc w:val="center"/>
        <w:rPr>
          <w:rFonts w:cs="B Zar" w:hint="cs"/>
          <w:sz w:val="28"/>
          <w:rtl/>
        </w:rPr>
      </w:pPr>
    </w:p>
    <w:p w:rsidR="0011420A" w:rsidRPr="00C0097A" w:rsidP="003C0EF5">
      <w:pPr>
        <w:widowControl w:val="0"/>
        <w:spacing w:line="420" w:lineRule="exact"/>
        <w:ind w:left="0" w:right="0" w:firstLine="567"/>
        <w:jc w:val="center"/>
        <w:rPr>
          <w:rFonts w:cs="B Zar" w:hint="cs"/>
          <w:sz w:val="28"/>
          <w:rtl/>
        </w:rPr>
      </w:pPr>
    </w:p>
    <w:p w:rsidR="00D01F1E" w:rsidP="003C0EF5">
      <w:pPr>
        <w:pStyle w:val="Heading1"/>
        <w:keepNext w:val="0"/>
        <w:widowControl w:val="0"/>
        <w:spacing w:line="420" w:lineRule="exact"/>
        <w:ind w:left="0" w:right="0"/>
        <w:jc w:val="center"/>
        <w:rPr>
          <w:rFonts w:cs="B Zar" w:hint="cs"/>
          <w:sz w:val="28"/>
          <w:szCs w:val="28"/>
          <w:rtl/>
        </w:rPr>
      </w:pPr>
      <w:bookmarkStart w:id="0" w:name="_Toc110442164"/>
    </w:p>
    <w:p w:rsidR="0011420A" w:rsidRPr="00C0097A" w:rsidP="003C0EF5">
      <w:pPr>
        <w:pStyle w:val="Heading1"/>
        <w:keepNext w:val="0"/>
        <w:widowControl w:val="0"/>
        <w:spacing w:line="420" w:lineRule="exact"/>
        <w:ind w:left="0" w:right="0"/>
        <w:jc w:val="center"/>
        <w:rPr>
          <w:rFonts w:cs="B Zar" w:hint="cs"/>
          <w:sz w:val="28"/>
          <w:szCs w:val="28"/>
          <w:rtl/>
        </w:rPr>
      </w:pPr>
      <w:r w:rsidRPr="00C0097A">
        <w:rPr>
          <w:rFonts w:cs="B Zar" w:hint="cs"/>
          <w:sz w:val="28"/>
          <w:szCs w:val="28"/>
          <w:rtl/>
        </w:rPr>
        <w:t>بخش اول</w:t>
      </w:r>
      <w:bookmarkEnd w:id="0"/>
    </w:p>
    <w:p w:rsidR="0011420A" w:rsidRPr="00C0097A" w:rsidP="003C0EF5">
      <w:pPr>
        <w:widowControl w:val="0"/>
        <w:spacing w:line="420" w:lineRule="exact"/>
        <w:ind w:left="0" w:right="0"/>
        <w:jc w:val="center"/>
        <w:rPr>
          <w:rFonts w:cs="B Zar" w:hint="cs"/>
          <w:b/>
          <w:bCs/>
          <w:sz w:val="28"/>
          <w:rtl/>
        </w:rPr>
      </w:pPr>
    </w:p>
    <w:p w:rsidR="0011420A" w:rsidRPr="00C0097A" w:rsidP="003C0EF5">
      <w:pPr>
        <w:widowControl w:val="0"/>
        <w:spacing w:line="420" w:lineRule="exact"/>
        <w:ind w:left="0" w:right="0"/>
        <w:jc w:val="center"/>
        <w:rPr>
          <w:rFonts w:cs="B Zar" w:hint="cs"/>
          <w:b/>
          <w:bCs/>
          <w:sz w:val="28"/>
          <w:rtl/>
        </w:rPr>
      </w:pPr>
    </w:p>
    <w:p w:rsidR="0011420A" w:rsidRPr="00C0097A" w:rsidP="003C0EF5">
      <w:pPr>
        <w:pStyle w:val="Heading1"/>
        <w:keepNext w:val="0"/>
        <w:widowControl w:val="0"/>
        <w:spacing w:line="420" w:lineRule="exact"/>
        <w:ind w:left="0" w:right="0"/>
        <w:jc w:val="center"/>
        <w:rPr>
          <w:rFonts w:cs="B Zar" w:hint="cs"/>
          <w:sz w:val="28"/>
          <w:szCs w:val="28"/>
          <w:rtl/>
        </w:rPr>
      </w:pPr>
      <w:bookmarkStart w:id="1" w:name="_Toc110442165"/>
      <w:r w:rsidR="009B146E">
        <w:rPr>
          <w:rFonts w:cs="B Zar" w:hint="cs"/>
          <w:sz w:val="28"/>
          <w:szCs w:val="28"/>
          <w:rtl/>
        </w:rPr>
        <w:t>سير</w:t>
      </w:r>
      <w:r w:rsidRPr="00C0097A">
        <w:rPr>
          <w:rFonts w:cs="B Zar" w:hint="cs"/>
          <w:sz w:val="28"/>
          <w:szCs w:val="28"/>
          <w:rtl/>
        </w:rPr>
        <w:t>تكوين فرهنگ هند</w:t>
      </w:r>
      <w:bookmarkEnd w:id="1"/>
    </w:p>
    <w:p w:rsidR="0011420A" w:rsidRPr="00C0097A" w:rsidP="003C0EF5">
      <w:pPr>
        <w:widowControl w:val="0"/>
        <w:spacing w:line="420" w:lineRule="exact"/>
        <w:ind w:left="0" w:right="0"/>
        <w:jc w:val="center"/>
        <w:rPr>
          <w:rFonts w:cs="B Zar" w:hint="cs"/>
          <w:b/>
          <w:bCs/>
          <w:sz w:val="28"/>
          <w:rtl/>
        </w:rPr>
      </w:pPr>
    </w:p>
    <w:p w:rsidR="0011420A" w:rsidRPr="00C0097A" w:rsidP="003C0EF5">
      <w:pPr>
        <w:pStyle w:val="Heading1"/>
        <w:keepNext w:val="0"/>
        <w:widowControl w:val="0"/>
        <w:spacing w:line="420" w:lineRule="exact"/>
        <w:ind w:left="0" w:right="0"/>
        <w:jc w:val="center"/>
        <w:rPr>
          <w:rFonts w:cs="B Zar"/>
          <w:sz w:val="28"/>
          <w:szCs w:val="28"/>
          <w:rtl/>
        </w:rPr>
      </w:pPr>
      <w:bookmarkStart w:id="2" w:name="_Toc110442166"/>
      <w:r w:rsidRPr="00C0097A">
        <w:rPr>
          <w:rFonts w:cs="B Zar" w:hint="cs"/>
          <w:sz w:val="28"/>
          <w:szCs w:val="28"/>
          <w:rtl/>
        </w:rPr>
        <w:t>دوران باستان</w:t>
      </w:r>
      <w:bookmarkEnd w:id="2"/>
    </w:p>
    <w:p w:rsidR="0011420A" w:rsidP="003C0EF5">
      <w:pPr>
        <w:widowControl w:val="0"/>
        <w:spacing w:line="420" w:lineRule="exact"/>
        <w:ind w:left="0" w:right="0" w:firstLine="567"/>
        <w:jc w:val="center"/>
        <w:rPr>
          <w:rFonts w:cs="B Zar" w:hint="cs"/>
          <w:b/>
          <w:bCs/>
          <w:sz w:val="28"/>
          <w:rtl/>
        </w:rPr>
      </w:pPr>
      <w:r w:rsidRPr="00C0097A">
        <w:rPr>
          <w:rFonts w:cs="B Zar"/>
          <w:b/>
          <w:bCs/>
          <w:sz w:val="28"/>
          <w:rtl/>
        </w:rPr>
        <w:br w:type="page"/>
      </w:r>
    </w:p>
    <w:p w:rsidR="00D01F1E" w:rsidRPr="00C0097A" w:rsidP="003C0EF5">
      <w:pPr>
        <w:widowControl w:val="0"/>
        <w:spacing w:line="420" w:lineRule="exact"/>
        <w:ind w:left="0" w:right="0" w:firstLine="567"/>
        <w:jc w:val="center"/>
        <w:rPr>
          <w:rFonts w:cs="B Zar" w:hint="cs"/>
          <w:b/>
          <w:bCs/>
          <w:sz w:val="28"/>
          <w:rtl/>
        </w:rPr>
      </w:pPr>
    </w:p>
    <w:p w:rsidR="0011420A" w:rsidRPr="00C0097A" w:rsidP="003C0EF5">
      <w:pPr>
        <w:pStyle w:val="Heading2"/>
        <w:keepNext w:val="0"/>
        <w:widowControl w:val="0"/>
        <w:spacing w:line="420" w:lineRule="exact"/>
        <w:ind w:left="0" w:right="0"/>
        <w:jc w:val="center"/>
        <w:rPr>
          <w:rFonts w:cs="B Zar" w:hint="cs"/>
          <w:sz w:val="28"/>
          <w:szCs w:val="28"/>
          <w:rtl/>
        </w:rPr>
      </w:pPr>
      <w:bookmarkStart w:id="3" w:name="_Toc110442168"/>
      <w:r w:rsidRPr="00C0097A">
        <w:rPr>
          <w:rFonts w:cs="B Zar" w:hint="cs"/>
          <w:sz w:val="28"/>
          <w:szCs w:val="28"/>
          <w:rtl/>
        </w:rPr>
        <w:t>عناصر دخيل در تكوين فرهنگ هند</w:t>
      </w:r>
      <w:bookmarkEnd w:id="3"/>
    </w:p>
    <w:p w:rsidR="0011420A" w:rsidRPr="00C0097A" w:rsidP="003C0EF5">
      <w:pPr>
        <w:pStyle w:val="Heading1"/>
        <w:keepNext w:val="0"/>
        <w:widowControl w:val="0"/>
        <w:spacing w:line="420" w:lineRule="exact"/>
        <w:ind w:left="0" w:right="0" w:firstLine="567"/>
        <w:jc w:val="center"/>
        <w:rPr>
          <w:rFonts w:cs="B Zar" w:hint="cs"/>
          <w:sz w:val="28"/>
          <w:szCs w:val="28"/>
          <w:rtl/>
        </w:rPr>
      </w:pPr>
    </w:p>
    <w:p w:rsidR="0011420A" w:rsidRPr="00C0097A" w:rsidP="003C0EF5">
      <w:pPr>
        <w:widowControl w:val="0"/>
        <w:spacing w:line="420" w:lineRule="exact"/>
        <w:ind w:left="0" w:right="0"/>
        <w:jc w:val="both"/>
        <w:rPr>
          <w:rFonts w:cs="B Zar" w:hint="cs"/>
          <w:rtl/>
        </w:rPr>
      </w:pPr>
      <w:r w:rsidRPr="00C0097A">
        <w:rPr>
          <w:rFonts w:cs="B Zar" w:hint="cs"/>
          <w:rtl/>
        </w:rPr>
        <w:t>تاريخ دوره‌هاي پارينه و كهن در پرده ابهام و تاريكي قرار دارد و اظهارات و نظريه‌هاي دانشمندان راجع به چگونگي تشكيل جامعة هند و عناصر تشكيل دهنده آن و دگرگونيهايي كه در آن پديد آمده، اكثراً مبتني بر گمانه زني و يا استنباط شده از كشفيات باستان شناسي است. اين امر، در مورد مطالعات مربوط به هر دو ملت هند و ايران صدق مي كند. يكي از علت هاي آن، بي توجهي قوم آريا به تاريخ نويسي است. در هند تا دورة ابوريحان بيروني هيچ كتاب تاريخي نگاشته نشده است. در ايران نيز تاريخ‌نگاري براي ايرانيان قبل از اسلام اهميت زيادي نداشته است و مي توان ادعا كرد كه از دوره‌هاي پيش از اسلام حتي يك اثر تاريخي واقعي در دست نيست.</w:t>
      </w:r>
    </w:p>
    <w:p w:rsidR="0011420A" w:rsidRPr="00C0097A" w:rsidP="003C0EF5">
      <w:pPr>
        <w:widowControl w:val="0"/>
        <w:spacing w:line="420" w:lineRule="exact"/>
        <w:ind w:left="0" w:right="0"/>
        <w:jc w:val="both"/>
        <w:rPr>
          <w:rFonts w:cs="B Zar" w:hint="cs"/>
          <w:rtl/>
        </w:rPr>
      </w:pPr>
      <w:r w:rsidRPr="00C0097A">
        <w:rPr>
          <w:rFonts w:cs="B Zar" w:hint="cs"/>
          <w:rtl/>
        </w:rPr>
        <w:t xml:space="preserve">كتيبه‌هاي معروف بيستون و جاهاي ديگر ايران كه مربوط به شاهان سلسله‌هاي ايراني است، نوعي گزارش عمومي به شمار مي‌رود. تصور اين است كه كتيبه‌هاي مذكور در كتاب </w:t>
      </w:r>
      <w:r w:rsidRPr="00C0097A">
        <w:rPr>
          <w:rFonts w:cs="B Zar" w:hint="cs"/>
          <w:i/>
          <w:iCs/>
          <w:rtl/>
        </w:rPr>
        <w:t>دانيال</w:t>
      </w:r>
      <w:r w:rsidRPr="00C0097A">
        <w:rPr>
          <w:rFonts w:cs="B Zar" w:hint="cs"/>
          <w:rtl/>
        </w:rPr>
        <w:t xml:space="preserve"> نيز داراي ماهيتي اين چنين باشند؛ زيرا آنها نيز جز فهرست ساده‌اي از اسامي شاهان همراه با رونوشتي از پندها و نامه‌هاي رسمي كه به كار مأمورين اجرائي در انجام مأموريت اداري‌شان مي‌آمدند، حاوي اطلاعات تاريخي قابل ملاحظه‌اي نيستند. از اين‌رو مي‌توان اذعان داشت كه در ميان آريائي‌هاي هند و ايران، قبل از ورود اسلام در اين دو كشور، تاريخ‌نگاري واقعي هرگز وجود نداشته است. در مورد هند تمام دانشمندان متفق‌القول‌اند كه هيچ اثر تاريخي قبل از سده دوازدهم كه كلهانا به تدوين تاريخ كشمير</w:t>
      </w:r>
      <w:r>
        <w:rPr>
          <w:rStyle w:val="FootnoteReference"/>
          <w:rFonts w:cs="B Zar"/>
          <w:sz w:val="28"/>
          <w:rtl/>
        </w:rPr>
        <w:footnoteReference w:id="90"/>
      </w:r>
      <w:r w:rsidRPr="00C0097A">
        <w:rPr>
          <w:rFonts w:cs="B Zar" w:hint="cs"/>
          <w:rtl/>
        </w:rPr>
        <w:t xml:space="preserve"> پرداخت، وجود ندارد. در مورد ايران نيز صحت نكته فوق با اين واقعيت تقويت مي‌گردد كه در ميان نوشته‌هاي زردشتيان بعد از ورود اسلام (كه بقاياي آنان </w:t>
      </w:r>
      <w:r w:rsidRPr="00C0097A">
        <w:rPr>
          <w:rFonts w:cs="B Zar" w:hint="cs"/>
          <w:i/>
          <w:iCs/>
          <w:rtl/>
        </w:rPr>
        <w:t>پارسيان</w:t>
      </w:r>
      <w:r w:rsidRPr="00C0097A">
        <w:rPr>
          <w:rFonts w:cs="B Zar" w:hint="cs"/>
          <w:rtl/>
        </w:rPr>
        <w:t xml:space="preserve"> در بمبئي مي‌باشند)، هيچ نوع اثر قابل استناد تاريخي، چه از سده‌هاي پيش از اسلام و چه از هزاره اول بعد از اسلام، ديده نمي شود.</w:t>
      </w:r>
    </w:p>
    <w:p w:rsidR="0011420A" w:rsidRPr="00C0097A" w:rsidP="003C0EF5">
      <w:pPr>
        <w:widowControl w:val="0"/>
        <w:spacing w:line="420" w:lineRule="exact"/>
        <w:ind w:left="0" w:right="0"/>
        <w:jc w:val="both"/>
        <w:rPr>
          <w:rFonts w:cs="B Zar" w:hint="cs"/>
          <w:rtl/>
        </w:rPr>
      </w:pPr>
      <w:r w:rsidRPr="00C0097A">
        <w:rPr>
          <w:rFonts w:cs="B Zar" w:hint="cs"/>
          <w:rtl/>
        </w:rPr>
        <w:t>اين امر از آن جهت بسيار عجيب است كه آريائي‌ها يكي از نخستين اقوام و مللي هستند كه به تدوين آثار ادبي و فلسفي و مذهبي دست زدند. اگر برخي حماسه‌هاي سومري‌ها</w:t>
      </w:r>
      <w:r w:rsidRPr="00C0097A">
        <w:rPr>
          <w:rFonts w:cs="B Zar"/>
        </w:rPr>
        <w:t>(Sumerians)</w:t>
      </w:r>
      <w:r w:rsidRPr="00C0097A">
        <w:rPr>
          <w:rFonts w:cs="B Zar" w:hint="cs"/>
          <w:rtl/>
        </w:rPr>
        <w:t xml:space="preserve"> و اكاديها</w:t>
      </w:r>
      <w:r w:rsidRPr="00C0097A">
        <w:rPr>
          <w:rFonts w:cs="B Zar"/>
        </w:rPr>
        <w:t>(Akkadians)</w:t>
      </w:r>
      <w:r w:rsidRPr="00C0097A">
        <w:rPr>
          <w:rFonts w:cs="B Zar" w:hint="cs"/>
          <w:rtl/>
        </w:rPr>
        <w:t xml:space="preserve"> و بابلي‌ها، از جمله حماسه‌هاي گيلگمش</w:t>
      </w:r>
      <w:r>
        <w:rPr>
          <w:rStyle w:val="FootnoteReference"/>
          <w:rFonts w:cs="B Zar"/>
          <w:sz w:val="28"/>
          <w:rtl/>
        </w:rPr>
        <w:footnoteReference w:id="91"/>
      </w:r>
      <w:r w:rsidRPr="00C0097A">
        <w:rPr>
          <w:rFonts w:cs="B Zar" w:hint="cs"/>
          <w:rtl/>
        </w:rPr>
        <w:t xml:space="preserve">، قانون ارنامو </w:t>
      </w:r>
      <w:r w:rsidRPr="00C0097A">
        <w:rPr>
          <w:rFonts w:cs="B Zar"/>
        </w:rPr>
        <w:t>(Ernamo)</w:t>
      </w:r>
      <w:r w:rsidRPr="00C0097A">
        <w:rPr>
          <w:rFonts w:cs="B Zar" w:hint="cs"/>
          <w:rtl/>
        </w:rPr>
        <w:t xml:space="preserve"> و قانون شاهنشاه حمورابي كه بر ستون‌ها نوشته شده است را كنار بگذاري</w:t>
      </w:r>
      <w:r w:rsidRPr="00C0097A">
        <w:rPr>
          <w:rFonts w:cs="B Zar" w:hint="cs"/>
          <w:rtl/>
          <w:lang w:bidi="fa-IR"/>
        </w:rPr>
        <w:t>م</w:t>
      </w:r>
      <w:r w:rsidRPr="00C0097A">
        <w:rPr>
          <w:rFonts w:cs="B Zar" w:hint="cs"/>
          <w:rtl/>
        </w:rPr>
        <w:t xml:space="preserve"> كه البته جنبه نوشتارهاي متفرق و گزارش‌ها و اسطوره‌هاي قومي داشته</w:t>
      </w:r>
      <w:r>
        <w:rPr>
          <w:rStyle w:val="FootnoteReference"/>
          <w:rFonts w:cs="B Zar"/>
          <w:sz w:val="28"/>
        </w:rPr>
        <w:footnoteReference w:id="92"/>
      </w:r>
      <w:r w:rsidRPr="00C0097A">
        <w:rPr>
          <w:rFonts w:cs="B Zar" w:hint="cs"/>
          <w:rtl/>
        </w:rPr>
        <w:t xml:space="preserve"> (نظير شاهنامه و يا راماين</w:t>
      </w:r>
      <w:r w:rsidRPr="00C0097A">
        <w:rPr>
          <w:rFonts w:cs="B Zar"/>
        </w:rPr>
        <w:t>Ramayana</w:t>
      </w:r>
      <w:r w:rsidRPr="00C0097A">
        <w:rPr>
          <w:rFonts w:cs="B Zar" w:hint="cs"/>
          <w:rtl/>
        </w:rPr>
        <w:t xml:space="preserve"> و مهابارت</w:t>
      </w:r>
      <w:r w:rsidRPr="00C0097A">
        <w:rPr>
          <w:rFonts w:cs="B Zar"/>
        </w:rPr>
        <w:t xml:space="preserve"> (Mahabhaata) </w:t>
      </w:r>
      <w:r w:rsidRPr="00C0097A">
        <w:rPr>
          <w:rFonts w:cs="B Zar" w:hint="cs"/>
          <w:rtl/>
        </w:rPr>
        <w:t>) و به صورت كتاب تدوين نگرديده بود، مي‌‌توان گفت كه آريائي‌ها نخستين كتابها را تقريباً چهار هزار سال پيش، به صورت ريگ ودا و سام ودا و ياجورودا تدوين كردند و تقريباً دو هزار و پانصد سال پيش آريائي‌هاي ايران، گاتاها و زند اوستا را تأليف نمودند. در هند طي هزار سال پس از تدوين ريگ ودا آريائي‌ها كتابهاي حجيمي در ادبيات، فلسفه، احكام ديني و حتي در رياضيات، منطق و زبان شناسي برشته تحرير درآوردند، ولي هيچ توجهي به تاريخ نويسي نداشتند.</w:t>
      </w:r>
    </w:p>
    <w:p w:rsidR="0011420A" w:rsidRPr="00C0097A" w:rsidP="003C0EF5">
      <w:pPr>
        <w:widowControl w:val="0"/>
        <w:spacing w:line="420" w:lineRule="exact"/>
        <w:ind w:left="0" w:right="0"/>
        <w:jc w:val="both"/>
        <w:rPr>
          <w:rFonts w:cs="B Zar" w:hint="cs"/>
          <w:rtl/>
        </w:rPr>
      </w:pPr>
      <w:r w:rsidRPr="00C0097A">
        <w:rPr>
          <w:rFonts w:cs="B Zar" w:hint="cs"/>
          <w:rtl/>
        </w:rPr>
        <w:t xml:space="preserve">براي حل اين معما، برخي حدس زده‌اند كه ممكن است متون تاريخي آريائي‌ها ازبين رفته باشد. ولي اين امر از دو جهت غير محتمل است؛ اولاً، چرا بايد در ميان تمام متون و كتابها، تنها آثار تاريخي ازبين رفته باشد؛ ثانياً اگر چنين آثاري وجود داشته، مي‌بايستي در متون ديگر حداقل اسمي از آنها به ميان مي‌آمد. </w:t>
      </w:r>
    </w:p>
    <w:p w:rsidR="0011420A" w:rsidRPr="00C0097A" w:rsidP="003C0EF5">
      <w:pPr>
        <w:widowControl w:val="0"/>
        <w:spacing w:line="420" w:lineRule="exact"/>
        <w:ind w:left="0" w:right="0"/>
        <w:jc w:val="both"/>
        <w:rPr>
          <w:rFonts w:cs="B Zar" w:hint="cs"/>
          <w:rtl/>
        </w:rPr>
      </w:pPr>
      <w:r w:rsidRPr="00C0097A">
        <w:rPr>
          <w:rFonts w:cs="B Zar" w:hint="cs"/>
          <w:rtl/>
        </w:rPr>
        <w:t xml:space="preserve">برخي گفته‌اند كه چون فرهنگ آريائي عموماً آخرت مدار و روح محور بوده، و آنان زندگي جهاني را «مايا»، يعني نوعي «فريب» و «سايه» مي‌پنداشته‌اند، نيازي به تدوين تاريخ زندگي دنيوي، يعني امري كه «واقعيت» تلقي نمي‌شد، نمي‌ديده‌اند(چنانكه ما هيچگاه در صدد تدوين گزارش روياهاي خود نمي باشيم). اين توجيه ممكن است به طور نسبي درست باشد، ولي توجيه قانع كننده‌اي نيست؛ چرا كه اولاً، آريائي‌هاي ايراني داراي اين چنين جهان بيني آخرت محور و دنياگريز نبوده‌اند؛ ثانياً، خود آريائي‌هاي هند، رسائل بسيار ارزنده‌اي در زمينه آئين حكومت و نظام قانون و حقوق و غيره تدوين كرده‌اند كه همة اين مطالب، مربوط به شئون زندگي دنيوي است. بهرحال، علت هرچه باشد، واقعيت آنست كه در هند و در ايران،مورخي نظير هردوت </w:t>
      </w:r>
      <w:r w:rsidRPr="00C0097A">
        <w:rPr>
          <w:rFonts w:cs="B Zar"/>
        </w:rPr>
        <w:t>(Herodotus)</w:t>
      </w:r>
      <w:r w:rsidRPr="00C0097A">
        <w:rPr>
          <w:rFonts w:cs="B Zar" w:hint="cs"/>
          <w:rtl/>
        </w:rPr>
        <w:t xml:space="preserve"> و توسيديد</w:t>
      </w:r>
      <w:r w:rsidRPr="00C0097A">
        <w:rPr>
          <w:rFonts w:cs="B Zar"/>
        </w:rPr>
        <w:t>(Thucydides)</w:t>
      </w:r>
      <w:r w:rsidRPr="00C0097A">
        <w:rPr>
          <w:rFonts w:cs="B Zar" w:hint="cs"/>
          <w:rtl/>
        </w:rPr>
        <w:t xml:space="preserve"> و حتي تاسي‌تس </w:t>
      </w:r>
      <w:r w:rsidRPr="00C0097A">
        <w:rPr>
          <w:rFonts w:cs="B Zar"/>
        </w:rPr>
        <w:t>(Tacitus)</w:t>
      </w:r>
      <w:r w:rsidRPr="00C0097A">
        <w:rPr>
          <w:rFonts w:cs="B Zar" w:hint="cs"/>
          <w:rtl/>
        </w:rPr>
        <w:t xml:space="preserve"> نداريم.</w:t>
      </w:r>
    </w:p>
    <w:p w:rsidR="0011420A" w:rsidP="003C0EF5">
      <w:pPr>
        <w:widowControl w:val="0"/>
        <w:spacing w:line="420" w:lineRule="exact"/>
        <w:ind w:left="0" w:right="0"/>
        <w:jc w:val="both"/>
        <w:rPr>
          <w:rFonts w:cs="B Zar" w:hint="cs"/>
          <w:rtl/>
        </w:rPr>
      </w:pPr>
      <w:r w:rsidRPr="00C0097A">
        <w:rPr>
          <w:rFonts w:cs="B Zar" w:hint="cs"/>
          <w:rtl/>
        </w:rPr>
        <w:t>در شرايط فقدان منابع، براي بررسي سير تكوين جامعه هند در دورة پارينه (به اصطلاح قبل تاريخي) و دورة كهن (باستاني)، مجبوريم به طور عمده بر تحقيقات و كشفيات باستان‌شناسان تكيه كنيم. البته باستان‌شناسي هند، رشته جديدي است كه از قرن نوزدهم، به صورت نظام يافته آغاز گرديد</w:t>
      </w:r>
      <w:r>
        <w:rPr>
          <w:rStyle w:val="FootnoteReference"/>
          <w:rFonts w:cs="B Zar"/>
          <w:sz w:val="28"/>
          <w:rtl/>
        </w:rPr>
        <w:footnoteReference w:id="93"/>
      </w:r>
      <w:r w:rsidRPr="00C0097A">
        <w:rPr>
          <w:rFonts w:cs="B Zar" w:hint="cs"/>
          <w:rtl/>
        </w:rPr>
        <w:t xml:space="preserve"> و به سرعت پيشرفت كرد و موفق به اكتشاف منابع بسيار مهم گرديد. كشفيات باستان شناسان، شامل كتيبه ها، سكه ها، بناهاي تاريخي، تحليل شيميائي زمين، فسيل‌ها و اسكلت‌هاي انسان‌هاي كهن، منابع عمده اطلاعات مي‌باشد. داده‌هاي مردم شناسي نژادي </w:t>
      </w:r>
      <w:r w:rsidRPr="00C0097A">
        <w:rPr>
          <w:rFonts w:cs="B Zar"/>
        </w:rPr>
        <w:t>(Racial Anthropology)</w:t>
      </w:r>
      <w:r w:rsidRPr="00C0097A">
        <w:rPr>
          <w:rFonts w:cs="B Zar" w:hint="cs"/>
          <w:rtl/>
        </w:rPr>
        <w:t xml:space="preserve"> و نيز يافته‌هاي باستان شناسي، چنين پيشنهاد مي‌كند كه آفريقائيان از نخستين گروه‌هائي بوده‌اند كه به شبه قارة هند پا نهادند.</w:t>
      </w:r>
      <w:r>
        <w:rPr>
          <w:rStyle w:val="FootnoteReference"/>
          <w:rFonts w:cs="B Zar"/>
          <w:rtl/>
        </w:rPr>
        <w:footnoteReference w:id="94"/>
      </w:r>
    </w:p>
    <w:p w:rsidR="005D1761" w:rsidRPr="00C0097A" w:rsidP="003C0EF5">
      <w:pPr>
        <w:widowControl w:val="0"/>
        <w:spacing w:line="420" w:lineRule="exact"/>
        <w:ind w:left="0" w:right="0"/>
        <w:jc w:val="both"/>
        <w:rPr>
          <w:rFonts w:cs="B Zar" w:hint="cs"/>
          <w:rtl/>
        </w:rPr>
      </w:pPr>
    </w:p>
    <w:p w:rsidR="0011420A" w:rsidRPr="00C0097A" w:rsidP="003C0EF5">
      <w:pPr>
        <w:pStyle w:val="Heading3"/>
        <w:keepNext w:val="0"/>
        <w:widowControl w:val="0"/>
        <w:spacing w:before="0" w:after="0" w:line="420" w:lineRule="exact"/>
        <w:ind w:left="0" w:right="0"/>
        <w:jc w:val="left"/>
        <w:rPr>
          <w:rFonts w:ascii="Times New Roman" w:hAnsi="Times New Roman" w:cs="B Zar"/>
          <w:sz w:val="28"/>
          <w:rtl/>
        </w:rPr>
      </w:pPr>
      <w:bookmarkStart w:id="4" w:name="_Toc110442169"/>
      <w:r w:rsidRPr="00C0097A">
        <w:rPr>
          <w:rFonts w:cs="B Zar" w:hint="cs"/>
          <w:sz w:val="28"/>
          <w:rtl/>
        </w:rPr>
        <w:t>1</w:t>
      </w:r>
      <w:r w:rsidRPr="00C0097A">
        <w:rPr>
          <w:rFonts w:ascii="Times New Roman" w:hAnsi="Times New Roman" w:cs="B Zar" w:hint="cs"/>
          <w:sz w:val="24"/>
          <w:rtl/>
        </w:rPr>
        <w:t>. سياهپوستان آفريقايي</w:t>
      </w:r>
      <w:bookmarkEnd w:id="4"/>
      <w:r w:rsidRPr="00C0097A">
        <w:rPr>
          <w:rFonts w:ascii="Times New Roman" w:hAnsi="Times New Roman" w:cs="B Zar"/>
          <w:sz w:val="24"/>
        </w:rPr>
        <w:t xml:space="preserve"> (Negroid or Negrito)</w:t>
      </w:r>
    </w:p>
    <w:p w:rsidR="0011420A" w:rsidRPr="00C0097A" w:rsidP="003C0EF5">
      <w:pPr>
        <w:widowControl w:val="0"/>
        <w:spacing w:line="420" w:lineRule="exact"/>
        <w:ind w:left="0" w:right="0"/>
        <w:jc w:val="both"/>
        <w:rPr>
          <w:rFonts w:cs="B Zar" w:hint="cs"/>
          <w:rtl/>
        </w:rPr>
      </w:pPr>
      <w:r w:rsidRPr="00C0097A">
        <w:rPr>
          <w:rFonts w:cs="B Zar" w:hint="cs"/>
          <w:rtl/>
        </w:rPr>
        <w:t>سياهپوستان آفريقائي، احتمالاً از طريق مناطق عربي حوزه خليج فارس و بلوچستان وارد هند گرديدند. در برخي قبائل تيره رنگ مناطق سواحلي ايران، مسقط، امارات و بحرين، هنوز آثار نژاد سياهپوست آفريقائي ديده مي‌شود. از هند برخي از سياه پوستان به ملايا (مالزي كنوني) و جزائر اندونزي و سنگاپور كوچيدند، و از همين مسير به گينه نو رفتند.</w:t>
      </w:r>
      <w:r>
        <w:rPr>
          <w:rStyle w:val="FootnoteReference"/>
          <w:rFonts w:cs="B Zar"/>
          <w:rtl/>
        </w:rPr>
        <w:footnoteReference w:id="95"/>
      </w:r>
    </w:p>
    <w:p w:rsidR="0011420A" w:rsidRPr="00C0097A" w:rsidP="003C0EF5">
      <w:pPr>
        <w:widowControl w:val="0"/>
        <w:spacing w:line="420" w:lineRule="exact"/>
        <w:ind w:left="0" w:right="0"/>
        <w:jc w:val="both"/>
        <w:rPr>
          <w:rFonts w:cs="B Zar" w:hint="cs"/>
          <w:rtl/>
        </w:rPr>
      </w:pPr>
      <w:r w:rsidRPr="00C0097A">
        <w:rPr>
          <w:rFonts w:cs="B Zar" w:hint="cs"/>
          <w:rtl/>
        </w:rPr>
        <w:t xml:space="preserve">كتيبه‌ها، سكه‌ها و مجسمه‌هاي دورة سلطنت شاهان گوپتا </w:t>
      </w:r>
      <w:r w:rsidRPr="00C0097A">
        <w:rPr>
          <w:rFonts w:cs="B Zar"/>
        </w:rPr>
        <w:t>(Gupta)</w:t>
      </w:r>
      <w:r w:rsidRPr="00C0097A">
        <w:rPr>
          <w:rFonts w:cs="B Zar" w:hint="cs"/>
          <w:rtl/>
        </w:rPr>
        <w:t>، نشان مي‌دهد كه تا آن زمان در هند عده زيادي از افراد نژاد سياهپوست آفريقائي حضور داشته و به عنوان غلامان و يا مستخدمان، مشغول خدمت بوده‌اند. حماسه مقدس «ماهابهارات» نيز بر حضور سياهپوستان آفريقائي در هند دلالت مي‌كند.</w:t>
      </w:r>
      <w:r>
        <w:rPr>
          <w:rStyle w:val="FootnoteReference"/>
          <w:rFonts w:cs="B Zar"/>
          <w:rtl/>
        </w:rPr>
        <w:footnoteReference w:id="96"/>
      </w:r>
      <w:r w:rsidRPr="00C0097A">
        <w:rPr>
          <w:rFonts w:cs="B Zar" w:hint="cs"/>
          <w:rtl/>
        </w:rPr>
        <w:t xml:space="preserve"> در نقاشي‌هاي ديواري غارهاي بزرگ «اجنتا» كه با تراشيدن كوه ساخته شده، نقش آفريقائيان سياهپوست ترسيم شده است. در ادوار بعدي، احتمالاً نخست قبائل مهاجم استرولايدي</w:t>
      </w:r>
      <w:r w:rsidRPr="00C0097A">
        <w:rPr>
          <w:rFonts w:cs="B Zar"/>
        </w:rPr>
        <w:t xml:space="preserve"> (Astraloid)</w:t>
      </w:r>
      <w:r w:rsidRPr="00C0097A">
        <w:rPr>
          <w:rFonts w:cs="B Zar" w:hint="cs"/>
          <w:rtl/>
        </w:rPr>
        <w:t xml:space="preserve"> و سپس دراويديه</w:t>
      </w:r>
      <w:r w:rsidRPr="00C0097A">
        <w:rPr>
          <w:rFonts w:cs="B Zar"/>
        </w:rPr>
        <w:t xml:space="preserve"> (Dravidians)</w:t>
      </w:r>
      <w:r w:rsidRPr="00C0097A">
        <w:rPr>
          <w:rFonts w:cs="B Zar" w:hint="cs"/>
          <w:rtl/>
        </w:rPr>
        <w:t xml:space="preserve"> و آريائي‌ها، آفريقائيان را از پا در آوردند. با آنكه آنان اينك در نژادهاي ديگر گم شده‌اند، ولي هنوز در جزائر </w:t>
      </w:r>
      <w:r w:rsidRPr="00C0097A">
        <w:rPr>
          <w:rFonts w:cs="B Zar" w:hint="cs"/>
          <w:i/>
          <w:iCs/>
          <w:rtl/>
        </w:rPr>
        <w:t>نكوبار</w:t>
      </w:r>
      <w:r w:rsidRPr="00C0097A">
        <w:rPr>
          <w:rFonts w:cs="B Zar" w:hint="cs"/>
          <w:rtl/>
        </w:rPr>
        <w:t xml:space="preserve"> و </w:t>
      </w:r>
      <w:r w:rsidRPr="00C0097A">
        <w:rPr>
          <w:rFonts w:cs="B Zar" w:hint="cs"/>
          <w:i/>
          <w:iCs/>
          <w:rtl/>
        </w:rPr>
        <w:t>اندمان،</w:t>
      </w:r>
      <w:r w:rsidRPr="00C0097A">
        <w:rPr>
          <w:rFonts w:cs="B Zar" w:hint="cs"/>
          <w:rtl/>
        </w:rPr>
        <w:t xml:space="preserve"> اجتماعات كوچكي از آفريقائيان وجود دارند كه حتي زبان خود را نيز حفظ كرده‌اند. نژاد شناسان تأثيرات نژاد آفريقائي را در قوم ناگا كه در مناطق مرزي هند و چين (ناگالند</w:t>
      </w:r>
      <w:r w:rsidRPr="00C0097A">
        <w:rPr>
          <w:rFonts w:cs="B Zar"/>
        </w:rPr>
        <w:t>Nagaland=</w:t>
      </w:r>
      <w:r w:rsidRPr="00C0097A">
        <w:rPr>
          <w:rFonts w:cs="B Zar" w:hint="cs"/>
          <w:rtl/>
        </w:rPr>
        <w:t xml:space="preserve">) زندگي مي كند و نيز در برخي قبائل جنوب هند (از جمله قبيله كارد و «پلاين» </w:t>
      </w:r>
      <w:r w:rsidRPr="00C0097A">
        <w:rPr>
          <w:rFonts w:cs="B Zar"/>
        </w:rPr>
        <w:t>(Playan)</w:t>
      </w:r>
      <w:r w:rsidRPr="00C0097A">
        <w:rPr>
          <w:rFonts w:cs="B Zar" w:hint="cs"/>
          <w:rtl/>
        </w:rPr>
        <w:t xml:space="preserve"> در كوچين</w:t>
      </w:r>
      <w:r w:rsidRPr="00C0097A">
        <w:rPr>
          <w:rFonts w:cs="B Zar"/>
        </w:rPr>
        <w:t xml:space="preserve"> Kochin</w:t>
      </w:r>
      <w:r w:rsidRPr="00C0097A">
        <w:rPr>
          <w:rFonts w:cs="B Zar" w:hint="cs"/>
          <w:rtl/>
        </w:rPr>
        <w:t xml:space="preserve"> هند سراغ گرفته‌اند.</w:t>
      </w:r>
    </w:p>
    <w:p w:rsidR="0011420A" w:rsidRPr="00C0097A" w:rsidP="003C0EF5">
      <w:pPr>
        <w:widowControl w:val="0"/>
        <w:spacing w:line="420" w:lineRule="exact"/>
        <w:ind w:left="0" w:right="0"/>
        <w:jc w:val="both"/>
        <w:rPr>
          <w:rFonts w:cs="B Zar" w:hint="cs"/>
          <w:rtl/>
        </w:rPr>
      </w:pPr>
      <w:r w:rsidRPr="00C0097A">
        <w:rPr>
          <w:rFonts w:cs="B Zar" w:hint="cs"/>
          <w:rtl/>
        </w:rPr>
        <w:t xml:space="preserve">از نظر فرهنگ و تمدن، آفريقائيان هند، در مرحله «نوسنگي» </w:t>
      </w:r>
      <w:r w:rsidRPr="00C0097A">
        <w:rPr>
          <w:rFonts w:cs="B Zar"/>
        </w:rPr>
        <w:t xml:space="preserve"> (Neolithic)</w:t>
      </w:r>
      <w:r w:rsidRPr="00C0097A">
        <w:rPr>
          <w:rFonts w:cs="B Zar" w:hint="cs"/>
          <w:rtl/>
        </w:rPr>
        <w:t>قرار داشته و از طريق جمع‌آوري شكار و آذوقه زندگي مي‌كرده‌اند و حتي به مرحله توليد غذا نرسيده بودند. به نظر مي رسد، آنان درپي خوراك و پناهگاه در جنب و جوش و سفر بوده، در هرجا پناهگاه، شكار و يا گياهي خوردني مي‌يافتند، درنگ مي‌كردند. زندگي اجتماعي انسان در اين مرحله بي ثبات است؛ بنابراين، نمي‌توان زندگي گروهي آنان را جامعه‌اي كه داراي هنجارها و سلوك و كنش منظمي باشد، محسوب داشت. اسپنسر</w:t>
      </w:r>
      <w:r w:rsidRPr="00C0097A">
        <w:rPr>
          <w:rFonts w:cs="B Zar"/>
        </w:rPr>
        <w:t>(SPENCER)</w:t>
      </w:r>
      <w:r w:rsidRPr="00C0097A">
        <w:rPr>
          <w:rFonts w:cs="B Zar" w:hint="cs"/>
          <w:rtl/>
        </w:rPr>
        <w:t xml:space="preserve">، جامعه شناس انگليسي، اجتماع اين مرحله را «جوامع ساده» </w:t>
      </w:r>
      <w:r w:rsidRPr="00C0097A">
        <w:rPr>
          <w:rFonts w:cs="B Zar"/>
        </w:rPr>
        <w:t>(Simple Societies)</w:t>
      </w:r>
      <w:r w:rsidRPr="00C0097A">
        <w:rPr>
          <w:rFonts w:cs="B Zar" w:hint="cs"/>
          <w:rtl/>
        </w:rPr>
        <w:t xml:space="preserve"> مي‌نامد، و دوركهيم اين اجتماع را گلة انساني </w:t>
      </w:r>
      <w:r w:rsidRPr="00C0097A">
        <w:rPr>
          <w:rFonts w:cs="B Zar"/>
        </w:rPr>
        <w:t>(Horde)</w:t>
      </w:r>
      <w:r w:rsidRPr="00C0097A">
        <w:rPr>
          <w:rFonts w:cs="B Zar" w:hint="cs"/>
          <w:rtl/>
        </w:rPr>
        <w:t xml:space="preserve"> تعبير مي‌كند.</w:t>
      </w:r>
      <w:r>
        <w:rPr>
          <w:rStyle w:val="FootnoteReference"/>
          <w:rFonts w:cs="B Zar"/>
          <w:sz w:val="28"/>
          <w:rtl/>
        </w:rPr>
        <w:footnoteReference w:id="97"/>
      </w:r>
      <w:r w:rsidRPr="00C0097A">
        <w:rPr>
          <w:rFonts w:cs="B Zar"/>
        </w:rPr>
        <w:t xml:space="preserve"> </w:t>
      </w:r>
    </w:p>
    <w:p w:rsidR="0011420A" w:rsidRPr="00C0097A" w:rsidP="003C0EF5">
      <w:pPr>
        <w:widowControl w:val="0"/>
        <w:spacing w:line="420" w:lineRule="exact"/>
        <w:ind w:left="0" w:right="0"/>
        <w:jc w:val="both"/>
        <w:rPr>
          <w:rFonts w:cs="B Zar" w:hint="cs"/>
          <w:rtl/>
        </w:rPr>
      </w:pPr>
      <w:r w:rsidRPr="00C0097A">
        <w:rPr>
          <w:rFonts w:cs="B Zar" w:hint="cs"/>
          <w:rtl/>
        </w:rPr>
        <w:t>به سبب ماهيت ابتدائي حيات فرهنگي و اجتماعي شان، سياهپوستان، نقش قابل ملاحظه اي در تكوين فرهنگ هند نداشتند. در عين حال، برخي از عناصر آئين توتميستي</w:t>
      </w:r>
      <w:r w:rsidRPr="00C0097A">
        <w:rPr>
          <w:rFonts w:cs="B Zar"/>
        </w:rPr>
        <w:t xml:space="preserve"> (Totemism)</w:t>
      </w:r>
      <w:r w:rsidRPr="00C0097A">
        <w:rPr>
          <w:rFonts w:cs="B Zar" w:hint="cs"/>
          <w:rtl/>
        </w:rPr>
        <w:t xml:space="preserve"> آنان وارد فرهنگ عاميانه هند گرديد. درخت پرستي و تقديس گياهان از ويژگي‌هاي قبائل ابتدائي آفريقاست كه احتمال دارد پرستش درخت انجير و  پيپل كه در ميان توده‌هاي مردم هند هم اكنون نيز رواج دارد، از طريق اين نژاد وارد فرهنگ عامه گرديده باشد. توده‌هاي هندو براي درختان تقدس بسيار قائلند؛ به خصوص درختان كهنسال ارجمندتر تلقي مي‌شوند. اكثراً در زير سايه چنين درختاني، مردم عامي معبدهائي به وجود مي‌آورند و همان جا بتهايي مي گذارند و آئين پرستش (پوجا</w:t>
      </w:r>
      <w:r w:rsidRPr="00C0097A">
        <w:rPr>
          <w:rFonts w:cs="B Zar"/>
        </w:rPr>
        <w:t>Puja=</w:t>
      </w:r>
      <w:r w:rsidRPr="00C0097A">
        <w:rPr>
          <w:rFonts w:cs="B Zar" w:hint="cs"/>
          <w:rtl/>
        </w:rPr>
        <w:t>) برپا مي كنند. سياهپوست آفريقائي، به اساطيري دربارة رسيدن ارواح مردگان به بهشت بعد از گذشتن از هفت مرحلة دشوار كه در آن اژدها و مارهاي بزرگ در كمين‌اند، باور داشتند. اين گونه اساطير نيز وارد فرهنگ عامه هند گرديده است.</w:t>
      </w:r>
      <w:r>
        <w:rPr>
          <w:rStyle w:val="FootnoteReference"/>
          <w:rFonts w:cs="B Zar"/>
          <w:rtl/>
        </w:rPr>
        <w:footnoteReference w:id="98"/>
      </w:r>
    </w:p>
    <w:p w:rsidR="0011420A" w:rsidP="003C0EF5">
      <w:pPr>
        <w:widowControl w:val="0"/>
        <w:spacing w:line="420" w:lineRule="exact"/>
        <w:ind w:left="0" w:right="0"/>
        <w:jc w:val="both"/>
        <w:rPr>
          <w:rFonts w:cs="B Zar" w:hint="cs"/>
          <w:rtl/>
        </w:rPr>
      </w:pPr>
      <w:r w:rsidRPr="00C0097A">
        <w:rPr>
          <w:rFonts w:cs="B Zar" w:hint="cs"/>
          <w:rtl/>
        </w:rPr>
        <w:t>به اين ترتيب، عليرغم انقراض نسبي نژاد سياهپوست آفريقائي در هند و تأثير نسبتاً محدود فرهنگ آنان در اين سرزمين، برخي عناصر فرهنگ عاميانه هندي، از بقاياي باورها و مناسك متعلق به اين نژاد است. درخت و گياه پرستي را آئين ديني هندوها از اينان به ارث برده است.</w:t>
      </w:r>
    </w:p>
    <w:p w:rsidR="005D1761" w:rsidRPr="00C0097A" w:rsidP="003C0EF5">
      <w:pPr>
        <w:widowControl w:val="0"/>
        <w:spacing w:line="420" w:lineRule="exact"/>
        <w:ind w:left="0" w:right="0"/>
        <w:jc w:val="both"/>
        <w:rPr>
          <w:rFonts w:cs="B Zar" w:hint="cs"/>
          <w:rtl/>
        </w:rPr>
      </w:pPr>
    </w:p>
    <w:p w:rsidR="0011420A" w:rsidRPr="00C0097A" w:rsidP="003C0EF5">
      <w:pPr>
        <w:widowControl w:val="0"/>
        <w:spacing w:line="420" w:lineRule="exact"/>
        <w:ind w:left="0" w:right="0"/>
        <w:jc w:val="both"/>
        <w:rPr>
          <w:rFonts w:cs="B Zar" w:hint="cs"/>
          <w:b/>
          <w:bCs/>
          <w:rtl/>
        </w:rPr>
      </w:pPr>
      <w:bookmarkStart w:id="5" w:name="_Toc110442170"/>
      <w:r w:rsidRPr="00C0097A">
        <w:rPr>
          <w:rFonts w:cs="B Zar" w:hint="cs"/>
          <w:b/>
          <w:bCs/>
          <w:rtl/>
        </w:rPr>
        <w:t>2. اقوام استرولايد</w:t>
      </w:r>
      <w:r w:rsidRPr="00C0097A">
        <w:rPr>
          <w:rFonts w:cs="B Zar"/>
          <w:b/>
          <w:bCs/>
        </w:rPr>
        <w:t xml:space="preserve"> (Ast</w:t>
      </w:r>
      <w:r w:rsidRPr="00C0097A">
        <w:rPr>
          <w:rFonts w:cs="B Zar"/>
          <w:b/>
          <w:bCs/>
        </w:rPr>
        <w:t>raloid)</w:t>
      </w:r>
      <w:r w:rsidRPr="00C0097A">
        <w:rPr>
          <w:rFonts w:cs="B Zar" w:hint="cs"/>
          <w:b/>
          <w:bCs/>
          <w:rtl/>
        </w:rPr>
        <w:t xml:space="preserve"> يا پارينه فلسطيني ها</w:t>
      </w:r>
      <w:bookmarkEnd w:id="5"/>
    </w:p>
    <w:p w:rsidR="0011420A" w:rsidRPr="00C0097A" w:rsidP="003C0EF5">
      <w:pPr>
        <w:widowControl w:val="0"/>
        <w:spacing w:line="420" w:lineRule="exact"/>
        <w:ind w:left="0" w:right="0"/>
        <w:jc w:val="both"/>
        <w:rPr>
          <w:rFonts w:cs="B Zar" w:hint="cs"/>
          <w:rtl/>
        </w:rPr>
      </w:pPr>
      <w:r w:rsidRPr="00C0097A">
        <w:rPr>
          <w:rFonts w:cs="B Zar" w:hint="cs"/>
          <w:rtl/>
        </w:rPr>
        <w:t>دومين گروه نژادي كه وارد شبه قاره هند گرديد و در تكوين فرهنگ هند نقش داشت، اهالي باستاني مناطق مديترانه اند. كه «پروتو ـ استرولايد»</w:t>
      </w:r>
      <w:r w:rsidRPr="00C0097A">
        <w:rPr>
          <w:rFonts w:cs="B Zar"/>
        </w:rPr>
        <w:t>(Proto-Astraloid)</w:t>
      </w:r>
      <w:r w:rsidRPr="00C0097A">
        <w:rPr>
          <w:rFonts w:cs="B Zar" w:hint="cs"/>
          <w:rtl/>
        </w:rPr>
        <w:t xml:space="preserve"> ناميده مي‌شوند. اينان از منطقه شرقي مديترانه يا فلسطين، سوريه و لبنان كنوني، حركت كردند و احتمالاً از طريق ايران به هند سرازير شدند. دسته هائي از اينان از هند به سوي جزائري مالانزي </w:t>
      </w:r>
      <w:r w:rsidRPr="00C0097A">
        <w:rPr>
          <w:rFonts w:cs="B Zar"/>
        </w:rPr>
        <w:t>(Malensian Island)</w:t>
      </w:r>
      <w:r w:rsidRPr="00C0097A">
        <w:rPr>
          <w:rFonts w:cs="B Zar" w:hint="cs"/>
          <w:rtl/>
        </w:rPr>
        <w:t xml:space="preserve"> رفته، گروههائي نيز از همان جا به استراليا كوچ كردند. نژاد اندونزي، ملالزي و ملانزي </w:t>
      </w:r>
      <w:r w:rsidRPr="00C0097A">
        <w:rPr>
          <w:rFonts w:cs="B Zar"/>
        </w:rPr>
        <w:t>(Polynesians)</w:t>
      </w:r>
      <w:r w:rsidRPr="00C0097A">
        <w:rPr>
          <w:rFonts w:cs="B Zar" w:hint="cs"/>
          <w:rtl/>
        </w:rPr>
        <w:t xml:space="preserve"> به اين نژاد مرتبط‌اند.</w:t>
      </w:r>
      <w:r>
        <w:rPr>
          <w:rStyle w:val="FootnoteReference"/>
          <w:rFonts w:cs="B Zar"/>
          <w:rtl/>
        </w:rPr>
        <w:footnoteReference w:id="99"/>
      </w:r>
      <w:r w:rsidRPr="00C0097A">
        <w:rPr>
          <w:rFonts w:cs="B Zar" w:hint="cs"/>
          <w:rtl/>
        </w:rPr>
        <w:t xml:space="preserve"> </w:t>
      </w:r>
    </w:p>
    <w:p w:rsidR="0011420A" w:rsidRPr="00C0097A" w:rsidP="003C0EF5">
      <w:pPr>
        <w:widowControl w:val="0"/>
        <w:spacing w:line="420" w:lineRule="exact"/>
        <w:ind w:left="0" w:right="0"/>
        <w:jc w:val="both"/>
        <w:rPr>
          <w:rFonts w:cs="B Zar" w:hint="cs"/>
          <w:rtl/>
        </w:rPr>
      </w:pPr>
      <w:r w:rsidRPr="00C0097A">
        <w:rPr>
          <w:rFonts w:cs="B Zar" w:hint="cs"/>
          <w:rtl/>
        </w:rPr>
        <w:t>برخلاف سياهپوستان آفريقائي، نژاد استرولايد در مناطق مركزي هند ازبين نرفت. بسياري از مردم جنوب كه رنگ تيره دارند، داراي مشخصات و ويژگيهاي نژادي مردم باستاني مديترانه‌اي هستند. نژادپرستان معتقد‌اند اكثر افراد كاست‌ها و طبقات پائين جامعه هند، به ويژه آنان كه به طبقه «نجس ها» تعلق دارند،  از اعقاب استرولايدهاي تيره پوست هستند.</w:t>
      </w:r>
      <w:r>
        <w:rPr>
          <w:rStyle w:val="FootnoteReference"/>
          <w:rFonts w:cs="B Zar"/>
          <w:sz w:val="28"/>
          <w:rtl/>
        </w:rPr>
        <w:footnoteReference w:id="100"/>
      </w:r>
    </w:p>
    <w:p w:rsidR="0011420A" w:rsidRPr="00C0097A" w:rsidP="003C0EF5">
      <w:pPr>
        <w:widowControl w:val="0"/>
        <w:spacing w:line="420" w:lineRule="exact"/>
        <w:ind w:left="0" w:right="0"/>
        <w:jc w:val="both"/>
        <w:rPr>
          <w:rFonts w:cs="B Zar" w:hint="cs"/>
          <w:rtl/>
        </w:rPr>
      </w:pPr>
      <w:r w:rsidRPr="00C0097A">
        <w:rPr>
          <w:rFonts w:cs="B Zar" w:hint="cs"/>
          <w:rtl/>
        </w:rPr>
        <w:t>كشف توليد غذا از طريق كشاورزي (كشت و برداشت محصول) و امكان پرورش حيوانات اهلي (دامداري)، از مهم ترين كشفيات بشر است. باستان شناسان اين مرحله از زندگي انسان را كه موجب تحولي همه جانبه در زندگي او شد، «انقلاب» ناميده اند. پيدايش مرحله كشاورزي در تاريخ حيات بشر، موجب پايان دوران آوارگي و آغاز استقرار و يكجانشيني او و در نتيجه پيدايش شهر و تمدن و فرهنگ گرديد و در هند، به احتمال قوي استرولايدها، آغازگر توليد غذا از راه كشاورزي مي‌باشند. قبل از آنان، سياهپوستان و قبايل وحشي ساكن در آن سرزمين فقط از طريق شكار به جمع‌آوري خوراك مي‌پرداختند و احتمالاً پيش از انقلاب صنعتي، بزرگترين انقلاب و نقطة چرخش در زندگي بشر بوده است.</w:t>
      </w:r>
    </w:p>
    <w:p w:rsidR="0011420A" w:rsidRPr="00C0097A" w:rsidP="003C0EF5">
      <w:pPr>
        <w:widowControl w:val="0"/>
        <w:spacing w:line="420" w:lineRule="exact"/>
        <w:ind w:left="0" w:right="0"/>
        <w:jc w:val="both"/>
        <w:rPr>
          <w:rFonts w:cs="B Zar" w:hint="cs"/>
          <w:rtl/>
        </w:rPr>
      </w:pPr>
      <w:r w:rsidRPr="00C0097A">
        <w:rPr>
          <w:rFonts w:cs="B Zar" w:hint="cs"/>
          <w:rtl/>
        </w:rPr>
        <w:t>زندگي با ثبات، سبب تكامل زبان و ادبيات جوامع ابتدائي و آسايش بيشتر، موجب توسعه فرهنگي مي‌شود. از شواهد اين امر آن كه، واژه‌هاي چنداني از زبان سياهپوستان آفريقائي به جا نمانده، ولي بسياري از واژه‌هاي زبان استرولايدي وارد زبانهاي هند گرديده است. استرولايدها داراي زبان مديترانه‌اي بودند.</w:t>
      </w:r>
    </w:p>
    <w:p w:rsidR="0011420A" w:rsidRPr="00C0097A" w:rsidP="003C0EF5">
      <w:pPr>
        <w:widowControl w:val="0"/>
        <w:spacing w:line="420" w:lineRule="exact"/>
        <w:ind w:left="0" w:right="0"/>
        <w:jc w:val="both"/>
        <w:rPr>
          <w:rFonts w:cs="B Zar" w:hint="cs"/>
          <w:rtl/>
        </w:rPr>
      </w:pPr>
      <w:r w:rsidRPr="00C0097A">
        <w:rPr>
          <w:rFonts w:cs="B Zar" w:hint="cs"/>
          <w:rtl/>
        </w:rPr>
        <w:t xml:space="preserve">پيتر اشميت </w:t>
      </w:r>
      <w:r w:rsidRPr="00C0097A">
        <w:rPr>
          <w:rFonts w:cs="B Zar"/>
        </w:rPr>
        <w:t>(Peter Schmidt)</w:t>
      </w:r>
      <w:r w:rsidRPr="00C0097A">
        <w:rPr>
          <w:rFonts w:cs="B Zar" w:hint="cs"/>
          <w:rtl/>
        </w:rPr>
        <w:t>، پژوهشهاي مفصلي راجع به زبان‌هائي كه ريشه استرولايدي دارند، انجام داده است. او اين زبان‌‌ها را به دو دسته تقسيم مي‌كند:</w:t>
      </w:r>
    </w:p>
    <w:p w:rsidR="0011420A" w:rsidRPr="00C0097A" w:rsidP="003C0EF5">
      <w:pPr>
        <w:widowControl w:val="0"/>
        <w:spacing w:line="420" w:lineRule="exact"/>
        <w:ind w:left="0" w:right="0"/>
        <w:jc w:val="both"/>
        <w:rPr>
          <w:rFonts w:cs="B Zar" w:hint="cs"/>
          <w:rtl/>
        </w:rPr>
      </w:pPr>
      <w:r w:rsidRPr="00C0097A">
        <w:rPr>
          <w:rFonts w:cs="B Zar" w:hint="cs"/>
          <w:b/>
          <w:bCs/>
          <w:rtl/>
        </w:rPr>
        <w:t xml:space="preserve">الف: </w:t>
      </w:r>
      <w:r w:rsidRPr="00C0097A">
        <w:rPr>
          <w:rFonts w:cs="B Zar" w:hint="cs"/>
          <w:rtl/>
        </w:rPr>
        <w:t xml:space="preserve">آسترونزي </w:t>
      </w:r>
      <w:r w:rsidRPr="00C0097A">
        <w:rPr>
          <w:rFonts w:cs="B Zar"/>
        </w:rPr>
        <w:t>(Austronesian)</w:t>
      </w:r>
      <w:r w:rsidRPr="00C0097A">
        <w:rPr>
          <w:rFonts w:cs="B Zar" w:hint="cs"/>
          <w:rtl/>
        </w:rPr>
        <w:t xml:space="preserve"> كه زبان‌هاي اندونزي، ملانزي </w:t>
      </w:r>
      <w:r w:rsidRPr="00C0097A">
        <w:rPr>
          <w:rFonts w:cs="B Zar"/>
        </w:rPr>
        <w:t>(Melansian)</w:t>
      </w:r>
      <w:r w:rsidRPr="00C0097A">
        <w:rPr>
          <w:rFonts w:cs="B Zar" w:hint="cs"/>
          <w:rtl/>
        </w:rPr>
        <w:t xml:space="preserve"> و ملانزي </w:t>
      </w:r>
      <w:r w:rsidRPr="00C0097A">
        <w:rPr>
          <w:rFonts w:cs="B Zar"/>
        </w:rPr>
        <w:t>(Polynesian)</w:t>
      </w:r>
      <w:r w:rsidRPr="00C0097A">
        <w:rPr>
          <w:rFonts w:cs="B Zar" w:hint="cs"/>
          <w:rtl/>
        </w:rPr>
        <w:t>، از آن دسته است.</w:t>
      </w:r>
    </w:p>
    <w:p w:rsidR="0011420A" w:rsidRPr="00C0097A" w:rsidP="003C0EF5">
      <w:pPr>
        <w:widowControl w:val="0"/>
        <w:spacing w:line="420" w:lineRule="exact"/>
        <w:ind w:left="0" w:right="0"/>
        <w:jc w:val="both"/>
        <w:rPr>
          <w:rFonts w:cs="B Zar" w:hint="cs"/>
          <w:rtl/>
        </w:rPr>
      </w:pPr>
      <w:r w:rsidRPr="00C0097A">
        <w:rPr>
          <w:rFonts w:cs="B Zar" w:hint="cs"/>
          <w:b/>
          <w:bCs/>
          <w:rtl/>
        </w:rPr>
        <w:t xml:space="preserve">ب: </w:t>
      </w:r>
      <w:r w:rsidRPr="00C0097A">
        <w:rPr>
          <w:rFonts w:cs="B Zar" w:hint="cs"/>
          <w:rtl/>
        </w:rPr>
        <w:t>دسته‌اي مشتمل بر زبان‌هاي آسترو ـ آسيائي</w:t>
      </w:r>
      <w:r w:rsidRPr="00C0097A">
        <w:rPr>
          <w:rFonts w:cs="B Zar"/>
        </w:rPr>
        <w:t xml:space="preserve"> (Austro-Asiatic)</w:t>
      </w:r>
      <w:r w:rsidRPr="00C0097A">
        <w:rPr>
          <w:rFonts w:cs="B Zar" w:hint="cs"/>
          <w:rtl/>
        </w:rPr>
        <w:t xml:space="preserve">، نظير زبان مردم كل </w:t>
      </w:r>
      <w:r w:rsidRPr="00C0097A">
        <w:rPr>
          <w:rFonts w:cs="B Zar"/>
        </w:rPr>
        <w:t>(Kol)</w:t>
      </w:r>
      <w:r w:rsidRPr="00C0097A">
        <w:rPr>
          <w:rFonts w:cs="B Zar" w:hint="cs"/>
          <w:rtl/>
        </w:rPr>
        <w:t xml:space="preserve">، ماند </w:t>
      </w:r>
      <w:r w:rsidRPr="00C0097A">
        <w:rPr>
          <w:rFonts w:cs="B Zar"/>
        </w:rPr>
        <w:t>(Manda)</w:t>
      </w:r>
      <w:r w:rsidRPr="00C0097A">
        <w:rPr>
          <w:rFonts w:cs="B Zar" w:hint="cs"/>
          <w:rtl/>
        </w:rPr>
        <w:t xml:space="preserve"> و نيكوباري</w:t>
      </w:r>
      <w:r w:rsidRPr="00C0097A">
        <w:rPr>
          <w:rFonts w:cs="B Zar"/>
        </w:rPr>
        <w:t xml:space="preserve"> (Nicobari)</w:t>
      </w:r>
      <w:r w:rsidRPr="00C0097A">
        <w:rPr>
          <w:rFonts w:cs="B Zar" w:hint="cs"/>
          <w:rtl/>
        </w:rPr>
        <w:t xml:space="preserve"> و آسامي</w:t>
      </w:r>
      <w:r w:rsidRPr="00C0097A">
        <w:rPr>
          <w:rFonts w:cs="B Zar"/>
        </w:rPr>
        <w:t xml:space="preserve"> (Assam)</w:t>
      </w:r>
      <w:r w:rsidRPr="00C0097A">
        <w:rPr>
          <w:rFonts w:cs="B Zar" w:hint="cs"/>
          <w:rtl/>
        </w:rPr>
        <w:t xml:space="preserve"> (كه اينان از جمله زبان‌هاي سرزمين هند مي‌باشند) و نيز زبان برمه و مُن‌خمر </w:t>
      </w:r>
      <w:r w:rsidRPr="00C0097A">
        <w:rPr>
          <w:rFonts w:cs="B Zar"/>
        </w:rPr>
        <w:t>(Mon-Khmer)</w:t>
      </w:r>
      <w:r w:rsidRPr="00C0097A">
        <w:rPr>
          <w:rFonts w:cs="B Zar" w:hint="cs"/>
          <w:rtl/>
        </w:rPr>
        <w:t xml:space="preserve"> .</w:t>
      </w:r>
      <w:r>
        <w:rPr>
          <w:rStyle w:val="FootnoteReference"/>
          <w:rFonts w:cs="B Zar"/>
          <w:sz w:val="28"/>
        </w:rPr>
        <w:footnoteReference w:id="101"/>
      </w:r>
    </w:p>
    <w:p w:rsidR="0011420A" w:rsidRPr="00C0097A" w:rsidP="003C0EF5">
      <w:pPr>
        <w:widowControl w:val="0"/>
        <w:spacing w:line="420" w:lineRule="exact"/>
        <w:ind w:left="0" w:right="0"/>
        <w:jc w:val="both"/>
        <w:rPr>
          <w:rFonts w:cs="B Zar"/>
        </w:rPr>
      </w:pPr>
      <w:r w:rsidRPr="00C0097A">
        <w:rPr>
          <w:rFonts w:cs="B Zar" w:hint="cs"/>
          <w:rtl/>
        </w:rPr>
        <w:t xml:space="preserve">دانشمند مجارستاني ويليام هاوسكي </w:t>
      </w:r>
      <w:r w:rsidRPr="00C0097A">
        <w:rPr>
          <w:rFonts w:cs="B Zar"/>
        </w:rPr>
        <w:t>(William Havesky)</w:t>
      </w:r>
      <w:r w:rsidRPr="00C0097A">
        <w:rPr>
          <w:rFonts w:cs="B Zar" w:hint="cs"/>
          <w:rtl/>
        </w:rPr>
        <w:t xml:space="preserve"> در اين زمينه نظرية ديگري دارد. او معتقد است كه زبان‌هاي استرولايدي با زبان‌هاي «فينواگرين» </w:t>
      </w:r>
      <w:r w:rsidRPr="00C0097A">
        <w:rPr>
          <w:rFonts w:cs="B Zar"/>
        </w:rPr>
        <w:t>(Fino-Ugrian)</w:t>
      </w:r>
      <w:r w:rsidRPr="00C0097A">
        <w:rPr>
          <w:rFonts w:cs="B Zar" w:hint="cs"/>
          <w:rtl/>
        </w:rPr>
        <w:t xml:space="preserve"> كه زبان فنلاندي است، هم سنخ مي‌باشد. اين نظريه در سال 1930 عنوان شد، ولي هنوز به طور قاطع رد و يا پذيرفته نشده است.</w:t>
      </w:r>
      <w:r>
        <w:rPr>
          <w:rStyle w:val="FootnoteReference"/>
          <w:rFonts w:cs="B Zar"/>
          <w:sz w:val="28"/>
          <w:rtl/>
        </w:rPr>
        <w:footnoteReference w:id="102"/>
      </w:r>
    </w:p>
    <w:p w:rsidR="0011420A" w:rsidRPr="00C0097A" w:rsidP="003C0EF5">
      <w:pPr>
        <w:widowControl w:val="0"/>
        <w:spacing w:line="420" w:lineRule="exact"/>
        <w:ind w:left="0" w:right="0"/>
        <w:jc w:val="both"/>
        <w:rPr>
          <w:rFonts w:cs="B Zar" w:hint="cs"/>
          <w:rtl/>
        </w:rPr>
      </w:pPr>
      <w:r w:rsidRPr="00C0097A">
        <w:rPr>
          <w:rFonts w:cs="B Zar" w:hint="cs"/>
          <w:rtl/>
        </w:rPr>
        <w:t xml:space="preserve">پرزلُسكي </w:t>
      </w:r>
      <w:r w:rsidRPr="00C0097A">
        <w:rPr>
          <w:rFonts w:cs="B Zar"/>
        </w:rPr>
        <w:t>(Przluski)</w:t>
      </w:r>
      <w:r w:rsidRPr="00C0097A">
        <w:rPr>
          <w:rFonts w:cs="B Zar" w:hint="cs"/>
          <w:rtl/>
        </w:rPr>
        <w:t xml:space="preserve"> در طي بررسي عناصر آريائي زبانهاي «هند ـ اروپائي» (سانسكريت، فارسي، ژرمن)، بدين نتيجه رسيده است كه عناصر مزبور به فرهنگ و زبان استرولايدي تعلق دارند. اكثر واژه‌هائي كه آريائي‌ها در هند، از زبان بوميان استرولايدي اقتباس كرده اند، از اسامي گياه‌ها، گل‌ها و پرندگاني است كه براي آريائي‌هاي مهاجر ناشناخته بود. پرزلسكي معتقد است كه كلمه «گندم» در فارسي، «گندهوماً</w:t>
      </w:r>
      <w:r w:rsidRPr="00C0097A">
        <w:rPr>
          <w:rFonts w:cs="B Zar"/>
        </w:rPr>
        <w:t>)</w:t>
      </w:r>
      <w:r w:rsidRPr="00C0097A">
        <w:rPr>
          <w:rFonts w:cs="B Zar" w:hint="cs"/>
          <w:rtl/>
        </w:rPr>
        <w:t xml:space="preserve"> در پهلوي، «گودهوما»»</w:t>
      </w:r>
      <w:r w:rsidRPr="00C0097A">
        <w:rPr>
          <w:rFonts w:cs="B Zar"/>
        </w:rPr>
        <w:t xml:space="preserve"> (Godhuma</w:t>
      </w:r>
      <w:r w:rsidRPr="00C0097A">
        <w:rPr>
          <w:rFonts w:cs="B Zar" w:hint="cs"/>
          <w:rtl/>
        </w:rPr>
        <w:t xml:space="preserve"> در سانسكريت و «گيهون»</w:t>
      </w:r>
      <w:r w:rsidRPr="00C0097A">
        <w:rPr>
          <w:rFonts w:cs="B Zar"/>
        </w:rPr>
        <w:t>(gehoon)</w:t>
      </w:r>
      <w:r w:rsidRPr="00C0097A">
        <w:rPr>
          <w:rFonts w:cs="B Zar" w:hint="cs"/>
          <w:rtl/>
        </w:rPr>
        <w:t xml:space="preserve"> در اردو و هندي، ريشه استرولايدي دارد. براي برنج واژه قديمي آريائي «ورنجا» است كه در پهلوي «ورهي»</w:t>
      </w:r>
      <w:r w:rsidRPr="00C0097A">
        <w:rPr>
          <w:rFonts w:cs="B Zar"/>
        </w:rPr>
        <w:t>(virihi</w:t>
      </w:r>
      <w:r w:rsidRPr="00C0097A">
        <w:rPr>
          <w:rFonts w:cs="B Zar" w:hint="cs"/>
          <w:rtl/>
        </w:rPr>
        <w:t xml:space="preserve"> و در يوناني «بريز» و در فارسي كنوني «برنج» شد؛ ولي در زبانهاي آريائي هند، براي ناميدن برنج، كلمه «چول»</w:t>
      </w:r>
      <w:r w:rsidRPr="00C0097A">
        <w:rPr>
          <w:rFonts w:cs="B Zar"/>
        </w:rPr>
        <w:t xml:space="preserve"> (chaul)</w:t>
      </w:r>
      <w:r w:rsidRPr="00C0097A">
        <w:rPr>
          <w:rFonts w:cs="B Zar" w:hint="cs"/>
          <w:rtl/>
        </w:rPr>
        <w:t xml:space="preserve"> يا «چاول»</w:t>
      </w:r>
      <w:r w:rsidRPr="00C0097A">
        <w:rPr>
          <w:rFonts w:cs="B Zar"/>
        </w:rPr>
        <w:t>(chawal)</w:t>
      </w:r>
      <w:r w:rsidRPr="00C0097A">
        <w:rPr>
          <w:rFonts w:cs="B Zar" w:hint="cs"/>
          <w:rtl/>
        </w:rPr>
        <w:t xml:space="preserve"> به كار مي‌رود كه ريشه استروالايدي دارد</w:t>
      </w:r>
      <w:r>
        <w:rPr>
          <w:rStyle w:val="FootnoteReference"/>
          <w:rFonts w:cs="B Zar"/>
          <w:sz w:val="28"/>
          <w:rtl/>
        </w:rPr>
        <w:footnoteReference w:id="103"/>
      </w:r>
      <w:r w:rsidRPr="00C0097A">
        <w:rPr>
          <w:rFonts w:cs="B Zar" w:hint="cs"/>
          <w:rtl/>
        </w:rPr>
        <w:t>.</w:t>
      </w:r>
    </w:p>
    <w:p w:rsidR="0011420A" w:rsidRPr="00C0097A" w:rsidP="003C0EF5">
      <w:pPr>
        <w:widowControl w:val="0"/>
        <w:spacing w:line="420" w:lineRule="exact"/>
        <w:ind w:left="0" w:right="0"/>
        <w:jc w:val="both"/>
        <w:rPr>
          <w:rFonts w:cs="B Zar" w:hint="cs"/>
          <w:rtl/>
        </w:rPr>
      </w:pPr>
      <w:r w:rsidRPr="00C0097A">
        <w:rPr>
          <w:rFonts w:cs="B Zar" w:hint="cs"/>
          <w:rtl/>
        </w:rPr>
        <w:t>شواهد فوق نشان مي‌دهد نه تنها زبان‌هاي هند تحت تأثير استرولايدي‌ها قرار گرفت، بلكه فرهنگ و زبان آنها حتي به ايران نيز راه پيدا كرد. گمان مي‌رود در سير خود به هند، دسته‌هايي از اينان در ايران ماندگار شده اند.</w:t>
      </w:r>
    </w:p>
    <w:p w:rsidR="0011420A" w:rsidRPr="00C0097A" w:rsidP="003C0EF5">
      <w:pPr>
        <w:widowControl w:val="0"/>
        <w:spacing w:line="420" w:lineRule="exact"/>
        <w:ind w:left="0" w:right="0"/>
        <w:jc w:val="both"/>
        <w:rPr>
          <w:rFonts w:cs="B Zar" w:hint="cs"/>
          <w:rtl/>
        </w:rPr>
      </w:pPr>
      <w:r w:rsidRPr="00C0097A">
        <w:rPr>
          <w:rFonts w:cs="B Zar" w:hint="cs"/>
          <w:rtl/>
        </w:rPr>
        <w:t>بيش از زبان و واژگان، اعتقادات و آئين ديني استرولايدها در تكوين فرهنگ هند تأثير گذارده است. ويژگي اصلي آئين ديني استرولايدها «توتم‌پرستي» بود. توتم عبارت از گياه يا حيوان يا شيئي است كه به صورت مظهر و نماد يك گروه، طايفه يا قبيله درآيد. انسان ابتدائي پديده‌هاي طبيعت را به دو گروه «مقدس» و «غير مقدس» تقسيم مي‌كرد و  اشياء مقدس را مورد پرستش قرار مي‌داد</w:t>
      </w:r>
      <w:r>
        <w:rPr>
          <w:rStyle w:val="FootnoteReference"/>
          <w:rFonts w:cs="B Zar"/>
          <w:sz w:val="28"/>
          <w:rtl/>
        </w:rPr>
        <w:footnoteReference w:id="104"/>
      </w:r>
      <w:r w:rsidRPr="00C0097A">
        <w:rPr>
          <w:rFonts w:cs="B Zar" w:hint="cs"/>
          <w:rtl/>
        </w:rPr>
        <w:t>. در دهه 1950، مردم‌شناس معروف، «آر.رادكليف براون»، آئين توتميسم</w:t>
      </w:r>
      <w:r w:rsidRPr="00C0097A">
        <w:rPr>
          <w:rFonts w:cs="B Zar"/>
        </w:rPr>
        <w:t xml:space="preserve"> (Totemism) </w:t>
      </w:r>
      <w:r w:rsidRPr="00C0097A">
        <w:rPr>
          <w:rFonts w:cs="B Zar" w:hint="cs"/>
          <w:rtl/>
        </w:rPr>
        <w:t xml:space="preserve"> را در جوامع ابتدائي به طور وسيعي مورد مطالعه قرار داد. او توتميسم را نوعي دسته‌بندي طبيعت، به اشياء «مقدس» و «غير مقدس» تعريف كرد. چنانكه دوركهيم</w:t>
      </w:r>
      <w:r w:rsidRPr="00C0097A">
        <w:rPr>
          <w:rFonts w:cs="B Zar"/>
        </w:rPr>
        <w:t xml:space="preserve"> (Durkheim)</w:t>
      </w:r>
      <w:r w:rsidRPr="00C0097A">
        <w:rPr>
          <w:rFonts w:cs="B Zar" w:hint="cs"/>
          <w:rtl/>
        </w:rPr>
        <w:t xml:space="preserve"> نيز معتقد است كه مردم جوامع ابتدائي، تمام اشياء را به دو مقوله «مقدس» </w:t>
      </w:r>
      <w:r w:rsidRPr="00C0097A">
        <w:rPr>
          <w:rFonts w:cs="B Zar"/>
        </w:rPr>
        <w:t>(Sacred)</w:t>
      </w:r>
      <w:r w:rsidRPr="00C0097A">
        <w:rPr>
          <w:rFonts w:cs="B Zar" w:hint="cs"/>
          <w:rtl/>
        </w:rPr>
        <w:t xml:space="preserve"> و «دنيوي» </w:t>
      </w:r>
      <w:r w:rsidRPr="00C0097A">
        <w:rPr>
          <w:rFonts w:cs="B Zar"/>
        </w:rPr>
        <w:t>(Profane)</w:t>
      </w:r>
      <w:r w:rsidRPr="00C0097A">
        <w:rPr>
          <w:rFonts w:cs="B Zar" w:hint="cs"/>
          <w:rtl/>
        </w:rPr>
        <w:t xml:space="preserve"> دسته‌بندي كرده است. لويي اشتراوس نيز توتم‌پرستي را مظهر طبقه بندي ابتدائي بشر از پديده‌هاي خارجي تلقي مي‌كند.</w:t>
      </w:r>
      <w:r>
        <w:rPr>
          <w:rStyle w:val="FootnoteReference"/>
          <w:rFonts w:cs="B Zar"/>
          <w:sz w:val="28"/>
          <w:rtl/>
        </w:rPr>
        <w:footnoteReference w:id="105"/>
      </w:r>
    </w:p>
    <w:p w:rsidR="0011420A" w:rsidRPr="00C0097A" w:rsidP="003C0EF5">
      <w:pPr>
        <w:widowControl w:val="0"/>
        <w:spacing w:line="420" w:lineRule="exact"/>
        <w:ind w:left="0" w:right="0"/>
        <w:jc w:val="both"/>
        <w:rPr>
          <w:rFonts w:cs="B Zar" w:hint="cs"/>
          <w:rtl/>
        </w:rPr>
      </w:pPr>
      <w:r w:rsidRPr="00C0097A">
        <w:rPr>
          <w:rFonts w:cs="B Zar" w:hint="cs"/>
          <w:rtl/>
        </w:rPr>
        <w:t>پس از طبقه‌بندي تمام موجودات و اشياء در دو دسته ياد شده، امور و اشياء مقدس مورد احترام و يا پرستش قرار مي‌گيرند. عموماً هر تيره يا طايفه يا قبيله‌اي، يكي از امور و اشياء يا موجودات مقدس را به صورت «توتم»</w:t>
      </w:r>
      <w:r w:rsidRPr="00C0097A">
        <w:rPr>
          <w:rFonts w:cs="B Zar"/>
        </w:rPr>
        <w:t>(totem)</w:t>
      </w:r>
      <w:r w:rsidRPr="00C0097A">
        <w:rPr>
          <w:rFonts w:cs="B Zar" w:hint="cs"/>
          <w:rtl/>
        </w:rPr>
        <w:t xml:space="preserve"> يا علامت مشخصة خود انتخاب می كند و آن گاه تمام افراد به پرستش آن مي پردازند. مثلاً، توتم نيمي از ايرانيان باستان، شير و توتم نيمه ديگر، خورشيد بود. اين است كه رژيم گذشته «شير و خورشيد» را به صورت توتم تازه كيش ناسيوناليسم ايراني و دين شاه پرستي درآورد. اين نكته</w:t>
      </w:r>
      <w:r w:rsidRPr="00C0097A">
        <w:rPr>
          <w:rFonts w:cs="B Zar"/>
        </w:rPr>
        <w:t xml:space="preserve"> </w:t>
      </w:r>
      <w:r w:rsidRPr="00C0097A">
        <w:rPr>
          <w:rFonts w:cs="B Zar" w:hint="cs"/>
          <w:rtl/>
        </w:rPr>
        <w:t xml:space="preserve">ـ كه به طور عموم هر طبقه و قبيله در جوامع ابتدائي داراي توتم مستقل بوده‌ ـ‌ جامعه‌شناسان كاركردگرا </w:t>
      </w:r>
      <w:r w:rsidRPr="00C0097A">
        <w:rPr>
          <w:rFonts w:cs="B Zar"/>
        </w:rPr>
        <w:t>(Functionalist)</w:t>
      </w:r>
      <w:r w:rsidRPr="00C0097A">
        <w:rPr>
          <w:rFonts w:cs="B Zar" w:hint="cs"/>
          <w:rtl/>
        </w:rPr>
        <w:t xml:space="preserve"> را وا داشت تا به كند و كاو در نقش اجتماعي «توتم»ها بپردازند. مالينوسكي</w:t>
      </w:r>
      <w:r w:rsidRPr="00C0097A">
        <w:rPr>
          <w:rFonts w:cs="B Zar"/>
        </w:rPr>
        <w:t xml:space="preserve"> (Malinovski)</w:t>
      </w:r>
      <w:r w:rsidRPr="00C0097A">
        <w:rPr>
          <w:rFonts w:cs="B Zar" w:hint="cs"/>
          <w:rtl/>
        </w:rPr>
        <w:t xml:space="preserve"> و رادكليف براون، هر دو معتقدند «توتم» وسيله‌اي براي ايجاد همبستگي قبيله‌اي و ايجاد هويت مستقل گروهي است</w:t>
      </w:r>
      <w:r>
        <w:rPr>
          <w:rStyle w:val="FootnoteReference"/>
          <w:rFonts w:cs="B Zar"/>
          <w:sz w:val="28"/>
          <w:rtl/>
        </w:rPr>
        <w:footnoteReference w:id="106"/>
      </w:r>
      <w:r w:rsidRPr="00C0097A">
        <w:rPr>
          <w:rFonts w:cs="B Zar" w:hint="cs"/>
          <w:rtl/>
        </w:rPr>
        <w:t>.</w:t>
      </w:r>
    </w:p>
    <w:p w:rsidR="0011420A" w:rsidRPr="00C0097A" w:rsidP="003C0EF5">
      <w:pPr>
        <w:widowControl w:val="0"/>
        <w:spacing w:line="420" w:lineRule="exact"/>
        <w:ind w:left="0" w:right="0"/>
        <w:jc w:val="both"/>
        <w:rPr>
          <w:rFonts w:cs="B Zar" w:hint="cs"/>
          <w:rtl/>
        </w:rPr>
      </w:pPr>
      <w:r w:rsidRPr="00C0097A">
        <w:rPr>
          <w:rFonts w:cs="B Zar" w:hint="cs"/>
          <w:rtl/>
        </w:rPr>
        <w:t>به نظر مي</w:t>
      </w:r>
      <w:r w:rsidRPr="00C0097A">
        <w:rPr>
          <w:rFonts w:cs="B Zar"/>
        </w:rPr>
        <w:t xml:space="preserve"> </w:t>
      </w:r>
      <w:r w:rsidRPr="00C0097A">
        <w:rPr>
          <w:rFonts w:cs="B Zar" w:hint="cs"/>
          <w:rtl/>
        </w:rPr>
        <w:t>رسد آئين ديني سياهپوستان آفريقائي و استرولايدها، هر دو مبتني بر نوعي توتميسم</w:t>
      </w:r>
      <w:r w:rsidRPr="00C0097A">
        <w:rPr>
          <w:rFonts w:cs="B Zar"/>
        </w:rPr>
        <w:t xml:space="preserve"> (Totmism)</w:t>
      </w:r>
      <w:r w:rsidRPr="00C0097A">
        <w:rPr>
          <w:rFonts w:cs="B Zar" w:hint="cs"/>
          <w:rtl/>
        </w:rPr>
        <w:t xml:space="preserve"> بوده است. توتم هاي آفريقائيان عموماً از سنخ درختان و حيوانات و استرولايدها نظير آفريقائيان، درخت نارگيل، و پيپل و نيز رودخانه‌ها را مقدس مي‌شمرده اند. نام گنگ رودخانة مقدس هند، ريشه استرولايدي دارد. آنان هر رودخانه‌اي را «گنگ» مي‌ناميدند. در آئين آرياهاي عصر وداها، رودخانة كنوني گنگ داراي اهميت يا تقدس خاصي نبوده، بلكه آنان رود سارسواتي را مقدس مي‌شمردند.</w:t>
      </w:r>
    </w:p>
    <w:p w:rsidR="0011420A" w:rsidRPr="00C0097A" w:rsidP="003C0EF5">
      <w:pPr>
        <w:widowControl w:val="0"/>
        <w:spacing w:line="420" w:lineRule="exact"/>
        <w:ind w:left="0" w:right="0"/>
        <w:jc w:val="both"/>
        <w:rPr>
          <w:rFonts w:cs="B Zar" w:hint="cs"/>
          <w:rtl/>
        </w:rPr>
      </w:pPr>
      <w:r w:rsidRPr="00C0097A">
        <w:rPr>
          <w:rFonts w:cs="B Zar" w:hint="cs"/>
          <w:rtl/>
        </w:rPr>
        <w:t>توتم‌هاي استرولايدها علاوه بر گياهان و درختان و درياها، آلت تناسلي مرد و زن را نيز شامل مي‌شده است. باستان شناسان معتقدند كه از جمله «توتم»‌هاي  استرولايدها، «لينك»</w:t>
      </w:r>
      <w:r w:rsidRPr="00C0097A">
        <w:rPr>
          <w:rFonts w:cs="B Zar"/>
        </w:rPr>
        <w:t xml:space="preserve"> (Ling) </w:t>
      </w:r>
      <w:r w:rsidRPr="00C0097A">
        <w:rPr>
          <w:rFonts w:cs="B Zar" w:hint="cs"/>
          <w:rtl/>
        </w:rPr>
        <w:t xml:space="preserve"> (آلت تناسلي مرد) و «يون»</w:t>
      </w:r>
      <w:r w:rsidRPr="00C0097A">
        <w:rPr>
          <w:rFonts w:cs="B Zar"/>
        </w:rPr>
        <w:t xml:space="preserve">(Yon) </w:t>
      </w:r>
      <w:r w:rsidRPr="00C0097A">
        <w:rPr>
          <w:rFonts w:cs="B Zar" w:hint="cs"/>
          <w:rtl/>
        </w:rPr>
        <w:t xml:space="preserve"> (رحم زن) بوده است. ظاهراً هر دوي اينها سمبل آفرينندگي و بارداري،  تكثير نسل و ازدياد محصول محسوب مي‌شدند. پيدا است در دوره‌اي كه انسان تازه به مرحله كشاورزي و توليد غذا رسيده بود، از يكسو به افزايش نيروي كار (ازدياد نسل) و از سوي ديگر، به ازدياد محصول نياز داشت. پرزلسكي نشان مي‌دهد، واژه «لنگ» با واژه‌هائي  كه در زبان قبائل ابتدائي جزائر اندونزي براي آلت مرد به كار مي‌رود، «لنگولا»</w:t>
      </w:r>
      <w:r w:rsidRPr="00C0097A">
        <w:rPr>
          <w:rFonts w:cs="B Zar"/>
        </w:rPr>
        <w:t>(Langola)</w:t>
      </w:r>
      <w:r w:rsidRPr="00C0097A">
        <w:rPr>
          <w:rFonts w:cs="B Zar" w:hint="cs"/>
          <w:rtl/>
        </w:rPr>
        <w:t xml:space="preserve"> و «لنگود»</w:t>
      </w:r>
      <w:r w:rsidRPr="00C0097A">
        <w:rPr>
          <w:rFonts w:cs="B Zar"/>
        </w:rPr>
        <w:t>(Langud)</w:t>
      </w:r>
      <w:r w:rsidRPr="00C0097A">
        <w:rPr>
          <w:rFonts w:cs="B Zar" w:hint="cs"/>
          <w:rtl/>
        </w:rPr>
        <w:t xml:space="preserve"> و «لنكوتا» شباهت تام و بدون ترديد به ريشه استرولايدي دارد. مهاجران بعدي، يعني </w:t>
      </w:r>
      <w:r w:rsidRPr="00C0097A">
        <w:rPr>
          <w:rFonts w:cs="B Zar" w:hint="cs"/>
          <w:i/>
          <w:iCs/>
          <w:rtl/>
        </w:rPr>
        <w:t>دراوديها</w:t>
      </w:r>
      <w:r w:rsidRPr="00C0097A">
        <w:rPr>
          <w:rFonts w:cs="B Zar" w:hint="cs"/>
          <w:rtl/>
        </w:rPr>
        <w:t xml:space="preserve">، آنرا از استرولايدها اقتباس كرده، به خداي خود </w:t>
      </w:r>
      <w:r w:rsidRPr="00C0097A">
        <w:rPr>
          <w:rFonts w:cs="B Zar" w:hint="cs"/>
          <w:i/>
          <w:iCs/>
          <w:rtl/>
        </w:rPr>
        <w:t>شيوا</w:t>
      </w:r>
      <w:r w:rsidRPr="00C0097A">
        <w:rPr>
          <w:rFonts w:cs="B Zar" w:hint="cs"/>
          <w:rtl/>
        </w:rPr>
        <w:t xml:space="preserve"> نسبت دادند. در دوره تدوين سنن ديني «</w:t>
      </w:r>
      <w:r w:rsidRPr="00C0097A">
        <w:rPr>
          <w:rFonts w:cs="B Zar" w:hint="cs"/>
          <w:i/>
          <w:iCs/>
          <w:rtl/>
        </w:rPr>
        <w:t>پوراناا</w:t>
      </w:r>
      <w:r w:rsidRPr="00C0097A">
        <w:rPr>
          <w:rFonts w:cs="B Zar" w:hint="cs"/>
          <w:rtl/>
        </w:rPr>
        <w:t>»، اعتقاد تقديس آلت جنسي شايع شد و پرستش آن (لنگ پوجا) ميان هندوان رواج يافت؛ هم چنانكه هنوز نيز رائج است.</w:t>
      </w:r>
    </w:p>
    <w:p w:rsidR="0011420A" w:rsidRPr="00C0097A" w:rsidP="003C0EF5">
      <w:pPr>
        <w:widowControl w:val="0"/>
        <w:spacing w:line="420" w:lineRule="exact"/>
        <w:ind w:left="0" w:right="0"/>
        <w:jc w:val="both"/>
        <w:rPr>
          <w:rFonts w:cs="B Zar" w:hint="cs"/>
          <w:rtl/>
        </w:rPr>
      </w:pPr>
      <w:r w:rsidRPr="00C0097A">
        <w:rPr>
          <w:rFonts w:cs="B Zar" w:hint="cs"/>
          <w:rtl/>
        </w:rPr>
        <w:t>توتميسم با عقيده «</w:t>
      </w:r>
      <w:r w:rsidRPr="00C0097A">
        <w:rPr>
          <w:rFonts w:cs="B Zar" w:hint="cs"/>
          <w:i/>
          <w:iCs/>
          <w:rtl/>
        </w:rPr>
        <w:t>تابو</w:t>
      </w:r>
      <w:r w:rsidRPr="00C0097A">
        <w:rPr>
          <w:rFonts w:cs="B Zar" w:hint="cs"/>
          <w:rtl/>
        </w:rPr>
        <w:t>»</w:t>
      </w:r>
      <w:r w:rsidRPr="00C0097A">
        <w:rPr>
          <w:rFonts w:cs="B Zar"/>
        </w:rPr>
        <w:t xml:space="preserve"> (Taboo)</w:t>
      </w:r>
      <w:r w:rsidRPr="00C0097A">
        <w:rPr>
          <w:rFonts w:cs="B Zar" w:hint="cs"/>
          <w:rtl/>
        </w:rPr>
        <w:t xml:space="preserve"> همراه است. تابو امور يا اشياء مقدسي‌اند كه استفاده از آنان در جامعه قدغن است. در واقع، سيستم تابو، نظامي از محرمات شرعي جوامع ابتدائي است. تابو مي‌تواند چيزي خوردني يا مكاني خاص و يا حتي فعاليت ويژه‌اي باشد. به طور عموم، توتم‌ها به صورت تابو در مي‌آيند؛ يعني به خاطر رعايت تقدس اشياء و امور ارجمند، استفاده از آنها قدغن مي‌شود. اصطلاح «تابو» </w:t>
      </w:r>
      <w:r w:rsidRPr="00C0097A">
        <w:rPr>
          <w:rFonts w:cs="B Zar"/>
        </w:rPr>
        <w:t>(Taboo)</w:t>
      </w:r>
      <w:r w:rsidRPr="00C0097A">
        <w:rPr>
          <w:rFonts w:cs="B Zar" w:hint="cs"/>
          <w:rtl/>
        </w:rPr>
        <w:t xml:space="preserve"> پس از سفر كاپيتان كوك به جزائر ملانزي </w:t>
      </w:r>
      <w:r w:rsidRPr="00C0097A">
        <w:rPr>
          <w:rFonts w:cs="B Zar"/>
        </w:rPr>
        <w:t>(Polynesian Island)</w:t>
      </w:r>
      <w:r w:rsidRPr="00C0097A">
        <w:rPr>
          <w:rFonts w:cs="B Zar" w:hint="cs"/>
          <w:rtl/>
        </w:rPr>
        <w:t xml:space="preserve"> كه اهالي آن به نژاد استرولايد تعلق دارند، وارد زبان انگليسي گرديد و سپس، جامعه شناسان اين اصطلاح را به طور گسترده براي بيان و توجيه محرمات شرعي و محارم ازدواج به كار گرفتند. لويي اشتراوس، دگرگوني وسيعي در فهم و درك از مفهوم تابو ايجاد كرد. او، توتم را دستگاه نمادي دانست كه روابط انسان و طبيعت و نيز روابط اعضاي اجتماع را تنظيم مي‌كند تا از هرج و مرج اجتماعي جلوگيري شود. دوركهيم، جامعه‌شناس بزرگ، معتقد است كه تابو، برخوردار ساختن گروه اجتماعي از هنجارهاي مشترك و سنجش دائم ميزان تعهد افراد به گروهي مي باشد. به نظر او، رعايت تابو، مظهر تعهد عملي افراد به گروه اجتماعي خود است.</w:t>
      </w:r>
    </w:p>
    <w:p w:rsidR="0011420A" w:rsidRPr="00C0097A" w:rsidP="003C0EF5">
      <w:pPr>
        <w:widowControl w:val="0"/>
        <w:spacing w:line="420" w:lineRule="exact"/>
        <w:ind w:left="0" w:right="0"/>
        <w:jc w:val="both"/>
        <w:rPr>
          <w:rFonts w:cs="B Zar" w:hint="cs"/>
          <w:rtl/>
        </w:rPr>
      </w:pPr>
      <w:r w:rsidRPr="00C0097A">
        <w:rPr>
          <w:rFonts w:cs="B Zar" w:hint="cs"/>
          <w:rtl/>
        </w:rPr>
        <w:t>استرولايدها داراي سيستم گسترده تابوها بودند. مفهوم «تابو» و حكم تحريم برخي از اشياي مقدس، در فرهنگ دوره‌هاي بعدي راه پيدا كرد. سيلوانالويي</w:t>
      </w:r>
      <w:r w:rsidRPr="00C0097A">
        <w:rPr>
          <w:rFonts w:cs="B Zar"/>
        </w:rPr>
        <w:t xml:space="preserve">(Sylvian Levy) </w:t>
      </w:r>
      <w:r w:rsidRPr="00C0097A">
        <w:rPr>
          <w:rFonts w:cs="B Zar" w:hint="cs"/>
          <w:rtl/>
        </w:rPr>
        <w:t>، نخستين پژوهشگري بود كه به اين نكته پي برد كه كلمه «</w:t>
      </w:r>
      <w:r w:rsidRPr="00C0097A">
        <w:rPr>
          <w:rFonts w:cs="B Zar" w:hint="cs"/>
          <w:i/>
          <w:iCs/>
          <w:rtl/>
        </w:rPr>
        <w:t>تبوا</w:t>
      </w:r>
      <w:r w:rsidRPr="00C0097A">
        <w:rPr>
          <w:rFonts w:cs="B Zar" w:hint="cs"/>
          <w:rtl/>
        </w:rPr>
        <w:t xml:space="preserve">» در آثروا ودا با كلمه «تابو» يا «تاپو» در انديشه ديني اهالي جزائر ملانزي هم سنخ است. سپس بارت </w:t>
      </w:r>
      <w:r w:rsidRPr="00C0097A">
        <w:rPr>
          <w:rFonts w:cs="B Zar"/>
        </w:rPr>
        <w:t>(Barth)</w:t>
      </w:r>
      <w:r w:rsidRPr="00C0097A">
        <w:rPr>
          <w:rFonts w:cs="B Zar" w:hint="cs"/>
          <w:rtl/>
        </w:rPr>
        <w:t>، سانسكريت شناس بزرگ،  رابطه آنها را بيشتر مورد كند و كاو قرار داد. اين اشتراك از آن جهت  است كه مفهوم و واژه «تابو» را هر دو فرهنگ، از استرولايدهاي باستاني به ارث بردند.</w:t>
      </w:r>
    </w:p>
    <w:p w:rsidR="0011420A" w:rsidRPr="00C0097A" w:rsidP="003C0EF5">
      <w:pPr>
        <w:widowControl w:val="0"/>
        <w:spacing w:line="420" w:lineRule="exact"/>
        <w:ind w:left="0" w:right="0"/>
        <w:jc w:val="both"/>
        <w:rPr>
          <w:rFonts w:cs="B Zar" w:hint="cs"/>
          <w:rtl/>
        </w:rPr>
      </w:pPr>
      <w:r w:rsidRPr="00C0097A">
        <w:rPr>
          <w:rFonts w:cs="B Zar" w:hint="cs"/>
          <w:rtl/>
        </w:rPr>
        <w:t>چنين به نظر مي رسد كه اعتقادات توتميستي در استرولايدها، به ايجاد بذرهاي اوليه عقيده «</w:t>
      </w:r>
      <w:r w:rsidRPr="00C0097A">
        <w:rPr>
          <w:rFonts w:cs="B Zar" w:hint="cs"/>
          <w:iCs/>
          <w:rtl/>
        </w:rPr>
        <w:t>اوتارواد</w:t>
      </w:r>
      <w:r w:rsidRPr="00C0097A">
        <w:rPr>
          <w:rFonts w:cs="B Zar" w:hint="cs"/>
          <w:rtl/>
        </w:rPr>
        <w:t>»</w:t>
      </w:r>
      <w:r w:rsidRPr="00C0097A">
        <w:rPr>
          <w:rFonts w:cs="B Zar"/>
        </w:rPr>
        <w:t xml:space="preserve"> (Awtarwad)</w:t>
      </w:r>
      <w:r w:rsidRPr="00C0097A">
        <w:rPr>
          <w:rFonts w:cs="B Zar" w:hint="cs"/>
          <w:rtl/>
        </w:rPr>
        <w:t xml:space="preserve"> (اعتقاد به تجسم خدا به صورت اشياء و موجودات) و عقيدة </w:t>
      </w:r>
      <w:r w:rsidRPr="00C0097A">
        <w:rPr>
          <w:rFonts w:cs="B Zar" w:hint="cs"/>
          <w:i/>
          <w:iCs/>
          <w:rtl/>
        </w:rPr>
        <w:t xml:space="preserve">«تناسخ ارواح» </w:t>
      </w:r>
      <w:r w:rsidRPr="00C0097A">
        <w:rPr>
          <w:rFonts w:cs="B Zar" w:hint="cs"/>
          <w:rtl/>
        </w:rPr>
        <w:t xml:space="preserve">(اعتقاد به اينكه روح انسان پس از مرگ، بسته به اعمال نيك و بد او، به صورت يكي از اشياء و يا موجودات پليد و يا به شكل اشياء و يا موجودات پاك در مي‌آيد)، منجر شده كه از اصول عمده هندوئيسم كنوني است. آيين آنيميسم </w:t>
      </w:r>
      <w:r w:rsidRPr="00C0097A">
        <w:rPr>
          <w:rFonts w:cs="B Zar"/>
        </w:rPr>
        <w:t>(Animism)</w:t>
      </w:r>
      <w:r w:rsidRPr="00C0097A">
        <w:rPr>
          <w:rFonts w:cs="B Zar" w:hint="cs"/>
          <w:rtl/>
        </w:rPr>
        <w:t xml:space="preserve"> دراويدي‌ها اين باورهاي مبهم را به صورت اعتقادات مشخصتر درآورد.</w:t>
      </w:r>
      <w:r>
        <w:rPr>
          <w:rStyle w:val="FootnoteReference"/>
          <w:rFonts w:cs="B Zar"/>
          <w:sz w:val="28"/>
          <w:rtl/>
        </w:rPr>
        <w:footnoteReference w:id="107"/>
      </w:r>
      <w:r w:rsidRPr="00C0097A">
        <w:rPr>
          <w:rFonts w:cs="B Zar" w:hint="cs"/>
          <w:rtl/>
        </w:rPr>
        <w:t xml:space="preserve"> ممكن است براي توجيه تقدس «توتم‌ها»، برخي اعضاي اهل تفكر در جامعه ابتدائي، اين فكر را طرح كرده باشند كه تقدس اين اشياء به سبب تجلي ارواح نياكان و حتي جوهر ملكوتي نيروي برتر (خدا) در قالب آنها است و محتمل است كه از اينجا عقيده‌هاي تناسخ يا «اوتارواد» نشأت گرفته باشند. اين امر نشان دهنده رواج نوعي اعتقاد به وجود «ذات برتر» يا خداي واحد نيز هست. انسان همواره، حتي در ابتدائي‌ترين صور اجتماعي، بنا به تعاليم پيامبران سلف و نيز بر مبناي شعور غريزي يا «فطرت»، گرايش به توحيد داشته است. در اساطير بوميان جزائر ملانزي داستاني وجود دارد كه خداوند به صورت «لاك پشت» بر زمين هبوط كرد</w:t>
      </w:r>
      <w:r>
        <w:rPr>
          <w:rStyle w:val="FootnoteReference"/>
          <w:rFonts w:cs="B Zar"/>
          <w:sz w:val="28"/>
          <w:rtl/>
        </w:rPr>
        <w:footnoteReference w:id="108"/>
      </w:r>
      <w:r w:rsidRPr="00C0097A">
        <w:rPr>
          <w:rFonts w:cs="B Zar" w:hint="cs"/>
          <w:rtl/>
        </w:rPr>
        <w:t>. اين قصه با عقيده مكتب بزرگ هندوئيسم يعني «</w:t>
      </w:r>
      <w:r w:rsidRPr="00C0097A">
        <w:rPr>
          <w:rFonts w:cs="B Zar" w:hint="cs"/>
          <w:i/>
          <w:iCs/>
          <w:rtl/>
        </w:rPr>
        <w:t>ويشنو</w:t>
      </w:r>
      <w:r w:rsidRPr="00C0097A">
        <w:rPr>
          <w:rFonts w:cs="B Zar" w:hint="cs"/>
          <w:rtl/>
        </w:rPr>
        <w:t xml:space="preserve">» ـ كه معتقد است خداوند ده مرتبه بر زمين نزول اجلال كرد، و نخستين تجسم او در صورت گياه، سپس به صورت قالب لاك پشت، آنگاه حيوانات عالي‌تر و در نهايت به شكل انسانها، يعني در هيات </w:t>
      </w:r>
      <w:r w:rsidRPr="00C0097A">
        <w:rPr>
          <w:rFonts w:cs="B Zar" w:hint="cs"/>
          <w:i/>
          <w:iCs/>
          <w:rtl/>
        </w:rPr>
        <w:t>راما</w:t>
      </w:r>
      <w:r w:rsidRPr="00C0097A">
        <w:rPr>
          <w:rFonts w:cs="B Zar" w:hint="cs"/>
          <w:rtl/>
        </w:rPr>
        <w:t xml:space="preserve"> و </w:t>
      </w:r>
      <w:r w:rsidRPr="00C0097A">
        <w:rPr>
          <w:rFonts w:cs="B Zar" w:hint="cs"/>
          <w:i/>
          <w:iCs/>
          <w:rtl/>
        </w:rPr>
        <w:t>كريشنا</w:t>
      </w:r>
      <w:r w:rsidRPr="00C0097A">
        <w:rPr>
          <w:rFonts w:cs="B Zar" w:hint="cs"/>
          <w:rtl/>
        </w:rPr>
        <w:t xml:space="preserve"> صورت گرفته ـ منطبق است.</w:t>
      </w:r>
    </w:p>
    <w:p w:rsidR="0011420A" w:rsidP="003C0EF5">
      <w:pPr>
        <w:widowControl w:val="0"/>
        <w:spacing w:line="420" w:lineRule="exact"/>
        <w:ind w:left="0" w:right="0"/>
        <w:jc w:val="both"/>
        <w:rPr>
          <w:rFonts w:cs="B Zar" w:hint="cs"/>
          <w:rtl/>
        </w:rPr>
      </w:pPr>
      <w:r w:rsidRPr="00C0097A">
        <w:rPr>
          <w:rFonts w:cs="B Zar" w:hint="cs"/>
          <w:rtl/>
        </w:rPr>
        <w:t>در برخي از قصص ديگر، خدايان در مجموعه‌هاي روايات «</w:t>
      </w:r>
      <w:r w:rsidRPr="00C0097A">
        <w:rPr>
          <w:rFonts w:cs="B Zar" w:hint="cs"/>
          <w:i/>
          <w:iCs/>
          <w:rtl/>
        </w:rPr>
        <w:t>پورانا</w:t>
      </w:r>
      <w:r w:rsidRPr="00C0097A">
        <w:rPr>
          <w:rFonts w:cs="B Zar" w:hint="cs"/>
          <w:rtl/>
        </w:rPr>
        <w:t>» و اساطير فرهنگ مردم ابتدائي جزائر ملانزي</w:t>
      </w:r>
      <w:r>
        <w:rPr>
          <w:rStyle w:val="FootnoteReference"/>
          <w:rFonts w:cs="B Zar"/>
          <w:rtl/>
        </w:rPr>
        <w:footnoteReference w:id="109"/>
      </w:r>
      <w:r w:rsidRPr="00C0097A">
        <w:rPr>
          <w:rFonts w:cs="B Zar" w:hint="cs"/>
          <w:rtl/>
        </w:rPr>
        <w:t>، شباهت‌هائي وجود دارد؛ از جمله داستان آفرينش جهان از يك تخم مرغ كه در هر دو فرهنگ ديده مي‌شود و ناشي از ميراث مشترك با استرولايدي هر دو فرهنگ است.</w:t>
      </w:r>
    </w:p>
    <w:p w:rsidR="009F1464" w:rsidRPr="00C0097A" w:rsidP="003C0EF5">
      <w:pPr>
        <w:widowControl w:val="0"/>
        <w:spacing w:line="420" w:lineRule="exact"/>
        <w:ind w:left="0" w:right="0"/>
        <w:jc w:val="both"/>
        <w:rPr>
          <w:rFonts w:cs="B Zar" w:hint="cs"/>
          <w:rtl/>
        </w:rPr>
      </w:pPr>
    </w:p>
    <w:p w:rsidR="0011420A" w:rsidRPr="00C0097A" w:rsidP="003C0EF5">
      <w:pPr>
        <w:pStyle w:val="Heading3"/>
        <w:keepNext w:val="0"/>
        <w:widowControl w:val="0"/>
        <w:spacing w:before="0" w:after="0" w:line="420" w:lineRule="exact"/>
        <w:ind w:left="0" w:right="0"/>
        <w:jc w:val="left"/>
        <w:rPr>
          <w:rFonts w:cs="B Zar" w:hint="cs"/>
          <w:sz w:val="28"/>
          <w:rtl/>
        </w:rPr>
      </w:pPr>
      <w:bookmarkStart w:id="6" w:name="_Toc110442171"/>
      <w:r w:rsidRPr="00C0097A">
        <w:rPr>
          <w:rFonts w:cs="B Zar" w:hint="cs"/>
          <w:sz w:val="28"/>
          <w:rtl/>
        </w:rPr>
        <w:t>3. اقوام دراويدي</w:t>
      </w:r>
      <w:r>
        <w:rPr>
          <w:rStyle w:val="FootnoteReference"/>
          <w:rFonts w:cs="B Zar"/>
          <w:sz w:val="28"/>
          <w:rtl/>
        </w:rPr>
        <w:footnoteReference w:id="110"/>
      </w:r>
      <w:bookmarkEnd w:id="6"/>
    </w:p>
    <w:p w:rsidR="0011420A" w:rsidRPr="00C0097A" w:rsidP="003C0EF5">
      <w:pPr>
        <w:widowControl w:val="0"/>
        <w:spacing w:line="420" w:lineRule="exact"/>
        <w:ind w:left="0" w:right="0"/>
        <w:jc w:val="both"/>
        <w:rPr>
          <w:rFonts w:cs="B Zar" w:hint="cs"/>
          <w:rtl/>
        </w:rPr>
      </w:pPr>
      <w:r w:rsidRPr="00C0097A">
        <w:rPr>
          <w:rFonts w:cs="B Zar" w:hint="cs"/>
          <w:rtl/>
        </w:rPr>
        <w:t xml:space="preserve">سومين گروه نژادي و قومي كه در تكوين فرهنگ هند و انديشه فلسفي ـ ديني اين ديار سهم عمده‌اي داشت، دراويدي‌ها </w:t>
      </w:r>
      <w:r w:rsidRPr="00C0097A">
        <w:rPr>
          <w:rFonts w:cs="B Zar"/>
        </w:rPr>
        <w:t>(Dravidians)</w:t>
      </w:r>
      <w:r w:rsidRPr="00C0097A">
        <w:rPr>
          <w:rFonts w:cs="B Zar" w:hint="cs"/>
          <w:rtl/>
        </w:rPr>
        <w:t xml:space="preserve"> مي‌باشند. دراويدي‌ها نسبتاً تيره رنگ، قد كوتاه و از مهاجرين جديدتر مديترانه بودند. باستان شناسان معتقدند از هزار تا دو هزار سال قبل از ميلاد، اهالي متمدن‌تر مديترانه، لااقل در سه موج به هند سرازير شدند. هر سه دسته دراويدي ناميده شدند؛ چرا كه زبان نسبتاً مشابهي داشتند؛ هرچند از نظر خصائص نژادي داراي تفاوتهائي بوده اند. اين سه دسته عبارت بودند از:</w:t>
      </w:r>
    </w:p>
    <w:p w:rsidR="0011420A" w:rsidRPr="00C0097A" w:rsidP="003C0EF5">
      <w:pPr>
        <w:widowControl w:val="0"/>
        <w:numPr>
          <w:ilvl w:val="0"/>
          <w:numId w:val="18"/>
        </w:numPr>
        <w:spacing w:line="420" w:lineRule="exact"/>
        <w:ind w:left="720" w:right="0"/>
        <w:jc w:val="both"/>
        <w:rPr>
          <w:rFonts w:cs="B Zar" w:hint="cs"/>
          <w:b/>
          <w:bCs/>
          <w:szCs w:val="24"/>
          <w:rtl/>
        </w:rPr>
      </w:pPr>
      <w:r w:rsidRPr="00C0097A">
        <w:rPr>
          <w:rFonts w:cs="B Zar" w:hint="cs"/>
          <w:b/>
          <w:bCs/>
          <w:szCs w:val="24"/>
          <w:rtl/>
        </w:rPr>
        <w:t>قبائل نواحي مديترانه كه پائلو مديترانه‌اي</w:t>
      </w:r>
      <w:r w:rsidRPr="00C0097A">
        <w:rPr>
          <w:rFonts w:cs="B Zar"/>
          <w:b/>
          <w:bCs/>
          <w:szCs w:val="24"/>
        </w:rPr>
        <w:t>(Paulo Mediterranean)</w:t>
      </w:r>
      <w:r w:rsidRPr="00C0097A">
        <w:rPr>
          <w:rFonts w:cs="B Zar" w:hint="cs"/>
          <w:b/>
          <w:bCs/>
          <w:szCs w:val="24"/>
          <w:rtl/>
        </w:rPr>
        <w:t xml:space="preserve"> ناميده مي‌شوند؛</w:t>
      </w:r>
    </w:p>
    <w:p w:rsidR="0011420A" w:rsidRPr="000C3E06" w:rsidP="003C0EF5">
      <w:pPr>
        <w:pStyle w:val="Heading4"/>
        <w:keepNext w:val="0"/>
        <w:widowControl w:val="0"/>
        <w:numPr>
          <w:ilvl w:val="0"/>
          <w:numId w:val="18"/>
        </w:numPr>
        <w:spacing w:line="420" w:lineRule="exact"/>
        <w:ind w:left="720" w:right="0"/>
        <w:jc w:val="both"/>
        <w:rPr>
          <w:rFonts w:cs="B Zar" w:hint="cs"/>
          <w:b/>
          <w:bCs/>
          <w:sz w:val="24"/>
          <w:szCs w:val="24"/>
        </w:rPr>
      </w:pPr>
      <w:r w:rsidRPr="000C3E06">
        <w:rPr>
          <w:rFonts w:cs="B Zar" w:hint="cs"/>
          <w:b/>
          <w:bCs/>
          <w:sz w:val="24"/>
          <w:szCs w:val="24"/>
          <w:rtl/>
        </w:rPr>
        <w:t>قبائل مديترانة غربي؛</w:t>
      </w:r>
    </w:p>
    <w:p w:rsidR="0011420A" w:rsidRPr="00C0097A" w:rsidP="003C0EF5">
      <w:pPr>
        <w:widowControl w:val="0"/>
        <w:numPr>
          <w:ilvl w:val="0"/>
          <w:numId w:val="18"/>
        </w:numPr>
        <w:spacing w:line="420" w:lineRule="exact"/>
        <w:ind w:left="720" w:right="0"/>
        <w:jc w:val="both"/>
        <w:rPr>
          <w:rFonts w:cs="B Zar" w:hint="cs"/>
          <w:b/>
          <w:bCs/>
          <w:szCs w:val="24"/>
        </w:rPr>
      </w:pPr>
      <w:r w:rsidRPr="00C0097A">
        <w:rPr>
          <w:rFonts w:cs="B Zar" w:hint="cs"/>
          <w:b/>
          <w:bCs/>
          <w:szCs w:val="24"/>
          <w:rtl/>
        </w:rPr>
        <w:t>قبائل مناطق خاوري مديترانه</w:t>
      </w:r>
      <w:r w:rsidRPr="00C0097A">
        <w:rPr>
          <w:rFonts w:cs="B Zar"/>
          <w:b/>
          <w:bCs/>
          <w:szCs w:val="24"/>
        </w:rPr>
        <w:t>.</w:t>
      </w:r>
    </w:p>
    <w:p w:rsidR="0011420A" w:rsidRPr="00C0097A" w:rsidP="003C0EF5">
      <w:pPr>
        <w:widowControl w:val="0"/>
        <w:spacing w:line="420" w:lineRule="exact"/>
        <w:ind w:left="0" w:right="0"/>
        <w:jc w:val="both"/>
        <w:rPr>
          <w:rFonts w:cs="B Zar"/>
        </w:rPr>
      </w:pPr>
      <w:r w:rsidRPr="00C0097A">
        <w:rPr>
          <w:rFonts w:cs="B Zar" w:hint="cs"/>
          <w:rtl/>
        </w:rPr>
        <w:t xml:space="preserve">مطالعة ريگ‌ودا نشان مي‌دهد كه آريائي‌ها در حين ورود خود به هند با دو گروه روبرو شدند: استرولايدها كه آنان را </w:t>
      </w:r>
      <w:r w:rsidRPr="00C0097A">
        <w:rPr>
          <w:rFonts w:cs="B Zar" w:hint="cs"/>
          <w:i/>
          <w:iCs/>
          <w:rtl/>
        </w:rPr>
        <w:t>نشاد</w:t>
      </w:r>
      <w:r w:rsidRPr="00C0097A">
        <w:rPr>
          <w:rFonts w:cs="B Zar"/>
        </w:rPr>
        <w:t xml:space="preserve"> (Nishad)</w:t>
      </w:r>
      <w:r w:rsidRPr="00C0097A">
        <w:rPr>
          <w:rFonts w:cs="B Zar" w:hint="cs"/>
          <w:rtl/>
        </w:rPr>
        <w:t>ناميدند و دراويدي‌ها كه آنان را «</w:t>
      </w:r>
      <w:r w:rsidRPr="00C0097A">
        <w:rPr>
          <w:rFonts w:cs="B Zar" w:hint="cs"/>
          <w:i/>
          <w:iCs/>
          <w:rtl/>
        </w:rPr>
        <w:t>داس</w:t>
      </w:r>
      <w:r w:rsidRPr="00C0097A">
        <w:rPr>
          <w:rFonts w:cs="B Zar" w:hint="cs"/>
          <w:rtl/>
        </w:rPr>
        <w:t>»</w:t>
      </w:r>
      <w:r w:rsidRPr="00C0097A">
        <w:rPr>
          <w:rFonts w:cs="B Zar"/>
        </w:rPr>
        <w:t>(Dasa)</w:t>
      </w:r>
      <w:r w:rsidRPr="00C0097A">
        <w:rPr>
          <w:rFonts w:cs="B Zar" w:hint="cs"/>
          <w:rtl/>
        </w:rPr>
        <w:t xml:space="preserve"> يا «</w:t>
      </w:r>
      <w:r w:rsidRPr="00C0097A">
        <w:rPr>
          <w:rFonts w:cs="B Zar" w:hint="cs"/>
          <w:i/>
          <w:iCs/>
          <w:rtl/>
        </w:rPr>
        <w:t>داسيو</w:t>
      </w:r>
      <w:r w:rsidRPr="00C0097A">
        <w:rPr>
          <w:rFonts w:cs="B Zar" w:hint="cs"/>
          <w:rtl/>
        </w:rPr>
        <w:t>»</w:t>
      </w:r>
      <w:r w:rsidRPr="00C0097A">
        <w:rPr>
          <w:rFonts w:cs="B Zar"/>
        </w:rPr>
        <w:t xml:space="preserve"> (Dasiu)</w:t>
      </w:r>
      <w:r w:rsidRPr="00C0097A">
        <w:rPr>
          <w:rFonts w:cs="B Zar" w:hint="cs"/>
          <w:rtl/>
        </w:rPr>
        <w:t xml:space="preserve"> ناميدند</w:t>
      </w:r>
      <w:r>
        <w:rPr>
          <w:rStyle w:val="FootnoteReference"/>
          <w:rFonts w:cs="B Zar"/>
          <w:rtl/>
        </w:rPr>
        <w:footnoteReference w:id="111"/>
      </w:r>
      <w:r w:rsidRPr="00C0097A">
        <w:rPr>
          <w:rFonts w:cs="B Zar" w:hint="cs"/>
          <w:rtl/>
        </w:rPr>
        <w:t>.</w:t>
      </w:r>
    </w:p>
    <w:p w:rsidR="0011420A" w:rsidRPr="00C0097A" w:rsidP="003C0EF5">
      <w:pPr>
        <w:widowControl w:val="0"/>
        <w:spacing w:line="420" w:lineRule="exact"/>
        <w:ind w:left="0" w:right="0"/>
        <w:jc w:val="both"/>
        <w:rPr>
          <w:rFonts w:cs="B Zar" w:hint="cs"/>
          <w:rtl/>
        </w:rPr>
      </w:pPr>
      <w:r w:rsidRPr="00C0097A">
        <w:rPr>
          <w:rFonts w:cs="B Zar" w:hint="cs"/>
          <w:rtl/>
        </w:rPr>
        <w:t xml:space="preserve"> برخي شواهد از آن حكايت دارد كه آريائي‌ها در دورة اقامت خود در ايران، با اين اقوام رو به رو شده اند. هرودت </w:t>
      </w:r>
      <w:r w:rsidRPr="00C0097A">
        <w:rPr>
          <w:rFonts w:cs="B Zar"/>
        </w:rPr>
        <w:t>(Herodotus)</w:t>
      </w:r>
      <w:r w:rsidRPr="00C0097A">
        <w:rPr>
          <w:rFonts w:cs="B Zar" w:hint="cs"/>
          <w:rtl/>
        </w:rPr>
        <w:t xml:space="preserve"> مورخ بنام يوناني اشاره مي‌كند كه در جنوب شرقي درياي خزر مردمي حضور دارند كه «داها» ناميده مي شوند. چاترجي معتقد است كه اين «داها» يا «دهيو» همان «داسا» يا «دسيو» است. ممكن است كلمه «داها» و «دهيو»، از ده مشق باشد و آريائي‌هاي بيابان‌گرد، مردم زارع ساكن شهرك و روستا را «داها» مي‌ناميده‌اند. به نظر مي‌رسد كه آريائيها در مسير خود از ايران به هند عموماً با همين طايفه روستانشين زارع درگير شدند. آنها عده‌اي از اين اقوام را به اسارت گرفته و به رسم دوره‌هاي كهن، اسراي جنگي را به صورت برده درآورده اند. بدينسان بود كه كلمه «داس» و «داسا» و «داسيو» به تدريج به معناي «برده» درآمد. در هندي كنوني كلمه داس به همين معنا است. چنين دگرگوني‌هايي در تعبيرات و واژه‌ها فراوان اتفاق افتاده است.</w:t>
      </w:r>
    </w:p>
    <w:p w:rsidR="0011420A" w:rsidRPr="00C0097A" w:rsidP="003C0EF5">
      <w:pPr>
        <w:widowControl w:val="0"/>
        <w:spacing w:line="420" w:lineRule="exact"/>
        <w:ind w:left="0" w:right="0"/>
        <w:jc w:val="both"/>
        <w:rPr>
          <w:rFonts w:cs="B Zar" w:hint="cs"/>
          <w:rtl/>
        </w:rPr>
      </w:pPr>
      <w:r w:rsidRPr="00C0097A">
        <w:rPr>
          <w:rFonts w:cs="B Zar" w:hint="cs"/>
          <w:rtl/>
        </w:rPr>
        <w:t>از اشارات هرودوت</w:t>
      </w:r>
      <w:r w:rsidRPr="00C0097A">
        <w:rPr>
          <w:rFonts w:cs="B Zar"/>
        </w:rPr>
        <w:t>(Heodotus)</w:t>
      </w:r>
      <w:r w:rsidRPr="00C0097A">
        <w:rPr>
          <w:rFonts w:cs="B Zar" w:hint="cs"/>
          <w:rtl/>
        </w:rPr>
        <w:t>، و نيز از اكتشافات باستان شناسي چنين برمي آيد كه وقتي قبايل آريائي به ايران و هند سرازير شدند، در هر دو سرزمين، نظام مستحكم روستائي و شهري برقرار بوده است. به اين ترتيب، اقوام دراويدي را مي‌توان آغازگر تمدن شهري در سرزمين هند دانست. پيش از ورود دراويدي‌ها، قوم استرولايد، از مرحله جمع آوري غذا و شكار به مرحله توليد غذا و زراعت رسيده بود؛ اما هنوز شواهدي به دست نيامده است كه نشان دهد استرولايدها تمدن شهرنشيني نيز بنا نهاده باشند. پس از كشف راههاي توليد غذا و آغاز كشاورزي و دامداري، تا مدتي انسانها چادرنشيني كرده‌اند و سپس اجتماعات بسيار كوچك روستائي ـ كه خانه‌هاي محقر گلي داشتند ـ به وجود آمده است و قرنها سپري شده تا زندگي شهري ايجاد گردد.</w:t>
      </w:r>
    </w:p>
    <w:p w:rsidR="0011420A" w:rsidRPr="00C0097A" w:rsidP="003C0EF5">
      <w:pPr>
        <w:widowControl w:val="0"/>
        <w:spacing w:line="420" w:lineRule="exact"/>
        <w:ind w:left="0" w:right="0"/>
        <w:jc w:val="both"/>
        <w:rPr>
          <w:rFonts w:cs="B Zar" w:hint="cs"/>
          <w:rtl/>
        </w:rPr>
      </w:pPr>
      <w:r w:rsidRPr="00C0097A">
        <w:rPr>
          <w:rFonts w:cs="B Zar" w:hint="cs"/>
          <w:rtl/>
        </w:rPr>
        <w:t>با اختراع ابزار و آلات، انسان قادر شد براي خود خانه و كاشانه و وسايل آسايش را فراهم آورد. اندك اندك در نزديكي مزارع، شهرهاي خرد پديد آمد. اين شهرك‌ها هيچ شباهتي با اجتماعات شهري پهناور امروزي نداشتند، و شايد به روستاهاي بزرگ كنوني شبيه‌تر بودند.</w:t>
      </w:r>
    </w:p>
    <w:p w:rsidR="0011420A" w:rsidRPr="00C0097A" w:rsidP="003C0EF5">
      <w:pPr>
        <w:widowControl w:val="0"/>
        <w:spacing w:line="420" w:lineRule="exact"/>
        <w:ind w:left="0" w:right="0"/>
        <w:jc w:val="both"/>
        <w:rPr>
          <w:rFonts w:cs="B Zar" w:hint="cs"/>
          <w:rtl/>
        </w:rPr>
      </w:pPr>
      <w:r w:rsidRPr="00C0097A">
        <w:rPr>
          <w:rFonts w:cs="B Zar" w:hint="cs"/>
          <w:rtl/>
        </w:rPr>
        <w:t>با ورود به اين مرحله، انسان كهن به جاي چادر و خيمه، براي خود خانه و پس از آن معبد ساخت. جاده سازي و سيستم فاضلاب درست كرد و در داخل خانه وسايل آسايش فراهم نموده به مرور و به نوعي سازماندهي پيچيده‌تر اجتماعي و سياسي دست زد و توانست به ابداع رسم‌الخط، به كتابت بر كتيبه‌هاي سنگي و يا حتي پاپيروس بپردازد. انسان ديگر تابع شرائط طبيعت نبود، بلكه درصدد برآمد با ايجاد وسايل و ابزار، بر ناسازگاري و قهر طبيعت چيره شود</w:t>
      </w:r>
      <w:r>
        <w:rPr>
          <w:rStyle w:val="FootnoteReference"/>
          <w:rFonts w:cs="B Zar"/>
          <w:rtl/>
        </w:rPr>
        <w:footnoteReference w:id="112"/>
      </w:r>
      <w:r w:rsidRPr="00C0097A">
        <w:rPr>
          <w:rFonts w:cs="B Zar" w:hint="cs"/>
          <w:rtl/>
        </w:rPr>
        <w:t>.</w:t>
      </w:r>
    </w:p>
    <w:p w:rsidR="0011420A" w:rsidRPr="00C0097A" w:rsidP="003C0EF5">
      <w:pPr>
        <w:widowControl w:val="0"/>
        <w:spacing w:line="420" w:lineRule="exact"/>
        <w:ind w:left="0" w:right="0"/>
        <w:jc w:val="both"/>
        <w:rPr>
          <w:rFonts w:cs="B Zar" w:hint="cs"/>
          <w:rtl/>
        </w:rPr>
      </w:pPr>
      <w:r w:rsidRPr="00C0097A">
        <w:rPr>
          <w:rFonts w:cs="B Zar" w:hint="cs"/>
          <w:rtl/>
        </w:rPr>
        <w:t>در تاريخ بشر نخستين ملتي كه به مرحله تمدن شهري رسيد، سومريهاي بين النهرين (عراق كنوني و برخي مناطق خوزستان و كردستان ايران) بودند. سومريها در حدود 3000 سال قبل از ميلاد، شهرهاي متعددي از جمله اريدو</w:t>
      </w:r>
      <w:r w:rsidRPr="00C0097A">
        <w:rPr>
          <w:rFonts w:cs="B Zar"/>
        </w:rPr>
        <w:t>(Eridu)</w:t>
      </w:r>
      <w:r w:rsidRPr="00C0097A">
        <w:rPr>
          <w:rFonts w:cs="B Zar" w:hint="cs"/>
          <w:rtl/>
        </w:rPr>
        <w:t xml:space="preserve">، اُورك </w:t>
      </w:r>
      <w:r w:rsidRPr="00C0097A">
        <w:rPr>
          <w:rFonts w:cs="B Zar"/>
        </w:rPr>
        <w:t>(Uru</w:t>
      </w:r>
      <w:r w:rsidRPr="00C0097A">
        <w:rPr>
          <w:rFonts w:cs="B Zar"/>
        </w:rPr>
        <w:t>k)</w:t>
      </w:r>
      <w:r w:rsidRPr="00C0097A">
        <w:rPr>
          <w:rFonts w:cs="B Zar" w:hint="cs"/>
          <w:rtl/>
        </w:rPr>
        <w:t>، بادتي‌بيرا</w:t>
      </w:r>
      <w:r w:rsidRPr="00C0097A">
        <w:rPr>
          <w:rFonts w:cs="B Zar"/>
        </w:rPr>
        <w:t>(Badtibira)</w:t>
      </w:r>
      <w:r w:rsidRPr="00C0097A">
        <w:rPr>
          <w:rFonts w:cs="B Zar" w:hint="cs"/>
          <w:rtl/>
        </w:rPr>
        <w:t>، لاگاش</w:t>
      </w:r>
      <w:r w:rsidRPr="00C0097A">
        <w:rPr>
          <w:rFonts w:cs="B Zar"/>
        </w:rPr>
        <w:t>(Lagash)</w:t>
      </w:r>
      <w:r w:rsidRPr="00C0097A">
        <w:rPr>
          <w:rFonts w:cs="B Zar" w:hint="cs"/>
          <w:rtl/>
        </w:rPr>
        <w:t xml:space="preserve">، نينا </w:t>
      </w:r>
      <w:r w:rsidRPr="00C0097A">
        <w:rPr>
          <w:rFonts w:cs="B Zar"/>
        </w:rPr>
        <w:t>(Nina)</w:t>
      </w:r>
      <w:r w:rsidRPr="00C0097A">
        <w:rPr>
          <w:rFonts w:cs="B Zar" w:hint="cs"/>
          <w:rtl/>
        </w:rPr>
        <w:t xml:space="preserve">، گيرسو </w:t>
      </w:r>
      <w:r w:rsidRPr="00C0097A">
        <w:rPr>
          <w:rFonts w:cs="B Zar"/>
        </w:rPr>
        <w:t>(Girsu)</w:t>
      </w:r>
      <w:r w:rsidRPr="00C0097A">
        <w:rPr>
          <w:rFonts w:cs="B Zar" w:hint="cs"/>
          <w:rtl/>
        </w:rPr>
        <w:t xml:space="preserve">، اُما </w:t>
      </w:r>
      <w:r w:rsidRPr="00C0097A">
        <w:rPr>
          <w:rFonts w:cs="B Zar"/>
        </w:rPr>
        <w:t>(Umma)</w:t>
      </w:r>
      <w:r w:rsidRPr="00C0097A">
        <w:rPr>
          <w:rFonts w:cs="B Zar" w:hint="cs"/>
          <w:rtl/>
        </w:rPr>
        <w:t xml:space="preserve">، نيپور </w:t>
      </w:r>
      <w:r w:rsidRPr="00C0097A">
        <w:rPr>
          <w:rFonts w:cs="B Zar"/>
        </w:rPr>
        <w:t>(Nippur)</w:t>
      </w:r>
      <w:r w:rsidRPr="00C0097A">
        <w:rPr>
          <w:rFonts w:cs="B Zar" w:hint="cs"/>
          <w:rtl/>
        </w:rPr>
        <w:t xml:space="preserve">، كيش </w:t>
      </w:r>
      <w:r w:rsidRPr="00C0097A">
        <w:rPr>
          <w:rFonts w:cs="B Zar"/>
        </w:rPr>
        <w:t>(Kish)</w:t>
      </w:r>
      <w:r w:rsidRPr="00C0097A">
        <w:rPr>
          <w:rFonts w:cs="B Zar" w:hint="cs"/>
          <w:rtl/>
        </w:rPr>
        <w:t>، سيپ پَر</w:t>
      </w:r>
      <w:r w:rsidRPr="00C0097A">
        <w:rPr>
          <w:rFonts w:cs="B Zar"/>
        </w:rPr>
        <w:t xml:space="preserve">(Sippar)  </w:t>
      </w:r>
      <w:r w:rsidRPr="00C0097A">
        <w:rPr>
          <w:rFonts w:cs="B Zar" w:hint="cs"/>
          <w:rtl/>
        </w:rPr>
        <w:t xml:space="preserve"> و آك‌شاك </w:t>
      </w:r>
      <w:r w:rsidRPr="00C0097A">
        <w:rPr>
          <w:rFonts w:cs="B Zar"/>
        </w:rPr>
        <w:t>(Akshak)</w:t>
      </w:r>
      <w:r w:rsidRPr="00C0097A">
        <w:rPr>
          <w:rFonts w:cs="B Zar" w:hint="cs"/>
          <w:rtl/>
        </w:rPr>
        <w:t xml:space="preserve"> را تأسيس كردند</w:t>
      </w:r>
      <w:r>
        <w:rPr>
          <w:rStyle w:val="FootnoteReference"/>
          <w:rFonts w:cs="B Zar"/>
          <w:rtl/>
        </w:rPr>
        <w:footnoteReference w:id="113"/>
      </w:r>
      <w:r w:rsidRPr="00C0097A">
        <w:rPr>
          <w:rFonts w:cs="B Zar" w:hint="cs"/>
          <w:rtl/>
        </w:rPr>
        <w:t>.</w:t>
      </w:r>
    </w:p>
    <w:p w:rsidR="0011420A" w:rsidRPr="00C0097A" w:rsidP="003C0EF5">
      <w:pPr>
        <w:widowControl w:val="0"/>
        <w:spacing w:line="420" w:lineRule="exact"/>
        <w:ind w:left="0" w:right="0"/>
        <w:jc w:val="both"/>
        <w:rPr>
          <w:rFonts w:cs="B Zar" w:hint="cs"/>
          <w:rtl/>
        </w:rPr>
      </w:pPr>
      <w:r w:rsidRPr="00C0097A">
        <w:rPr>
          <w:rFonts w:cs="B Zar" w:hint="cs"/>
          <w:rtl/>
        </w:rPr>
        <w:t>آغازگر دورة شهرنشيني در هند، اقوام دراويدي بوده‌اند. آنان در حوالي 2500 ق م تمدن شهري ممتازي را در سند و پنجاب كنوني پي ريختند. شهرهاي «موهنجدارو»</w:t>
      </w:r>
      <w:r w:rsidRPr="00C0097A">
        <w:rPr>
          <w:rFonts w:cs="B Zar"/>
        </w:rPr>
        <w:t>(Mohanjadaro)</w:t>
      </w:r>
      <w:r w:rsidRPr="00C0097A">
        <w:rPr>
          <w:rFonts w:cs="B Zar" w:hint="cs"/>
          <w:rtl/>
        </w:rPr>
        <w:t xml:space="preserve"> و «هرپا»</w:t>
      </w:r>
      <w:r w:rsidRPr="00C0097A">
        <w:rPr>
          <w:rFonts w:cs="B Zar"/>
        </w:rPr>
        <w:t>(Harappa)</w:t>
      </w:r>
      <w:r w:rsidRPr="00C0097A">
        <w:rPr>
          <w:rFonts w:cs="B Zar" w:hint="cs"/>
          <w:rtl/>
        </w:rPr>
        <w:t xml:space="preserve"> در كراچي پاكستان، كه در دوره جديد به وسيله باستان شناسان كشف گرديده است، حاكي از وجود اين تاسيسات شهري پيشرفته در آن دوران است. نخستين بار، آر.دي.بنرجي </w:t>
      </w:r>
      <w:r w:rsidRPr="00C0097A">
        <w:rPr>
          <w:rFonts w:cs="B Zar"/>
        </w:rPr>
        <w:t>(R.D.Banerjee)</w:t>
      </w:r>
      <w:r w:rsidRPr="00C0097A">
        <w:rPr>
          <w:rFonts w:cs="B Zar" w:hint="cs"/>
          <w:rtl/>
        </w:rPr>
        <w:t>، در سال 1932، دو شهر مذكور را در حفاري‌‌هاي مناطق سند يافت و پس از او جان مارشال</w:t>
      </w:r>
      <w:r w:rsidRPr="00C0097A">
        <w:rPr>
          <w:rFonts w:cs="B Zar"/>
        </w:rPr>
        <w:t>(John Marshal)</w:t>
      </w:r>
      <w:r w:rsidRPr="00C0097A">
        <w:rPr>
          <w:rFonts w:cs="B Zar" w:hint="cs"/>
          <w:rtl/>
        </w:rPr>
        <w:t>، در ادامه حفاريهاي باستان‌شناسانه، به كشفيات تازه‌اي دست يافت. بدينسان بود كه يكي از قديمترين تمدنهاي جهان آشكار شد. از ظروف منزل، البسه و آلات و ابزار سنگي و فلزي كه از حفاريهاي دو شهر مزبور به دست آمده است، چنين برمي‌آيد كه دراويديها از نظر تكنولوژي بسيار پيشرفته بوده‌اند. همچنين مُهره‌ها و كتيبه‌ها نشان مي‌دهد كه نوشته‌هاي آنها با خطوط سومريها و آكادها شباهتي ندارد. دانشمندان باستان شناس، تاكنون موفق به خواندن اين خط نشده‌اند و اگر روزي چنين توفيقي به دست آيد، علاوه بر اطلاعات بسياري كه در مورد تاريخ و فرهنگ باستاني هند آشكار خواهد شد، امكان آن مي‌رود كه بيشتر نظريه‌هاي ما راجع به عصر باستان دگرگون شود.</w:t>
      </w:r>
      <w:r>
        <w:rPr>
          <w:rStyle w:val="FootnoteReference"/>
          <w:rFonts w:cs="B Zar"/>
          <w:rtl/>
        </w:rPr>
        <w:footnoteReference w:id="114"/>
      </w:r>
    </w:p>
    <w:p w:rsidR="0011420A" w:rsidP="003C0EF5">
      <w:pPr>
        <w:widowControl w:val="0"/>
        <w:spacing w:line="420" w:lineRule="exact"/>
        <w:ind w:left="0" w:right="0"/>
        <w:jc w:val="both"/>
        <w:rPr>
          <w:rFonts w:cs="B Zar" w:hint="cs"/>
          <w:rtl/>
        </w:rPr>
      </w:pPr>
      <w:r w:rsidRPr="00C0097A">
        <w:rPr>
          <w:rFonts w:cs="B Zar" w:hint="cs"/>
          <w:rtl/>
        </w:rPr>
        <w:t>مهندسي شهري در موهنجدارو به قدري پيشرفته و چشمگير است كه موجب اعجاب و تحسين انسان و طرح اين سوال مي‌شود كه چگونه در چهار هزار و پانصد سال پيش، بشر به چنين حد از توانمندي و پيچيدگي رسيده است. مثلاً خيابانهاي اصلي شهر با ده متر عرض، در خطوط متوازي، از شمال به جنوب و از شرق به غرب امتداد دارند. تمام ديوار خانه‌ها در سر چهار راه‌ها مدور طراحي شده‌اند تا رفت و آمد ارابه‌هاي بزرگي كه اسب و يا گاو آنها را مي‌كشيده، به آساني انجام پذيرد و ترافيك شهر دچار اختلال نگردد. در ميانة همة خيابانها، مجراي سنگي فاضلاب وجود دارد كه به زير زمين هدايت مي‌شود. خانه‌ها داراي يك سبك و هم رديف و از بيرون ساده، و از دورن، مستحكم و داراي وسائل آسايش مي‌باشند. حتي در خانه‌ها استخر وجود دارد. در مركز شهر، بزرگترين ساختمان، به طول شصت متر و عرض سي متر قرار گرفته و ظاهراً باشگاه بزرگي است با استخري وسيع كه چهارده متر طول و هشت متر عرض دارد</w:t>
      </w:r>
      <w:r>
        <w:rPr>
          <w:rStyle w:val="FootnoteReference"/>
          <w:rFonts w:cs="B Zar"/>
          <w:rtl/>
        </w:rPr>
        <w:footnoteReference w:id="115"/>
      </w:r>
      <w:r w:rsidRPr="00C0097A">
        <w:rPr>
          <w:rFonts w:cs="B Zar" w:hint="cs"/>
          <w:rtl/>
        </w:rPr>
        <w:t>.</w:t>
      </w:r>
    </w:p>
    <w:p w:rsidR="0057678E" w:rsidRPr="00C0097A" w:rsidP="003C0EF5">
      <w:pPr>
        <w:widowControl w:val="0"/>
        <w:spacing w:line="420" w:lineRule="exact"/>
        <w:ind w:left="0" w:right="0"/>
        <w:jc w:val="both"/>
        <w:rPr>
          <w:rFonts w:cs="B Zar" w:hint="cs"/>
          <w:rtl/>
        </w:rPr>
      </w:pPr>
    </w:p>
    <w:p w:rsidR="0011420A" w:rsidRPr="00C0097A" w:rsidP="003C0EF5">
      <w:pPr>
        <w:pStyle w:val="Heading2"/>
        <w:keepNext w:val="0"/>
        <w:widowControl w:val="0"/>
        <w:spacing w:line="420" w:lineRule="exact"/>
        <w:ind w:left="0" w:right="0"/>
        <w:jc w:val="left"/>
        <w:rPr>
          <w:rFonts w:cs="B Zar" w:hint="cs"/>
          <w:sz w:val="26"/>
          <w:szCs w:val="26"/>
          <w:rtl/>
        </w:rPr>
      </w:pPr>
      <w:bookmarkStart w:id="7" w:name="_Toc110442172"/>
      <w:r w:rsidRPr="00C0097A">
        <w:rPr>
          <w:rFonts w:cs="B Zar" w:hint="cs"/>
          <w:sz w:val="26"/>
          <w:szCs w:val="26"/>
          <w:rtl/>
        </w:rPr>
        <w:t>انديشة ديني ـ فلسفي دراويدي‌ها: كيش انيميسم:</w:t>
      </w:r>
      <w:bookmarkEnd w:id="7"/>
    </w:p>
    <w:p w:rsidR="0011420A" w:rsidRPr="00C0097A" w:rsidP="003C0EF5">
      <w:pPr>
        <w:widowControl w:val="0"/>
        <w:spacing w:line="420" w:lineRule="exact"/>
        <w:ind w:left="0" w:right="0"/>
        <w:jc w:val="both"/>
        <w:rPr>
          <w:rFonts w:cs="B Zar" w:hint="cs"/>
          <w:rtl/>
        </w:rPr>
      </w:pPr>
      <w:r w:rsidRPr="00C0097A">
        <w:rPr>
          <w:rFonts w:cs="B Zar" w:hint="cs"/>
          <w:rtl/>
        </w:rPr>
        <w:t>بررسي‌هاي انجام شده نشان مي‌دهد كه دراويديها با چنين تمدن پيچيده‌اي، نمي‌توانستند فاقد انديشه و نظام ديني ـ فرهنگي منسجمي باشند. شواهد به دست آمده از تحليل باستان شناسان از توليدات فرهنگي و زبان شناسان از واژگان و نيز معابد و گورستانهاي آنان، حكايت از آن دارد كه آئين ديني دراويدي‌هاي باستاني از نوع جان‌گرائي (انيميسم =</w:t>
      </w:r>
      <w:r w:rsidRPr="00C0097A">
        <w:rPr>
          <w:rFonts w:cs="B Zar"/>
        </w:rPr>
        <w:t>Animism</w:t>
      </w:r>
      <w:r w:rsidRPr="00C0097A">
        <w:rPr>
          <w:rFonts w:cs="B Zar" w:hint="cs"/>
          <w:rtl/>
        </w:rPr>
        <w:t xml:space="preserve">) بوده است. تيلور </w:t>
      </w:r>
      <w:r w:rsidRPr="00C0097A">
        <w:rPr>
          <w:rFonts w:cs="B Zar"/>
        </w:rPr>
        <w:t>(Taylor)</w:t>
      </w:r>
      <w:r w:rsidRPr="00C0097A">
        <w:rPr>
          <w:rFonts w:cs="B Zar" w:hint="cs"/>
          <w:rtl/>
        </w:rPr>
        <w:t>، انيميسم را، اعتقاد به حضور جان و روح در تمام پديده‌هاي جهاني (اعم از گياهان و درختان، جانوران و انسانها، ستارگان و كوه و دريا) تعريف كرده است</w:t>
      </w:r>
      <w:r>
        <w:rPr>
          <w:rStyle w:val="FootnoteReference"/>
          <w:rFonts w:cs="B Zar"/>
          <w:rtl/>
        </w:rPr>
        <w:footnoteReference w:id="116"/>
      </w:r>
      <w:r w:rsidRPr="00C0097A">
        <w:rPr>
          <w:rFonts w:cs="B Zar" w:hint="cs"/>
          <w:rtl/>
        </w:rPr>
        <w:t xml:space="preserve">. اين اصطلاح از ريشه لاتيني انيما </w:t>
      </w:r>
      <w:r w:rsidRPr="00C0097A">
        <w:rPr>
          <w:rFonts w:cs="B Zar"/>
        </w:rPr>
        <w:t>(Anima)</w:t>
      </w:r>
      <w:r w:rsidRPr="00C0097A">
        <w:rPr>
          <w:rFonts w:cs="B Zar" w:hint="cs"/>
          <w:rtl/>
        </w:rPr>
        <w:t xml:space="preserve"> به معني جان‌دار مي‌باشد. انيميسم در تمام پديده‌ها، سنگ و صخره و كوه و دريا و گياه، «روح» را مي‌بيند. بر طبق اين نگرش، در جهان هرچه هست جان‌دار است و مادة بي‌جان در هستي وجود ندارد.</w:t>
      </w:r>
    </w:p>
    <w:p w:rsidR="0011420A" w:rsidRPr="00C0097A" w:rsidP="003C0EF5">
      <w:pPr>
        <w:widowControl w:val="0"/>
        <w:spacing w:line="420" w:lineRule="exact"/>
        <w:ind w:left="0" w:right="0"/>
        <w:jc w:val="both"/>
        <w:rPr>
          <w:rFonts w:cs="B Zar" w:hint="cs"/>
          <w:rtl/>
        </w:rPr>
      </w:pPr>
      <w:r w:rsidRPr="00C0097A">
        <w:rPr>
          <w:rFonts w:cs="B Zar" w:hint="cs"/>
          <w:rtl/>
        </w:rPr>
        <w:t>انيميسم دراويدي‌ها در وهلة اول به نياكان پرستي انجاميد. وقتي اجتماعي معتقد به وجود روح در تمام پديده‌ها باشد، بديهي است كه در درجه اول قائل به وجود روح در انسان مي‌شود. برخي روان شناسان اجتماعي عقيده دارند، اعتقاد ياد شده به سبب وجود «رويا» پديد آمده است؛ چرا كه، براي انسان ابتدائي بسيار شگفت‌آور بود كه در هنگام خواب، به ديدار سرزمين‌هاي دور برود و يك لحظه بعد، دوباره خود را در رختخواب بيابد. و عجيب‌تر آنكه اجداد درگذشتگان خود را در رويا مشاهده كند. اين دسته از روان شناسان و جامعه شناسان، معتقدند كه به علت رويا، انسان ابتدائي اعتقاد پيدا كرد كه هم خودش روح دارد و هم نياكان او. اين روح به نوعي همزاد بدن است. شيء لطيفي همراه و در هم تنيده با جسمانيت فرد و عنصري است كه مي‌تواند در حال رويا به طور موقت و پس از مرگ به طور دائم از پوستة بدن جدا شود و به زندگي خود ادامه دهد. انسان سپس دامنه اين اعتقاد خود را وسعت بيشتري داد و بر موجودات و اشياء پيرامون خود حمل كرد و معتقد شد كه همة چيزها، همزاداني به نام جان يا روح دارند و بدينسان كيش انيميسم پيدا شد.</w:t>
      </w:r>
    </w:p>
    <w:p w:rsidR="0011420A" w:rsidRPr="00C0097A" w:rsidP="003C0EF5">
      <w:pPr>
        <w:widowControl w:val="0"/>
        <w:spacing w:line="420" w:lineRule="exact"/>
        <w:ind w:left="0" w:right="0"/>
        <w:jc w:val="both"/>
        <w:rPr>
          <w:rFonts w:cs="B Zar" w:hint="cs"/>
          <w:rtl/>
        </w:rPr>
      </w:pPr>
      <w:r w:rsidRPr="00C0097A">
        <w:rPr>
          <w:rFonts w:cs="B Zar" w:hint="cs"/>
          <w:rtl/>
        </w:rPr>
        <w:t>از ديدگاه جامعه شناسي، «نياكان پرستي» در آئين انيميسم</w:t>
      </w:r>
      <w:r w:rsidRPr="00C0097A">
        <w:rPr>
          <w:rFonts w:cs="B Zar"/>
        </w:rPr>
        <w:t xml:space="preserve"> (Animism) </w:t>
      </w:r>
      <w:r w:rsidRPr="00C0097A">
        <w:rPr>
          <w:rFonts w:cs="B Zar" w:hint="cs"/>
          <w:rtl/>
        </w:rPr>
        <w:t>، كاركرد توتم را در آئين توتميسم</w:t>
      </w:r>
      <w:r w:rsidRPr="00C0097A">
        <w:rPr>
          <w:rFonts w:cs="B Zar"/>
        </w:rPr>
        <w:t xml:space="preserve"> (Totmism) </w:t>
      </w:r>
      <w:r w:rsidRPr="00C0097A">
        <w:rPr>
          <w:rFonts w:cs="B Zar" w:hint="cs"/>
          <w:rtl/>
        </w:rPr>
        <w:t xml:space="preserve"> دارد؛ يعني، موجب افزايش همبستگي اجتماعي ميان نياكان و نسلهاي بعدي مي‌شود</w:t>
      </w:r>
      <w:r>
        <w:rPr>
          <w:rStyle w:val="FootnoteReference"/>
          <w:rFonts w:cs="B Zar"/>
          <w:rtl/>
        </w:rPr>
        <w:footnoteReference w:id="117"/>
      </w:r>
      <w:r w:rsidRPr="00C0097A">
        <w:rPr>
          <w:rFonts w:cs="B Zar" w:hint="cs"/>
          <w:rtl/>
        </w:rPr>
        <w:t>. باز همان گونه كه توتميسم با «تابو»</w:t>
      </w:r>
      <w:r w:rsidRPr="00C0097A">
        <w:rPr>
          <w:rFonts w:cs="B Zar"/>
        </w:rPr>
        <w:t>(Taboo)</w:t>
      </w:r>
      <w:r w:rsidRPr="00C0097A">
        <w:rPr>
          <w:rFonts w:cs="B Zar" w:hint="cs"/>
          <w:rtl/>
        </w:rPr>
        <w:t xml:space="preserve"> با احكام ابتدائي ظاهري همراه است، انيميسم نيز با جادو پيوند دارد. وقتي انسان معتقد شد كه تمام موجودات و اشياء داراي جان اند و هيچ بي‌جاني در جهان وجود ندارد، به تدريج اعتقاد پيدا مي‌كند كه اگر خواستار چيزي باشيم، خواه يك زن زيبا و خواه باران و محصول و يا هر چيز ديگري، مي‌بايستي همزادان آنها را رام كنيم و نيز اگر بخواهيم از ضرر نياكان، دشمنان، ستمكاران، جانوران و نيروهاي طبيعت در امان باشيم، بايد تلاش كنيم تا «جان»‌‌هاي آنان را آرام كنيم. از اينجا بود كه انسان ابتدائي به سحر و جادو و به پرستش نياكان و جانوران و پديده‌هاي طبيعت روي آورد. مردم شناسان و جامعه شناساني نظير فريزر</w:t>
      </w:r>
      <w:r w:rsidRPr="00C0097A">
        <w:rPr>
          <w:rFonts w:cs="B Zar"/>
        </w:rPr>
        <w:t>(Frazer)</w:t>
      </w:r>
      <w:r w:rsidRPr="00C0097A">
        <w:rPr>
          <w:rFonts w:cs="B Zar" w:hint="cs"/>
          <w:i/>
          <w:iCs/>
          <w:rtl/>
        </w:rPr>
        <w:t>، تيلور</w:t>
      </w:r>
      <w:r w:rsidRPr="00C0097A">
        <w:rPr>
          <w:rFonts w:cs="B Zar"/>
          <w:i/>
          <w:iCs/>
        </w:rPr>
        <w:t>(</w:t>
      </w:r>
      <w:r w:rsidRPr="00C0097A">
        <w:rPr>
          <w:rFonts w:cs="B Zar"/>
        </w:rPr>
        <w:t>Taylor)</w:t>
      </w:r>
      <w:r w:rsidRPr="00C0097A">
        <w:rPr>
          <w:rFonts w:cs="B Zar" w:hint="cs"/>
          <w:i/>
          <w:iCs/>
          <w:rtl/>
        </w:rPr>
        <w:t>، موس(</w:t>
      </w:r>
      <w:r w:rsidRPr="00C0097A">
        <w:rPr>
          <w:rFonts w:cs="B Zar"/>
          <w:i/>
          <w:iCs/>
        </w:rPr>
        <w:t>v(</w:t>
      </w:r>
      <w:r w:rsidRPr="00C0097A">
        <w:rPr>
          <w:rFonts w:cs="B Zar"/>
        </w:rPr>
        <w:t>Moss</w:t>
      </w:r>
      <w:r w:rsidRPr="00C0097A">
        <w:rPr>
          <w:rFonts w:cs="B Zar" w:hint="cs"/>
          <w:i/>
          <w:iCs/>
          <w:rtl/>
        </w:rPr>
        <w:t>، گورويچ</w:t>
      </w:r>
      <w:r w:rsidRPr="00C0097A">
        <w:rPr>
          <w:rFonts w:cs="B Zar"/>
          <w:i/>
          <w:iCs/>
        </w:rPr>
        <w:t xml:space="preserve"> </w:t>
      </w:r>
      <w:r w:rsidRPr="00C0097A">
        <w:rPr>
          <w:rFonts w:cs="B Zar"/>
        </w:rPr>
        <w:t>(Gurvich)</w:t>
      </w:r>
      <w:r w:rsidRPr="00C0097A">
        <w:rPr>
          <w:rFonts w:cs="B Zar" w:hint="cs"/>
          <w:i/>
          <w:iCs/>
          <w:rtl/>
        </w:rPr>
        <w:t>، دوركهيم</w:t>
      </w:r>
      <w:r w:rsidRPr="00C0097A">
        <w:rPr>
          <w:rFonts w:cs="B Zar"/>
          <w:i/>
          <w:iCs/>
        </w:rPr>
        <w:t xml:space="preserve"> </w:t>
      </w:r>
      <w:r w:rsidRPr="00C0097A">
        <w:rPr>
          <w:rFonts w:cs="B Zar"/>
        </w:rPr>
        <w:t>(Durkheim)</w:t>
      </w:r>
      <w:r w:rsidRPr="00C0097A">
        <w:rPr>
          <w:rFonts w:cs="B Zar" w:hint="cs"/>
          <w:i/>
          <w:iCs/>
          <w:rtl/>
        </w:rPr>
        <w:t xml:space="preserve"> </w:t>
      </w:r>
      <w:r w:rsidRPr="00C0097A">
        <w:rPr>
          <w:rFonts w:cs="B Zar" w:hint="cs"/>
          <w:rtl/>
        </w:rPr>
        <w:t>و</w:t>
      </w:r>
      <w:r w:rsidRPr="00C0097A">
        <w:rPr>
          <w:rFonts w:cs="B Zar" w:hint="cs"/>
          <w:i/>
          <w:iCs/>
          <w:rtl/>
        </w:rPr>
        <w:t xml:space="preserve"> وبر</w:t>
      </w:r>
      <w:r w:rsidRPr="00C0097A">
        <w:rPr>
          <w:rFonts w:cs="B Zar"/>
          <w:i/>
          <w:iCs/>
        </w:rPr>
        <w:t xml:space="preserve"> </w:t>
      </w:r>
      <w:r w:rsidRPr="00C0097A">
        <w:rPr>
          <w:rFonts w:cs="B Zar"/>
        </w:rPr>
        <w:t>(Weber)</w:t>
      </w:r>
      <w:r w:rsidRPr="00C0097A">
        <w:rPr>
          <w:rFonts w:cs="B Zar" w:hint="cs"/>
          <w:i/>
          <w:iCs/>
          <w:rtl/>
        </w:rPr>
        <w:t>،</w:t>
      </w:r>
      <w:r w:rsidRPr="00C0097A">
        <w:rPr>
          <w:rFonts w:cs="B Zar" w:hint="cs"/>
          <w:rtl/>
        </w:rPr>
        <w:t xml:space="preserve"> به مطالعه جادو در جوامع ابتدائي بسيار اهميت داده‌اند. مراسم جادو اساساً مبتني بر قانون مشابهت و همانندي و يا اصل «ارگانيسم</w:t>
      </w:r>
      <w:r w:rsidRPr="00C0097A">
        <w:rPr>
          <w:rFonts w:cs="B Zar"/>
        </w:rPr>
        <w:t xml:space="preserve"> (Organism)</w:t>
      </w:r>
      <w:r w:rsidRPr="00C0097A">
        <w:rPr>
          <w:rFonts w:cs="B Zar" w:hint="cs"/>
          <w:rtl/>
        </w:rPr>
        <w:t>» قرار دارد؛ مثلاً معتقدند كه اگر بخواهند كسي را آزار دهند بايد مجسمه يا نقشي از او درست كرده و آنرا شكنجه دهند و اگر خواهان به دست آوردن كسي هستند، بايد همانند او را طي انجام مناسكي به دست آورند. اگر بخواهند باران بيايد، بايد آب بپاشند و نظاير آن. در توضيح قانون ارگانيسم گفته‌اند كه، چون هواداران كيش انيميسم همه اشياء را جاندار مي‌دانند، پس معتقدند كه هستي يك كل است. لذا، اگر جزئي از آن به دست آيد، كل آن نيز به دست خواهد آمد. بر همين اساس،  اگر به جزئي از آن آزار برسانيم، كل آن آسيب خواهد ديد؛ مثلاً اگر مو يا ناحن كسي را گير بياوريم و به آن آسيبي برسانيم، به خود آن شخص آسيب مي‌رسد و يا اگر بوته‌اي از گياه در طي رقصي به حركت درآيد، سبزه جوانه خواهد زد و محصول فراواني پيدا خواهد شد.</w:t>
      </w:r>
    </w:p>
    <w:p w:rsidR="0011420A" w:rsidP="003C0EF5">
      <w:pPr>
        <w:widowControl w:val="0"/>
        <w:spacing w:line="420" w:lineRule="exact"/>
        <w:ind w:left="0" w:right="0"/>
        <w:jc w:val="both"/>
        <w:rPr>
          <w:rFonts w:cs="B Zar" w:hint="cs"/>
          <w:rtl/>
        </w:rPr>
      </w:pPr>
      <w:r w:rsidRPr="00C0097A">
        <w:rPr>
          <w:rFonts w:cs="B Zar" w:hint="cs"/>
          <w:rtl/>
        </w:rPr>
        <w:t>روش ديگري كه اينان براي رام و يا آرام كردن جانها در پيش مي‌گرفته‌اند، به وسيلة انجام مراسم پرستش و يا «پوجا» بوده است</w:t>
      </w:r>
      <w:r>
        <w:rPr>
          <w:rStyle w:val="FootnoteReference"/>
          <w:rFonts w:cs="B Zar"/>
          <w:rtl/>
        </w:rPr>
        <w:footnoteReference w:id="118"/>
      </w:r>
      <w:r w:rsidRPr="00C0097A">
        <w:rPr>
          <w:rFonts w:cs="B Zar" w:hint="cs"/>
          <w:rtl/>
        </w:rPr>
        <w:t>.</w:t>
      </w:r>
    </w:p>
    <w:p w:rsidR="009F1464" w:rsidRPr="00C0097A" w:rsidP="003C0EF5">
      <w:pPr>
        <w:widowControl w:val="0"/>
        <w:spacing w:line="420" w:lineRule="exact"/>
        <w:ind w:left="0" w:right="0"/>
        <w:jc w:val="both"/>
        <w:rPr>
          <w:rFonts w:cs="B Zar" w:hint="cs"/>
          <w:rtl/>
        </w:rPr>
      </w:pPr>
    </w:p>
    <w:p w:rsidR="0011420A" w:rsidRPr="00C0097A" w:rsidP="003C0EF5">
      <w:pPr>
        <w:pStyle w:val="Heading3"/>
        <w:keepNext w:val="0"/>
        <w:widowControl w:val="0"/>
        <w:spacing w:before="0" w:after="0" w:line="420" w:lineRule="exact"/>
        <w:ind w:left="0" w:right="0"/>
        <w:jc w:val="left"/>
        <w:rPr>
          <w:rFonts w:cs="B Zar" w:hint="cs"/>
          <w:sz w:val="28"/>
          <w:rtl/>
        </w:rPr>
      </w:pPr>
      <w:bookmarkStart w:id="8" w:name="_Toc110442173"/>
      <w:r w:rsidRPr="00C0097A">
        <w:rPr>
          <w:rFonts w:cs="B Zar" w:hint="cs"/>
          <w:sz w:val="28"/>
          <w:rtl/>
        </w:rPr>
        <w:t>حيوان پرستي در ميان دراويديها:</w:t>
      </w:r>
      <w:bookmarkEnd w:id="8"/>
    </w:p>
    <w:p w:rsidR="0011420A" w:rsidRPr="00C0097A" w:rsidP="003C0EF5">
      <w:pPr>
        <w:widowControl w:val="0"/>
        <w:spacing w:line="420" w:lineRule="exact"/>
        <w:ind w:left="0" w:right="0"/>
        <w:jc w:val="both"/>
        <w:rPr>
          <w:rFonts w:cs="B Zar" w:hint="cs"/>
          <w:rtl/>
        </w:rPr>
      </w:pPr>
      <w:r w:rsidRPr="00C0097A">
        <w:rPr>
          <w:rFonts w:cs="B Zar" w:hint="cs"/>
          <w:rtl/>
        </w:rPr>
        <w:t>در كيش انيميستي دراويديها، «حيوان پرستي» نيز از اهميت ويژه‌اي برخوردار بود.  براي انسان ابتدائي «جان»‌هاي گوناگون به صورت حيوانات مختلف تصور مي‌شده است و هنوز هم هنرمندان وقتي كه مي‌خواهند جدا شدن روح را از جسم ترسيم كنند، «روح» را به صورت «كبوتر» يا پرنده‌اي تصور مي‌كنند. دراويديها و آريائي‌ها نيز «خورشيد» را به صورت گاو نر، ماهتاب را به صورت اسب و آسمان را به صورت شير ترسيم كرده‌اند. علت ديگر ممكن است آن باشد كه چون در محيط زندگي دراويديها، جانوران مخوف و كشنده‌اي نظير شير و مارهاي بزرگ بسيار بوده‌اند؛ جانوراني كه به بقاي آنها كمك مي‌كردند (نظير گاو كه شير مي‌داد و ارابه‌ها را مي‌كشيد و در كشاورزي به كار مي‌آمد؛ و يا اسب كه در جنگ و صلح مركب اصلي آنان بود)، اهميت و تقدس بسيار يافت. لذا سكه‌‌ها و مهرهائي كه در «موهنجدارو»</w:t>
      </w:r>
      <w:r w:rsidRPr="00C0097A">
        <w:rPr>
          <w:rFonts w:cs="B Zar"/>
        </w:rPr>
        <w:t xml:space="preserve">  (Mohenjadaro)</w:t>
      </w:r>
      <w:r w:rsidRPr="00C0097A">
        <w:rPr>
          <w:rFonts w:cs="B Zar" w:hint="cs"/>
          <w:rtl/>
        </w:rPr>
        <w:t xml:space="preserve"> و «هرپا»</w:t>
      </w:r>
      <w:r w:rsidRPr="00C0097A">
        <w:rPr>
          <w:rFonts w:cs="B Zar"/>
        </w:rPr>
        <w:t>(Harapp</w:t>
      </w:r>
      <w:r w:rsidRPr="00C0097A">
        <w:rPr>
          <w:rFonts w:cs="B Zar"/>
        </w:rPr>
        <w:t>a)</w:t>
      </w:r>
      <w:r w:rsidRPr="00C0097A">
        <w:rPr>
          <w:rFonts w:cs="B Zar" w:hint="cs"/>
          <w:rtl/>
        </w:rPr>
        <w:t xml:space="preserve"> كشف شده، اكثراً نقش حيوانان بر آنها حك گرديده است. نكته قابل ذكر اينكه، در بسياري از اين سكه‌‌ها نقش «ميمون» و «فيل» نيز ديده مي‌شود. به اين ترتيب، توجيه بالا در مورد آنان به طور كامل تطبيق نمي‌كند؛ چرا كه «ميمون» نه حيواني ترسناك است كه به خاطر دفع ضرر به پرستش آن بپردازند و نه جانوري است مفيد نظير گاو يا اسب كه به عنوان «شكرانه» آنرا پرستش كنند. از اين‌رو اين احتمال پيش مي آيد كه شايد «ميمون» و «فيل» از توتم‌ها و علامات طايفه‌اي دراويديها بوده باشند</w:t>
      </w:r>
      <w:r>
        <w:rPr>
          <w:rStyle w:val="FootnoteReference"/>
          <w:rFonts w:cs="B Zar"/>
          <w:rtl/>
        </w:rPr>
        <w:footnoteReference w:id="119"/>
      </w:r>
      <w:r w:rsidRPr="00C0097A">
        <w:rPr>
          <w:rFonts w:cs="B Zar" w:hint="cs"/>
          <w:rtl/>
        </w:rPr>
        <w:t>.</w:t>
      </w:r>
    </w:p>
    <w:p w:rsidR="0011420A" w:rsidRPr="00C0097A" w:rsidP="003C0EF5">
      <w:pPr>
        <w:widowControl w:val="0"/>
        <w:spacing w:line="420" w:lineRule="exact"/>
        <w:ind w:left="0" w:right="0"/>
        <w:jc w:val="both"/>
        <w:rPr>
          <w:rFonts w:cs="B Zar"/>
          <w:rtl/>
        </w:rPr>
      </w:pPr>
      <w:r w:rsidRPr="00C0097A">
        <w:rPr>
          <w:rFonts w:cs="B Zar" w:hint="cs"/>
          <w:rtl/>
        </w:rPr>
        <w:t xml:space="preserve">مقدس انگاري و پرستيدن حيوانات در اقوام ديگر نيز رواج داشته است. آريائي‌ها در هند و ايران، رب‌النوعهاي طبيعت را به جانوران تشبيه مي‌كردند؛ چنانكه اينديرا، خداي بزرگ آريائيها، در وداها در شكل گاو نر تصوير مي‌شود؛ اما به طور كلي در كتابهاي مقدس آريائيها (وداها و گاتاها)، كمتر خدايان در شكل حيوانات تصوير شده‌اند. پرستش حيوانات بيش از همه در آئين توتميسم رواج دارد و توتمهاي قبائل عموماً از سنخ حيوانات‌اند. از اين جهت احتمال دارد كه دراويديها عادت پرستش حيوانات را از قوم پيشين، يعني «استرولايدها» فرا گرفته باشند و يا ممكن است اين آئين متأثر از دين باستاني بين النهرين و مصر باشد. نياكان دراويديها از مناطق مديترانه كه با امپراطوري فرعونيان همجوار بود، كوچ كرده بودند. چنانكه مي‌دانيم، پرستش رب‌النوعهاي حيوان چهره </w:t>
      </w:r>
      <w:r w:rsidRPr="00C0097A">
        <w:rPr>
          <w:rFonts w:cs="B Zar"/>
        </w:rPr>
        <w:t>(Zoomorphic Gods)</w:t>
      </w:r>
      <w:r w:rsidRPr="00C0097A">
        <w:rPr>
          <w:rFonts w:cs="B Zar" w:hint="cs"/>
          <w:rtl/>
        </w:rPr>
        <w:t xml:space="preserve">، از شاخصهاي دين مصريان باستان است. در مجسمه‌ها و نقاشيهايي كه از حفاريهاي اهرام مصر به دست آمده، خدايان </w:t>
      </w:r>
      <w:r w:rsidRPr="00C0097A">
        <w:rPr>
          <w:rFonts w:cs="B Zar" w:hint="cs"/>
          <w:b/>
          <w:bCs/>
          <w:rtl/>
        </w:rPr>
        <w:t>هوروس‌</w:t>
      </w:r>
      <w:r w:rsidRPr="00C0097A">
        <w:rPr>
          <w:rFonts w:cs="B Zar"/>
        </w:rPr>
        <w:t>(Horus)</w:t>
      </w:r>
      <w:r w:rsidRPr="00C0097A">
        <w:rPr>
          <w:rFonts w:cs="B Zar" w:hint="cs"/>
          <w:rtl/>
        </w:rPr>
        <w:t xml:space="preserve">، </w:t>
      </w:r>
      <w:r w:rsidRPr="00C0097A">
        <w:rPr>
          <w:rFonts w:cs="B Zar" w:hint="cs"/>
          <w:i/>
          <w:iCs/>
          <w:rtl/>
        </w:rPr>
        <w:t>ري</w:t>
      </w:r>
      <w:r w:rsidRPr="00C0097A">
        <w:rPr>
          <w:rFonts w:cs="B Zar"/>
        </w:rPr>
        <w:t>(Re)</w:t>
      </w:r>
      <w:r w:rsidRPr="00C0097A">
        <w:rPr>
          <w:rFonts w:cs="B Zar" w:hint="cs"/>
          <w:rtl/>
        </w:rPr>
        <w:t xml:space="preserve">، </w:t>
      </w:r>
      <w:r w:rsidRPr="00C0097A">
        <w:rPr>
          <w:rFonts w:cs="B Zar" w:hint="cs"/>
          <w:i/>
          <w:iCs/>
          <w:rtl/>
        </w:rPr>
        <w:t>اوسيريس</w:t>
      </w:r>
      <w:r w:rsidRPr="00C0097A">
        <w:rPr>
          <w:rFonts w:cs="B Zar" w:hint="cs"/>
          <w:rtl/>
        </w:rPr>
        <w:t>‌</w:t>
      </w:r>
      <w:r w:rsidRPr="00C0097A">
        <w:rPr>
          <w:rFonts w:cs="B Zar"/>
        </w:rPr>
        <w:t>(Osiris)</w:t>
      </w:r>
      <w:r w:rsidRPr="00C0097A">
        <w:rPr>
          <w:rFonts w:cs="B Zar" w:hint="cs"/>
          <w:rtl/>
        </w:rPr>
        <w:t xml:space="preserve">، </w:t>
      </w:r>
      <w:r w:rsidRPr="00C0097A">
        <w:rPr>
          <w:rFonts w:cs="B Zar" w:hint="cs"/>
          <w:i/>
          <w:iCs/>
          <w:rtl/>
        </w:rPr>
        <w:t>اي‌سيس</w:t>
      </w:r>
      <w:r w:rsidRPr="00C0097A">
        <w:rPr>
          <w:rFonts w:cs="B Zar"/>
        </w:rPr>
        <w:t>(Isis)</w:t>
      </w:r>
      <w:r w:rsidRPr="00C0097A">
        <w:rPr>
          <w:rFonts w:cs="B Zar" w:hint="cs"/>
          <w:rtl/>
        </w:rPr>
        <w:t xml:space="preserve">، </w:t>
      </w:r>
      <w:r w:rsidRPr="00C0097A">
        <w:rPr>
          <w:rFonts w:cs="B Zar" w:hint="cs"/>
          <w:i/>
          <w:iCs/>
          <w:rtl/>
        </w:rPr>
        <w:t>انوبيس</w:t>
      </w:r>
      <w:r w:rsidRPr="00C0097A">
        <w:rPr>
          <w:rFonts w:cs="B Zar"/>
        </w:rPr>
        <w:t>(Anubis)</w:t>
      </w:r>
      <w:r w:rsidRPr="00C0097A">
        <w:rPr>
          <w:rFonts w:cs="B Zar" w:hint="cs"/>
          <w:rtl/>
        </w:rPr>
        <w:t xml:space="preserve"> و </w:t>
      </w:r>
      <w:r w:rsidRPr="00C0097A">
        <w:rPr>
          <w:rFonts w:cs="B Zar" w:hint="cs"/>
          <w:i/>
          <w:iCs/>
          <w:rtl/>
        </w:rPr>
        <w:t>سوكاريس</w:t>
      </w:r>
      <w:r w:rsidRPr="00C0097A">
        <w:rPr>
          <w:rFonts w:cs="B Zar" w:hint="cs"/>
          <w:rtl/>
        </w:rPr>
        <w:t>‌</w:t>
      </w:r>
      <w:r w:rsidRPr="00C0097A">
        <w:rPr>
          <w:rFonts w:cs="B Zar"/>
        </w:rPr>
        <w:t>(Sokaris)</w:t>
      </w:r>
      <w:r w:rsidRPr="00C0097A">
        <w:rPr>
          <w:rFonts w:cs="B Zar" w:hint="cs"/>
          <w:rtl/>
        </w:rPr>
        <w:t>، به صورت «نيمه انسان ـ نيمه جانور» ترسيم شده‌اند</w:t>
      </w:r>
      <w:r>
        <w:rPr>
          <w:rStyle w:val="FootnoteReference"/>
          <w:rFonts w:cs="B Zar"/>
          <w:rtl/>
        </w:rPr>
        <w:footnoteReference w:id="120"/>
      </w:r>
      <w:r w:rsidRPr="00C0097A">
        <w:rPr>
          <w:rFonts w:cs="B Zar" w:hint="cs"/>
          <w:rtl/>
        </w:rPr>
        <w:t xml:space="preserve">. ايپس به صورت گاو نر و </w:t>
      </w:r>
      <w:r w:rsidRPr="00C0097A">
        <w:rPr>
          <w:rFonts w:cs="B Zar" w:hint="cs"/>
          <w:i/>
          <w:iCs/>
          <w:rtl/>
        </w:rPr>
        <w:t>نخ بت</w:t>
      </w:r>
      <w:r w:rsidRPr="00C0097A">
        <w:rPr>
          <w:rFonts w:cs="B Zar"/>
        </w:rPr>
        <w:t>(Nekhbet)</w:t>
      </w:r>
      <w:r w:rsidRPr="00C0097A">
        <w:rPr>
          <w:rFonts w:cs="B Zar" w:hint="cs"/>
          <w:rtl/>
        </w:rPr>
        <w:t xml:space="preserve"> خداي مادينه، چهرة عقاب دارد</w:t>
      </w:r>
      <w:r>
        <w:rPr>
          <w:rStyle w:val="FootnoteReference"/>
          <w:rFonts w:cs="B Zar"/>
          <w:rtl/>
        </w:rPr>
        <w:footnoteReference w:id="121"/>
      </w:r>
      <w:r w:rsidRPr="00C0097A">
        <w:rPr>
          <w:rFonts w:cs="B Zar" w:hint="cs"/>
          <w:rtl/>
        </w:rPr>
        <w:t>.</w:t>
      </w:r>
    </w:p>
    <w:p w:rsidR="0011420A" w:rsidRPr="00C0097A" w:rsidP="003C0EF5">
      <w:pPr>
        <w:widowControl w:val="0"/>
        <w:spacing w:line="420" w:lineRule="exact"/>
        <w:ind w:left="0" w:right="0"/>
        <w:jc w:val="both"/>
        <w:rPr>
          <w:rFonts w:cs="B Zar" w:hint="cs"/>
          <w:rtl/>
        </w:rPr>
      </w:pPr>
      <w:r w:rsidRPr="00C0097A">
        <w:rPr>
          <w:rFonts w:cs="B Zar" w:hint="cs"/>
          <w:rtl/>
        </w:rPr>
        <w:t xml:space="preserve">يكي از بقاياي آئين دراويديها در هندوئيسم كنوني، پرستش خدايان حيوان چهره است. به نظر مي‌رسد كه از قرن چهارم پس از ميلاد و از دوره تدوين مجموعه روايات ديني به‌نام </w:t>
      </w:r>
      <w:r w:rsidRPr="00C0097A">
        <w:rPr>
          <w:rFonts w:cs="B Zar" w:hint="cs"/>
          <w:i/>
          <w:iCs/>
          <w:rtl/>
        </w:rPr>
        <w:t>پورانا،</w:t>
      </w:r>
      <w:r w:rsidRPr="00C0097A">
        <w:rPr>
          <w:rFonts w:cs="B Zar" w:hint="cs"/>
          <w:rtl/>
        </w:rPr>
        <w:t xml:space="preserve"> اين گونه خدايان وارد جرگة خدايان آريائي گرديده باشند. در هندوئيسم كنوني، </w:t>
      </w:r>
      <w:r w:rsidRPr="00C0097A">
        <w:rPr>
          <w:rFonts w:cs="B Zar" w:hint="cs"/>
          <w:i/>
          <w:iCs/>
          <w:rtl/>
        </w:rPr>
        <w:t>گانيش</w:t>
      </w:r>
      <w:r w:rsidRPr="00C0097A">
        <w:rPr>
          <w:rFonts w:cs="B Zar"/>
        </w:rPr>
        <w:t>(Ganesh)</w:t>
      </w:r>
      <w:r w:rsidRPr="00C0097A">
        <w:rPr>
          <w:rFonts w:cs="B Zar" w:hint="cs"/>
          <w:rtl/>
        </w:rPr>
        <w:t xml:space="preserve"> كه مجسمه‌هايش در هر گوشه و كنار هند ديده مي‌شود، به شكل «چهره فيل و بدنه انسان»  ترسيم مي‌شود. رب‌النوع ديگر، </w:t>
      </w:r>
      <w:r w:rsidRPr="00C0097A">
        <w:rPr>
          <w:rFonts w:cs="B Zar" w:hint="cs"/>
          <w:i/>
          <w:iCs/>
          <w:rtl/>
        </w:rPr>
        <w:t>هانومان</w:t>
      </w:r>
      <w:r w:rsidRPr="00C0097A">
        <w:rPr>
          <w:rFonts w:cs="B Zar" w:hint="cs"/>
          <w:rtl/>
        </w:rPr>
        <w:t>‌</w:t>
      </w:r>
      <w:r w:rsidRPr="00C0097A">
        <w:rPr>
          <w:rFonts w:cs="B Zar"/>
        </w:rPr>
        <w:t>(Hanuman)</w:t>
      </w:r>
      <w:r w:rsidRPr="00C0097A">
        <w:rPr>
          <w:rFonts w:cs="B Zar" w:hint="cs"/>
          <w:rtl/>
        </w:rPr>
        <w:t xml:space="preserve"> است كه با چهره فيل و دم ميمون، و بدن انسان ترسيم مي‌شود؛ گانيش و هانومان در هندوئيسم عاميانه، به شدت تعظيم و تكريم مي‌شوند. پرگيتر </w:t>
      </w:r>
      <w:r w:rsidRPr="00C0097A">
        <w:rPr>
          <w:rFonts w:cs="B Zar"/>
        </w:rPr>
        <w:t>(Pergiter)</w:t>
      </w:r>
      <w:r w:rsidRPr="00C0097A">
        <w:rPr>
          <w:rFonts w:cs="B Zar" w:hint="cs"/>
          <w:rtl/>
        </w:rPr>
        <w:t>، مردم شناس و باستان شناس معروف، ثابت كرده است كه دراويديها نيز رب‌النوعي به صورت ميمون داشتند و آنرا «اَن مُن تي» (ميمون نرينه) مي‌ناميده‌اند. آرياها با اين اله آشنا شدند و او را در ريگ ودا «ورش كپي» ناميدند</w:t>
      </w:r>
      <w:r>
        <w:rPr>
          <w:rStyle w:val="FootnoteReference"/>
          <w:rFonts w:cs="B Zar"/>
          <w:rtl/>
        </w:rPr>
        <w:footnoteReference w:id="122"/>
      </w:r>
      <w:r w:rsidRPr="00C0097A">
        <w:rPr>
          <w:rFonts w:cs="B Zar" w:hint="cs"/>
          <w:rtl/>
        </w:rPr>
        <w:t>. ولي براي آن اهميت چنداني قائل نبودند. در عصر تدوين «پورانا» همين رب‌النوع كه هانومان ناميده شد، به صورت يكي از خدايان بسيار والاي هندوئيسم درآمد.</w:t>
      </w:r>
    </w:p>
    <w:p w:rsidR="0011420A" w:rsidP="003C0EF5">
      <w:pPr>
        <w:widowControl w:val="0"/>
        <w:spacing w:line="420" w:lineRule="exact"/>
        <w:ind w:left="0" w:right="0"/>
        <w:jc w:val="both"/>
        <w:rPr>
          <w:rFonts w:cs="B Zar" w:hint="cs"/>
          <w:rtl/>
        </w:rPr>
      </w:pPr>
      <w:r w:rsidRPr="00C0097A">
        <w:rPr>
          <w:rFonts w:cs="B Zar" w:hint="cs"/>
          <w:rtl/>
        </w:rPr>
        <w:t>گذشته از حيوان‌پرستي، دراويديها برخي جانوران را بسيار محترم و مقدس مي‌شمرده‌اند كه از آن جمله: گاو، ميمون، طاووس و مار مي‌باشند. گاوپرستي و گوساله‌پرستي در فلسطين و كنعان، در دوره باستان بسيار رائج بوده، چنانكه قرآن كريم نيز داستان گوساله سامري را نقل مي‌كند</w:t>
      </w:r>
      <w:r>
        <w:rPr>
          <w:rStyle w:val="FootnoteReference"/>
          <w:rFonts w:cs="B Zar"/>
          <w:rtl/>
        </w:rPr>
        <w:footnoteReference w:id="123"/>
      </w:r>
      <w:r w:rsidRPr="00C0097A">
        <w:rPr>
          <w:rFonts w:cs="B Zar" w:hint="cs"/>
          <w:rtl/>
        </w:rPr>
        <w:t>. برخي معتقدند كه خداوند از آن جهت به بني اسرائيل دستور ذبح گاو داده بود تا عادت مقدس‌انگاري گاوهاي خاص از ميان برود.</w:t>
      </w:r>
    </w:p>
    <w:p w:rsidR="009F1464" w:rsidRPr="00C0097A" w:rsidP="003C0EF5">
      <w:pPr>
        <w:widowControl w:val="0"/>
        <w:spacing w:line="420" w:lineRule="exact"/>
        <w:ind w:left="0" w:right="0"/>
        <w:jc w:val="both"/>
        <w:rPr>
          <w:rFonts w:cs="B Zar" w:hint="cs"/>
          <w:rtl/>
        </w:rPr>
      </w:pPr>
    </w:p>
    <w:p w:rsidR="0011420A" w:rsidRPr="00C0097A" w:rsidP="003C0EF5">
      <w:pPr>
        <w:pStyle w:val="Heading3"/>
        <w:keepNext w:val="0"/>
        <w:widowControl w:val="0"/>
        <w:spacing w:before="0" w:after="0" w:line="420" w:lineRule="exact"/>
        <w:ind w:left="0" w:right="0"/>
        <w:jc w:val="left"/>
        <w:rPr>
          <w:rFonts w:cs="B Zar" w:hint="cs"/>
          <w:sz w:val="28"/>
          <w:rtl/>
        </w:rPr>
      </w:pPr>
      <w:bookmarkStart w:id="9" w:name="_Toc110442174"/>
      <w:r w:rsidRPr="00C0097A">
        <w:rPr>
          <w:rFonts w:cs="B Zar" w:hint="cs"/>
          <w:sz w:val="28"/>
          <w:rtl/>
        </w:rPr>
        <w:t>رب‌النوع يا خداي ـ بانوها</w:t>
      </w:r>
      <w:bookmarkEnd w:id="9"/>
    </w:p>
    <w:p w:rsidR="0011420A" w:rsidRPr="00C0097A" w:rsidP="003C0EF5">
      <w:pPr>
        <w:widowControl w:val="0"/>
        <w:spacing w:line="420" w:lineRule="exact"/>
        <w:ind w:left="0" w:right="0"/>
        <w:jc w:val="both"/>
        <w:rPr>
          <w:rFonts w:cs="B Zar" w:hint="cs"/>
          <w:rtl/>
        </w:rPr>
      </w:pPr>
      <w:r w:rsidRPr="00C0097A">
        <w:rPr>
          <w:rFonts w:cs="B Zar" w:hint="cs"/>
          <w:rtl/>
        </w:rPr>
        <w:t xml:space="preserve">همان‌گونه كه در انيميسم </w:t>
      </w:r>
      <w:r w:rsidRPr="00C0097A">
        <w:rPr>
          <w:rFonts w:cs="B Zar"/>
        </w:rPr>
        <w:t>(</w:t>
      </w:r>
      <w:r w:rsidRPr="00C0097A">
        <w:rPr>
          <w:rFonts w:cs="B Zar"/>
        </w:rPr>
        <w:t>Animism)</w:t>
      </w:r>
      <w:r w:rsidRPr="00C0097A">
        <w:rPr>
          <w:rFonts w:cs="B Zar" w:hint="cs"/>
          <w:rtl/>
        </w:rPr>
        <w:t>، اشياء و حيوانات داراي «جان» پنداشته مي‌شوند، پديده‌هاي طبيعي نظير: آسمان، زمين، خورشيد، ماه، ستارگان، كهكشان، ابر، باد و دريا نيز موجوداتي ذي روح تلقي مي‌شوند و به تبع آن، هر كدام داراي يك رب‌‌النوع هستند. اقوام و ملل باستاني، چون جهان ملكوتي خدايان را نظير جهان انساني تلقي مي‌كردند، معتقد بودند كه برخي معبودان نرينه‌ و برخي مادينه‌اند. آنها زمين را به عنوان «زن بزرگ» تلقي مي‌كردند و شايد از همان زمان تعبير «مادر زمين» يا «مادر وطن» در اكثر فرهنگ ها رواج پيدا كرد.</w:t>
      </w:r>
    </w:p>
    <w:p w:rsidR="0011420A" w:rsidRPr="00C0097A" w:rsidP="003C0EF5">
      <w:pPr>
        <w:widowControl w:val="0"/>
        <w:spacing w:line="420" w:lineRule="exact"/>
        <w:ind w:left="0" w:right="0"/>
        <w:jc w:val="both"/>
        <w:rPr>
          <w:rFonts w:cs="B Zar" w:hint="cs"/>
          <w:rtl/>
        </w:rPr>
      </w:pPr>
      <w:r w:rsidRPr="00C0097A">
        <w:rPr>
          <w:rFonts w:cs="B Zar" w:hint="cs"/>
          <w:rtl/>
        </w:rPr>
        <w:t>براي انساني كه تازه به مرحله توليد غذا رسيده بود، بذرافشاني در خاك زمين و ريزش باران از سوي آسمان و برآمدن جوانه‌ها از شكم و رحم زمين، بارورشدن جوانه‌ها و تبديل آن به گياهان تناور، يادآور مراحل باروري، تولد، رشد و بلوغ انسان بود. اين تشبيه موجب آن شد كه در صفحه ذهن او، زمين درست نظير يك «زن» يا «مادر» جلوه كند</w:t>
      </w:r>
      <w:r>
        <w:rPr>
          <w:rStyle w:val="FootnoteReference"/>
          <w:rFonts w:cs="B Zar"/>
          <w:rtl/>
        </w:rPr>
        <w:footnoteReference w:id="124"/>
      </w:r>
      <w:r w:rsidRPr="00C0097A">
        <w:rPr>
          <w:rFonts w:cs="B Zar" w:hint="cs"/>
          <w:rtl/>
        </w:rPr>
        <w:t>. آسمان نيز به صورت موجودي نرينه تلقي شد كه بذرهاي مولد را با ابر و باران، در رحم زمين جاي مي‌دهد. ريشه اعتقادي بسياري از اقوام كهن كه معبود نرينه را (آسمان) و معبود مادينه را (زمين) مي‌داند، شايد همين تشبيه ذهني انسانها باشد. براي انساني كه تازه در آستانه توليد غذا قرار داشت، طبيعي است كه «مادر زمين» مهم تر از «پدر آسمان» باشد. اين نكته، پرستش معبودان مادينه را در اقوام ابتدائي و جايگاه برجسته‌تر آنان را توجيه مي‌كند.</w:t>
      </w:r>
    </w:p>
    <w:p w:rsidR="0011420A" w:rsidRPr="00C0097A" w:rsidP="003C0EF5">
      <w:pPr>
        <w:widowControl w:val="0"/>
        <w:spacing w:line="420" w:lineRule="exact"/>
        <w:ind w:left="0" w:right="0"/>
        <w:jc w:val="both"/>
        <w:rPr>
          <w:rFonts w:cs="B Zar" w:hint="cs"/>
          <w:rtl/>
        </w:rPr>
      </w:pPr>
      <w:r w:rsidRPr="00C0097A">
        <w:rPr>
          <w:rFonts w:cs="B Zar" w:hint="cs"/>
          <w:rtl/>
        </w:rPr>
        <w:t>برخي مردم شناسان، پرستش معبودان مادينه را از سنن رائج در دوره مادر سالاري مي‌دانند؛ اما از آنجا كه بسياري از اقوامي كه در ميان آنان مادينه‌پرستي بسيار رواج داشت (از جمله دراويديها)، داراي نظام اجتماعي پدر سالارانه بودند و اين ادعا درست به نظر نمي‌رسد.</w:t>
      </w:r>
    </w:p>
    <w:p w:rsidR="0011420A" w:rsidRPr="00C0097A" w:rsidP="003C0EF5">
      <w:pPr>
        <w:widowControl w:val="0"/>
        <w:spacing w:line="420" w:lineRule="exact"/>
        <w:ind w:left="0" w:right="0"/>
        <w:jc w:val="both"/>
        <w:rPr>
          <w:rFonts w:cs="B Zar" w:hint="cs"/>
          <w:rtl/>
        </w:rPr>
      </w:pPr>
      <w:r w:rsidRPr="00C0097A">
        <w:rPr>
          <w:rFonts w:cs="B Zar" w:hint="cs"/>
          <w:b/>
          <w:bCs/>
          <w:rtl/>
        </w:rPr>
        <w:t>سنكاليا</w:t>
      </w:r>
      <w:r w:rsidRPr="00C0097A">
        <w:rPr>
          <w:rFonts w:cs="B Zar"/>
          <w:b/>
          <w:bCs/>
        </w:rPr>
        <w:t>(Sinkalia)</w:t>
      </w:r>
      <w:r w:rsidRPr="00C0097A">
        <w:rPr>
          <w:rFonts w:cs="B Zar" w:hint="cs"/>
          <w:rtl/>
        </w:rPr>
        <w:t xml:space="preserve"> اين نظريه را ـ كه كيش مادينه‌پرستي در منطقه اناتولي ريشه دارد و دراويديها از موطن اوليه خود اين باور را به هند وارد كرده‌اند ـ رد مي‌كند؛ چرا كه اين پديده عموميت دارد و در مناطق مختلف، از جمله: سومر و مصر و ايران و هند و چين به طور همزمان ظهور كرده است.</w:t>
      </w:r>
    </w:p>
    <w:p w:rsidR="0011420A" w:rsidRPr="00C0097A" w:rsidP="003C0EF5">
      <w:pPr>
        <w:widowControl w:val="0"/>
        <w:spacing w:line="420" w:lineRule="exact"/>
        <w:ind w:left="0" w:right="0"/>
        <w:jc w:val="both"/>
        <w:rPr>
          <w:rFonts w:cs="B Zar" w:hint="cs"/>
          <w:rtl/>
        </w:rPr>
      </w:pPr>
      <w:r w:rsidRPr="00C0097A">
        <w:rPr>
          <w:rFonts w:cs="B Zar" w:hint="cs"/>
          <w:rtl/>
        </w:rPr>
        <w:t xml:space="preserve">آريائي‌ها نيز داراي معبود مذكر </w:t>
      </w:r>
      <w:r w:rsidRPr="00C0097A">
        <w:rPr>
          <w:rFonts w:cs="B Zar" w:hint="cs"/>
          <w:i/>
          <w:iCs/>
          <w:rtl/>
        </w:rPr>
        <w:t>دياووش‌پتا</w:t>
      </w:r>
      <w:r>
        <w:rPr>
          <w:rStyle w:val="FootnoteReference"/>
          <w:rFonts w:cs="B Zar"/>
          <w:i/>
          <w:iCs/>
          <w:rtl/>
        </w:rPr>
        <w:footnoteReference w:id="125"/>
      </w:r>
      <w:r w:rsidRPr="00C0097A">
        <w:rPr>
          <w:rFonts w:cs="B Zar" w:hint="cs"/>
          <w:rtl/>
        </w:rPr>
        <w:t xml:space="preserve"> </w:t>
      </w:r>
      <w:r w:rsidRPr="00C0097A">
        <w:rPr>
          <w:rFonts w:cs="B Zar"/>
        </w:rPr>
        <w:t xml:space="preserve"> </w:t>
      </w:r>
      <w:r w:rsidRPr="00C0097A">
        <w:rPr>
          <w:rFonts w:cs="B Zar" w:hint="cs"/>
          <w:rtl/>
        </w:rPr>
        <w:t>(پدر آسماني</w:t>
      </w:r>
      <w:r w:rsidRPr="00C0097A">
        <w:rPr>
          <w:rFonts w:cs="B Zar"/>
        </w:rPr>
        <w:t>Diaush Pita=</w:t>
      </w:r>
      <w:r w:rsidRPr="00C0097A">
        <w:rPr>
          <w:rFonts w:cs="B Zar" w:hint="cs"/>
          <w:rtl/>
        </w:rPr>
        <w:t>)</w:t>
      </w:r>
      <w:r w:rsidRPr="00C0097A">
        <w:rPr>
          <w:rFonts w:cs="B Zar"/>
        </w:rPr>
        <w:t xml:space="preserve"> </w:t>
      </w:r>
      <w:r w:rsidRPr="00C0097A">
        <w:rPr>
          <w:rFonts w:cs="B Zar" w:hint="cs"/>
          <w:rtl/>
        </w:rPr>
        <w:t xml:space="preserve"> و معبود مونث </w:t>
      </w:r>
      <w:r w:rsidRPr="00C0097A">
        <w:rPr>
          <w:rFonts w:cs="B Zar" w:hint="cs"/>
          <w:i/>
          <w:iCs/>
          <w:rtl/>
        </w:rPr>
        <w:t>پرتهوي</w:t>
      </w:r>
      <w:r>
        <w:rPr>
          <w:rStyle w:val="FootnoteReference"/>
          <w:rFonts w:cs="B Zar"/>
          <w:i/>
          <w:iCs/>
          <w:rtl/>
        </w:rPr>
        <w:footnoteReference w:id="126"/>
      </w:r>
      <w:r w:rsidRPr="00C0097A">
        <w:rPr>
          <w:rFonts w:cs="B Zar" w:hint="cs"/>
          <w:i/>
          <w:iCs/>
          <w:rtl/>
        </w:rPr>
        <w:t xml:space="preserve"> </w:t>
      </w:r>
      <w:r w:rsidRPr="00C0097A">
        <w:rPr>
          <w:rFonts w:cs="B Zar"/>
        </w:rPr>
        <w:t>Pirthavi)</w:t>
      </w:r>
      <w:r w:rsidRPr="00C0097A">
        <w:rPr>
          <w:rFonts w:cs="B Zar"/>
          <w:i/>
          <w:iCs/>
        </w:rPr>
        <w:t xml:space="preserve"> </w:t>
      </w:r>
      <w:r w:rsidRPr="00C0097A">
        <w:rPr>
          <w:rFonts w:cs="B Zar" w:hint="cs"/>
          <w:rtl/>
        </w:rPr>
        <w:t xml:space="preserve">(مادر زمين) بودند. آريائيها برخلاف دراويديها، قومي سلحشور و صحرانورد بودند؛ و نه شهرنشين و زراعت پيشه. در نتيجه براي آنان </w:t>
      </w:r>
      <w:r w:rsidRPr="00C0097A">
        <w:rPr>
          <w:rFonts w:cs="B Zar" w:hint="cs"/>
          <w:i/>
          <w:iCs/>
          <w:rtl/>
        </w:rPr>
        <w:t>اينديرا،</w:t>
      </w:r>
      <w:r w:rsidRPr="00C0097A">
        <w:rPr>
          <w:rFonts w:cs="B Zar" w:hint="cs"/>
          <w:rtl/>
        </w:rPr>
        <w:t xml:space="preserve"> رب‌النوع سلحشوري و جنگاوري «رعد و برق» </w:t>
      </w:r>
      <w:r w:rsidRPr="00C0097A">
        <w:rPr>
          <w:rFonts w:cs="B Zar" w:hint="cs"/>
          <w:i/>
          <w:iCs/>
          <w:rtl/>
        </w:rPr>
        <w:t>وارو</w:t>
      </w:r>
      <w:r w:rsidRPr="00C0097A">
        <w:rPr>
          <w:rFonts w:cs="B Zar" w:hint="cs"/>
          <w:rtl/>
        </w:rPr>
        <w:t>نا</w:t>
      </w:r>
      <w:r>
        <w:rPr>
          <w:rStyle w:val="FootnoteReference"/>
          <w:rFonts w:cs="B Zar"/>
          <w:rtl/>
        </w:rPr>
        <w:footnoteReference w:id="127"/>
      </w:r>
      <w:r w:rsidRPr="00C0097A">
        <w:rPr>
          <w:rFonts w:cs="B Zar" w:hint="cs"/>
          <w:rtl/>
        </w:rPr>
        <w:t xml:space="preserve"> يا </w:t>
      </w:r>
      <w:r w:rsidRPr="00C0097A">
        <w:rPr>
          <w:rFonts w:cs="B Zar" w:hint="cs"/>
          <w:i/>
          <w:iCs/>
          <w:rtl/>
        </w:rPr>
        <w:t>اهورامزد</w:t>
      </w:r>
      <w:r w:rsidRPr="00C0097A">
        <w:rPr>
          <w:rFonts w:cs="B Zar" w:hint="cs"/>
          <w:rtl/>
        </w:rPr>
        <w:t xml:space="preserve">ا و </w:t>
      </w:r>
      <w:r w:rsidRPr="00C0097A">
        <w:rPr>
          <w:rFonts w:cs="B Zar" w:hint="cs"/>
          <w:i/>
          <w:iCs/>
          <w:rtl/>
        </w:rPr>
        <w:t>آگني</w:t>
      </w:r>
      <w:r>
        <w:rPr>
          <w:rStyle w:val="FootnoteReference"/>
          <w:rFonts w:cs="B Zar"/>
          <w:i/>
          <w:iCs/>
          <w:rtl/>
        </w:rPr>
        <w:footnoteReference w:id="128"/>
      </w:r>
      <w:r w:rsidRPr="00C0097A">
        <w:rPr>
          <w:rFonts w:cs="B Zar" w:hint="cs"/>
          <w:i/>
          <w:iCs/>
          <w:rtl/>
        </w:rPr>
        <w:t>،</w:t>
      </w:r>
      <w:r w:rsidRPr="00C0097A">
        <w:rPr>
          <w:rFonts w:cs="B Zar" w:hint="cs"/>
          <w:rtl/>
        </w:rPr>
        <w:t xml:space="preserve"> رب‌النوع خورشيد و آتش، مهمتر بوده‌اند.</w:t>
      </w:r>
    </w:p>
    <w:p w:rsidR="0011420A" w:rsidRPr="00C0097A" w:rsidP="003C0EF5">
      <w:pPr>
        <w:widowControl w:val="0"/>
        <w:spacing w:line="420" w:lineRule="exact"/>
        <w:ind w:left="0" w:right="0"/>
        <w:jc w:val="both"/>
        <w:rPr>
          <w:rFonts w:cs="B Zar" w:hint="cs"/>
          <w:rtl/>
        </w:rPr>
      </w:pPr>
      <w:r w:rsidRPr="00C0097A">
        <w:rPr>
          <w:rFonts w:cs="B Zar" w:hint="cs"/>
          <w:rtl/>
        </w:rPr>
        <w:t>در هند، مجموعاً پرستش بتهاي زن، عموماً به دراويديها تعلق دارد. در خرابه‌هاي شهر حفاري شده موهنجدار و هاراپا، بسياري از مجسمه‌ها و نقاشي‌هاي معبودان مادينه كشف شده است. از نقوشي كه در هاراپا پيدا شده، رب‌النوع زمين در شكل زني زيبا و با شكوه در حالت برهنه و عريان كه روي سر ايستاده و از ميان ساق پايش، درختي تناور در حال زايش است ديده مي‌شود. اين نقش به وضوح نشان مي‌دهد كه اقوام ابتدائي باور داشته‌اند كه زمين محصولات كشاورزي مي‌زايد، و پرستش بتهاي زن نيز به خاطر انگيزه سودجويانه براي به دست آوردن محصول بيشتر است.</w:t>
      </w:r>
    </w:p>
    <w:p w:rsidR="0011420A" w:rsidRPr="00C0097A" w:rsidP="003C0EF5">
      <w:pPr>
        <w:widowControl w:val="0"/>
        <w:spacing w:line="420" w:lineRule="exact"/>
        <w:ind w:left="0" w:right="0"/>
        <w:jc w:val="both"/>
        <w:rPr>
          <w:rFonts w:cs="B Zar" w:hint="cs"/>
          <w:rtl/>
          <w:lang w:bidi="fa-IR"/>
        </w:rPr>
      </w:pPr>
      <w:r w:rsidRPr="00C0097A">
        <w:rPr>
          <w:rFonts w:cs="B Zar" w:hint="cs"/>
          <w:rtl/>
        </w:rPr>
        <w:t>بسياري از مجسمه‌هاي معبودان زن كه در دو شهر ياد شده كشف گرديده، با دود سياه شده اند. اين امر بيانگر آن است كه دراويديها در جلوي اين بت‌ها عود و عنبر مي‌سوزانده و مراسم پرستش برگزار مي‌كرده‌اند.</w:t>
      </w:r>
    </w:p>
    <w:p w:rsidR="0011420A" w:rsidP="003C0EF5">
      <w:pPr>
        <w:widowControl w:val="0"/>
        <w:spacing w:line="420" w:lineRule="exact"/>
        <w:ind w:left="0" w:right="0"/>
        <w:jc w:val="both"/>
        <w:rPr>
          <w:rFonts w:cs="B Zar" w:hint="cs"/>
          <w:rtl/>
        </w:rPr>
      </w:pPr>
      <w:r w:rsidRPr="00C0097A">
        <w:rPr>
          <w:rFonts w:cs="B Zar" w:hint="cs"/>
          <w:i/>
          <w:iCs/>
          <w:rtl/>
        </w:rPr>
        <w:t>پلسكار</w:t>
      </w:r>
      <w:r w:rsidRPr="00C0097A">
        <w:rPr>
          <w:rFonts w:cs="B Zar" w:hint="cs"/>
          <w:rtl/>
        </w:rPr>
        <w:t xml:space="preserve"> </w:t>
      </w:r>
      <w:r w:rsidRPr="00C0097A">
        <w:rPr>
          <w:rFonts w:cs="B Zar"/>
        </w:rPr>
        <w:t>(Pleskar)</w:t>
      </w:r>
      <w:r w:rsidRPr="00C0097A">
        <w:rPr>
          <w:rFonts w:cs="B Zar" w:hint="cs"/>
          <w:rtl/>
        </w:rPr>
        <w:t xml:space="preserve"> معتقد است كه در فرهنگ دراويدي، «معبود مادينه» تنها سميل زمين نبوده، بلكه حقيقتي ژرف و مرموز، جاري در تمام جهان و عنصر اصلي نيروي حيات به شمار مي‌آمد. امروزه در هندوئيسم كنوني نيز معبودان مادينه متعددي وجود دارند، از آن جمله: «</w:t>
      </w:r>
      <w:r w:rsidRPr="00C0097A">
        <w:rPr>
          <w:rFonts w:cs="B Zar" w:hint="cs"/>
          <w:i/>
          <w:iCs/>
          <w:rtl/>
        </w:rPr>
        <w:t>دُرگا</w:t>
      </w:r>
      <w:r w:rsidRPr="00C0097A">
        <w:rPr>
          <w:rFonts w:cs="B Zar" w:hint="cs"/>
          <w:rtl/>
        </w:rPr>
        <w:t>»</w:t>
      </w:r>
      <w:r w:rsidRPr="00C0097A">
        <w:rPr>
          <w:rFonts w:cs="B Zar"/>
        </w:rPr>
        <w:t>(Durga)</w:t>
      </w:r>
      <w:r w:rsidRPr="00C0097A">
        <w:rPr>
          <w:rFonts w:cs="B Zar" w:hint="cs"/>
          <w:rtl/>
        </w:rPr>
        <w:t xml:space="preserve"> و «</w:t>
      </w:r>
      <w:r w:rsidRPr="00C0097A">
        <w:rPr>
          <w:rFonts w:cs="B Zar" w:hint="cs"/>
          <w:i/>
          <w:iCs/>
          <w:rtl/>
        </w:rPr>
        <w:t>كالي</w:t>
      </w:r>
      <w:r w:rsidRPr="00C0097A">
        <w:rPr>
          <w:rFonts w:cs="B Zar" w:hint="cs"/>
          <w:rtl/>
        </w:rPr>
        <w:t>»</w:t>
      </w:r>
      <w:r w:rsidRPr="00C0097A">
        <w:rPr>
          <w:rFonts w:cs="B Zar"/>
        </w:rPr>
        <w:t>(Kali)</w:t>
      </w:r>
      <w:r w:rsidRPr="00C0097A">
        <w:rPr>
          <w:rFonts w:cs="B Zar" w:hint="cs"/>
          <w:rtl/>
        </w:rPr>
        <w:t xml:space="preserve"> و </w:t>
      </w:r>
      <w:r w:rsidRPr="00C0097A">
        <w:rPr>
          <w:rFonts w:cs="B Zar" w:hint="cs"/>
          <w:i/>
          <w:iCs/>
          <w:rtl/>
        </w:rPr>
        <w:t>شاكتي</w:t>
      </w:r>
      <w:r w:rsidRPr="00C0097A">
        <w:rPr>
          <w:rFonts w:cs="B Zar" w:hint="cs"/>
          <w:rtl/>
        </w:rPr>
        <w:t>»</w:t>
      </w:r>
      <w:r w:rsidRPr="00C0097A">
        <w:rPr>
          <w:rFonts w:cs="B Zar"/>
        </w:rPr>
        <w:t>(Shak</w:t>
      </w:r>
      <w:r w:rsidRPr="00C0097A">
        <w:rPr>
          <w:rFonts w:cs="B Zar"/>
        </w:rPr>
        <w:t>ti)</w:t>
      </w:r>
      <w:r w:rsidRPr="00C0097A">
        <w:rPr>
          <w:rFonts w:cs="B Zar" w:hint="cs"/>
          <w:rtl/>
        </w:rPr>
        <w:t xml:space="preserve"> كه سمبل نيرو و قدرت مرموز هستي‌اند. در هندوئيسم عاميانه كنوني، گروهي از اين خدايان زن (برخلاف تصورما مسلمانان از زن كه او را موجودي لطيف و عطوف و مهربان مي دانيم)، به صورت موجوداتي مخوف، جنگاور و مهلك ترسيم مي شوند.</w:t>
      </w:r>
    </w:p>
    <w:p w:rsidR="009F1464" w:rsidRPr="00C0097A" w:rsidP="003C0EF5">
      <w:pPr>
        <w:widowControl w:val="0"/>
        <w:spacing w:line="420" w:lineRule="exact"/>
        <w:ind w:left="0" w:right="0"/>
        <w:jc w:val="both"/>
        <w:rPr>
          <w:rFonts w:cs="B Zar" w:hint="cs"/>
          <w:rtl/>
        </w:rPr>
      </w:pPr>
    </w:p>
    <w:p w:rsidR="0011420A" w:rsidRPr="00C0097A" w:rsidP="003C0EF5">
      <w:pPr>
        <w:pStyle w:val="Heading3"/>
        <w:keepNext w:val="0"/>
        <w:widowControl w:val="0"/>
        <w:spacing w:before="0" w:after="0" w:line="420" w:lineRule="exact"/>
        <w:ind w:left="0" w:right="0"/>
        <w:jc w:val="left"/>
        <w:rPr>
          <w:rFonts w:cs="B Zar" w:hint="cs"/>
          <w:sz w:val="28"/>
          <w:rtl/>
        </w:rPr>
      </w:pPr>
      <w:bookmarkStart w:id="10" w:name="_Toc110442175"/>
      <w:r w:rsidRPr="00C0097A">
        <w:rPr>
          <w:rFonts w:cs="B Zar" w:hint="cs"/>
          <w:sz w:val="28"/>
          <w:rtl/>
        </w:rPr>
        <w:t>شيوا پرستي:</w:t>
      </w:r>
      <w:bookmarkEnd w:id="10"/>
    </w:p>
    <w:p w:rsidR="0011420A" w:rsidRPr="00C0097A" w:rsidP="003C0EF5">
      <w:pPr>
        <w:widowControl w:val="0"/>
        <w:spacing w:line="420" w:lineRule="exact"/>
        <w:ind w:left="0" w:right="0"/>
        <w:jc w:val="both"/>
        <w:rPr>
          <w:rFonts w:cs="B Zar"/>
        </w:rPr>
      </w:pPr>
      <w:r w:rsidRPr="00C0097A">
        <w:rPr>
          <w:rFonts w:cs="B Zar" w:hint="cs"/>
          <w:rtl/>
        </w:rPr>
        <w:t xml:space="preserve">چنانكه اشاره كرديم، اقوام پارينه، زمين را به شكل خداي مونث و آسمان را به عنوان خداي مذكر پرستش مي‌كرده‌اند. دراويديان نيز در كنار پرستش خداي  بانوها يك معبود مذكر نيز داشتند. نقشهايي كه در موهنجدارو كشف شده، مردي را با سه چهره نشان مي‌دهد كه به حالت يك مرتاض در حال مراقبه نشسته است؛ در اطراف او، جانوران گوناگوني صف بسته و او را تكريم و تقديس مي‌كنند. اين نگاره با تصور شيوا </w:t>
      </w:r>
      <w:r w:rsidRPr="00C0097A">
        <w:rPr>
          <w:rFonts w:cs="B Zar"/>
        </w:rPr>
        <w:t>(Shiva)</w:t>
      </w:r>
      <w:r w:rsidRPr="00C0097A">
        <w:rPr>
          <w:rFonts w:cs="B Zar" w:hint="cs"/>
          <w:rtl/>
        </w:rPr>
        <w:t xml:space="preserve">، خداي قدرتمند هندوئيسم كنوني بسيار شبيه است. شيوا را، </w:t>
      </w:r>
      <w:r w:rsidRPr="00C0097A">
        <w:rPr>
          <w:rFonts w:cs="B Zar" w:hint="cs"/>
          <w:i/>
          <w:iCs/>
          <w:rtl/>
        </w:rPr>
        <w:t>پشوپتي</w:t>
      </w:r>
      <w:r w:rsidRPr="00C0097A">
        <w:rPr>
          <w:rFonts w:cs="B Zar"/>
          <w:i/>
          <w:iCs/>
        </w:rPr>
        <w:t xml:space="preserve"> Pashupati</w:t>
      </w:r>
      <w:r w:rsidRPr="00C0097A">
        <w:rPr>
          <w:rFonts w:cs="B Zar" w:hint="cs"/>
          <w:rtl/>
        </w:rPr>
        <w:t xml:space="preserve"> (پروردگار حيوانات) و نيز </w:t>
      </w:r>
      <w:r w:rsidRPr="00C0097A">
        <w:rPr>
          <w:rFonts w:cs="B Zar" w:hint="cs"/>
          <w:i/>
          <w:iCs/>
          <w:rtl/>
        </w:rPr>
        <w:t>مهايوگي</w:t>
      </w:r>
      <w:r w:rsidRPr="00C0097A">
        <w:rPr>
          <w:rFonts w:cs="B Zar"/>
          <w:i/>
          <w:iCs/>
        </w:rPr>
        <w:t xml:space="preserve"> Mahayogi</w:t>
      </w:r>
      <w:r w:rsidRPr="00C0097A">
        <w:rPr>
          <w:rFonts w:cs="B Zar" w:hint="cs"/>
          <w:rtl/>
        </w:rPr>
        <w:t xml:space="preserve"> (مرتاض كبير) و </w:t>
      </w:r>
      <w:r w:rsidRPr="00C0097A">
        <w:rPr>
          <w:rFonts w:cs="B Zar" w:hint="cs"/>
          <w:i/>
          <w:iCs/>
          <w:rtl/>
        </w:rPr>
        <w:t xml:space="preserve">تين </w:t>
      </w:r>
      <w:r w:rsidRPr="00C0097A">
        <w:rPr>
          <w:rFonts w:cs="B Zar" w:hint="cs"/>
          <w:rtl/>
        </w:rPr>
        <w:t>مورتي</w:t>
      </w:r>
      <w:r w:rsidRPr="00C0097A">
        <w:rPr>
          <w:rFonts w:cs="B Zar"/>
        </w:rPr>
        <w:t>Tin murt</w:t>
      </w:r>
      <w:r w:rsidRPr="00C0097A">
        <w:rPr>
          <w:rFonts w:cs="B Zar"/>
          <w:i/>
          <w:iCs/>
        </w:rPr>
        <w:t>i</w:t>
      </w:r>
      <w:r w:rsidRPr="00C0097A">
        <w:rPr>
          <w:rFonts w:cs="B Zar" w:hint="cs"/>
          <w:rtl/>
        </w:rPr>
        <w:t xml:space="preserve"> (موجود سه چهره) مي‌نامند و اين صفات با رب‌‌النوعي كه در نقاشيهاي دراويديها ترسيم شده است، بسيار شباهت دارد</w:t>
      </w:r>
      <w:r>
        <w:rPr>
          <w:rStyle w:val="FootnoteReference"/>
          <w:rFonts w:cs="B Zar"/>
          <w:rtl/>
        </w:rPr>
        <w:footnoteReference w:id="129"/>
      </w:r>
      <w:r w:rsidRPr="00C0097A">
        <w:rPr>
          <w:rFonts w:cs="B Zar" w:hint="cs"/>
          <w:rtl/>
        </w:rPr>
        <w:t>.</w:t>
      </w:r>
    </w:p>
    <w:p w:rsidR="0011420A" w:rsidRPr="00C0097A" w:rsidP="003C0EF5">
      <w:pPr>
        <w:widowControl w:val="0"/>
        <w:spacing w:line="420" w:lineRule="exact"/>
        <w:ind w:left="0" w:right="0"/>
        <w:jc w:val="both"/>
        <w:rPr>
          <w:rFonts w:cs="B Zar" w:hint="cs"/>
          <w:i/>
          <w:iCs/>
          <w:rtl/>
        </w:rPr>
      </w:pPr>
      <w:r w:rsidRPr="00C0097A">
        <w:rPr>
          <w:rFonts w:cs="B Zar" w:hint="cs"/>
          <w:rtl/>
        </w:rPr>
        <w:t xml:space="preserve"> در گروه خدايان آريائي در ودا، رب‌النوعي به نام شيوا</w:t>
      </w:r>
      <w:r w:rsidRPr="00C0097A">
        <w:rPr>
          <w:rFonts w:cs="B Zar"/>
        </w:rPr>
        <w:t>(Shiva)</w:t>
      </w:r>
      <w:r w:rsidRPr="00C0097A">
        <w:rPr>
          <w:rFonts w:cs="B Zar" w:hint="cs"/>
          <w:rtl/>
        </w:rPr>
        <w:t xml:space="preserve"> وجود ندارد؛ البته برخي وداشناسان معتقدند كه </w:t>
      </w:r>
      <w:r w:rsidRPr="00C0097A">
        <w:rPr>
          <w:rFonts w:cs="B Zar" w:hint="cs"/>
          <w:i/>
          <w:iCs/>
          <w:rtl/>
        </w:rPr>
        <w:t>رُدرا</w:t>
      </w:r>
      <w:r w:rsidRPr="00C0097A">
        <w:rPr>
          <w:rFonts w:cs="B Zar"/>
        </w:rPr>
        <w:t xml:space="preserve"> (Rudra)</w:t>
      </w:r>
      <w:r w:rsidRPr="00C0097A">
        <w:rPr>
          <w:rFonts w:cs="B Zar" w:hint="cs"/>
          <w:rtl/>
        </w:rPr>
        <w:t xml:space="preserve">در ريگ ودا، همان شيوا است. </w:t>
      </w:r>
      <w:r w:rsidRPr="00C0097A">
        <w:rPr>
          <w:rFonts w:cs="B Zar" w:hint="cs"/>
          <w:i/>
          <w:iCs/>
          <w:rtl/>
        </w:rPr>
        <w:t>جان مارشال</w:t>
      </w:r>
      <w:r w:rsidRPr="00C0097A">
        <w:rPr>
          <w:rFonts w:cs="B Zar" w:hint="cs"/>
          <w:rtl/>
        </w:rPr>
        <w:t xml:space="preserve"> مي‌گويد: «</w:t>
      </w:r>
      <w:r w:rsidRPr="00C0097A">
        <w:rPr>
          <w:rFonts w:cs="B Zar" w:hint="cs"/>
          <w:i/>
          <w:iCs/>
          <w:rtl/>
        </w:rPr>
        <w:t xml:space="preserve">آريائي‌ها وقتي وارد هند شدند با رب‌‌النوعي به نام شيوا مواجه شدند و با گذشت زمان او را به نام رُدرا در جرگه معبودان خود درآوردند. از همين رو، برخلاف معبودان ديگر، رُدرا رب‌النوع مورد علاقه‌اي نيست، بلكه وحشت‌زا و ترسناك است و او را فقط براي گريز از انتقام‌جوئيها و آسيبهايش و از روي ترس، پرستش مي‌كنند. شايد به همين خاطر باشد كه هندوان، نذر و قربانيهايشان را براي معبودان ديگر به آتش مقدس مي‌سپارند؛ ولي نذور و قرباني كه به رُدرا و حواريون او به نام «رُدرايان» تقديم مي‌كنند، دور از مناطق مسكوني، در چهار راه‌ها و جاده‌هاي دوردست مي‌اندازند. رُدرا در گروه معبودان آريائي، درست همان موقعيت را دارد كه تيوئي </w:t>
      </w:r>
      <w:r w:rsidRPr="00C0097A">
        <w:rPr>
          <w:rFonts w:cs="B Zar"/>
          <w:i/>
          <w:iCs/>
        </w:rPr>
        <w:t>(Theoi)</w:t>
      </w:r>
      <w:r w:rsidRPr="00C0097A">
        <w:rPr>
          <w:rFonts w:cs="B Zar" w:hint="cs"/>
          <w:i/>
          <w:iCs/>
          <w:rtl/>
        </w:rPr>
        <w:t xml:space="preserve"> در جرگه معبودان يونان؛ و جالب اينكه پرستش هر دو را نيز مهاجمان، از فرهنگهاي قبل از خود اخذ كرده و براي محفوظ ماندن از خشم و آسيب آنها، به سلك خدايان خود درآورده‌اند»</w:t>
      </w:r>
      <w:r>
        <w:rPr>
          <w:rStyle w:val="FootnoteReference"/>
          <w:rFonts w:cs="B Zar"/>
          <w:i/>
          <w:iCs/>
          <w:rtl/>
        </w:rPr>
        <w:footnoteReference w:id="130"/>
      </w:r>
      <w:r w:rsidRPr="00C0097A">
        <w:rPr>
          <w:rFonts w:cs="B Zar" w:hint="cs"/>
          <w:i/>
          <w:iCs/>
          <w:rtl/>
        </w:rPr>
        <w:t>.</w:t>
      </w:r>
    </w:p>
    <w:p w:rsidR="0011420A" w:rsidP="003C0EF5">
      <w:pPr>
        <w:widowControl w:val="0"/>
        <w:spacing w:line="420" w:lineRule="exact"/>
        <w:ind w:left="0" w:right="0"/>
        <w:jc w:val="both"/>
        <w:rPr>
          <w:rFonts w:cs="B Zar" w:hint="cs"/>
          <w:rtl/>
        </w:rPr>
      </w:pPr>
      <w:r w:rsidRPr="00C0097A">
        <w:rPr>
          <w:rFonts w:cs="B Zar" w:hint="cs"/>
          <w:i/>
          <w:iCs/>
          <w:rtl/>
        </w:rPr>
        <w:t>كريشنا</w:t>
      </w:r>
      <w:r w:rsidRPr="00C0097A">
        <w:rPr>
          <w:rFonts w:cs="B Zar"/>
          <w:i/>
          <w:iCs/>
        </w:rPr>
        <w:t xml:space="preserve"> (</w:t>
      </w:r>
      <w:r w:rsidRPr="00C0097A">
        <w:rPr>
          <w:rFonts w:cs="B Zar"/>
        </w:rPr>
        <w:t>Krishna)</w:t>
      </w:r>
      <w:r w:rsidRPr="00C0097A">
        <w:rPr>
          <w:rFonts w:cs="B Zar" w:hint="cs"/>
          <w:rtl/>
        </w:rPr>
        <w:t xml:space="preserve">، يكي از معبودان آئين هندوئيسم كه به شدت مورد علاقه و احترام پيروان قرار داشته و </w:t>
      </w:r>
      <w:r w:rsidRPr="00C0097A">
        <w:rPr>
          <w:rFonts w:cs="B Zar" w:hint="cs"/>
          <w:i/>
          <w:iCs/>
          <w:rtl/>
        </w:rPr>
        <w:t>گيتا</w:t>
      </w:r>
      <w:r w:rsidRPr="00C0097A">
        <w:rPr>
          <w:rFonts w:cs="B Zar" w:hint="cs"/>
          <w:rtl/>
        </w:rPr>
        <w:t xml:space="preserve"> كتاب مقدس هندوان منسوب به اوست، به احتمال قوي ريشة دراويدي دارد. او برخلاف خدايان ديگر آريايي، با رنگ تيره (معمولا سياه يا آبي) ترسيم مي‌گردد كه اين ويژگي آريائيها نيست، بلكه از خصايص دراويديهاست</w:t>
      </w:r>
      <w:r>
        <w:rPr>
          <w:rStyle w:val="FootnoteReference"/>
          <w:rFonts w:cs="B Zar"/>
          <w:rtl/>
        </w:rPr>
        <w:footnoteReference w:id="131"/>
      </w:r>
      <w:r w:rsidRPr="00C0097A">
        <w:rPr>
          <w:rFonts w:cs="B Zar" w:hint="cs"/>
          <w:rtl/>
        </w:rPr>
        <w:t>.</w:t>
      </w:r>
    </w:p>
    <w:p w:rsidR="009F1464" w:rsidRPr="00C0097A" w:rsidP="003C0EF5">
      <w:pPr>
        <w:widowControl w:val="0"/>
        <w:spacing w:line="420" w:lineRule="exact"/>
        <w:ind w:left="0" w:right="0"/>
        <w:jc w:val="both"/>
        <w:rPr>
          <w:rFonts w:cs="B Zar" w:hint="cs"/>
          <w:rtl/>
        </w:rPr>
      </w:pPr>
    </w:p>
    <w:p w:rsidR="0011420A" w:rsidRPr="00C0097A" w:rsidP="003C0EF5">
      <w:pPr>
        <w:pStyle w:val="Heading3"/>
        <w:keepNext w:val="0"/>
        <w:widowControl w:val="0"/>
        <w:spacing w:before="0" w:after="0" w:line="420" w:lineRule="exact"/>
        <w:ind w:left="0" w:right="0"/>
        <w:jc w:val="left"/>
        <w:rPr>
          <w:rFonts w:cs="B Zar" w:hint="cs"/>
          <w:sz w:val="28"/>
          <w:rtl/>
        </w:rPr>
      </w:pPr>
      <w:bookmarkStart w:id="11" w:name="_Toc110442176"/>
      <w:r w:rsidRPr="00C0097A">
        <w:rPr>
          <w:rFonts w:cs="B Zar" w:hint="cs"/>
          <w:sz w:val="28"/>
          <w:rtl/>
        </w:rPr>
        <w:t>توحيد غريزي بشر:</w:t>
      </w:r>
      <w:bookmarkEnd w:id="11"/>
    </w:p>
    <w:p w:rsidR="0011420A" w:rsidRPr="00C0097A" w:rsidP="003C0EF5">
      <w:pPr>
        <w:widowControl w:val="0"/>
        <w:spacing w:line="420" w:lineRule="exact"/>
        <w:ind w:left="0" w:right="0"/>
        <w:jc w:val="both"/>
        <w:rPr>
          <w:rFonts w:cs="B Zar" w:hint="cs"/>
          <w:rtl/>
        </w:rPr>
      </w:pPr>
      <w:r w:rsidRPr="00C0097A">
        <w:rPr>
          <w:rFonts w:cs="B Zar" w:hint="cs"/>
          <w:rtl/>
        </w:rPr>
        <w:t>در عين رواج انيميسم يا اعتقاد به وجود هزاران «روح» كوچك و بزرگ و پرستش معبودان مونث و مذكر و وجود عادات خرافي و جادوگرائي، دراويديها داراي عناصر لطيف و عالي عرفاني و مذهبي نيز بودند. آنان در وراي كثرت، وحدت را مشاهده مي‌كردند. شواهد نشان مي‌دهد كه در عين رواج انيميسم در فرهنگ ديني دراويدي، عناصري از آئين ديناميسم</w:t>
      </w:r>
      <w:r w:rsidRPr="00C0097A">
        <w:rPr>
          <w:rFonts w:cs="B Zar"/>
        </w:rPr>
        <w:t xml:space="preserve"> (Dynamism)</w:t>
      </w:r>
      <w:r w:rsidRPr="00C0097A">
        <w:rPr>
          <w:rFonts w:cs="B Zar" w:hint="cs"/>
          <w:rtl/>
        </w:rPr>
        <w:t>يا توحيد غريزي نيز وجود داشته است.</w:t>
      </w:r>
    </w:p>
    <w:p w:rsidR="0011420A" w:rsidP="003C0EF5">
      <w:pPr>
        <w:widowControl w:val="0"/>
        <w:spacing w:line="420" w:lineRule="exact"/>
        <w:ind w:left="0" w:right="0"/>
        <w:jc w:val="both"/>
        <w:rPr>
          <w:rFonts w:cs="B Zar" w:hint="cs"/>
          <w:rtl/>
        </w:rPr>
      </w:pPr>
      <w:r w:rsidRPr="00C0097A">
        <w:rPr>
          <w:rFonts w:cs="B Zar" w:hint="cs"/>
          <w:rtl/>
        </w:rPr>
        <w:t xml:space="preserve">ديناميسم اصطلاحي است كه جامعه شناسان و مردم شناسان آنرا براي بيان اعتقاد به وجود يك نيروي مرموز واحد و يگانه ـ كه كل هستي را دربرمي‌گيرد و </w:t>
      </w:r>
      <w:r w:rsidRPr="00C0097A">
        <w:rPr>
          <w:rFonts w:cs="B Zar" w:hint="cs"/>
          <w:i/>
          <w:iCs/>
          <w:rtl/>
        </w:rPr>
        <w:t>مانا</w:t>
      </w:r>
      <w:r w:rsidRPr="00C0097A">
        <w:rPr>
          <w:rFonts w:cs="B Zar" w:hint="cs"/>
          <w:rtl/>
        </w:rPr>
        <w:t xml:space="preserve"> ناميده مي‌شود ـ به كار برده‌اند. انسان ابتدائي، چه در نتيجه يادآوري تعاليم فراموش شده پيامبران قوم خود و يا در نتيجه درك فطري و غريزي، در وراي كثرت، وحدت را و در فراسوي ارواح، خالق ارواح را و در آئينه پديده‌هاي حسي، «حقيقت ماورائي» را مي‌نگريسته است.</w:t>
      </w:r>
    </w:p>
    <w:p w:rsidR="009F1464" w:rsidRPr="00C0097A" w:rsidP="003C0EF5">
      <w:pPr>
        <w:widowControl w:val="0"/>
        <w:spacing w:line="420" w:lineRule="exact"/>
        <w:ind w:left="0" w:right="0"/>
        <w:jc w:val="both"/>
        <w:rPr>
          <w:rFonts w:cs="B Zar" w:hint="cs"/>
          <w:rtl/>
        </w:rPr>
      </w:pPr>
    </w:p>
    <w:p w:rsidR="0011420A" w:rsidRPr="00C0097A" w:rsidP="003C0EF5">
      <w:pPr>
        <w:pStyle w:val="Heading3"/>
        <w:keepNext w:val="0"/>
        <w:widowControl w:val="0"/>
        <w:spacing w:before="0" w:after="0" w:line="420" w:lineRule="exact"/>
        <w:ind w:left="0" w:right="0"/>
        <w:jc w:val="left"/>
        <w:rPr>
          <w:rFonts w:cs="B Zar" w:hint="cs"/>
          <w:sz w:val="28"/>
          <w:rtl/>
        </w:rPr>
      </w:pPr>
      <w:bookmarkStart w:id="12" w:name="_Toc110442177"/>
      <w:r w:rsidRPr="00C0097A">
        <w:rPr>
          <w:rFonts w:cs="B Zar" w:hint="cs"/>
          <w:sz w:val="28"/>
          <w:rtl/>
        </w:rPr>
        <w:t>ارزيابي ميزان نقش دراويدي‌ها در تكوين فرهنگ هند</w:t>
      </w:r>
      <w:bookmarkEnd w:id="12"/>
    </w:p>
    <w:p w:rsidR="0011420A" w:rsidRPr="00C0097A" w:rsidP="003C0EF5">
      <w:pPr>
        <w:widowControl w:val="0"/>
        <w:spacing w:line="420" w:lineRule="exact"/>
        <w:ind w:left="0" w:right="0"/>
        <w:jc w:val="both"/>
        <w:rPr>
          <w:rFonts w:cs="B Zar" w:hint="cs"/>
          <w:rtl/>
        </w:rPr>
      </w:pPr>
      <w:r w:rsidRPr="00C0097A">
        <w:rPr>
          <w:rFonts w:cs="B Zar" w:hint="cs"/>
          <w:rtl/>
        </w:rPr>
        <w:t>در صفحات پيش اشاره كرديم كه آريايي‌ها پس از ورود به هند برخي شيوه‌ها و سنن دراويديان را اقتباس نمودند و عده‌اي از معبودان آنان را در گروه معبودان خود درآوردند؛ اما به طور عموم آريايهائي كه وداهاي چهارگانه را تدوين كردند، حال و هواي ديگري داشتند. در تاريخ بشر، فراوان اتفاق افتاده است كه ملتي غالب، پس از گذشت چند نسل، دوباره مغلوب فرهنگ محكومان خود مي‌گردد. چنانكه قبايل وحشي، مغلوب فرهنگ روم گرديدند؛ مغولان مهاجم به ايران و چين، فرهنگ اسلامي و چيني را پذيرفتند و حتي مي‌توان گفت كه ارزشهاي انقلابي اسلام كه پيامبر اكرم با خود آورده، پس از گذشت اندكي، دوباره با ضد ارزشهاي جاهلي و عصبيت قبيله‌اي و ملي اموي روبرو شد و تحت استيلاي آن قرار گرفت.</w:t>
      </w:r>
    </w:p>
    <w:p w:rsidR="0011420A" w:rsidRPr="00C0097A" w:rsidP="003C0EF5">
      <w:pPr>
        <w:widowControl w:val="0"/>
        <w:spacing w:line="420" w:lineRule="exact"/>
        <w:ind w:left="0" w:right="0"/>
        <w:jc w:val="both"/>
        <w:rPr>
          <w:rFonts w:cs="B Zar" w:hint="cs"/>
          <w:rtl/>
        </w:rPr>
      </w:pPr>
      <w:r w:rsidRPr="00C0097A">
        <w:rPr>
          <w:rFonts w:cs="B Zar" w:hint="cs"/>
          <w:rtl/>
        </w:rPr>
        <w:t xml:space="preserve">قوم فاتح آريا نيز پس از گذشت چند نسل در هند، با همين وضع مواجه شد. پس از سپري شدن دوره تدوين </w:t>
      </w:r>
      <w:r w:rsidRPr="00C0097A">
        <w:rPr>
          <w:rFonts w:cs="B Zar" w:hint="cs"/>
          <w:i/>
          <w:iCs/>
          <w:rtl/>
        </w:rPr>
        <w:t>وداهاي چهارگانه</w:t>
      </w:r>
      <w:r w:rsidRPr="00C0097A">
        <w:rPr>
          <w:rFonts w:cs="B Zar" w:hint="cs"/>
          <w:rtl/>
        </w:rPr>
        <w:t xml:space="preserve"> و </w:t>
      </w:r>
      <w:r w:rsidRPr="00C0097A">
        <w:rPr>
          <w:rFonts w:cs="B Zar" w:hint="cs"/>
          <w:i/>
          <w:iCs/>
          <w:rtl/>
        </w:rPr>
        <w:t>رسائل برهمنا</w:t>
      </w:r>
      <w:r w:rsidRPr="00C0097A">
        <w:rPr>
          <w:rFonts w:cs="B Zar" w:hint="cs"/>
          <w:rtl/>
        </w:rPr>
        <w:t>، كيش طبيعت پرستانه آريائي‌ها استحاله گرديد. به جاي طبيعت پرستي، نوعي فلسفه وحدت‌الوجودي اپانيشادها، به جاي مناسك قرباني و دوره ودا مراسم پوجا (پرستش) رائج شد. حتي معبودان جرگه ودائي عملاً در هندوئيسم عزل گرديده و معبودان ديگر با نام‌ها و صفات ديگري به عضويت جرگه «قدسي» درآمدند. از عللي كه عليرغم ادعاي تفسير نمودن وداها، روح حاكم بر اپانيشادها و مجموعه‌هاي احاديثي «پورانا» و «گيتا» به طور كلي با تعاليم ودا فرق مي‌كند، همين است.</w:t>
      </w:r>
    </w:p>
    <w:p w:rsidR="0011420A" w:rsidRPr="00C0097A" w:rsidP="003C0EF5">
      <w:pPr>
        <w:widowControl w:val="0"/>
        <w:spacing w:line="420" w:lineRule="exact"/>
        <w:ind w:left="0" w:right="0"/>
        <w:jc w:val="both"/>
        <w:rPr>
          <w:rFonts w:cs="B Zar" w:hint="cs"/>
          <w:rtl/>
        </w:rPr>
      </w:pPr>
      <w:r w:rsidRPr="00C0097A">
        <w:rPr>
          <w:rFonts w:cs="B Zar" w:hint="cs"/>
          <w:i/>
          <w:iCs/>
          <w:rtl/>
        </w:rPr>
        <w:t>شاستري</w:t>
      </w:r>
      <w:r w:rsidRPr="00C0097A">
        <w:rPr>
          <w:rFonts w:cs="B Zar"/>
          <w:i/>
          <w:iCs/>
        </w:rPr>
        <w:t xml:space="preserve"> (</w:t>
      </w:r>
      <w:r w:rsidRPr="00C0097A">
        <w:rPr>
          <w:rFonts w:cs="B Zar"/>
        </w:rPr>
        <w:t>Sastri</w:t>
      </w:r>
      <w:r w:rsidRPr="00C0097A">
        <w:rPr>
          <w:rFonts w:cs="B Zar"/>
          <w:i/>
          <w:iCs/>
        </w:rPr>
        <w:t>)</w:t>
      </w:r>
      <w:r w:rsidRPr="00C0097A">
        <w:rPr>
          <w:rFonts w:cs="B Zar" w:hint="cs"/>
          <w:rtl/>
        </w:rPr>
        <w:t xml:space="preserve"> و </w:t>
      </w:r>
      <w:r w:rsidRPr="00C0097A">
        <w:rPr>
          <w:rFonts w:cs="B Zar" w:hint="cs"/>
          <w:i/>
          <w:iCs/>
          <w:rtl/>
        </w:rPr>
        <w:t>چترجي</w:t>
      </w:r>
      <w:r w:rsidRPr="00C0097A">
        <w:rPr>
          <w:rFonts w:cs="B Zar"/>
        </w:rPr>
        <w:t>Chaterji)</w:t>
      </w:r>
      <w:r w:rsidRPr="00C0097A">
        <w:rPr>
          <w:rFonts w:cs="B Zar" w:hint="cs"/>
          <w:rtl/>
        </w:rPr>
        <w:t xml:space="preserve"> و برخي ديگر از انديشمندان معتقدند كه ماهيت عرفاني و وحدت‌الوجودي فلسفه و انديشه ديني هند، بيشتر مديون روح دراويدي است، تا روح آريائي. آريائي‌ها ماهيتاً افرادي سلحشور بودند و نه عارف مسلك. حواس ظاهري آنان بسيار قوي بود و لطافت‌هاي طبيعت را درك مي‌كردند، اما حواس باطني چندان نيرومندي نداشتند و در اعماق ذات خود فرو نمي‌رفتند. اين خاصيت را </w:t>
      </w:r>
      <w:r w:rsidRPr="00C0097A">
        <w:rPr>
          <w:rFonts w:cs="B Zar" w:hint="cs"/>
          <w:i/>
          <w:iCs/>
          <w:rtl/>
        </w:rPr>
        <w:t>يوگي</w:t>
      </w:r>
      <w:r w:rsidRPr="00C0097A">
        <w:rPr>
          <w:rFonts w:cs="B Zar" w:hint="cs"/>
          <w:rtl/>
        </w:rPr>
        <w:t>‌هاي دراويدي داشتند.</w:t>
      </w:r>
    </w:p>
    <w:p w:rsidR="0011420A" w:rsidRPr="00C0097A" w:rsidP="003C0EF5">
      <w:pPr>
        <w:widowControl w:val="0"/>
        <w:spacing w:line="420" w:lineRule="exact"/>
        <w:ind w:left="0" w:right="0"/>
        <w:jc w:val="both"/>
        <w:rPr>
          <w:rFonts w:cs="B Zar" w:hint="cs"/>
          <w:rtl/>
        </w:rPr>
      </w:pPr>
      <w:r w:rsidRPr="00C0097A">
        <w:rPr>
          <w:rFonts w:cs="B Zar" w:hint="cs"/>
          <w:rtl/>
        </w:rPr>
        <w:t xml:space="preserve">در عين حال، باز آفرينندگان اصلي فرهنگ هزار ساله اخير آريائي‌اند و اينان بودند كه </w:t>
      </w:r>
      <w:r w:rsidRPr="00C0097A">
        <w:rPr>
          <w:rFonts w:cs="B Zar" w:hint="cs"/>
          <w:spacing w:val="-10"/>
          <w:rtl/>
        </w:rPr>
        <w:t xml:space="preserve">عناصر فرهنگ دراويدي را از آن خود ساختند و با آميزش دو فرهنگ، نظام فلسفي و ديني كنوني را به وجود آوردند. در دوره تدوين </w:t>
      </w:r>
      <w:r w:rsidRPr="00C0097A">
        <w:rPr>
          <w:rFonts w:cs="B Zar" w:hint="cs"/>
          <w:i/>
          <w:iCs/>
          <w:spacing w:val="-10"/>
          <w:rtl/>
        </w:rPr>
        <w:t>اپانيشاده</w:t>
      </w:r>
      <w:r w:rsidRPr="00C0097A">
        <w:rPr>
          <w:rFonts w:cs="B Zar"/>
          <w:i/>
          <w:iCs/>
          <w:spacing w:val="-10"/>
        </w:rPr>
        <w:t xml:space="preserve"> (Upanishads)</w:t>
      </w:r>
      <w:r w:rsidRPr="00C0097A">
        <w:rPr>
          <w:rFonts w:cs="B Zar" w:hint="cs"/>
          <w:i/>
          <w:iCs/>
          <w:spacing w:val="-10"/>
          <w:rtl/>
        </w:rPr>
        <w:t>،</w:t>
      </w:r>
      <w:r w:rsidRPr="00C0097A">
        <w:rPr>
          <w:rFonts w:cs="B Zar" w:hint="cs"/>
          <w:spacing w:val="-10"/>
          <w:rtl/>
        </w:rPr>
        <w:t>كيش</w:t>
      </w:r>
      <w:r w:rsidRPr="00C0097A">
        <w:rPr>
          <w:rFonts w:cs="B Zar" w:hint="cs"/>
          <w:rtl/>
        </w:rPr>
        <w:t xml:space="preserve"> «انيميسم»</w:t>
      </w:r>
      <w:r w:rsidRPr="00C0097A">
        <w:rPr>
          <w:rFonts w:cs="B Zar"/>
        </w:rPr>
        <w:t>Animism)</w:t>
      </w:r>
      <w:r w:rsidRPr="00C0097A">
        <w:rPr>
          <w:rFonts w:cs="B Zar" w:hint="cs"/>
          <w:rtl/>
        </w:rPr>
        <w:t xml:space="preserve"> و «ديناميسم»</w:t>
      </w:r>
      <w:r w:rsidRPr="00C0097A">
        <w:rPr>
          <w:rFonts w:cs="B Zar"/>
        </w:rPr>
        <w:t>(Dynamism)</w:t>
      </w:r>
      <w:r w:rsidRPr="00C0097A">
        <w:rPr>
          <w:rFonts w:cs="B Zar" w:hint="cs"/>
          <w:rtl/>
        </w:rPr>
        <w:t xml:space="preserve"> دراويدي، به صورت مكتب بس والاي وحدت‌الوجودي عرفاني درآمد. ارواح در تجسم رب‌النوعها و حقيقت مرموز حاكم بر جهان، به صورت «برهمن»</w:t>
      </w:r>
      <w:r w:rsidRPr="00C0097A">
        <w:rPr>
          <w:rFonts w:cs="B Zar"/>
        </w:rPr>
        <w:t>(Barahmana)</w:t>
      </w:r>
      <w:r w:rsidRPr="00C0097A">
        <w:rPr>
          <w:rFonts w:cs="B Zar" w:hint="cs"/>
          <w:rtl/>
        </w:rPr>
        <w:t xml:space="preserve"> (خداي برتر) درآمد و زمختي و عدم لطافت و انديشه انسان كهن، جاي خود را به روند انديشه متعالي فلسفي و عرفاني داد</w:t>
      </w:r>
      <w:r>
        <w:rPr>
          <w:rStyle w:val="FootnoteReference"/>
          <w:rFonts w:cs="B Zar"/>
          <w:rtl/>
        </w:rPr>
        <w:footnoteReference w:id="132"/>
      </w:r>
      <w:r w:rsidRPr="00C0097A">
        <w:rPr>
          <w:rFonts w:cs="B Zar" w:hint="cs"/>
          <w:rtl/>
        </w:rPr>
        <w:t>.</w:t>
      </w:r>
    </w:p>
    <w:p w:rsidR="0011420A" w:rsidRPr="00C0097A" w:rsidP="003C0EF5">
      <w:pPr>
        <w:widowControl w:val="0"/>
        <w:spacing w:line="420" w:lineRule="exact"/>
        <w:ind w:left="0" w:right="0"/>
        <w:jc w:val="both"/>
        <w:rPr>
          <w:rFonts w:cs="B Zar" w:hint="cs"/>
          <w:rtl/>
        </w:rPr>
      </w:pPr>
      <w:r w:rsidRPr="00C0097A">
        <w:rPr>
          <w:rFonts w:cs="B Zar" w:hint="cs"/>
          <w:rtl/>
        </w:rPr>
        <w:t>نقش فرهنگ دراويدي در تكوين نظام فلسفي و ديني هند از اينجا روشن مي‌شود كه: در اصطلاحات كلامي هندوها، عنصر ديني در دو دسته «</w:t>
      </w:r>
      <w:r w:rsidRPr="00C0097A">
        <w:rPr>
          <w:rFonts w:cs="B Zar" w:hint="cs"/>
          <w:i/>
          <w:iCs/>
          <w:rtl/>
        </w:rPr>
        <w:t>آگام</w:t>
      </w:r>
      <w:r w:rsidRPr="00C0097A">
        <w:rPr>
          <w:rFonts w:cs="B Zar" w:hint="cs"/>
          <w:rtl/>
        </w:rPr>
        <w:t>»</w:t>
      </w:r>
      <w:r w:rsidRPr="00C0097A">
        <w:rPr>
          <w:rFonts w:cs="B Zar"/>
        </w:rPr>
        <w:t>(Agam)</w:t>
      </w:r>
      <w:r w:rsidRPr="00C0097A">
        <w:rPr>
          <w:rFonts w:cs="B Zar" w:hint="cs"/>
          <w:rtl/>
        </w:rPr>
        <w:t xml:space="preserve"> و‌«</w:t>
      </w:r>
      <w:r w:rsidRPr="00C0097A">
        <w:rPr>
          <w:rFonts w:cs="B Zar" w:hint="cs"/>
          <w:i/>
          <w:iCs/>
          <w:rtl/>
        </w:rPr>
        <w:t>نيگام</w:t>
      </w:r>
      <w:r w:rsidRPr="00C0097A">
        <w:rPr>
          <w:rFonts w:cs="B Zar" w:hint="cs"/>
          <w:rtl/>
        </w:rPr>
        <w:t xml:space="preserve">» </w:t>
      </w:r>
      <w:r w:rsidRPr="00C0097A">
        <w:rPr>
          <w:rFonts w:cs="B Zar"/>
        </w:rPr>
        <w:t>(Nigam)</w:t>
      </w:r>
      <w:r w:rsidRPr="00C0097A">
        <w:rPr>
          <w:rFonts w:cs="B Zar" w:hint="cs"/>
          <w:rtl/>
        </w:rPr>
        <w:t>تقسيم مي‌شود؛ اصطلاح «نيگام» بر آن دسته از اعتقادات و مناسك و احكامي اطلاق مي‌شود كه خاستگاه آريائي‌ها و به فرهنگ ودا ارتباط دارد و «آگام» سنن و باورهائي است كه ريشه غير آريائي دارد. اگر ما اين دو دسته معارف ديني را تحليل كنيم، متوجه مي‌شويم «نيگام» يا آنچه از آريائيها رسيده است، به «</w:t>
      </w:r>
      <w:r w:rsidRPr="00C0097A">
        <w:rPr>
          <w:rFonts w:cs="B Zar" w:hint="cs"/>
          <w:i/>
          <w:iCs/>
          <w:rtl/>
        </w:rPr>
        <w:t>كاراماكوند</w:t>
      </w:r>
      <w:r w:rsidRPr="00C0097A">
        <w:rPr>
          <w:rFonts w:cs="B Zar" w:hint="cs"/>
          <w:rtl/>
        </w:rPr>
        <w:t xml:space="preserve">» </w:t>
      </w:r>
      <w:r w:rsidRPr="00C0097A">
        <w:rPr>
          <w:rFonts w:cs="B Zar"/>
        </w:rPr>
        <w:t>(Karama Kund)</w:t>
      </w:r>
      <w:r w:rsidRPr="00C0097A">
        <w:rPr>
          <w:rFonts w:cs="B Zar" w:hint="cs"/>
          <w:rtl/>
        </w:rPr>
        <w:t xml:space="preserve"> يا طريق عمل و انجام مناسك يا شريعت ظاهري تعلق دارد؛ نظير: طريق انجام مراسم قرباني، نذور، طريق برگزاري نكاح و مراسم پس از مرگ و غيره. در مقابل «آگام» يا آنچه از دراويديها و منابع ديگر اقتباس شده، بيشتر به </w:t>
      </w:r>
      <w:r w:rsidRPr="00C0097A">
        <w:rPr>
          <w:rFonts w:cs="B Zar" w:hint="cs"/>
          <w:i/>
          <w:iCs/>
          <w:rtl/>
        </w:rPr>
        <w:t>جانانا كوند</w:t>
      </w:r>
      <w:r w:rsidRPr="00C0097A">
        <w:rPr>
          <w:rFonts w:cs="B Zar" w:hint="cs"/>
          <w:rtl/>
        </w:rPr>
        <w:t xml:space="preserve"> </w:t>
      </w:r>
      <w:r w:rsidRPr="00C0097A">
        <w:rPr>
          <w:rFonts w:cs="B Zar"/>
        </w:rPr>
        <w:t>(Janana Kund)</w:t>
      </w:r>
      <w:r w:rsidRPr="00C0097A">
        <w:rPr>
          <w:rFonts w:cs="B Zar" w:hint="cs"/>
          <w:rtl/>
        </w:rPr>
        <w:t xml:space="preserve"> يا طريق معرفت و حبّ تعلق دارد. دوره وداهاي چهارگانه و رسايل </w:t>
      </w:r>
      <w:r w:rsidRPr="00C0097A">
        <w:rPr>
          <w:rFonts w:cs="B Zar" w:hint="cs"/>
          <w:i/>
          <w:iCs/>
          <w:rtl/>
        </w:rPr>
        <w:t>برهمنا،</w:t>
      </w:r>
      <w:r w:rsidRPr="00C0097A">
        <w:rPr>
          <w:rFonts w:cs="B Zar"/>
          <w:i/>
          <w:iCs/>
        </w:rPr>
        <w:t>(</w:t>
      </w:r>
      <w:r w:rsidRPr="00C0097A">
        <w:rPr>
          <w:rFonts w:cs="B Zar"/>
        </w:rPr>
        <w:t>Barahmana)</w:t>
      </w:r>
      <w:r w:rsidRPr="00C0097A">
        <w:rPr>
          <w:rFonts w:cs="B Zar" w:hint="cs"/>
          <w:rtl/>
        </w:rPr>
        <w:t xml:space="preserve"> دوره حاكميت خاص نگرش آگام بوده، ولي از دوره اوپانيشاد و رسايل آران‌ياكا</w:t>
      </w:r>
      <w:r w:rsidRPr="00C0097A">
        <w:rPr>
          <w:rFonts w:cs="B Zar"/>
        </w:rPr>
        <w:t>(Aranyaka)</w:t>
      </w:r>
      <w:r w:rsidRPr="00C0097A">
        <w:rPr>
          <w:rFonts w:cs="B Zar" w:hint="cs"/>
          <w:rtl/>
        </w:rPr>
        <w:t>، نگرش نيگام به تدريج در دين آريائي نفوذ كرد.</w:t>
      </w:r>
    </w:p>
    <w:p w:rsidR="0011420A" w:rsidRPr="00C0097A" w:rsidP="003C0EF5">
      <w:pPr>
        <w:widowControl w:val="0"/>
        <w:spacing w:line="420" w:lineRule="exact"/>
        <w:ind w:left="0" w:right="0"/>
        <w:jc w:val="both"/>
        <w:rPr>
          <w:rFonts w:cs="B Zar" w:hint="cs"/>
          <w:rtl/>
        </w:rPr>
      </w:pPr>
      <w:r w:rsidRPr="00C0097A">
        <w:rPr>
          <w:rFonts w:cs="B Zar" w:hint="cs"/>
          <w:rtl/>
        </w:rPr>
        <w:t>طريق</w:t>
      </w:r>
      <w:r w:rsidRPr="00C0097A">
        <w:rPr>
          <w:rFonts w:cs="B Zar"/>
        </w:rPr>
        <w:t xml:space="preserve"> </w:t>
      </w:r>
      <w:r w:rsidRPr="00C0097A">
        <w:rPr>
          <w:rFonts w:cs="B Zar" w:hint="cs"/>
          <w:rtl/>
        </w:rPr>
        <w:t>‌يوگا</w:t>
      </w:r>
      <w:r w:rsidRPr="00C0097A">
        <w:rPr>
          <w:rFonts w:cs="B Zar"/>
        </w:rPr>
        <w:t>(Yoga)</w:t>
      </w:r>
      <w:r w:rsidRPr="00C0097A">
        <w:rPr>
          <w:rFonts w:cs="B Zar" w:hint="cs"/>
          <w:rtl/>
        </w:rPr>
        <w:t xml:space="preserve"> كه به درستي شاخص اصلي فرهنگ ديني هندوئيسم معاصر تلقي مي‌شود، از جمله عناصر مهم معارف نيگام است. در وداهاي چهارگانه كه تأكيد تمام بر انجام مراسم قرباني و نذور و يا ترتيب دادن برخي مراسم جادوئي است، خبري از روش مراقبه و رياضت نفس يا يوگا و تانترا</w:t>
      </w:r>
      <w:r w:rsidRPr="00C0097A">
        <w:rPr>
          <w:rFonts w:cs="B Zar"/>
        </w:rPr>
        <w:t>(Tantra)</w:t>
      </w:r>
      <w:r w:rsidRPr="00C0097A">
        <w:rPr>
          <w:rFonts w:cs="B Zar" w:hint="cs"/>
          <w:rtl/>
        </w:rPr>
        <w:t xml:space="preserve"> نيست، در حاليكه، چنانكه اشاره شد، مجسمه‌هائي در شهر موهنجدارو</w:t>
      </w:r>
      <w:r w:rsidRPr="00C0097A">
        <w:rPr>
          <w:rFonts w:cs="B Zar"/>
        </w:rPr>
        <w:t>(Mohenjadaro)</w:t>
      </w:r>
      <w:r w:rsidRPr="00C0097A">
        <w:rPr>
          <w:rFonts w:cs="B Zar" w:hint="cs"/>
          <w:rtl/>
        </w:rPr>
        <w:t xml:space="preserve"> كشف گرديده كه </w:t>
      </w:r>
      <w:r w:rsidRPr="00C0097A">
        <w:rPr>
          <w:rFonts w:cs="B Zar" w:hint="cs"/>
          <w:i/>
          <w:iCs/>
          <w:rtl/>
        </w:rPr>
        <w:t xml:space="preserve">شيوا </w:t>
      </w:r>
      <w:r w:rsidRPr="00C0097A">
        <w:rPr>
          <w:rFonts w:cs="B Zar" w:hint="cs"/>
          <w:rtl/>
        </w:rPr>
        <w:t>در آن به صورت يك يوگي ترسيم شده است.</w:t>
      </w:r>
    </w:p>
    <w:p w:rsidR="0011420A" w:rsidRPr="00C0097A" w:rsidP="003C0EF5">
      <w:pPr>
        <w:widowControl w:val="0"/>
        <w:spacing w:line="420" w:lineRule="exact"/>
        <w:ind w:left="0" w:right="0"/>
        <w:jc w:val="both"/>
        <w:rPr>
          <w:rFonts w:cs="B Zar" w:hint="cs"/>
          <w:rtl/>
        </w:rPr>
      </w:pPr>
      <w:r w:rsidRPr="00C0097A">
        <w:rPr>
          <w:rFonts w:cs="B Zar" w:hint="cs"/>
          <w:rtl/>
        </w:rPr>
        <w:t xml:space="preserve">همچنين روش عبادي </w:t>
      </w:r>
      <w:r w:rsidRPr="00C0097A">
        <w:rPr>
          <w:rFonts w:cs="B Zar" w:hint="cs"/>
          <w:i/>
          <w:iCs/>
          <w:rtl/>
        </w:rPr>
        <w:t>پوجا</w:t>
      </w:r>
      <w:r w:rsidRPr="00C0097A">
        <w:rPr>
          <w:rFonts w:cs="B Zar"/>
        </w:rPr>
        <w:t>(Puja)</w:t>
      </w:r>
      <w:r w:rsidRPr="00C0097A">
        <w:rPr>
          <w:rFonts w:cs="B Zar" w:hint="cs"/>
          <w:i/>
          <w:iCs/>
          <w:rtl/>
        </w:rPr>
        <w:t xml:space="preserve"> </w:t>
      </w:r>
      <w:r w:rsidRPr="00C0097A">
        <w:rPr>
          <w:rFonts w:cs="B Zar" w:hint="cs"/>
          <w:rtl/>
        </w:rPr>
        <w:t xml:space="preserve">(مراسم پرستش) از دراويديها اقتباس گرديده است. آريائي‌هاي ودائي، مراسم قرباني داشتند و نه مراسم پرستش. كلمه </w:t>
      </w:r>
      <w:r w:rsidRPr="00C0097A">
        <w:rPr>
          <w:rFonts w:cs="B Zar" w:hint="cs"/>
          <w:i/>
          <w:iCs/>
          <w:rtl/>
        </w:rPr>
        <w:t>پوجا</w:t>
      </w:r>
      <w:r w:rsidRPr="00C0097A">
        <w:rPr>
          <w:rFonts w:cs="B Zar" w:hint="cs"/>
          <w:rtl/>
        </w:rPr>
        <w:t xml:space="preserve"> در وداها ديده نمي‌شود. وداها انواع عمده قرباني (قرباني گاو نر، اسب و انسان) را تجويز كرده، در حاليكه در مراسم پوجا، «قرباني» مطرح نيست، بلكه اين مراسم عبادي شامل نذر سبزيجات و گلها، پاشيدن آب، به صدا درآوردن ناقوس و زنگ و سرودن نغمه‌ها و رقص و آواز مي‌باشد.</w:t>
      </w:r>
    </w:p>
    <w:p w:rsidR="0011420A" w:rsidRPr="00C0097A" w:rsidP="003C0EF5">
      <w:pPr>
        <w:widowControl w:val="0"/>
        <w:spacing w:line="420" w:lineRule="exact"/>
        <w:ind w:left="0" w:right="0"/>
        <w:jc w:val="both"/>
        <w:rPr>
          <w:rFonts w:cs="B Zar" w:hint="cs"/>
          <w:rtl/>
        </w:rPr>
      </w:pPr>
      <w:r w:rsidRPr="00C0097A">
        <w:rPr>
          <w:rFonts w:cs="B Zar" w:hint="cs"/>
          <w:rtl/>
        </w:rPr>
        <w:t>پوجا، نخستين بار در كتاب مقدس «گيتا»</w:t>
      </w:r>
      <w:r w:rsidRPr="00C0097A">
        <w:rPr>
          <w:rFonts w:cs="B Zar"/>
        </w:rPr>
        <w:t>(Gita)</w:t>
      </w:r>
      <w:r w:rsidRPr="00C0097A">
        <w:rPr>
          <w:rFonts w:cs="B Zar" w:hint="cs"/>
          <w:rtl/>
        </w:rPr>
        <w:t xml:space="preserve"> اعتبار پيدا كرد؛ جائي كه كريشنا</w:t>
      </w:r>
      <w:r w:rsidRPr="00C0097A">
        <w:rPr>
          <w:rFonts w:cs="B Zar"/>
        </w:rPr>
        <w:t>(Krishna)</w:t>
      </w:r>
      <w:r w:rsidRPr="00C0097A">
        <w:rPr>
          <w:rFonts w:cs="B Zar" w:hint="cs"/>
          <w:rtl/>
        </w:rPr>
        <w:t xml:space="preserve"> مي‌گويد: </w:t>
      </w:r>
      <w:r w:rsidRPr="00C0097A">
        <w:rPr>
          <w:rFonts w:cs="B Zar" w:hint="cs"/>
          <w:i/>
          <w:iCs/>
          <w:rtl/>
        </w:rPr>
        <w:t>«هر كسي كه حتي يك برگ، يك گل، يك ميوه يا صرفاً آب را با صميم قلب تقديم من كند،  من اين هديه محبت را از بندگان مخلص مي پذيرم</w:t>
      </w:r>
      <w:r>
        <w:rPr>
          <w:rStyle w:val="FootnoteReference"/>
          <w:rFonts w:cs="B Zar"/>
          <w:i/>
          <w:iCs/>
          <w:rtl/>
        </w:rPr>
        <w:footnoteReference w:id="133"/>
      </w:r>
      <w:r w:rsidRPr="00C0097A">
        <w:rPr>
          <w:rFonts w:cs="B Zar" w:hint="cs"/>
          <w:i/>
          <w:iCs/>
          <w:rtl/>
        </w:rPr>
        <w:t>»</w:t>
      </w:r>
      <w:r w:rsidRPr="00C0097A">
        <w:rPr>
          <w:rFonts w:cs="B Zar" w:hint="cs"/>
          <w:rtl/>
        </w:rPr>
        <w:t xml:space="preserve"> «پوجا» با مراسم پرستش و بت‌پرستي همراه بود. آريائيهاي عصر ودا، در معبدهاي خود قربانگاه داشتند، ولي شواهدي به دست نيامده است كه نشان دهد آنان به بت‌سازي يا بت‌پرستي مي‌پرداخته‌اند. آنها عين پديده‌هاي طبيعت، نظير: آسمان، زمين، خورشيد، ماه و ستارگان را در برابر ديدگان خود داشتند و ديگر نيازي به ساختن و تصوير بتها نبود؛ ليكن، دراويديها كه معتقد به «ارواح» و «همزادان» و نيروهاي مرموز جهاني بودند، آنها را در شكل مجسمه‌ها و اصنام درآورده و در خانه‌هايشان مي‌گذاردند. پس از سپري شدن دوره ودا و آغاز عصر تدوين </w:t>
      </w:r>
      <w:r w:rsidRPr="00C0097A">
        <w:rPr>
          <w:rFonts w:cs="B Zar" w:hint="cs"/>
          <w:i/>
          <w:iCs/>
          <w:rtl/>
        </w:rPr>
        <w:t>پورانا</w:t>
      </w:r>
      <w:r w:rsidRPr="00C0097A">
        <w:rPr>
          <w:rFonts w:cs="B Zar"/>
          <w:i/>
          <w:iCs/>
        </w:rPr>
        <w:t xml:space="preserve"> </w:t>
      </w:r>
      <w:r w:rsidRPr="00C0097A">
        <w:rPr>
          <w:rFonts w:cs="B Zar"/>
        </w:rPr>
        <w:t>(Purana)</w:t>
      </w:r>
      <w:r w:rsidRPr="00C0097A">
        <w:rPr>
          <w:rFonts w:cs="B Zar" w:hint="cs"/>
          <w:rtl/>
        </w:rPr>
        <w:t xml:space="preserve"> اين سنت ديني وارد هندوئيسم گرديده و رواج پيدا كرد. طبيعت پرستي آريائي‌ها منسوخ گرديد و بت پرستي جاي آنرا گرفت.</w:t>
      </w:r>
    </w:p>
    <w:p w:rsidR="0011420A" w:rsidRPr="00C0097A" w:rsidP="003C0EF5">
      <w:pPr>
        <w:widowControl w:val="0"/>
        <w:spacing w:line="420" w:lineRule="exact"/>
        <w:ind w:left="0" w:right="0"/>
        <w:jc w:val="both"/>
        <w:rPr>
          <w:rFonts w:cs="B Zar" w:hint="cs"/>
          <w:rtl/>
        </w:rPr>
      </w:pPr>
      <w:r w:rsidRPr="00C0097A">
        <w:rPr>
          <w:rFonts w:cs="B Zar" w:hint="cs"/>
          <w:rtl/>
        </w:rPr>
        <w:t xml:space="preserve">بسياري از هنجارهاي اجتماعي جامعه هندوئيستي معاصر نيز از بقاياي فرهنگ دراويدي مي‌باشد. اينكه امروزه در هند گروه كثيري از هندوان از خوردن گوشت اجتناب مي‌كنند، رسمي آريايي نيست؛ زيرا آنان روزانه ده‌ها گاو و گوسفند قرباني كرده و اساساً گوشت‌خوار بودند. آريائيها چون از سرزمينهاي سردسيري و كوهستاني آمده بودند، لباسهايي ساخته شده از پوست و پشم حيوانات مي‌پوشيدند. پوشيدن </w:t>
      </w:r>
      <w:r w:rsidRPr="00C0097A">
        <w:rPr>
          <w:rFonts w:cs="B Zar" w:hint="cs"/>
          <w:i/>
          <w:iCs/>
          <w:rtl/>
        </w:rPr>
        <w:t>ساري</w:t>
      </w:r>
      <w:r w:rsidRPr="00C0097A">
        <w:rPr>
          <w:rFonts w:cs="B Zar" w:hint="cs"/>
          <w:rtl/>
        </w:rPr>
        <w:t xml:space="preserve"> و </w:t>
      </w:r>
      <w:r w:rsidRPr="00C0097A">
        <w:rPr>
          <w:rFonts w:cs="B Zar" w:hint="cs"/>
          <w:i/>
          <w:iCs/>
          <w:rtl/>
        </w:rPr>
        <w:t>دهوتي</w:t>
      </w:r>
      <w:r w:rsidRPr="00C0097A">
        <w:rPr>
          <w:rFonts w:cs="B Zar" w:hint="cs"/>
          <w:rtl/>
        </w:rPr>
        <w:t xml:space="preserve"> كه امروزه در هند رواج كامل دارد،  متعلق به رسوم قبل از آريايي است.</w:t>
      </w:r>
    </w:p>
    <w:p w:rsidR="0011420A" w:rsidRPr="00C0097A" w:rsidP="003C0EF5">
      <w:pPr>
        <w:widowControl w:val="0"/>
        <w:spacing w:line="420" w:lineRule="exact"/>
        <w:ind w:left="0" w:right="0"/>
        <w:jc w:val="both"/>
        <w:rPr>
          <w:rFonts w:cs="B Zar" w:hint="cs"/>
          <w:rtl/>
        </w:rPr>
      </w:pPr>
      <w:r w:rsidRPr="00C0097A">
        <w:rPr>
          <w:rFonts w:cs="B Zar" w:hint="cs"/>
          <w:rtl/>
        </w:rPr>
        <w:t>نوع رابطه با محارم در آئين هندو (تعلق برادر بزرگ شوهر به عنوان پدر و داشتن روابط صميمانه بسيار زياد با برادر كوچك شوهر)، مراسم ازدواج و كاربرد ادويه و مواد معطر كننده و غيره، همگي ريشة ماقبل آريايي دارد</w:t>
      </w:r>
      <w:r>
        <w:rPr>
          <w:rStyle w:val="FootnoteReference"/>
          <w:rFonts w:cs="B Zar"/>
          <w:rtl/>
        </w:rPr>
        <w:footnoteReference w:id="134"/>
      </w:r>
      <w:r w:rsidRPr="00C0097A">
        <w:rPr>
          <w:rFonts w:cs="B Zar" w:hint="cs"/>
          <w:rtl/>
        </w:rPr>
        <w:t xml:space="preserve">. </w:t>
      </w:r>
    </w:p>
    <w:p w:rsidR="0011420A" w:rsidRPr="00C0097A" w:rsidP="003C0EF5">
      <w:pPr>
        <w:widowControl w:val="0"/>
        <w:spacing w:line="420" w:lineRule="exact"/>
        <w:ind w:left="0" w:right="0"/>
        <w:jc w:val="both"/>
        <w:rPr>
          <w:rFonts w:cs="B Zar" w:hint="cs"/>
          <w:rtl/>
        </w:rPr>
      </w:pPr>
      <w:r w:rsidRPr="00C0097A">
        <w:rPr>
          <w:rFonts w:cs="B Zar" w:hint="cs"/>
          <w:rtl/>
        </w:rPr>
        <w:t>از نظر زبان نيز آريائي‌ها تحت تأثير دراويديها قرار گرفتند. درست است كه زبان آريائي، يعني سانسكريت، زبان ديني و علمي و در اوايل زبان رائج جامعه هند شد؛ ولي ساختار و واژگان سانسكريت به شدت تحت تأثير زبانهاي دراويدي قرار گرفت. زبان شناسان معتقدند يكي از علل اينكه زبان سانسكريت از نظر آواشناسي با زبان‌هاي ديگر آريائي (ژرمن، يوناني، پهلوي، فارسي و غيره) متفاوت است، دراويدي شدن آن مي‌باشد.</w:t>
      </w:r>
    </w:p>
    <w:p w:rsidR="0011420A" w:rsidRPr="00C0097A" w:rsidP="003C0EF5">
      <w:pPr>
        <w:widowControl w:val="0"/>
        <w:spacing w:line="420" w:lineRule="exact"/>
        <w:ind w:left="0" w:right="0"/>
        <w:jc w:val="both"/>
        <w:rPr>
          <w:rFonts w:cs="B Zar" w:hint="cs"/>
          <w:rtl/>
        </w:rPr>
      </w:pPr>
      <w:r w:rsidRPr="00C0097A">
        <w:rPr>
          <w:rFonts w:cs="B Zar" w:hint="cs"/>
          <w:rtl/>
        </w:rPr>
        <w:t xml:space="preserve"> گرچه سازندگان اصلي فرهنگ كنوني هند آريائيها بودند و نقش غالب آنان در تكوين نظام ديني و فلسفي هند، قابل ترديد نيست؛ اما نبايد فراموش كرد كه حكيمان آريائي خود سخت تحت تأثير فرهنگ دراويدي قرار گرفتند و عناصر فراواني را از آن اقتباس كردند.</w:t>
      </w:r>
    </w:p>
    <w:p w:rsidR="0011420A" w:rsidRPr="00C0097A" w:rsidP="003C0EF5">
      <w:pPr>
        <w:widowControl w:val="0"/>
        <w:spacing w:line="420" w:lineRule="exact"/>
        <w:ind w:left="0" w:right="0"/>
        <w:jc w:val="both"/>
        <w:rPr>
          <w:rFonts w:cs="B Zar" w:hint="cs"/>
          <w:rtl/>
        </w:rPr>
      </w:pPr>
      <w:r w:rsidRPr="00C0097A">
        <w:rPr>
          <w:rFonts w:cs="B Zar" w:hint="cs"/>
          <w:rtl/>
        </w:rPr>
        <w:t>بر همين اساس، سنكالا</w:t>
      </w:r>
      <w:r w:rsidRPr="00C0097A">
        <w:rPr>
          <w:rFonts w:cs="B Zar"/>
        </w:rPr>
        <w:t xml:space="preserve"> (Sinkala)</w:t>
      </w:r>
      <w:r w:rsidRPr="00C0097A">
        <w:rPr>
          <w:rFonts w:cs="B Zar" w:hint="cs"/>
          <w:rtl/>
        </w:rPr>
        <w:t xml:space="preserve">معتقد است كه 75% درصد فرهنگ كنوني هند، مديون فرهنگ دراويدي و استرولايي است و تنها 25% درصد آن از عناصر فرهنگ خالص آريائي اخذ گرديده است. مطابق ضرب‌المثل غربي، </w:t>
      </w:r>
      <w:r w:rsidRPr="00C0097A">
        <w:rPr>
          <w:rFonts w:cs="B Zar" w:hint="cs"/>
          <w:i/>
          <w:iCs/>
          <w:rtl/>
        </w:rPr>
        <w:t>«يونان فاتحان خود را مغلوب ساخت»</w:t>
      </w:r>
      <w:r w:rsidRPr="00C0097A">
        <w:rPr>
          <w:rFonts w:cs="B Zar" w:hint="cs"/>
          <w:rtl/>
        </w:rPr>
        <w:t>، در هند نيز چنين اتفاقي افتاد. البته ممكن است برآورد سنكالا گزافه باشد؛ ولي در اين هيچ ترديدي نيست كه فرهنگ و نظام ديني و فلسفي هند ماهيت تركيبي دارد و از آميزش روح آريائي استرولايدي، دراويدي و سپس ايراني ـ اسلامي شكل گرفته است.</w:t>
      </w:r>
    </w:p>
    <w:p w:rsidR="0011420A" w:rsidRPr="00C0097A" w:rsidP="003C0EF5">
      <w:pPr>
        <w:widowControl w:val="0"/>
        <w:spacing w:line="420" w:lineRule="exact"/>
        <w:ind w:left="0" w:right="0"/>
        <w:jc w:val="both"/>
        <w:rPr>
          <w:rFonts w:cs="B Zar" w:hint="cs"/>
          <w:rtl/>
        </w:rPr>
      </w:pPr>
      <w:r w:rsidRPr="00C0097A">
        <w:rPr>
          <w:rFonts w:cs="B Zar" w:hint="cs"/>
          <w:rtl/>
        </w:rPr>
        <w:t xml:space="preserve">شاخصها و ويژگيهاي اصلي انديشه هند كه اجمالاً عبارت است از نگرش «همه خدائي در عالم»، اعتقاد به اين كه جوهر اصلي انسان جوهر قدسي است، گرايش به اشراق‌گرايي در عين برسميت شناختن طرق ديگر معرفت، اعتقاد به اصالت همة روش‌هاي گوناگون براي نيل به سعادت (از جمله عمل صالح، رياضت و عشق) وجود دارد. اعتقاد به اين‌كه تمام مكاتب و مذاهب از يك حقيقت حكايت مي‌كنند و انسان را به هدف واحدي مي‌رساندند، ميل شديد به ايجاد سازش ديدگاه‌ها، توجه به جنبه‌هاي پر رنج و ملال آور زندگي و تلاش براي رهائي از دغدغه و دلهره‌هاي هستي، تقديس تمام پديده‌هاي جهان از نباتات و جمادات و حيوانات گرفته تا ده‌ها، بلكه صدها «انسان ملكوتي» </w:t>
      </w:r>
      <w:r w:rsidRPr="00C0097A">
        <w:rPr>
          <w:rFonts w:cs="B Zar"/>
        </w:rPr>
        <w:t>(God Men)</w:t>
      </w:r>
      <w:r w:rsidRPr="00C0097A">
        <w:rPr>
          <w:rFonts w:cs="B Zar" w:hint="cs"/>
          <w:rtl/>
        </w:rPr>
        <w:t xml:space="preserve"> در هر دوره ناشي از همين ماهيت تركيب فرهنگي و نظام فكري هند است.</w:t>
      </w:r>
    </w:p>
    <w:p w:rsidR="0011420A" w:rsidRPr="00C0097A" w:rsidP="003C0EF5">
      <w:pPr>
        <w:widowControl w:val="0"/>
        <w:spacing w:line="420" w:lineRule="exact"/>
        <w:ind w:left="0" w:right="0"/>
        <w:jc w:val="both"/>
        <w:rPr>
          <w:rFonts w:cs="B Zar" w:hint="cs"/>
          <w:rtl/>
        </w:rPr>
      </w:pPr>
      <w:r w:rsidRPr="00C0097A">
        <w:rPr>
          <w:rFonts w:cs="B Zar" w:hint="cs"/>
          <w:rtl/>
        </w:rPr>
        <w:t xml:space="preserve">همه عناصر جهان بيني، انسان‌شناسي و معرفت شناسي فوق كه ما از آنها نام برديم، در </w:t>
      </w:r>
      <w:r w:rsidRPr="00C0097A">
        <w:rPr>
          <w:rFonts w:cs="B Zar" w:hint="cs"/>
          <w:i/>
          <w:iCs/>
          <w:rtl/>
        </w:rPr>
        <w:t>بگوات گيتا</w:t>
      </w:r>
      <w:r w:rsidRPr="00C0097A">
        <w:rPr>
          <w:rFonts w:cs="B Zar"/>
        </w:rPr>
        <w:t>(Bhagvata Gita)</w:t>
      </w:r>
      <w:r w:rsidRPr="00C0097A">
        <w:rPr>
          <w:rFonts w:cs="B Zar" w:hint="cs"/>
          <w:i/>
          <w:iCs/>
          <w:rtl/>
        </w:rPr>
        <w:t>،</w:t>
      </w:r>
      <w:r w:rsidRPr="00C0097A">
        <w:rPr>
          <w:rFonts w:cs="B Zar" w:hint="cs"/>
          <w:rtl/>
        </w:rPr>
        <w:t xml:space="preserve">كتاب مقدس هندوئيسم ، مورد تأكيد قرار گرفته است. جامعه و فرهنگ هند از تار و پودهاي بسيار متفاوت و گوناگون بافته شده است و تك ساختاري </w:t>
      </w:r>
      <w:r w:rsidRPr="00C0097A">
        <w:rPr>
          <w:rFonts w:cs="B Zar"/>
        </w:rPr>
        <w:t>(Monolithic)</w:t>
      </w:r>
      <w:r w:rsidRPr="00C0097A">
        <w:rPr>
          <w:rFonts w:cs="B Zar" w:hint="cs"/>
          <w:rtl/>
        </w:rPr>
        <w:t xml:space="preserve"> نيست</w:t>
      </w:r>
      <w:r w:rsidRPr="00C0097A">
        <w:rPr>
          <w:rFonts w:cs="B Zar"/>
        </w:rPr>
        <w:t>.</w:t>
      </w:r>
      <w:r w:rsidRPr="00C0097A">
        <w:rPr>
          <w:rFonts w:cs="B Zar" w:hint="cs"/>
          <w:rtl/>
        </w:rPr>
        <w:t xml:space="preserve"> چند ساختاري بودن فرهنگ هند و دين هندوئيسم علت اصلي چند چهرگي آنست. پس هندوئيسم يك مذهب نيست، بلكه مجموعة مذاهب و اديان است.</w:t>
      </w:r>
    </w:p>
    <w:p w:rsidR="0011420A" w:rsidP="003C0EF5">
      <w:pPr>
        <w:widowControl w:val="0"/>
        <w:spacing w:line="420" w:lineRule="exact"/>
        <w:ind w:left="0" w:right="0"/>
        <w:jc w:val="both"/>
        <w:rPr>
          <w:rFonts w:cs="B Zar" w:hint="cs"/>
          <w:rtl/>
        </w:rPr>
      </w:pPr>
      <w:r w:rsidRPr="00C0097A">
        <w:rPr>
          <w:rFonts w:cs="B Zar" w:hint="cs"/>
          <w:rtl/>
        </w:rPr>
        <w:t>فرهنگ و آئين عرفاني و اشراقي اوپانيشاد</w:t>
      </w:r>
      <w:r w:rsidRPr="00C0097A">
        <w:rPr>
          <w:rFonts w:cs="B Zar"/>
        </w:rPr>
        <w:t xml:space="preserve"> (Upanishad)</w:t>
      </w:r>
      <w:r w:rsidRPr="00C0097A">
        <w:rPr>
          <w:rFonts w:cs="B Zar" w:hint="cs"/>
          <w:rtl/>
        </w:rPr>
        <w:t>، با مذهب طبيعت‌پرستي و آئين مناسكي عصر ودا</w:t>
      </w:r>
      <w:r w:rsidRPr="00C0097A">
        <w:rPr>
          <w:rFonts w:cs="B Zar"/>
        </w:rPr>
        <w:t>(Veda)</w:t>
      </w:r>
      <w:r w:rsidRPr="00C0097A">
        <w:rPr>
          <w:rFonts w:cs="B Zar" w:hint="cs"/>
          <w:rtl/>
        </w:rPr>
        <w:t xml:space="preserve"> بسيار فاصله دارد؛ باز هندوئيسم عاميانه كه شرك و بت‌پرستي محض است با آئين و نگرش اوپانيشاد به كلي جداست.  همين ماهيت «چند چهره‌اي» و تركيبي موجب شده است كه طبقه‌بندي دين و آئين هندوئيسم در يكي از مقوله‌هاي موجود، بس دشوار شود. آيا دين هندو انيميستي است؟ يا توتميستي؛ شرك‌گراست، يا توحيدي؟ شريعت محور است، يا طريقت محور؟ مكتب عمل است، يا عرفان؟ مكتب ولا و بهاگتي</w:t>
      </w:r>
      <w:r w:rsidRPr="00C0097A">
        <w:rPr>
          <w:rFonts w:cs="B Zar"/>
        </w:rPr>
        <w:t xml:space="preserve"> Bhagti</w:t>
      </w:r>
      <w:r w:rsidRPr="00C0097A">
        <w:rPr>
          <w:rFonts w:cs="B Zar" w:hint="cs"/>
          <w:rtl/>
        </w:rPr>
        <w:t xml:space="preserve"> (عشق) است، يا رهبانيت (يوگا)، يا لذت</w:t>
      </w:r>
      <w:r w:rsidRPr="00C0097A">
        <w:rPr>
          <w:rFonts w:cs="B Zar"/>
        </w:rPr>
        <w:t xml:space="preserve"> Tantra </w:t>
      </w:r>
      <w:r w:rsidRPr="00C0097A">
        <w:rPr>
          <w:rFonts w:cs="B Zar" w:hint="cs"/>
          <w:rtl/>
        </w:rPr>
        <w:t xml:space="preserve"> (تانترا)؟ پاسخ به اينگونه پرسشها بسيار مشكل است. گرچه تنوع در هر دين و فرهنگ وجود دارد و مي‌توان جريانات مختلف را در آن سراغ گرفت؛ ولي اين تنوع و گوناگوني به طور عموم در داخل يك چارچوب كلي و اصول اعتقادي مشخص است؛ مثلاً در اسلام عقيده توحيد، نبوت و معاد، به اضافه امامت در تشيع؛ و در مسيحيت عقيده تثليث، يك چهار چوب مشخص را تشكيل مي‌دهد. در هندوئيسم هيچ اصلي جز اعتقاد به اصل تناسخ ارواح در ميان مكاتب و مذاهب‌اش مشترك نيست. تنها دين شنتو</w:t>
      </w:r>
      <w:r>
        <w:rPr>
          <w:rStyle w:val="FootnoteReference"/>
          <w:rFonts w:cs="B Zar"/>
          <w:rtl/>
        </w:rPr>
        <w:footnoteReference w:id="135"/>
      </w:r>
      <w:r w:rsidRPr="00C0097A">
        <w:rPr>
          <w:rFonts w:cs="B Zar" w:hint="cs"/>
          <w:rtl/>
        </w:rPr>
        <w:t xml:space="preserve"> ژاپن در اين مورد مي‌تواند با هندوئيسم قابل مقايسه باشد. اين امر ناشي از چند منبعي و چند منشائي بودن آئين هندو مي‌باشد.</w:t>
      </w:r>
    </w:p>
    <w:p w:rsidR="009F1464" w:rsidRPr="00C0097A" w:rsidP="003C0EF5">
      <w:pPr>
        <w:widowControl w:val="0"/>
        <w:spacing w:line="420" w:lineRule="exact"/>
        <w:ind w:left="0" w:right="0"/>
        <w:jc w:val="both"/>
        <w:rPr>
          <w:rFonts w:cs="B Zar" w:hint="cs"/>
          <w:rtl/>
        </w:rPr>
      </w:pPr>
    </w:p>
    <w:p w:rsidR="0011420A" w:rsidRPr="00C0097A" w:rsidP="003C0EF5">
      <w:pPr>
        <w:pStyle w:val="Heading2"/>
        <w:keepNext w:val="0"/>
        <w:widowControl w:val="0"/>
        <w:spacing w:line="420" w:lineRule="exact"/>
        <w:ind w:left="0" w:right="0"/>
        <w:jc w:val="both"/>
        <w:rPr>
          <w:rFonts w:cs="B Zar" w:hint="cs"/>
          <w:sz w:val="26"/>
          <w:szCs w:val="26"/>
          <w:rtl/>
        </w:rPr>
      </w:pPr>
      <w:bookmarkStart w:id="13" w:name="_Toc110442178"/>
      <w:r w:rsidRPr="00C0097A">
        <w:rPr>
          <w:rFonts w:cs="B Zar" w:hint="cs"/>
          <w:sz w:val="26"/>
          <w:szCs w:val="26"/>
          <w:rtl/>
        </w:rPr>
        <w:t>4-  آريائي‌ها</w:t>
      </w:r>
      <w:bookmarkEnd w:id="13"/>
    </w:p>
    <w:p w:rsidR="0011420A" w:rsidP="003C0EF5">
      <w:pPr>
        <w:widowControl w:val="0"/>
        <w:spacing w:line="420" w:lineRule="exact"/>
        <w:ind w:left="0" w:right="0"/>
        <w:jc w:val="both"/>
        <w:rPr>
          <w:rFonts w:cs="B Zar" w:hint="cs"/>
          <w:rtl/>
        </w:rPr>
      </w:pPr>
      <w:r w:rsidRPr="00C0097A">
        <w:rPr>
          <w:rFonts w:cs="B Zar" w:hint="cs"/>
          <w:rtl/>
        </w:rPr>
        <w:t>چهارمين قومي كه در تكوين فرهنگ هند نقش اصلي را ايفاء كرد، قوم آريايي بود. آريائيها از سرزمين دوردست حركت كردند و به مناطق گسترده ايران و هند سرازير شدند. برخلاف دراويديهاي بومي، آريائيهاي هند سپيد پوست، بلند قد و با موهاي طلائي و چشمان آبي بودند. آنان تمدن كشاورزي نداشته و به زندگي شهري خو نگرفته بودند. آريائيها باديه نشين، كوهنورد و صحرانورد بودند و از طريق دامداري امرار معاش مي‌كردند. سختيهاي زندگي و زندگي در كوهستانهاي سردسير و دامنه‌ها، آنان را به صورت يك نژاد قوي،  توانا و سلحشور درآورده بود. همين امر موجب شد كه آنها بوميان نسبتاً پيشرفته و متمدن ايران و هند را از پا درآورده  و آنان را به شهرنشينان درجه دو و زيرسلطه تبديل كنند.</w:t>
      </w:r>
    </w:p>
    <w:p w:rsidR="009F1464" w:rsidRPr="00C0097A" w:rsidP="003C0EF5">
      <w:pPr>
        <w:widowControl w:val="0"/>
        <w:spacing w:line="420" w:lineRule="exact"/>
        <w:ind w:left="0" w:right="0"/>
        <w:jc w:val="both"/>
        <w:rPr>
          <w:rFonts w:cs="B Zar" w:hint="cs"/>
          <w:rtl/>
        </w:rPr>
      </w:pPr>
    </w:p>
    <w:p w:rsidR="0011420A" w:rsidRPr="00C0097A" w:rsidP="003C0EF5">
      <w:pPr>
        <w:widowControl w:val="0"/>
        <w:spacing w:line="420" w:lineRule="exact"/>
        <w:ind w:left="0" w:right="0"/>
        <w:jc w:val="both"/>
        <w:rPr>
          <w:rFonts w:cs="B Zar" w:hint="cs"/>
          <w:b/>
          <w:bCs/>
          <w:rtl/>
        </w:rPr>
      </w:pPr>
      <w:bookmarkStart w:id="14" w:name="_Toc110442179"/>
      <w:r w:rsidRPr="00C0097A">
        <w:rPr>
          <w:rFonts w:cs="B Zar" w:hint="cs"/>
          <w:b/>
          <w:bCs/>
          <w:rtl/>
        </w:rPr>
        <w:t>آريائيان از كجا آمدند و چه كساني بودند؟</w:t>
      </w:r>
      <w:bookmarkEnd w:id="14"/>
    </w:p>
    <w:p w:rsidR="0011420A" w:rsidRPr="00C0097A" w:rsidP="003C0EF5">
      <w:pPr>
        <w:widowControl w:val="0"/>
        <w:spacing w:line="420" w:lineRule="exact"/>
        <w:ind w:left="0" w:right="0"/>
        <w:jc w:val="both"/>
        <w:rPr>
          <w:rFonts w:cs="B Zar"/>
        </w:rPr>
      </w:pPr>
      <w:r w:rsidRPr="00C0097A">
        <w:rPr>
          <w:rFonts w:cs="B Zar" w:hint="cs"/>
          <w:i/>
          <w:iCs/>
          <w:rtl/>
        </w:rPr>
        <w:t>فيليپوساستي</w:t>
      </w:r>
      <w:r w:rsidRPr="00C0097A">
        <w:rPr>
          <w:rFonts w:cs="B Zar"/>
        </w:rPr>
        <w:t>(Filipo Sasseti)</w:t>
      </w:r>
      <w:r w:rsidRPr="00C0097A">
        <w:rPr>
          <w:rFonts w:cs="B Zar" w:hint="cs"/>
          <w:rtl/>
        </w:rPr>
        <w:t xml:space="preserve">، بازرگان فلورانسي، پس از پنج سال اقامت در </w:t>
      </w:r>
      <w:r w:rsidRPr="00C0097A">
        <w:rPr>
          <w:rFonts w:cs="B Zar" w:hint="cs"/>
          <w:i/>
          <w:iCs/>
          <w:rtl/>
        </w:rPr>
        <w:t>گوا</w:t>
      </w:r>
      <w:r w:rsidRPr="00C0097A">
        <w:rPr>
          <w:rFonts w:cs="B Zar" w:hint="cs"/>
          <w:rtl/>
        </w:rPr>
        <w:t xml:space="preserve">، اين نكته را دريافت كه زبان سانسكريت و زبان مردم اروپا، داراي تشابهات فراواني است. در سال 1787 </w:t>
      </w:r>
      <w:r w:rsidRPr="00C0097A">
        <w:rPr>
          <w:rFonts w:cs="B Zar" w:hint="cs"/>
          <w:i/>
          <w:iCs/>
          <w:rtl/>
        </w:rPr>
        <w:t>ويليام جونس</w:t>
      </w:r>
      <w:r w:rsidRPr="00C0097A">
        <w:rPr>
          <w:rFonts w:cs="B Zar"/>
        </w:rPr>
        <w:t>(Sir William Jones)</w:t>
      </w:r>
      <w:r w:rsidRPr="00C0097A">
        <w:rPr>
          <w:rFonts w:cs="B Zar" w:hint="cs"/>
          <w:rtl/>
        </w:rPr>
        <w:t xml:space="preserve">، اين نظريه را ثابت كرد كه زبان‌هاي هند و ايران و اروپا از يك خانواده مي‌باشند. از آن پس مسئلة نژاد آريا و سرگذشت آن بيش از پيش مورد توجه قرار گرفت. دانشمندان معتقد شدند كه مردم هند و ايران و اروپا هم نژادند. در اواخر قرن نوزدهم ماكس مولر </w:t>
      </w:r>
      <w:r w:rsidRPr="00C0097A">
        <w:rPr>
          <w:rFonts w:cs="B Zar"/>
        </w:rPr>
        <w:t>(Max Muller)</w:t>
      </w:r>
      <w:r w:rsidRPr="00C0097A">
        <w:rPr>
          <w:rFonts w:cs="B Zar" w:hint="cs"/>
          <w:rtl/>
        </w:rPr>
        <w:t xml:space="preserve">، مردم شناس و باستان شناس معروف، اعلام كرد كه ملل ياد شده داراي وحدت نژادي نيستند، بلكه تنها داراي وحدت زبان مي‌باشند؛ بدين معنا كه قبائل و اقوام گوناگون زبان آريائي را اخذ كرده‌اند. بنابراين، هويت واحد هندي، فارسي و اروپايي، متشكل از وحدت نژادي نيست؛ بلكه به سبب يگانگي زبان است. گروه ديگري از انديشمندان، به ويژه دانشمندان آلماني دوران جنگ جهاني دوم و دوران ايدئولوژي نازيها معتقد شدند كه آريائيها نه تنها يكي از نژادها، بلكه برجسته‌ترين نژاد تاريخ بشر مي‌باشند. پينكا </w:t>
      </w:r>
      <w:r w:rsidRPr="00C0097A">
        <w:rPr>
          <w:rFonts w:cs="B Zar"/>
        </w:rPr>
        <w:t>(Pinka)</w:t>
      </w:r>
      <w:r w:rsidRPr="00C0097A">
        <w:rPr>
          <w:rFonts w:cs="B Zar" w:hint="cs"/>
          <w:rtl/>
        </w:rPr>
        <w:t xml:space="preserve"> پرچمدار اصلي اين نظريه است. گرچه امروزه ديدگاه ماكس مولر در محافل علمي بيشتر مورد توجه است، ولي هنوز برخي دانشمندان از نظريه پينكا تبعيت مي‌كنند</w:t>
      </w:r>
      <w:r>
        <w:rPr>
          <w:rStyle w:val="FootnoteReference"/>
          <w:rFonts w:cs="B Zar"/>
          <w:rtl/>
        </w:rPr>
        <w:footnoteReference w:id="136"/>
      </w:r>
      <w:r w:rsidRPr="00C0097A">
        <w:rPr>
          <w:rFonts w:cs="B Zar" w:hint="cs"/>
          <w:rtl/>
        </w:rPr>
        <w:t>.</w:t>
      </w:r>
    </w:p>
    <w:p w:rsidR="0011420A" w:rsidRPr="00C0097A" w:rsidP="003C0EF5">
      <w:pPr>
        <w:widowControl w:val="0"/>
        <w:spacing w:line="420" w:lineRule="exact"/>
        <w:ind w:left="0" w:right="0"/>
        <w:jc w:val="both"/>
        <w:rPr>
          <w:rFonts w:cs="B Zar" w:hint="cs"/>
          <w:rtl/>
        </w:rPr>
      </w:pPr>
      <w:r w:rsidRPr="00C0097A">
        <w:rPr>
          <w:rFonts w:cs="B Zar" w:hint="cs"/>
          <w:rtl/>
        </w:rPr>
        <w:t>همچنان ‌كه دانشمندان در مورد هويت آريايي دچار اختلافند، در مورد موطن اوليه آريائي‌ها به راي واحدي نرسيده‌اند و نظريه‌هاي ضدّ و نقيضي در اين زمينه ابراز شده كه اكثر آنها هم متأثر از تعصب‌هاي ملي و نژادي است.</w:t>
      </w:r>
    </w:p>
    <w:p w:rsidR="0011420A" w:rsidRPr="00C0097A" w:rsidP="003C0EF5">
      <w:pPr>
        <w:widowControl w:val="0"/>
        <w:spacing w:line="420" w:lineRule="exact"/>
        <w:ind w:left="0" w:right="0"/>
        <w:jc w:val="both"/>
        <w:rPr>
          <w:rFonts w:cs="B Zar" w:hint="cs"/>
          <w:rtl/>
        </w:rPr>
      </w:pPr>
      <w:r w:rsidRPr="00C0097A">
        <w:rPr>
          <w:rFonts w:cs="B Zar" w:hint="cs"/>
          <w:rtl/>
        </w:rPr>
        <w:t xml:space="preserve">دانشمندان آلماني در دوره اقتدار نازيسم، به شدت اين نظريه را ترويج كرده‌اند كه آريائي‌هاي اوليه، اروپائي و موطن آنان نيز آلمان بوده است. تكيه‌گاه استدلالي اينان مشخصات فيزيولوژيك آريائي‌ها، به ويژه چشمان آبي آنهاست كه با نژاد كنوني آلمان شباهت بيشتري دارند. البته اين استدلال مورد قبول محافل علمي قرار نگرفت. در ريگ ودا، «چشم آبي» بودن از ويژگيهاي طبقه </w:t>
      </w:r>
      <w:r w:rsidRPr="00C0097A">
        <w:rPr>
          <w:rFonts w:cs="B Zar" w:hint="cs"/>
          <w:i/>
          <w:iCs/>
          <w:rtl/>
        </w:rPr>
        <w:t>برهمنان</w:t>
      </w:r>
      <w:r w:rsidRPr="00C0097A">
        <w:rPr>
          <w:rFonts w:cs="B Zar" w:hint="cs"/>
          <w:rtl/>
        </w:rPr>
        <w:t xml:space="preserve"> شمرده شده است؛ ولي با اين حال، بر اين مبنا نمي‌توان ادعا كرد كه قلمرو اصلي آريائي‌ها هند بوده است.</w:t>
      </w:r>
    </w:p>
    <w:p w:rsidR="0011420A" w:rsidRPr="00C0097A" w:rsidP="003C0EF5">
      <w:pPr>
        <w:widowControl w:val="0"/>
        <w:spacing w:line="420" w:lineRule="exact"/>
        <w:ind w:left="0" w:right="0"/>
        <w:jc w:val="both"/>
        <w:rPr>
          <w:rFonts w:cs="B Zar" w:hint="cs"/>
          <w:rtl/>
        </w:rPr>
      </w:pPr>
      <w:r w:rsidRPr="00C0097A">
        <w:rPr>
          <w:rFonts w:cs="B Zar" w:hint="cs"/>
          <w:rtl/>
        </w:rPr>
        <w:t xml:space="preserve">برخي ديگر كه از منظر زبان‌شناسي و علم معاني </w:t>
      </w:r>
      <w:r w:rsidRPr="00C0097A">
        <w:rPr>
          <w:rFonts w:cs="B Zar"/>
        </w:rPr>
        <w:t>(Morphology)</w:t>
      </w:r>
      <w:r w:rsidRPr="00C0097A">
        <w:rPr>
          <w:rFonts w:cs="B Zar" w:hint="cs"/>
          <w:rtl/>
        </w:rPr>
        <w:t xml:space="preserve"> وارد بحث شده‌ و به اين نتيجه رسيده‌اند كه زبان ليتوني </w:t>
      </w:r>
      <w:r w:rsidRPr="00C0097A">
        <w:rPr>
          <w:rFonts w:cs="B Zar"/>
        </w:rPr>
        <w:t>(Lithunia)</w:t>
      </w:r>
      <w:r w:rsidRPr="00C0097A">
        <w:rPr>
          <w:rFonts w:cs="B Zar" w:hint="cs"/>
          <w:rtl/>
        </w:rPr>
        <w:t xml:space="preserve"> بيشتر از همه، به لهجه ابتدائي آريائيهاي باستان نزديك است؛ ولي دانشمند ديگري كه روش ابداعي جامعه شناسي زباني را به كار برده،  به اين نتيجه رسيده كه واژگان آريائيهاي هند قديميتر از واژگان اقوام آريائي اروپاست. اچ.</w:t>
      </w:r>
      <w:r w:rsidRPr="00C0097A">
        <w:rPr>
          <w:rFonts w:cs="B Zar"/>
        </w:rPr>
        <w:t xml:space="preserve"> </w:t>
      </w:r>
      <w:r w:rsidRPr="00C0097A">
        <w:rPr>
          <w:rFonts w:cs="B Zar" w:hint="cs"/>
          <w:i/>
          <w:iCs/>
          <w:rtl/>
        </w:rPr>
        <w:t>گين‌ترت</w:t>
      </w:r>
      <w:r w:rsidRPr="00C0097A">
        <w:rPr>
          <w:rFonts w:cs="B Zar" w:hint="cs"/>
          <w:rtl/>
        </w:rPr>
        <w:t xml:space="preserve"> </w:t>
      </w:r>
      <w:r w:rsidRPr="00C0097A">
        <w:rPr>
          <w:rFonts w:cs="B Zar"/>
        </w:rPr>
        <w:t>(H.Gintert)</w:t>
      </w:r>
      <w:r w:rsidRPr="00C0097A">
        <w:rPr>
          <w:rFonts w:cs="B Zar" w:hint="cs"/>
          <w:rtl/>
        </w:rPr>
        <w:t xml:space="preserve"> و ف.ر.شروير </w:t>
      </w:r>
      <w:r w:rsidRPr="00C0097A">
        <w:rPr>
          <w:rFonts w:cs="B Zar"/>
        </w:rPr>
        <w:t>(F.R.Schrour)</w:t>
      </w:r>
      <w:r w:rsidRPr="00C0097A">
        <w:rPr>
          <w:rFonts w:cs="B Zar" w:hint="cs"/>
          <w:rtl/>
        </w:rPr>
        <w:t>، خاطر نشان ساختند كه در واقع اروپاي غربي پس از ساير مناطق ديگر تحت نفوذ آريائيها قرار گرفت</w:t>
      </w:r>
      <w:r>
        <w:rPr>
          <w:rStyle w:val="FootnoteReference"/>
          <w:rFonts w:cs="B Zar"/>
          <w:rtl/>
        </w:rPr>
        <w:footnoteReference w:id="137"/>
      </w:r>
      <w:r w:rsidRPr="00C0097A">
        <w:rPr>
          <w:rFonts w:cs="B Zar" w:hint="cs"/>
          <w:rtl/>
        </w:rPr>
        <w:t>.</w:t>
      </w:r>
    </w:p>
    <w:p w:rsidR="0011420A" w:rsidRPr="00C0097A" w:rsidP="003C0EF5">
      <w:pPr>
        <w:widowControl w:val="0"/>
        <w:spacing w:line="420" w:lineRule="exact"/>
        <w:ind w:left="0" w:right="0"/>
        <w:jc w:val="both"/>
        <w:rPr>
          <w:rFonts w:cs="B Zar" w:hint="cs"/>
          <w:rtl/>
        </w:rPr>
      </w:pPr>
      <w:r w:rsidRPr="00C0097A">
        <w:rPr>
          <w:rFonts w:cs="B Zar" w:hint="cs"/>
          <w:rtl/>
        </w:rPr>
        <w:t>دسته‌اي از دانشمندان هندو كه تعصب ملي دارند، دائماً تلاش مي‌كنند ثابت كنند آريايي‌ها، هندي‌الاصل بودند و از خارج وارد هند نشدند. استدلال عمده آنها اين است كه در ريگ ودا ـ كه قديمترين اثر ديني و فلسفي آريائيها در جهان است ـ اشاره‌اي به ريشه هيچ سرزميني يا دياري خارج از هند نشده است. عادت اقوام و ملل اين است كه حتي پس از گذشت قرنها، موطن اوليه خود را فراموش نمي‌كنند. پس چطور شد كه در ريگ ودا هيچ اشاره‌اي به خارج از سرزمين هند وجود ندارد؛ اما دلائل و شواهد ديگر، اين نظريه را نفي مي‌كند. در اكثر مناطق شبه قارة هند، حتي در بلوچستان پاكستان، قبائل ابتدائي عموماً لهجه‌هاي دراويدي دارند. اين نشان مي‌دهد كه بوميان پيشين هند، آريائي نبودند و آريائيها بعد از آنها وارد اين سرزمين شده‌اند. اگر زماني كليد و رمز رسم‌الخط كتيبه‌هاي موهنجدارو كه قدمت آن به بيش از سه هزار سال قبل از مسيح مي‌رسد، كشف گردد و ثابت شود كه معماران اين تمدن آريائيها بوده‌اند، در آن صورت البته به طور قاطع ثابت خواهد شد كه سرزمين اصلي و اولية آريائيها، هند بوده است؛ چرا كه هيچ سراغي از آريائي‌هاي پيش از 2000 سال ق م در مناطق ديگر نمي‌توان گرفت،</w:t>
      </w:r>
      <w:r>
        <w:rPr>
          <w:rStyle w:val="FootnoteReference"/>
          <w:rFonts w:cs="B Zar"/>
          <w:rtl/>
        </w:rPr>
        <w:footnoteReference w:id="138"/>
      </w:r>
      <w:r w:rsidRPr="00C0097A">
        <w:rPr>
          <w:rFonts w:cs="B Zar" w:hint="cs"/>
          <w:rtl/>
        </w:rPr>
        <w:t xml:space="preserve"> ولي تا آن زمان، اين نظريه قابل قبول نيست.</w:t>
      </w:r>
    </w:p>
    <w:p w:rsidR="0011420A" w:rsidRPr="00C0097A" w:rsidP="003C0EF5">
      <w:pPr>
        <w:widowControl w:val="0"/>
        <w:spacing w:line="420" w:lineRule="exact"/>
        <w:ind w:left="0" w:right="0"/>
        <w:jc w:val="both"/>
        <w:rPr>
          <w:rFonts w:cs="B Zar" w:hint="cs"/>
          <w:rtl/>
        </w:rPr>
      </w:pPr>
      <w:r w:rsidRPr="00C0097A">
        <w:rPr>
          <w:rFonts w:cs="B Zar" w:hint="cs"/>
          <w:rtl/>
        </w:rPr>
        <w:t xml:space="preserve">نظريه‌اي كه هم اينك اكثر دانشمندان و پژوهشگران تاريخ باستان، آن را پذيرفته‌اند، اين است كه موطن اوليه قبائل آريائي در قسمت آسياي روسيه و يا در جنوب روسيه قرار داشت. </w:t>
      </w:r>
      <w:r w:rsidRPr="00C0097A">
        <w:rPr>
          <w:rFonts w:cs="B Zar" w:hint="cs"/>
          <w:i/>
          <w:iCs/>
          <w:rtl/>
        </w:rPr>
        <w:t>برين‌دِرس‌تاين</w:t>
      </w:r>
      <w:r w:rsidRPr="00C0097A">
        <w:rPr>
          <w:rFonts w:cs="B Zar" w:hint="cs"/>
          <w:rtl/>
        </w:rPr>
        <w:t xml:space="preserve"> </w:t>
      </w:r>
      <w:r w:rsidRPr="00C0097A">
        <w:rPr>
          <w:rFonts w:cs="B Zar"/>
        </w:rPr>
        <w:t>(Brind</w:t>
      </w:r>
      <w:r w:rsidRPr="00C0097A">
        <w:rPr>
          <w:rFonts w:cs="B Zar"/>
        </w:rPr>
        <w:t>erstein)</w:t>
      </w:r>
      <w:r w:rsidRPr="00C0097A">
        <w:rPr>
          <w:rFonts w:cs="B Zar" w:hint="cs"/>
          <w:rtl/>
        </w:rPr>
        <w:t xml:space="preserve"> و </w:t>
      </w:r>
      <w:r w:rsidRPr="00C0097A">
        <w:rPr>
          <w:rFonts w:cs="B Zar" w:hint="cs"/>
          <w:i/>
          <w:iCs/>
          <w:rtl/>
        </w:rPr>
        <w:t>گين‌ترت</w:t>
      </w:r>
      <w:r w:rsidRPr="00C0097A">
        <w:rPr>
          <w:rFonts w:cs="B Zar" w:hint="cs"/>
          <w:rtl/>
        </w:rPr>
        <w:t xml:space="preserve"> </w:t>
      </w:r>
      <w:r w:rsidRPr="00C0097A">
        <w:rPr>
          <w:rFonts w:cs="B Zar"/>
        </w:rPr>
        <w:t>(Gintert)</w:t>
      </w:r>
      <w:r w:rsidRPr="00C0097A">
        <w:rPr>
          <w:rFonts w:cs="B Zar" w:hint="cs"/>
          <w:rtl/>
        </w:rPr>
        <w:t xml:space="preserve">، با تحليل تعداد واژه‌هاي مربوط به پديده‌هاي طبيعت در كتيبه‌هاي اوليه آريائي‌ها، به اين نتيجه رسيده‌اند كه منشأ و خاستگاه آنان منطقه‌اي بوده است داراي جلگه‌هاي وسيع، عريض و در دامنه كوه‌هاي سربرافراشته. طبق عقيده برين‌درس‌تاين، اين محل نمي‌تواند غير از جلگه‌هاي وسيع در دامنه كوه‌هاي كرگيز </w:t>
      </w:r>
      <w:r w:rsidRPr="00C0097A">
        <w:rPr>
          <w:rFonts w:cs="B Zar"/>
        </w:rPr>
        <w:t>(Kirgiz)</w:t>
      </w:r>
      <w:r w:rsidRPr="00C0097A">
        <w:rPr>
          <w:rFonts w:cs="B Zar" w:hint="cs"/>
          <w:rtl/>
        </w:rPr>
        <w:t xml:space="preserve"> در جنوب اورال </w:t>
      </w:r>
      <w:r w:rsidRPr="00C0097A">
        <w:rPr>
          <w:rFonts w:cs="B Zar"/>
        </w:rPr>
        <w:t>(Ural)</w:t>
      </w:r>
      <w:r w:rsidRPr="00C0097A">
        <w:rPr>
          <w:rFonts w:cs="B Zar" w:hint="cs"/>
          <w:rtl/>
        </w:rPr>
        <w:t>، جاي ديگري باشد به اين ترتيب، موطن آريائيها، قزاقستان شوروي است</w:t>
      </w:r>
      <w:r>
        <w:rPr>
          <w:rStyle w:val="FootnoteReference"/>
          <w:rFonts w:cs="B Zar"/>
          <w:rtl/>
        </w:rPr>
        <w:footnoteReference w:id="139"/>
      </w:r>
      <w:r w:rsidRPr="00C0097A">
        <w:rPr>
          <w:rFonts w:cs="B Zar" w:hint="cs"/>
          <w:rtl/>
        </w:rPr>
        <w:t>.</w:t>
      </w:r>
    </w:p>
    <w:p w:rsidR="0011420A" w:rsidRPr="00C0097A" w:rsidP="003C0EF5">
      <w:pPr>
        <w:widowControl w:val="0"/>
        <w:spacing w:line="420" w:lineRule="exact"/>
        <w:ind w:left="0" w:right="0"/>
        <w:jc w:val="both"/>
        <w:rPr>
          <w:rFonts w:cs="B Zar" w:hint="cs"/>
          <w:rtl/>
        </w:rPr>
      </w:pPr>
      <w:r w:rsidRPr="00C0097A">
        <w:rPr>
          <w:rFonts w:cs="B Zar" w:hint="cs"/>
          <w:i/>
          <w:iCs/>
          <w:rtl/>
        </w:rPr>
        <w:t>ادوارد مي‌يرز</w:t>
      </w:r>
      <w:r w:rsidRPr="00C0097A">
        <w:rPr>
          <w:rFonts w:cs="B Zar" w:hint="cs"/>
          <w:rtl/>
        </w:rPr>
        <w:t xml:space="preserve"> </w:t>
      </w:r>
      <w:r w:rsidRPr="00C0097A">
        <w:rPr>
          <w:rFonts w:cs="B Zar"/>
        </w:rPr>
        <w:t>(Edward Meyers)</w:t>
      </w:r>
      <w:r w:rsidRPr="00C0097A">
        <w:rPr>
          <w:rFonts w:cs="B Zar" w:hint="cs"/>
          <w:rtl/>
        </w:rPr>
        <w:t xml:space="preserve"> در تحقيق ديگري مدعي شده موطن آريائي‌ها در </w:t>
      </w:r>
      <w:r w:rsidRPr="00C0097A">
        <w:rPr>
          <w:rFonts w:cs="B Zar" w:hint="cs"/>
          <w:i/>
          <w:iCs/>
          <w:rtl/>
        </w:rPr>
        <w:t>پامير</w:t>
      </w:r>
      <w:r w:rsidRPr="00C0097A">
        <w:rPr>
          <w:rFonts w:cs="B Zar" w:hint="cs"/>
          <w:rtl/>
        </w:rPr>
        <w:t xml:space="preserve"> قرار داشته است. </w:t>
      </w:r>
      <w:r w:rsidRPr="00C0097A">
        <w:rPr>
          <w:rFonts w:cs="B Zar" w:hint="cs"/>
          <w:i/>
          <w:iCs/>
          <w:rtl/>
        </w:rPr>
        <w:t>اولدن برگ</w:t>
      </w:r>
      <w:r w:rsidRPr="00C0097A">
        <w:rPr>
          <w:rFonts w:cs="B Zar" w:hint="cs"/>
          <w:rtl/>
        </w:rPr>
        <w:t>‌</w:t>
      </w:r>
      <w:r w:rsidRPr="00C0097A">
        <w:rPr>
          <w:rFonts w:cs="B Zar"/>
        </w:rPr>
        <w:t>(Oldenberg)</w:t>
      </w:r>
      <w:r w:rsidRPr="00C0097A">
        <w:rPr>
          <w:rFonts w:cs="B Zar" w:hint="cs"/>
          <w:rtl/>
        </w:rPr>
        <w:t xml:space="preserve"> و </w:t>
      </w:r>
      <w:r w:rsidRPr="00C0097A">
        <w:rPr>
          <w:rFonts w:cs="B Zar" w:hint="cs"/>
          <w:i/>
          <w:iCs/>
          <w:rtl/>
        </w:rPr>
        <w:t>كيث</w:t>
      </w:r>
      <w:r w:rsidRPr="00C0097A">
        <w:rPr>
          <w:rFonts w:cs="B Zar" w:hint="cs"/>
          <w:rtl/>
        </w:rPr>
        <w:t>‌</w:t>
      </w:r>
      <w:r w:rsidRPr="00C0097A">
        <w:rPr>
          <w:rFonts w:cs="B Zar"/>
        </w:rPr>
        <w:t>(Keith)</w:t>
      </w:r>
      <w:r w:rsidRPr="00C0097A">
        <w:rPr>
          <w:rFonts w:cs="B Zar" w:hint="cs"/>
          <w:rtl/>
        </w:rPr>
        <w:t xml:space="preserve"> نيز با اين نظريه موافق‌اند. </w:t>
      </w:r>
      <w:r w:rsidRPr="00C0097A">
        <w:rPr>
          <w:rFonts w:cs="B Zar" w:hint="cs"/>
          <w:i/>
          <w:iCs/>
          <w:rtl/>
        </w:rPr>
        <w:t>هرتسفلد</w:t>
      </w:r>
      <w:r w:rsidRPr="00C0097A">
        <w:rPr>
          <w:rFonts w:cs="B Zar" w:hint="cs"/>
          <w:rtl/>
        </w:rPr>
        <w:t>‌</w:t>
      </w:r>
      <w:r w:rsidRPr="00C0097A">
        <w:rPr>
          <w:rFonts w:cs="B Zar"/>
        </w:rPr>
        <w:t>(Hertzfeld)</w:t>
      </w:r>
      <w:r w:rsidRPr="00C0097A">
        <w:rPr>
          <w:rFonts w:cs="B Zar" w:hint="cs"/>
          <w:rtl/>
        </w:rPr>
        <w:t xml:space="preserve">، موطن آريائيها را در تركستان شوروي مي‌داند، و </w:t>
      </w:r>
      <w:r w:rsidRPr="00C0097A">
        <w:rPr>
          <w:rFonts w:cs="B Zar" w:hint="cs"/>
          <w:i/>
          <w:iCs/>
          <w:rtl/>
        </w:rPr>
        <w:t>نهرنبرگ‌</w:t>
      </w:r>
      <w:r w:rsidRPr="00C0097A">
        <w:rPr>
          <w:rFonts w:cs="B Zar"/>
        </w:rPr>
        <w:t>(Nehrenberg)</w:t>
      </w:r>
      <w:r w:rsidRPr="00C0097A">
        <w:rPr>
          <w:rFonts w:cs="B Zar" w:hint="cs"/>
          <w:rtl/>
        </w:rPr>
        <w:t xml:space="preserve"> معتقد است كه آريائيها از اهالي قزاقستان بوده‌اند. تمام اين انديشمندان، عليرغم اختلافات، براين نكته توافق دارند كه موطن اوليه آريائيها در مناطق آسياي مركزي قرار داشته است و آنها از اين مبدأ، به شرق و غرب و جنوب و شمال حركت كرده‌اند.</w:t>
      </w:r>
    </w:p>
    <w:p w:rsidR="0011420A" w:rsidRPr="00C0097A" w:rsidP="003C0EF5">
      <w:pPr>
        <w:widowControl w:val="0"/>
        <w:spacing w:line="420" w:lineRule="exact"/>
        <w:ind w:left="0" w:right="0"/>
        <w:jc w:val="both"/>
        <w:rPr>
          <w:rFonts w:cs="B Zar" w:hint="cs"/>
          <w:rtl/>
        </w:rPr>
      </w:pPr>
      <w:r w:rsidRPr="00C0097A">
        <w:rPr>
          <w:rFonts w:cs="B Zar" w:hint="cs"/>
          <w:rtl/>
        </w:rPr>
        <w:t>باستان شناسان، زمان حركت قبائل آريائي را از جنوب روسيه، در حوالي سالهاي 2500 تا 2000 ق‌م  مي دانند. زمان كوچ آنان نمي‌تواند بعد از اين تاريخ باشد؛ چرا كه از حوالي 1500 ق م، تدوين ريگ ودا شروع شد و از مضمون آن چنين بر مي‌آيد كه آريائيها تا قرنها قبل از تدوين آن در هند زيسته و هيچ منطقه‌اي را خارج از هند به ياد نداشته‌اند. در همين زمان (حدود 1950 ق م)، قبيله ديگر مهاجم، يعني هتي‌ها نيز از مناطق روسيه به سوي آسياي صغير به حركت درآمدند. شايد در آنزمان رخدادهائي نظير قحط يا سرماي شديد و يخبندان غير قابل تحمل، موجب كوچيدن قبايلي از موطن خود گرديده باشد.</w:t>
      </w:r>
    </w:p>
    <w:p w:rsidR="0011420A" w:rsidRPr="00C0097A" w:rsidP="003C0EF5">
      <w:pPr>
        <w:widowControl w:val="0"/>
        <w:spacing w:line="420" w:lineRule="exact"/>
        <w:ind w:left="0" w:right="0"/>
        <w:jc w:val="both"/>
        <w:rPr>
          <w:rFonts w:cs="B Zar" w:hint="cs"/>
          <w:rtl/>
        </w:rPr>
      </w:pPr>
      <w:r w:rsidRPr="00C0097A">
        <w:rPr>
          <w:rFonts w:cs="B Zar" w:hint="cs"/>
          <w:rtl/>
        </w:rPr>
        <w:t>پس از حركت از روسيه، آريائيها دو دسته شدند؛ دسته‌اي به سوي خاورميانه حركت كرد و دسته‌اي به سوي اروپا. به احتمال قوي آنان كه به طرف  آسيا سرازير شدند، نخست منطقه اي را در فلات پامير به عنوان وطن دوم خود انتخاب كردند و چند قرن نيز در آنجا ماندگار شدند. گروه‌هائي از اينان از سوريه و لبنان سربرآوردند و در آن جا سلطنتهاي كوچك آريائي ايجاد كردند</w:t>
      </w:r>
      <w:r>
        <w:rPr>
          <w:rStyle w:val="FootnoteReference"/>
          <w:rFonts w:cs="B Zar"/>
          <w:rtl/>
        </w:rPr>
        <w:footnoteReference w:id="140"/>
      </w:r>
      <w:r w:rsidRPr="00C0097A">
        <w:rPr>
          <w:rFonts w:cs="B Zar" w:hint="cs"/>
          <w:rtl/>
        </w:rPr>
        <w:t xml:space="preserve">. كتيبه‌هائي كه در </w:t>
      </w:r>
      <w:r w:rsidRPr="00C0097A">
        <w:rPr>
          <w:rFonts w:cs="B Zar" w:hint="cs"/>
          <w:i/>
          <w:iCs/>
          <w:rtl/>
        </w:rPr>
        <w:t>بوگوز‌كوئي</w:t>
      </w:r>
      <w:r w:rsidRPr="00C0097A">
        <w:rPr>
          <w:rFonts w:cs="B Zar" w:hint="cs"/>
          <w:rtl/>
        </w:rPr>
        <w:t xml:space="preserve"> </w:t>
      </w:r>
      <w:r w:rsidRPr="00C0097A">
        <w:rPr>
          <w:rFonts w:cs="B Zar"/>
        </w:rPr>
        <w:t>(Boghus Koi)</w:t>
      </w:r>
      <w:r w:rsidRPr="00C0097A">
        <w:rPr>
          <w:rFonts w:cs="B Zar" w:hint="cs"/>
          <w:rtl/>
        </w:rPr>
        <w:t xml:space="preserve"> كشف شده و نيز الواحي كه به خط بابلي كه در شهرك الآمريه به دست آمده، نشان از وجود شاهاني مي‌دهد كه اسامي آريائي داشتند؛ نظير؛ از</w:t>
      </w:r>
      <w:r w:rsidRPr="00C0097A">
        <w:rPr>
          <w:rFonts w:cs="B Zar" w:hint="cs"/>
          <w:i/>
          <w:iCs/>
          <w:rtl/>
        </w:rPr>
        <w:t>زاويه</w:t>
      </w:r>
      <w:r w:rsidRPr="00C0097A">
        <w:rPr>
          <w:rFonts w:cs="B Zar" w:hint="cs"/>
          <w:rtl/>
        </w:rPr>
        <w:t xml:space="preserve">، </w:t>
      </w:r>
      <w:r w:rsidRPr="00C0097A">
        <w:rPr>
          <w:rFonts w:cs="B Zar" w:hint="cs"/>
          <w:i/>
          <w:iCs/>
          <w:rtl/>
        </w:rPr>
        <w:t>ليس‌داتا</w:t>
      </w:r>
      <w:r w:rsidRPr="00C0097A">
        <w:rPr>
          <w:rFonts w:cs="B Zar" w:hint="cs"/>
          <w:rtl/>
        </w:rPr>
        <w:t xml:space="preserve"> و غيره. اين پادشاهان در مناطق سوريه بزرگ حكومت مي‌كردند.</w:t>
      </w:r>
    </w:p>
    <w:p w:rsidR="0011420A" w:rsidRPr="00C0097A" w:rsidP="003C0EF5">
      <w:pPr>
        <w:widowControl w:val="0"/>
        <w:spacing w:line="420" w:lineRule="exact"/>
        <w:ind w:left="0" w:right="0"/>
        <w:jc w:val="both"/>
        <w:rPr>
          <w:rFonts w:cs="B Zar"/>
          <w:rtl/>
        </w:rPr>
      </w:pPr>
      <w:r w:rsidRPr="00C0097A">
        <w:rPr>
          <w:rFonts w:cs="B Zar" w:hint="cs"/>
          <w:rtl/>
        </w:rPr>
        <w:t xml:space="preserve">در حركت سوم، قبائل آريائي از منطقه فلات پامير به سوي ايران و هند حركت كردند. آريائي‌هاي ايران كه </w:t>
      </w:r>
      <w:r w:rsidRPr="00C0097A">
        <w:rPr>
          <w:rFonts w:cs="B Zar" w:hint="cs"/>
          <w:i/>
          <w:iCs/>
          <w:rtl/>
        </w:rPr>
        <w:t>گاتا</w:t>
      </w:r>
      <w:r w:rsidRPr="00C0097A">
        <w:rPr>
          <w:rFonts w:cs="B Zar" w:hint="cs"/>
          <w:rtl/>
        </w:rPr>
        <w:t xml:space="preserve"> و </w:t>
      </w:r>
      <w:r w:rsidRPr="00C0097A">
        <w:rPr>
          <w:rFonts w:cs="B Zar" w:hint="cs"/>
          <w:i/>
          <w:iCs/>
          <w:rtl/>
        </w:rPr>
        <w:t>اوستا</w:t>
      </w:r>
      <w:r w:rsidRPr="00C0097A">
        <w:rPr>
          <w:rFonts w:cs="B Zar" w:hint="cs"/>
          <w:rtl/>
        </w:rPr>
        <w:t xml:space="preserve"> را تدوين كردند، در آنزمان هنوز موطن ثاني خود، يعني فلات پامير را فراموش نكرده بودند و آنرا </w:t>
      </w:r>
      <w:r w:rsidRPr="00C0097A">
        <w:rPr>
          <w:rFonts w:cs="B Zar" w:hint="cs"/>
          <w:i/>
          <w:iCs/>
          <w:rtl/>
        </w:rPr>
        <w:t>آريان ويز</w:t>
      </w:r>
      <w:r w:rsidRPr="00C0097A">
        <w:rPr>
          <w:rFonts w:cs="B Zar" w:hint="cs"/>
          <w:rtl/>
        </w:rPr>
        <w:t xml:space="preserve"> مي‌خواندند.</w:t>
      </w:r>
    </w:p>
    <w:p w:rsidR="009F1464" w:rsidP="003C0EF5">
      <w:pPr>
        <w:pStyle w:val="Heading2"/>
        <w:keepNext w:val="0"/>
        <w:widowControl w:val="0"/>
        <w:spacing w:line="420" w:lineRule="exact"/>
        <w:ind w:left="0" w:right="0"/>
        <w:jc w:val="center"/>
        <w:rPr>
          <w:rFonts w:cs="B Zar" w:hint="cs"/>
          <w:sz w:val="28"/>
          <w:szCs w:val="28"/>
          <w:rtl/>
        </w:rPr>
      </w:pPr>
      <w:r w:rsidRPr="00C0097A" w:rsidR="0011420A">
        <w:rPr>
          <w:rFonts w:cs="B Zar"/>
          <w:sz w:val="28"/>
          <w:szCs w:val="28"/>
          <w:rtl/>
        </w:rPr>
        <w:br w:type="page"/>
      </w:r>
    </w:p>
    <w:p w:rsidR="009F1464" w:rsidRPr="009F1464" w:rsidP="009F1464">
      <w:pPr>
        <w:ind w:left="0" w:right="0"/>
        <w:jc w:val="both"/>
        <w:rPr>
          <w:rFonts w:hint="cs"/>
          <w:rtl/>
        </w:rPr>
      </w:pPr>
    </w:p>
    <w:p w:rsidR="0011420A" w:rsidRPr="00C0097A" w:rsidP="003C0EF5">
      <w:pPr>
        <w:pStyle w:val="Heading2"/>
        <w:keepNext w:val="0"/>
        <w:widowControl w:val="0"/>
        <w:spacing w:line="420" w:lineRule="exact"/>
        <w:ind w:left="0" w:right="0"/>
        <w:jc w:val="center"/>
        <w:rPr>
          <w:rFonts w:cs="B Zar"/>
          <w:sz w:val="28"/>
          <w:szCs w:val="28"/>
        </w:rPr>
      </w:pPr>
      <w:r w:rsidRPr="00C0097A">
        <w:rPr>
          <w:rFonts w:cs="B Zar" w:hint="eastAsia"/>
          <w:sz w:val="28"/>
          <w:szCs w:val="28"/>
          <w:rtl/>
        </w:rPr>
        <w:t>مآخذ</w:t>
      </w:r>
      <w:r w:rsidRPr="00C0097A">
        <w:rPr>
          <w:rFonts w:cs="B Zar"/>
          <w:sz w:val="28"/>
          <w:szCs w:val="28"/>
          <w:rtl/>
        </w:rPr>
        <w:t xml:space="preserve"> </w:t>
      </w:r>
      <w:r w:rsidRPr="00C0097A">
        <w:rPr>
          <w:rFonts w:cs="B Zar" w:hint="eastAsia"/>
          <w:sz w:val="28"/>
          <w:szCs w:val="28"/>
          <w:rtl/>
        </w:rPr>
        <w:t>بخش</w:t>
      </w:r>
    </w:p>
    <w:p w:rsidR="0011420A" w:rsidRPr="00C0097A" w:rsidP="003C0EF5">
      <w:pPr>
        <w:widowControl w:val="0"/>
        <w:spacing w:line="420" w:lineRule="exact"/>
        <w:ind w:left="0" w:right="0"/>
        <w:jc w:val="both"/>
        <w:rPr>
          <w:rFonts w:cs="B Zar" w:hint="cs"/>
          <w:sz w:val="28"/>
        </w:rPr>
      </w:pPr>
    </w:p>
    <w:p w:rsidR="0011420A" w:rsidRPr="00C0097A" w:rsidP="003C0EF5">
      <w:pPr>
        <w:widowControl w:val="0"/>
        <w:numPr>
          <w:ilvl w:val="0"/>
          <w:numId w:val="19"/>
        </w:numPr>
        <w:spacing w:line="420" w:lineRule="exact"/>
        <w:ind w:left="720" w:right="0"/>
        <w:jc w:val="both"/>
        <w:rPr>
          <w:rFonts w:cs="B Zar" w:hint="cs"/>
          <w:rtl/>
        </w:rPr>
      </w:pPr>
      <w:r w:rsidRPr="00C0097A">
        <w:rPr>
          <w:rFonts w:cs="B Zar" w:hint="cs"/>
          <w:rtl/>
        </w:rPr>
        <w:t xml:space="preserve">قرآن كريم  </w:t>
      </w:r>
    </w:p>
    <w:p w:rsidR="0011420A" w:rsidRPr="00C0097A" w:rsidP="003C0EF5">
      <w:pPr>
        <w:widowControl w:val="0"/>
        <w:numPr>
          <w:ilvl w:val="0"/>
          <w:numId w:val="19"/>
        </w:numPr>
        <w:spacing w:line="420" w:lineRule="exact"/>
        <w:ind w:left="720" w:right="0"/>
        <w:jc w:val="both"/>
        <w:rPr>
          <w:rFonts w:ascii="IPT.Lotus" w:hAnsi="IPT.Lotus" w:cs="B Zar"/>
          <w:sz w:val="28"/>
          <w:szCs w:val="28"/>
          <w:rtl/>
        </w:rPr>
      </w:pPr>
      <w:r w:rsidRPr="00C0097A">
        <w:rPr>
          <w:rFonts w:cs="B Zar" w:hint="cs"/>
          <w:rtl/>
        </w:rPr>
        <w:t xml:space="preserve"> </w:t>
      </w:r>
      <w:r w:rsidRPr="00C0097A">
        <w:rPr>
          <w:rFonts w:ascii="IPT.Lotus" w:hAnsi="IPT.Lotus" w:cs="B Zar" w:hint="cs"/>
          <w:sz w:val="28"/>
          <w:szCs w:val="28"/>
          <w:rtl/>
        </w:rPr>
        <w:t>ابن خلدون : مفدمه،</w:t>
      </w:r>
    </w:p>
    <w:p w:rsidR="0011420A" w:rsidRPr="00C0097A" w:rsidP="003C0EF5">
      <w:pPr>
        <w:widowControl w:val="0"/>
        <w:spacing w:line="420" w:lineRule="exact"/>
        <w:ind w:left="0" w:right="0"/>
        <w:jc w:val="both"/>
        <w:rPr>
          <w:rFonts w:cs="B Zar"/>
          <w:sz w:val="28"/>
        </w:rPr>
      </w:pP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Ander</w:t>
      </w:r>
      <w:r w:rsidRPr="00C0097A">
        <w:rPr>
          <w:rFonts w:cs="B Zar"/>
        </w:rPr>
        <w:t xml:space="preserve">son, J.D.: People of </w:t>
      </w:r>
      <w:smartTag w:uri="urn:schemas-microsoft-com:office:smarttags" w:element="country-region">
        <w:r w:rsidRPr="00C0097A">
          <w:rPr>
            <w:rFonts w:cs="B Zar"/>
          </w:rPr>
          <w:t>India</w:t>
        </w:r>
      </w:smartTag>
      <w:r w:rsidRPr="00C0097A">
        <w:rPr>
          <w:rFonts w:cs="B Zar"/>
        </w:rPr>
        <w:t xml:space="preserve">, </w:t>
      </w:r>
      <w:smartTag w:uri="urn:schemas-microsoft-com:office:smarttags" w:element="place">
        <w:smartTag w:uri="urn:schemas-microsoft-com:office:smarttags" w:element="City">
          <w:r w:rsidRPr="00C0097A">
            <w:rPr>
              <w:rFonts w:cs="B Zar"/>
            </w:rPr>
            <w:t>Cambridge</w:t>
          </w:r>
        </w:smartTag>
      </w:smartTag>
      <w:r w:rsidRPr="00C0097A">
        <w:rPr>
          <w:rFonts w:cs="B Zar"/>
        </w:rPr>
        <w:t>, 1913</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Bagchi, P.C: Pre-Aryan and Pre-Dravidian </w:t>
      </w:r>
      <w:smartTag w:uri="urn:schemas-microsoft-com:office:smarttags" w:element="country-region">
        <w:r w:rsidRPr="00C0097A">
          <w:rPr>
            <w:rFonts w:cs="B Zar"/>
          </w:rPr>
          <w:t>India</w:t>
        </w:r>
      </w:smartTag>
      <w:r w:rsidRPr="00C0097A">
        <w:rPr>
          <w:rFonts w:cs="B Zar"/>
        </w:rPr>
        <w:t xml:space="preserve">, </w:t>
      </w:r>
      <w:smartTag w:uri="urn:schemas-microsoft-com:office:smarttags" w:element="place">
        <w:smartTag w:uri="urn:schemas-microsoft-com:office:smarttags" w:element="PlaceName">
          <w:r w:rsidRPr="00C0097A">
            <w:rPr>
              <w:rFonts w:cs="B Zar"/>
            </w:rPr>
            <w:t>Calcutta</w:t>
          </w:r>
        </w:smartTag>
        <w:r w:rsidRPr="00C0097A">
          <w:rPr>
            <w:rFonts w:cs="B Zar"/>
          </w:rPr>
          <w:t xml:space="preserve"> </w:t>
        </w:r>
        <w:smartTag w:uri="urn:schemas-microsoft-com:office:smarttags" w:element="PlaceType">
          <w:r w:rsidRPr="00C0097A">
            <w:rPr>
              <w:rFonts w:cs="B Zar"/>
            </w:rPr>
            <w:t>University</w:t>
          </w:r>
        </w:smartTag>
      </w:smartTag>
      <w:r w:rsidRPr="00C0097A">
        <w:rPr>
          <w:rFonts w:cs="B Zar"/>
        </w:rPr>
        <w:t>, 1929</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Barton, G.A. : Royal Inscriptions of </w:t>
      </w:r>
      <w:smartTag w:uri="urn:schemas-microsoft-com:office:smarttags" w:element="country-region">
        <w:r w:rsidRPr="00C0097A">
          <w:rPr>
            <w:rFonts w:cs="B Zar"/>
          </w:rPr>
          <w:t>Sumer</w:t>
        </w:r>
      </w:smartTag>
      <w:r w:rsidRPr="00C0097A">
        <w:rPr>
          <w:rFonts w:cs="B Zar"/>
        </w:rPr>
        <w:t xml:space="preserve"> and Akkad, </w:t>
      </w:r>
      <w:smartTag w:uri="urn:schemas-microsoft-com:office:smarttags" w:element="place">
        <w:smartTag w:uri="urn:schemas-microsoft-com:office:smarttags" w:element="City">
          <w:r w:rsidRPr="00C0097A">
            <w:rPr>
              <w:rFonts w:cs="B Zar"/>
            </w:rPr>
            <w:t>London</w:t>
          </w:r>
        </w:smartTag>
      </w:smartTag>
      <w:r w:rsidRPr="00C0097A">
        <w:rPr>
          <w:rFonts w:cs="B Zar"/>
        </w:rPr>
        <w:t>,, 1929</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Bhagvata Gita: </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Bhandarkar,  S: Some Aspcts of Ancient Indian Culture, </w:t>
      </w:r>
      <w:smartTag w:uri="urn:schemas-microsoft-com:office:smarttags" w:element="place">
        <w:smartTag w:uri="urn:schemas-microsoft-com:office:smarttags" w:element="City">
          <w:r w:rsidRPr="00C0097A">
            <w:rPr>
              <w:rFonts w:cs="B Zar"/>
            </w:rPr>
            <w:t>Madras</w:t>
          </w:r>
        </w:smartTag>
      </w:smartTag>
      <w:r w:rsidRPr="00C0097A">
        <w:rPr>
          <w:rFonts w:cs="B Zar"/>
        </w:rPr>
        <w:t>, 1940</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Bottero, Jean Etc.,</w:t>
      </w:r>
      <w:r w:rsidR="004F2C94">
        <w:rPr>
          <w:rFonts w:cs="B Zar"/>
        </w:rPr>
        <w:t xml:space="preserve"> </w:t>
      </w:r>
      <w:r w:rsidRPr="00C0097A">
        <w:rPr>
          <w:rFonts w:cs="B Zar"/>
        </w:rPr>
        <w:t xml:space="preserve">1967, </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004F2C94">
        <w:rPr>
          <w:rFonts w:cs="B Zar"/>
        </w:rPr>
        <w:t>Chakrvarti, A</w:t>
      </w:r>
      <w:r w:rsidRPr="00C0097A">
        <w:rPr>
          <w:rFonts w:cs="B Zar"/>
        </w:rPr>
        <w:t>: The Pre Historic P</w:t>
      </w:r>
      <w:r w:rsidR="004F2C94">
        <w:rPr>
          <w:rFonts w:cs="B Zar"/>
        </w:rPr>
        <w:t>e</w:t>
      </w:r>
      <w:r w:rsidRPr="00C0097A">
        <w:rPr>
          <w:rFonts w:cs="B Zar"/>
        </w:rPr>
        <w:t xml:space="preserve">riod  in </w:t>
      </w:r>
      <w:smartTag w:uri="urn:schemas-microsoft-com:office:smarttags" w:element="country-region">
        <w:r w:rsidRPr="00C0097A">
          <w:rPr>
            <w:rFonts w:cs="B Zar"/>
          </w:rPr>
          <w:t>India</w:t>
        </w:r>
      </w:smartTag>
      <w:r w:rsidRPr="00C0097A">
        <w:rPr>
          <w:rFonts w:cs="B Zar"/>
        </w:rPr>
        <w:t xml:space="preserve">, </w:t>
      </w:r>
      <w:smartTag w:uri="urn:schemas-microsoft-com:office:smarttags" w:element="place">
        <w:smartTag w:uri="urn:schemas-microsoft-com:office:smarttags" w:element="City">
          <w:r w:rsidRPr="00C0097A">
            <w:rPr>
              <w:rFonts w:cs="B Zar"/>
            </w:rPr>
            <w:t>Bombay</w:t>
          </w:r>
        </w:smartTag>
      </w:smartTag>
      <w:r w:rsidRPr="00C0097A">
        <w:rPr>
          <w:rFonts w:cs="B Zar"/>
        </w:rPr>
        <w:t>, 1941</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Chanda, </w:t>
      </w:r>
      <w:r w:rsidR="004F2C94">
        <w:rPr>
          <w:rFonts w:cs="B Zar"/>
        </w:rPr>
        <w:t>R</w:t>
      </w:r>
      <w:r w:rsidRPr="00C0097A">
        <w:rPr>
          <w:rFonts w:cs="B Zar"/>
        </w:rPr>
        <w:t>.P.: The Indo Aryan Races, Rajshahi, 1916</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Chatterji, S.K: Race Movements and Pre-Historic Culture in </w:t>
      </w:r>
      <w:smartTag w:uri="urn:schemas-microsoft-com:office:smarttags" w:element="country-region">
        <w:r w:rsidRPr="00C0097A">
          <w:rPr>
            <w:rFonts w:cs="B Zar"/>
          </w:rPr>
          <w:t>India</w:t>
        </w:r>
      </w:smartTag>
      <w:r w:rsidRPr="00C0097A">
        <w:rPr>
          <w:rFonts w:cs="B Zar"/>
        </w:rPr>
        <w:t xml:space="preserve">, </w:t>
      </w:r>
      <w:smartTag w:uri="urn:schemas-microsoft-com:office:smarttags" w:element="place">
        <w:smartTag w:uri="urn:schemas-microsoft-com:office:smarttags" w:element="City">
          <w:r w:rsidRPr="00C0097A">
            <w:rPr>
              <w:rFonts w:cs="B Zar"/>
            </w:rPr>
            <w:t>Bombay</w:t>
          </w:r>
        </w:smartTag>
      </w:smartTag>
      <w:r w:rsidRPr="00C0097A">
        <w:rPr>
          <w:rFonts w:cs="B Zar"/>
        </w:rPr>
        <w:t xml:space="preserve">, 1951 </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Chatterji, S.K:Dravidian Origin and the Beginning of Indian Civilization, , </w:t>
      </w:r>
      <w:smartTag w:uri="urn:schemas-microsoft-com:office:smarttags" w:element="place">
        <w:smartTag w:uri="urn:schemas-microsoft-com:office:smarttags" w:element="City">
          <w:r w:rsidRPr="00C0097A">
            <w:rPr>
              <w:rFonts w:cs="B Zar"/>
            </w:rPr>
            <w:t>Bombay</w:t>
          </w:r>
        </w:smartTag>
      </w:smartTag>
      <w:r w:rsidRPr="00C0097A">
        <w:rPr>
          <w:rFonts w:cs="B Zar"/>
        </w:rPr>
        <w:t xml:space="preserve"> 1977</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Childe, V.G.: The Aryans, </w:t>
      </w:r>
      <w:smartTag w:uri="urn:schemas-microsoft-com:office:smarttags" w:element="place">
        <w:smartTag w:uri="urn:schemas-microsoft-com:office:smarttags" w:element="State">
          <w:r w:rsidRPr="00C0097A">
            <w:rPr>
              <w:rFonts w:cs="B Zar"/>
            </w:rPr>
            <w:t>New York</w:t>
          </w:r>
        </w:smartTag>
      </w:smartTag>
      <w:r w:rsidRPr="00C0097A">
        <w:rPr>
          <w:rFonts w:cs="B Zar"/>
        </w:rPr>
        <w:t>, 1926.</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Driver, G. and J.Miles: The Babylonian Law. (Volume II) </w:t>
      </w:r>
      <w:smartTag w:uri="urn:schemas-microsoft-com:office:smarttags" w:element="place">
        <w:smartTag w:uri="urn:schemas-microsoft-com:office:smarttags" w:element="City">
          <w:r w:rsidRPr="00C0097A">
            <w:rPr>
              <w:rFonts w:cs="B Zar"/>
            </w:rPr>
            <w:t>Oxford</w:t>
          </w:r>
        </w:smartTag>
      </w:smartTag>
      <w:r w:rsidRPr="00C0097A">
        <w:rPr>
          <w:rFonts w:cs="B Zar"/>
        </w:rPr>
        <w:t>, 1952</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Durkheim, E.: The Division of Labour in Society, </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Durkhiem, Emile: Primitive Forms of  Religious Life, </w:t>
      </w:r>
      <w:smartTag w:uri="urn:schemas-microsoft-com:office:smarttags" w:element="place">
        <w:smartTag w:uri="urn:schemas-microsoft-com:office:smarttags" w:element="City">
          <w:r w:rsidRPr="00C0097A">
            <w:rPr>
              <w:rFonts w:cs="B Zar"/>
            </w:rPr>
            <w:t>London</w:t>
          </w:r>
        </w:smartTag>
      </w:smartTag>
      <w:r w:rsidRPr="00C0097A">
        <w:rPr>
          <w:rFonts w:cs="B Zar"/>
        </w:rPr>
        <w:t>, 1962</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Falkenstein, A. : Code of Imamo,. 2</w:t>
      </w:r>
      <w:r w:rsidRPr="00C0097A">
        <w:rPr>
          <w:rFonts w:cs="B Zar"/>
          <w:vertAlign w:val="superscript"/>
        </w:rPr>
        <w:t>nd</w:t>
      </w:r>
      <w:r w:rsidRPr="00C0097A">
        <w:rPr>
          <w:rFonts w:cs="B Zar"/>
        </w:rPr>
        <w:t xml:space="preserve">  Edition, </w:t>
      </w:r>
      <w:smartTag w:uri="urn:schemas-microsoft-com:office:smarttags" w:element="place">
        <w:smartTag w:uri="urn:schemas-microsoft-com:office:smarttags" w:element="City">
          <w:r w:rsidRPr="00C0097A">
            <w:rPr>
              <w:rFonts w:cs="B Zar"/>
            </w:rPr>
            <w:t>London</w:t>
          </w:r>
        </w:smartTag>
      </w:smartTag>
      <w:r w:rsidRPr="00C0097A">
        <w:rPr>
          <w:rFonts w:cs="B Zar"/>
        </w:rPr>
        <w:t>, 1975</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Falkenstein, Adam: The Pre-History and Proto History of Western. </w:t>
      </w:r>
      <w:smartTag w:uri="urn:schemas-microsoft-com:office:smarttags" w:element="place">
        <w:r w:rsidRPr="00C0097A">
          <w:rPr>
            <w:rFonts w:cs="B Zar"/>
          </w:rPr>
          <w:t>Asia</w:t>
        </w:r>
      </w:smartTag>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Foote, T: Indian Pre</w:t>
      </w:r>
      <w:r w:rsidR="00F359D4">
        <w:rPr>
          <w:rFonts w:cs="B Zar"/>
        </w:rPr>
        <w:t>-</w:t>
      </w:r>
      <w:r w:rsidRPr="00C0097A">
        <w:rPr>
          <w:rFonts w:cs="B Zar"/>
        </w:rPr>
        <w:t xml:space="preserve">Historic and Proto-Historic Antiquities, </w:t>
      </w:r>
      <w:smartTag w:uri="urn:schemas-microsoft-com:office:smarttags" w:element="place">
        <w:smartTag w:uri="urn:schemas-microsoft-com:office:smarttags" w:element="City">
          <w:r w:rsidRPr="00C0097A">
            <w:rPr>
              <w:rFonts w:cs="B Zar"/>
            </w:rPr>
            <w:t>Calcutta</w:t>
          </w:r>
        </w:smartTag>
      </w:smartTag>
      <w:r w:rsidRPr="00C0097A">
        <w:rPr>
          <w:rFonts w:cs="B Zar"/>
        </w:rPr>
        <w:t>, 1916</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Ghosh, B.K.: The Aryan Problem, </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spacing w:val="-12"/>
        </w:rPr>
        <w:t>Guha,</w:t>
      </w:r>
      <w:r w:rsidR="00F359D4">
        <w:rPr>
          <w:rFonts w:cs="B Zar"/>
          <w:spacing w:val="-12"/>
        </w:rPr>
        <w:t xml:space="preserve"> </w:t>
      </w:r>
      <w:r w:rsidRPr="00C0097A">
        <w:rPr>
          <w:rFonts w:cs="B Zar"/>
          <w:spacing w:val="-12"/>
        </w:rPr>
        <w:t>B.S.</w:t>
      </w:r>
      <w:r w:rsidRPr="00C0097A">
        <w:rPr>
          <w:rFonts w:cs="B Zar"/>
        </w:rPr>
        <w:t xml:space="preserve">: Racial Affinities of the </w:t>
      </w:r>
      <w:r w:rsidR="00F359D4">
        <w:rPr>
          <w:rFonts w:cs="B Zar"/>
        </w:rPr>
        <w:t>P</w:t>
      </w:r>
      <w:r w:rsidRPr="00C0097A">
        <w:rPr>
          <w:rFonts w:cs="B Zar"/>
        </w:rPr>
        <w:t xml:space="preserve">eople of </w:t>
      </w:r>
      <w:smartTag w:uri="urn:schemas-microsoft-com:office:smarttags" w:element="place">
        <w:smartTag w:uri="urn:schemas-microsoft-com:office:smarttags" w:element="country-region">
          <w:r w:rsidRPr="00C0097A">
            <w:rPr>
              <w:rFonts w:cs="B Zar"/>
            </w:rPr>
            <w:t>India</w:t>
          </w:r>
        </w:smartTag>
      </w:smartTag>
      <w:r w:rsidRPr="00C0097A">
        <w:rPr>
          <w:rFonts w:cs="B Zar"/>
        </w:rPr>
        <w:t xml:space="preserve"> (In the Census of India. 1931) </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Guha,B.S.: Racial Elements in the Population of </w:t>
      </w:r>
      <w:smartTag w:uri="urn:schemas-microsoft-com:office:smarttags" w:element="country-region">
        <w:r w:rsidRPr="00C0097A">
          <w:rPr>
            <w:rFonts w:cs="B Zar"/>
          </w:rPr>
          <w:t>India</w:t>
        </w:r>
      </w:smartTag>
      <w:r w:rsidR="00F359D4">
        <w:rPr>
          <w:rFonts w:cs="B Zar"/>
        </w:rPr>
        <w:t xml:space="preserve">: </w:t>
      </w:r>
      <w:smartTag w:uri="urn:schemas-microsoft-com:office:smarttags" w:element="place">
        <w:smartTag w:uri="urn:schemas-microsoft-com:office:smarttags" w:element="City">
          <w:r w:rsidRPr="00C0097A">
            <w:rPr>
              <w:rFonts w:cs="B Zar"/>
            </w:rPr>
            <w:t>Oxford</w:t>
          </w:r>
        </w:smartTag>
      </w:smartTag>
      <w:r w:rsidRPr="00C0097A">
        <w:rPr>
          <w:rFonts w:cs="B Zar"/>
        </w:rPr>
        <w:t xml:space="preserve">  Pamphlet on Indian Affair </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spacing w:val="-12"/>
        </w:rPr>
      </w:pPr>
      <w:r w:rsidRPr="00C0097A">
        <w:rPr>
          <w:rFonts w:cs="B Zar"/>
          <w:spacing w:val="-12"/>
        </w:rPr>
        <w:t>Guha,</w:t>
      </w:r>
      <w:r w:rsidR="00F359D4">
        <w:rPr>
          <w:rFonts w:cs="B Zar"/>
          <w:spacing w:val="-12"/>
        </w:rPr>
        <w:t xml:space="preserve"> </w:t>
      </w:r>
      <w:r w:rsidRPr="00C0097A">
        <w:rPr>
          <w:rFonts w:cs="B Zar"/>
          <w:spacing w:val="-12"/>
        </w:rPr>
        <w:t xml:space="preserve">B.S.: An Outline of the </w:t>
      </w:r>
      <w:r w:rsidRPr="00C0097A">
        <w:rPr>
          <w:rFonts w:cs="B Zar"/>
        </w:rPr>
        <w:t xml:space="preserve"> Racial Etymology of </w:t>
      </w:r>
      <w:smartTag w:uri="urn:schemas-microsoft-com:office:smarttags" w:element="country-region">
        <w:r w:rsidRPr="00C0097A">
          <w:rPr>
            <w:rFonts w:cs="B Zar"/>
          </w:rPr>
          <w:t>India</w:t>
        </w:r>
      </w:smartTag>
      <w:r w:rsidRPr="00C0097A">
        <w:rPr>
          <w:rFonts w:cs="B Zar"/>
        </w:rPr>
        <w:t xml:space="preserve">, </w:t>
      </w:r>
      <w:smartTag w:uri="urn:schemas-microsoft-com:office:smarttags" w:element="place">
        <w:smartTag w:uri="urn:schemas-microsoft-com:office:smarttags" w:element="City">
          <w:r w:rsidRPr="00C0097A">
            <w:rPr>
              <w:rFonts w:cs="B Zar"/>
            </w:rPr>
            <w:t>Calcutta</w:t>
          </w:r>
        </w:smartTag>
      </w:smartTag>
      <w:r w:rsidRPr="00C0097A">
        <w:rPr>
          <w:rFonts w:cs="B Zar"/>
        </w:rPr>
        <w:t>, 1937</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Gupta, B.S.: An Outline of the Racial Etymology, </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Iyenger, G: Pre-Aryan Tamil Culture, </w:t>
      </w:r>
      <w:smartTag w:uri="urn:schemas-microsoft-com:office:smarttags" w:element="place">
        <w:smartTag w:uri="urn:schemas-microsoft-com:office:smarttags" w:element="City">
          <w:r w:rsidRPr="00C0097A">
            <w:rPr>
              <w:rFonts w:cs="B Zar"/>
            </w:rPr>
            <w:t>Madras</w:t>
          </w:r>
        </w:smartTag>
      </w:smartTag>
      <w:r w:rsidRPr="00C0097A">
        <w:rPr>
          <w:rFonts w:cs="B Zar"/>
        </w:rPr>
        <w:t>, 1930</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Kulhana: Tirangini, tr B.S. Banerji, </w:t>
      </w:r>
      <w:smartTag w:uri="urn:schemas-microsoft-com:office:smarttags" w:element="place">
        <w:smartTag w:uri="urn:schemas-microsoft-com:office:smarttags" w:element="City">
          <w:r w:rsidRPr="00C0097A">
            <w:rPr>
              <w:rFonts w:cs="B Zar"/>
            </w:rPr>
            <w:t>Calcutta</w:t>
          </w:r>
        </w:smartTag>
      </w:smartTag>
      <w:r w:rsidRPr="00C0097A">
        <w:rPr>
          <w:rFonts w:cs="B Zar"/>
        </w:rPr>
        <w:t>, 1951</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Mackay, E.J.H.: The Indus Civilization, </w:t>
      </w:r>
      <w:smartTag w:uri="urn:schemas-microsoft-com:office:smarttags" w:element="place">
        <w:smartTag w:uri="urn:schemas-microsoft-com:office:smarttags" w:element="City">
          <w:r w:rsidRPr="00C0097A">
            <w:rPr>
              <w:rFonts w:cs="B Zar"/>
            </w:rPr>
            <w:t>London</w:t>
          </w:r>
        </w:smartTag>
      </w:smartTag>
      <w:r w:rsidRPr="00C0097A">
        <w:rPr>
          <w:rFonts w:cs="B Zar"/>
        </w:rPr>
        <w:t>, 1935</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00F359D4">
        <w:rPr>
          <w:rFonts w:cs="B Zar"/>
        </w:rPr>
        <w:t>Majumdar, R.</w:t>
      </w:r>
      <w:r w:rsidRPr="00C0097A">
        <w:rPr>
          <w:rFonts w:cs="B Zar"/>
        </w:rPr>
        <w:t xml:space="preserve">: Sources of Indian  History, </w:t>
      </w:r>
      <w:smartTag w:uri="urn:schemas-microsoft-com:office:smarttags" w:element="place">
        <w:smartTag w:uri="urn:schemas-microsoft-com:office:smarttags" w:element="City">
          <w:r w:rsidRPr="00C0097A">
            <w:rPr>
              <w:rFonts w:cs="B Zar"/>
            </w:rPr>
            <w:t>Bombay</w:t>
          </w:r>
        </w:smartTag>
      </w:smartTag>
      <w:r w:rsidRPr="00C0097A">
        <w:rPr>
          <w:rFonts w:cs="B Zar"/>
        </w:rPr>
        <w:t>, 1951</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Malinovsky, B.: A Scientific Theory of Culture, </w:t>
      </w:r>
      <w:smartTag w:uri="urn:schemas-microsoft-com:office:smarttags" w:element="place">
        <w:smartTag w:uri="urn:schemas-microsoft-com:office:smarttags" w:element="State">
          <w:r w:rsidRPr="00C0097A">
            <w:rPr>
              <w:rFonts w:cs="B Zar"/>
            </w:rPr>
            <w:t>New York</w:t>
          </w:r>
        </w:smartTag>
      </w:smartTag>
      <w:r w:rsidRPr="00C0097A">
        <w:rPr>
          <w:rFonts w:cs="B Zar"/>
        </w:rPr>
        <w:t>, 1985</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Marshall, Sir John: Mehenjadaro and the Indus Civilization,  3 vol</w:t>
      </w:r>
      <w:r w:rsidR="00F359D4">
        <w:rPr>
          <w:rFonts w:cs="B Zar"/>
        </w:rPr>
        <w:t>s</w:t>
      </w:r>
      <w:r w:rsidRPr="00C0097A">
        <w:rPr>
          <w:rFonts w:cs="B Zar"/>
        </w:rPr>
        <w:t xml:space="preserve">, </w:t>
      </w:r>
      <w:smartTag w:uri="urn:schemas-microsoft-com:office:smarttags" w:element="place">
        <w:smartTag w:uri="urn:schemas-microsoft-com:office:smarttags" w:element="City">
          <w:r w:rsidRPr="00C0097A">
            <w:rPr>
              <w:rFonts w:cs="B Zar"/>
            </w:rPr>
            <w:t>London</w:t>
          </w:r>
        </w:smartTag>
      </w:smartTag>
      <w:r w:rsidRPr="00C0097A">
        <w:rPr>
          <w:rFonts w:cs="B Zar"/>
        </w:rPr>
        <w:t>, 1931</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ascii="IPT.Lotus" w:hAnsi="IPT.Lotus" w:cs="B Zar"/>
        </w:rPr>
      </w:pPr>
      <w:r w:rsidRPr="00C0097A">
        <w:rPr>
          <w:rFonts w:cs="B Zar"/>
        </w:rPr>
        <w:t>Meyer, Edward: Geschichte des Altertime, 3</w:t>
      </w:r>
      <w:r w:rsidRPr="00C0097A">
        <w:rPr>
          <w:rFonts w:cs="B Zar"/>
          <w:vertAlign w:val="superscript"/>
        </w:rPr>
        <w:t>rd</w:t>
      </w:r>
      <w:r w:rsidRPr="00C0097A">
        <w:rPr>
          <w:rFonts w:cs="B Zar"/>
        </w:rPr>
        <w:t xml:space="preserve"> Edn. </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Morgan, L.H.: Ancient Society, </w:t>
      </w:r>
      <w:smartTag w:uri="urn:schemas-microsoft-com:office:smarttags" w:element="place">
        <w:smartTag w:uri="urn:schemas-microsoft-com:office:smarttags" w:element="City">
          <w:r w:rsidRPr="00C0097A">
            <w:rPr>
              <w:rFonts w:cs="B Zar"/>
            </w:rPr>
            <w:t>London</w:t>
          </w:r>
        </w:smartTag>
      </w:smartTag>
      <w:r w:rsidRPr="00C0097A">
        <w:rPr>
          <w:rFonts w:cs="B Zar"/>
        </w:rPr>
        <w:t>, 1877.</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Otto Edzard, Dietz: "The Third Dynasty"in the book, The Near East: Early Civilizations, </w:t>
      </w:r>
      <w:smartTag w:uri="urn:schemas-microsoft-com:office:smarttags" w:element="place">
        <w:smartTag w:uri="urn:schemas-microsoft-com:office:smarttags" w:element="City">
          <w:r w:rsidRPr="00C0097A">
            <w:rPr>
              <w:rFonts w:cs="B Zar"/>
            </w:rPr>
            <w:t>Cambridg</w:t>
          </w:r>
          <w:r w:rsidR="00F359D4">
            <w:rPr>
              <w:rFonts w:cs="B Zar"/>
            </w:rPr>
            <w:t>e</w:t>
          </w:r>
        </w:smartTag>
      </w:smartTag>
      <w:r w:rsidRPr="00C0097A">
        <w:rPr>
          <w:rFonts w:cs="B Zar"/>
        </w:rPr>
        <w:t>, 1979</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spacing w:val="-12"/>
        </w:rPr>
      </w:pPr>
      <w:r w:rsidRPr="00C0097A">
        <w:rPr>
          <w:rFonts w:cs="B Zar"/>
          <w:spacing w:val="-12"/>
        </w:rPr>
        <w:t>Pritchard : Code of Lipit-Eshtar: Ancient Near Eastem Texts, 2</w:t>
      </w:r>
      <w:r w:rsidRPr="00C0097A">
        <w:rPr>
          <w:rFonts w:cs="B Zar"/>
          <w:spacing w:val="-12"/>
          <w:vertAlign w:val="superscript"/>
        </w:rPr>
        <w:t>nd</w:t>
      </w:r>
      <w:r w:rsidRPr="00C0097A">
        <w:rPr>
          <w:rFonts w:cs="B Zar"/>
          <w:spacing w:val="-12"/>
        </w:rPr>
        <w:t xml:space="preserve"> Ed. Princeton, 1955</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Pusalkar: The Religion of Dra</w:t>
      </w:r>
      <w:r w:rsidR="00D3400D">
        <w:rPr>
          <w:rFonts w:cs="B Zar"/>
        </w:rPr>
        <w:t>vi</w:t>
      </w:r>
      <w:r w:rsidRPr="00C0097A">
        <w:rPr>
          <w:rFonts w:cs="B Zar"/>
        </w:rPr>
        <w:t>dians, 1986</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szCs w:val="28"/>
        </w:rPr>
      </w:pPr>
      <w:r w:rsidRPr="00C0097A">
        <w:rPr>
          <w:rFonts w:cs="B Zar"/>
          <w:szCs w:val="28"/>
        </w:rPr>
        <w:t xml:space="preserve">Pusulkar, A.D. The </w:t>
      </w:r>
      <w:smartTag w:uri="urn:schemas-microsoft-com:office:smarttags" w:element="place">
        <w:smartTag w:uri="urn:schemas-microsoft-com:office:smarttags" w:element="PlaceName">
          <w:r w:rsidRPr="00C0097A">
            <w:rPr>
              <w:rFonts w:cs="B Zar"/>
              <w:szCs w:val="28"/>
            </w:rPr>
            <w:t>Indus</w:t>
          </w:r>
        </w:smartTag>
        <w:r w:rsidRPr="00C0097A">
          <w:rPr>
            <w:rFonts w:cs="B Zar"/>
            <w:szCs w:val="28"/>
          </w:rPr>
          <w:t xml:space="preserve"> </w:t>
        </w:r>
        <w:smartTag w:uri="urn:schemas-microsoft-com:office:smarttags" w:element="PlaceType">
          <w:r w:rsidRPr="00C0097A">
            <w:rPr>
              <w:rFonts w:cs="B Zar"/>
              <w:szCs w:val="28"/>
            </w:rPr>
            <w:t>Valley</w:t>
          </w:r>
        </w:smartTag>
      </w:smartTag>
      <w:r w:rsidRPr="00C0097A">
        <w:rPr>
          <w:rFonts w:cs="B Zar"/>
          <w:szCs w:val="28"/>
        </w:rPr>
        <w:t xml:space="preserve"> Civilization, </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Heras, H: Religion of the Mohenjdaro People,  </w:t>
      </w:r>
      <w:smartTag w:uri="urn:schemas-microsoft-com:office:smarttags" w:element="place">
        <w:smartTag w:uri="urn:schemas-microsoft-com:office:smarttags" w:element="City">
          <w:r w:rsidRPr="00C0097A">
            <w:rPr>
              <w:rFonts w:cs="B Zar"/>
            </w:rPr>
            <w:t>Bombay</w:t>
          </w:r>
        </w:smartTag>
      </w:smartTag>
      <w:r w:rsidRPr="00C0097A">
        <w:rPr>
          <w:rFonts w:cs="B Zar"/>
        </w:rPr>
        <w:t xml:space="preserve">, 1994 </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Risley, H.H.: Th People of </w:t>
      </w:r>
      <w:smartTag w:uri="urn:schemas-microsoft-com:office:smarttags" w:element="country-region">
        <w:r w:rsidRPr="00C0097A">
          <w:rPr>
            <w:rFonts w:cs="B Zar"/>
          </w:rPr>
          <w:t>India</w:t>
        </w:r>
      </w:smartTag>
      <w:r w:rsidRPr="00C0097A">
        <w:rPr>
          <w:rFonts w:cs="B Zar"/>
        </w:rPr>
        <w:t>, 2</w:t>
      </w:r>
      <w:r w:rsidRPr="00C0097A">
        <w:rPr>
          <w:rFonts w:cs="B Zar"/>
          <w:vertAlign w:val="superscript"/>
        </w:rPr>
        <w:t>nd</w:t>
      </w:r>
      <w:r w:rsidRPr="00C0097A">
        <w:rPr>
          <w:rFonts w:cs="B Zar"/>
        </w:rPr>
        <w:t xml:space="preserve"> Edition, </w:t>
      </w:r>
      <w:smartTag w:uri="urn:schemas-microsoft-com:office:smarttags" w:element="place">
        <w:smartTag w:uri="urn:schemas-microsoft-com:office:smarttags" w:element="City">
          <w:r w:rsidRPr="00C0097A">
            <w:rPr>
              <w:rFonts w:cs="B Zar"/>
            </w:rPr>
            <w:t>London</w:t>
          </w:r>
        </w:smartTag>
      </w:smartTag>
      <w:r w:rsidRPr="00C0097A">
        <w:rPr>
          <w:rFonts w:cs="B Zar"/>
        </w:rPr>
        <w:t>, 1915</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Racial Elements in the Population of </w:t>
      </w:r>
      <w:smartTag w:uri="urn:schemas-microsoft-com:office:smarttags" w:element="place">
        <w:smartTag w:uri="urn:schemas-microsoft-com:office:smarttags" w:element="country-region">
          <w:r w:rsidRPr="00C0097A">
            <w:rPr>
              <w:rFonts w:cs="B Zar"/>
            </w:rPr>
            <w:t>India</w:t>
          </w:r>
        </w:smartTag>
      </w:smartTag>
      <w:r w:rsidRPr="00C0097A">
        <w:rPr>
          <w:rFonts w:cs="B Zar"/>
        </w:rPr>
        <w:t>,. (</w:t>
      </w:r>
      <w:smartTag w:uri="urn:schemas-microsoft-com:office:smarttags" w:element="place">
        <w:smartTag w:uri="urn:schemas-microsoft-com:office:smarttags" w:element="City">
          <w:r w:rsidRPr="00C0097A">
            <w:rPr>
              <w:rFonts w:cs="B Zar"/>
            </w:rPr>
            <w:t>Oxford</w:t>
          </w:r>
        </w:smartTag>
      </w:smartTag>
      <w:r w:rsidRPr="00C0097A">
        <w:rPr>
          <w:rFonts w:cs="B Zar"/>
        </w:rPr>
        <w:t xml:space="preserve"> Pamphlet on Indian Affairs) </w:t>
      </w:r>
      <w:smartTag w:uri="urn:schemas-microsoft-com:office:smarttags" w:element="PlaceName">
        <w:r w:rsidRPr="00C0097A">
          <w:rPr>
            <w:rFonts w:cs="B Zar"/>
          </w:rPr>
          <w:t>Oxford</w:t>
        </w:r>
      </w:smartTag>
      <w:r w:rsidRPr="00C0097A">
        <w:rPr>
          <w:rFonts w:cs="B Zar"/>
        </w:rPr>
        <w:t xml:space="preserve"> </w:t>
      </w:r>
      <w:smartTag w:uri="urn:schemas-microsoft-com:office:smarttags" w:element="PlaceType">
        <w:r w:rsidRPr="00C0097A">
          <w:rPr>
            <w:rFonts w:cs="B Zar"/>
          </w:rPr>
          <w:t>University</w:t>
        </w:r>
      </w:smartTag>
      <w:r w:rsidRPr="00C0097A">
        <w:rPr>
          <w:rFonts w:cs="B Zar"/>
        </w:rPr>
        <w:t xml:space="preserve"> Press, </w:t>
      </w:r>
      <w:smartTag w:uri="urn:schemas-microsoft-com:office:smarttags" w:element="place">
        <w:smartTag w:uri="urn:schemas-microsoft-com:office:smarttags" w:element="City">
          <w:r w:rsidRPr="00C0097A">
            <w:rPr>
              <w:rFonts w:cs="B Zar"/>
            </w:rPr>
            <w:t>Bombay</w:t>
          </w:r>
        </w:smartTag>
      </w:smartTag>
      <w:r w:rsidRPr="00C0097A">
        <w:rPr>
          <w:rFonts w:cs="B Zar"/>
        </w:rPr>
        <w:t>, 1944</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Rig Veda, </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Shastri,</w:t>
      </w:r>
      <w:r w:rsidRPr="00C0097A">
        <w:rPr>
          <w:rFonts w:ascii="IPT.Lotus" w:hAnsi="IPT.Lotus" w:cs="B Zar" w:hint="cs"/>
          <w:rtl/>
        </w:rPr>
        <w:t xml:space="preserve"> </w:t>
      </w:r>
      <w:r w:rsidRPr="00C0097A">
        <w:rPr>
          <w:rFonts w:cs="B Zar"/>
        </w:rPr>
        <w:t xml:space="preserve">S.: Proto-Indic Religion, </w:t>
      </w:r>
      <w:smartTag w:uri="urn:schemas-microsoft-com:office:smarttags" w:element="place">
        <w:smartTag w:uri="urn:schemas-microsoft-com:office:smarttags" w:element="City">
          <w:r w:rsidRPr="00C0097A">
            <w:rPr>
              <w:rFonts w:cs="B Zar"/>
            </w:rPr>
            <w:t>Bangalore</w:t>
          </w:r>
        </w:smartTag>
      </w:smartTag>
      <w:r w:rsidRPr="00C0097A">
        <w:rPr>
          <w:rFonts w:cs="B Zar"/>
        </w:rPr>
        <w:t>, 1942,</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Spencer, H.: Principles of Sociology, </w:t>
      </w:r>
      <w:smartTag w:uri="urn:schemas-microsoft-com:office:smarttags" w:element="place">
        <w:smartTag w:uri="urn:schemas-microsoft-com:office:smarttags" w:element="City">
          <w:r w:rsidRPr="00C0097A">
            <w:rPr>
              <w:rFonts w:cs="B Zar"/>
            </w:rPr>
            <w:t>New Delhi</w:t>
          </w:r>
        </w:smartTag>
      </w:smartTag>
      <w:r w:rsidRPr="00C0097A">
        <w:rPr>
          <w:rFonts w:cs="B Zar"/>
        </w:rPr>
        <w:t xml:space="preserve"> 1994</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Strauss, Levy: “Social Stuctures” &amp; “Anthropology Today”, </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Taylor, J: The Origin of Aryans, </w:t>
      </w:r>
      <w:smartTag w:uri="urn:schemas-microsoft-com:office:smarttags" w:element="place">
        <w:smartTag w:uri="urn:schemas-microsoft-com:office:smarttags" w:element="City">
          <w:r w:rsidRPr="00C0097A">
            <w:rPr>
              <w:rFonts w:cs="B Zar"/>
            </w:rPr>
            <w:t>London</w:t>
          </w:r>
        </w:smartTag>
      </w:smartTag>
      <w:r w:rsidRPr="00C0097A">
        <w:rPr>
          <w:rFonts w:cs="B Zar"/>
        </w:rPr>
        <w:t>, 1945</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smartTag w:uri="urn:schemas-microsoft-com:office:smarttags" w:element="City">
        <w:r w:rsidRPr="00C0097A">
          <w:rPr>
            <w:rFonts w:cs="B Zar"/>
          </w:rPr>
          <w:t>Taylor</w:t>
        </w:r>
      </w:smartTag>
      <w:r w:rsidRPr="00C0097A">
        <w:rPr>
          <w:rFonts w:cs="B Zar"/>
        </w:rPr>
        <w:t xml:space="preserve">: Primitive Culture, </w:t>
      </w:r>
      <w:smartTag w:uri="urn:schemas-microsoft-com:office:smarttags" w:element="place">
        <w:smartTag w:uri="urn:schemas-microsoft-com:office:smarttags" w:element="State">
          <w:r w:rsidRPr="00C0097A">
            <w:rPr>
              <w:rFonts w:cs="B Zar"/>
            </w:rPr>
            <w:t>New York</w:t>
          </w:r>
        </w:smartTag>
      </w:smartTag>
      <w:r w:rsidRPr="00C0097A">
        <w:rPr>
          <w:rFonts w:cs="B Zar"/>
        </w:rPr>
        <w:t>, 1871</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Tilak, B.G.: The Arctic Home in the Vedas</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Vercoutter, Jean: Archaic </w:t>
      </w:r>
      <w:smartTag w:uri="urn:schemas-microsoft-com:office:smarttags" w:element="place">
        <w:smartTag w:uri="urn:schemas-microsoft-com:office:smarttags" w:element="country-region">
          <w:r w:rsidRPr="00C0097A">
            <w:rPr>
              <w:rFonts w:cs="B Zar"/>
            </w:rPr>
            <w:t>Egypt</w:t>
          </w:r>
        </w:smartTag>
      </w:smartTag>
      <w:r w:rsidRPr="00C0097A">
        <w:rPr>
          <w:rFonts w:cs="B Zar"/>
        </w:rPr>
        <w:t xml:space="preserve"> in the Early Civilizations, Cambridg, 1954</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Vercoutter, Jean: </w:t>
      </w:r>
      <w:smartTag w:uri="urn:schemas-microsoft-com:office:smarttags" w:element="country-region">
        <w:r w:rsidRPr="00C0097A">
          <w:rPr>
            <w:rFonts w:cs="B Zar"/>
          </w:rPr>
          <w:t>Egypt</w:t>
        </w:r>
      </w:smartTag>
      <w:r w:rsidRPr="00C0097A">
        <w:rPr>
          <w:rFonts w:cs="B Zar"/>
        </w:rPr>
        <w:t xml:space="preserve"> Under the </w:t>
      </w:r>
      <w:smartTag w:uri="urn:schemas-microsoft-com:office:smarttags" w:element="place">
        <w:r w:rsidRPr="00C0097A">
          <w:rPr>
            <w:rFonts w:cs="B Zar"/>
          </w:rPr>
          <w:t>Old Kingdom</w:t>
        </w:r>
      </w:smartTag>
      <w:r w:rsidRPr="00C0097A">
        <w:rPr>
          <w:rFonts w:cs="B Zar"/>
        </w:rPr>
        <w:t>, Cambridg, 1972</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Weber, Max: General Economic History, </w:t>
      </w:r>
      <w:smartTag w:uri="urn:schemas-microsoft-com:office:smarttags" w:element="place">
        <w:smartTag w:uri="urn:schemas-microsoft-com:office:smarttags" w:element="City">
          <w:r w:rsidRPr="00C0097A">
            <w:rPr>
              <w:rFonts w:cs="B Zar"/>
            </w:rPr>
            <w:t>New Delhi</w:t>
          </w:r>
        </w:smartTag>
      </w:smartTag>
      <w:r w:rsidRPr="00C0097A">
        <w:rPr>
          <w:rFonts w:cs="B Zar"/>
        </w:rPr>
        <w:t>, 1987</w:t>
      </w:r>
    </w:p>
    <w:p w:rsidR="0011420A" w:rsidRPr="00C0097A" w:rsidP="009F1464">
      <w:pPr>
        <w:widowControl w:val="0"/>
        <w:numPr>
          <w:ilvl w:val="0"/>
          <w:numId w:val="19"/>
        </w:numPr>
        <w:tabs>
          <w:tab w:val="num" w:pos="227"/>
          <w:tab w:val="num" w:pos="360"/>
          <w:tab w:val="clear" w:pos="720"/>
        </w:tabs>
        <w:bidi w:val="0"/>
        <w:spacing w:line="360" w:lineRule="exact"/>
        <w:ind w:left="227" w:right="0" w:hanging="227"/>
        <w:rPr>
          <w:rFonts w:cs="B Zar"/>
        </w:rPr>
      </w:pPr>
      <w:r w:rsidRPr="00C0097A">
        <w:rPr>
          <w:rFonts w:cs="B Zar"/>
        </w:rPr>
        <w:t xml:space="preserve">Weber, Max: Sociology of  Religion, with Introduction of T. Parsons, </w:t>
      </w:r>
      <w:smartTag w:uri="urn:schemas-microsoft-com:office:smarttags" w:element="place">
        <w:smartTag w:uri="urn:schemas-microsoft-com:office:smarttags" w:element="City">
          <w:r w:rsidRPr="00C0097A">
            <w:rPr>
              <w:rFonts w:cs="B Zar"/>
            </w:rPr>
            <w:t>New Delhi</w:t>
          </w:r>
        </w:smartTag>
      </w:smartTag>
      <w:r w:rsidRPr="00C0097A">
        <w:rPr>
          <w:rFonts w:cs="B Zar"/>
        </w:rPr>
        <w:t>, 1972</w:t>
      </w:r>
    </w:p>
    <w:p w:rsidR="0064714B" w:rsidP="003C0EF5">
      <w:pPr>
        <w:pStyle w:val="BodyTextIndent2"/>
        <w:widowControl w:val="0"/>
        <w:spacing w:line="420" w:lineRule="exact"/>
        <w:ind w:left="0" w:right="0"/>
        <w:jc w:val="center"/>
        <w:rPr>
          <w:rFonts w:cs="B Zar" w:hint="cs"/>
          <w:b/>
          <w:bCs/>
          <w:rtl/>
        </w:rPr>
      </w:pPr>
      <w:r w:rsidR="0011420A">
        <w:rPr>
          <w:rFonts w:cs="B Zar"/>
          <w:rtl/>
          <w:lang w:bidi="fa-IR"/>
        </w:rPr>
        <w:br w:type="page"/>
      </w:r>
    </w:p>
    <w:p w:rsidR="0064714B" w:rsidP="003C0EF5">
      <w:pPr>
        <w:pStyle w:val="BodyTextIndent2"/>
        <w:widowControl w:val="0"/>
        <w:spacing w:line="420" w:lineRule="exact"/>
        <w:ind w:left="0" w:right="0"/>
        <w:jc w:val="center"/>
        <w:rPr>
          <w:rFonts w:cs="B Zar" w:hint="cs"/>
          <w:b/>
          <w:bCs/>
          <w:rtl/>
        </w:rPr>
      </w:pPr>
    </w:p>
    <w:p w:rsidR="0064714B" w:rsidP="003C0EF5">
      <w:pPr>
        <w:pStyle w:val="BodyTextIndent2"/>
        <w:widowControl w:val="0"/>
        <w:spacing w:line="420" w:lineRule="exact"/>
        <w:ind w:left="0" w:right="0"/>
        <w:jc w:val="center"/>
        <w:rPr>
          <w:rFonts w:cs="B Zar" w:hint="cs"/>
          <w:b/>
          <w:bCs/>
          <w:rtl/>
        </w:rPr>
      </w:pPr>
    </w:p>
    <w:p w:rsidR="00641725" w:rsidP="003C0EF5">
      <w:pPr>
        <w:pStyle w:val="BodyTextIndent2"/>
        <w:widowControl w:val="0"/>
        <w:spacing w:line="420" w:lineRule="exact"/>
        <w:ind w:left="0" w:right="0"/>
        <w:jc w:val="center"/>
        <w:rPr>
          <w:rFonts w:cs="B Zar" w:hint="cs"/>
          <w:b/>
          <w:bCs/>
          <w:rtl/>
        </w:rPr>
      </w:pPr>
    </w:p>
    <w:p w:rsidR="009F1464" w:rsidP="003C0EF5">
      <w:pPr>
        <w:pStyle w:val="BodyTextIndent2"/>
        <w:widowControl w:val="0"/>
        <w:spacing w:line="420" w:lineRule="exact"/>
        <w:ind w:left="0" w:right="0"/>
        <w:jc w:val="center"/>
        <w:rPr>
          <w:rFonts w:cs="B Zar" w:hint="cs"/>
          <w:b/>
          <w:bCs/>
          <w:rtl/>
        </w:rPr>
      </w:pPr>
    </w:p>
    <w:p w:rsidR="009F1464" w:rsidP="003C0EF5">
      <w:pPr>
        <w:pStyle w:val="BodyTextIndent2"/>
        <w:widowControl w:val="0"/>
        <w:spacing w:line="420" w:lineRule="exact"/>
        <w:ind w:left="0" w:right="0"/>
        <w:jc w:val="center"/>
        <w:rPr>
          <w:rFonts w:cs="B Zar" w:hint="cs"/>
          <w:b/>
          <w:bCs/>
          <w:rtl/>
        </w:rPr>
      </w:pPr>
    </w:p>
    <w:p w:rsidR="0011420A" w:rsidRPr="00406624" w:rsidP="003C0EF5">
      <w:pPr>
        <w:pStyle w:val="BodyTextIndent2"/>
        <w:widowControl w:val="0"/>
        <w:spacing w:line="420" w:lineRule="exact"/>
        <w:ind w:left="0" w:right="0"/>
        <w:jc w:val="center"/>
        <w:rPr>
          <w:rFonts w:cs="B Zar" w:hint="cs"/>
          <w:b/>
          <w:bCs/>
          <w:rtl/>
        </w:rPr>
      </w:pPr>
      <w:r w:rsidRPr="00406624">
        <w:rPr>
          <w:rFonts w:cs="B Zar" w:hint="cs"/>
          <w:b/>
          <w:bCs/>
          <w:rtl/>
        </w:rPr>
        <w:t>بخش دوم</w:t>
      </w:r>
    </w:p>
    <w:p w:rsidR="0011420A" w:rsidRPr="00406624" w:rsidP="003C0EF5">
      <w:pPr>
        <w:pStyle w:val="BodyTextIndent2"/>
        <w:widowControl w:val="0"/>
        <w:spacing w:line="420" w:lineRule="exact"/>
        <w:ind w:left="0" w:right="0"/>
        <w:jc w:val="center"/>
        <w:rPr>
          <w:rFonts w:cs="B Zar" w:hint="cs"/>
          <w:b/>
          <w:bCs/>
          <w:rtl/>
        </w:rPr>
      </w:pPr>
    </w:p>
    <w:p w:rsidR="0011420A" w:rsidRPr="00406624" w:rsidP="003C0EF5">
      <w:pPr>
        <w:pStyle w:val="BodyTextIndent2"/>
        <w:widowControl w:val="0"/>
        <w:spacing w:line="420" w:lineRule="exact"/>
        <w:ind w:left="0" w:right="0"/>
        <w:jc w:val="center"/>
        <w:rPr>
          <w:rFonts w:cs="B Zar" w:hint="cs"/>
          <w:b/>
          <w:bCs/>
          <w:rtl/>
        </w:rPr>
      </w:pPr>
    </w:p>
    <w:p w:rsidR="0011420A" w:rsidRPr="00406624" w:rsidP="003C0EF5">
      <w:pPr>
        <w:pStyle w:val="BodyTextIndent2"/>
        <w:widowControl w:val="0"/>
        <w:spacing w:line="420" w:lineRule="exact"/>
        <w:ind w:left="0" w:right="0"/>
        <w:jc w:val="center"/>
        <w:rPr>
          <w:rFonts w:cs="B Zar" w:hint="cs"/>
          <w:b/>
          <w:bCs/>
          <w:rtl/>
        </w:rPr>
      </w:pPr>
      <w:r w:rsidRPr="00406624">
        <w:rPr>
          <w:rFonts w:cs="B Zar" w:hint="cs"/>
          <w:b/>
          <w:bCs/>
          <w:rtl/>
        </w:rPr>
        <w:t>عصر ودا</w:t>
      </w:r>
    </w:p>
    <w:p w:rsidR="0011420A" w:rsidRPr="00406624" w:rsidP="003C0EF5">
      <w:pPr>
        <w:pStyle w:val="BodyTextIndent2"/>
        <w:widowControl w:val="0"/>
        <w:spacing w:line="420" w:lineRule="exact"/>
        <w:ind w:left="0" w:right="0"/>
        <w:jc w:val="center"/>
        <w:rPr>
          <w:rFonts w:cs="B Zar"/>
          <w:b/>
          <w:bCs/>
          <w:rtl/>
        </w:rPr>
      </w:pPr>
      <w:r w:rsidRPr="00406624">
        <w:rPr>
          <w:rFonts w:cs="B Zar" w:hint="cs"/>
          <w:b/>
          <w:bCs/>
          <w:rtl/>
        </w:rPr>
        <w:t>(دوره كلاسيك)</w:t>
      </w:r>
    </w:p>
    <w:p w:rsidR="0011420A" w:rsidRPr="00406624" w:rsidP="003C0EF5">
      <w:pPr>
        <w:pStyle w:val="BodyTextIndent2"/>
        <w:widowControl w:val="0"/>
        <w:spacing w:line="420" w:lineRule="exact"/>
        <w:ind w:left="0" w:right="0"/>
        <w:jc w:val="center"/>
        <w:rPr>
          <w:rFonts w:cs="B Zar" w:hint="cs"/>
          <w:b/>
          <w:bCs/>
          <w:rtl/>
        </w:rPr>
      </w:pPr>
      <w:r w:rsidRPr="00406624">
        <w:rPr>
          <w:rFonts w:cs="B Zar"/>
          <w:b/>
          <w:bCs/>
          <w:rtl/>
        </w:rPr>
        <w:br w:type="page"/>
      </w:r>
    </w:p>
    <w:p w:rsidR="0011420A" w:rsidRPr="00406624" w:rsidP="003C0EF5">
      <w:pPr>
        <w:pStyle w:val="BodyTextIndent2"/>
        <w:widowControl w:val="0"/>
        <w:spacing w:line="420" w:lineRule="exact"/>
        <w:ind w:left="0" w:right="0"/>
        <w:jc w:val="center"/>
        <w:rPr>
          <w:rFonts w:cs="B Zar" w:hint="cs"/>
          <w:b/>
          <w:bCs/>
          <w:rtl/>
        </w:rPr>
      </w:pPr>
    </w:p>
    <w:p w:rsidR="0011420A" w:rsidRPr="00406624" w:rsidP="003C0EF5">
      <w:pPr>
        <w:pStyle w:val="BodyTextIndent2"/>
        <w:widowControl w:val="0"/>
        <w:spacing w:line="420" w:lineRule="exact"/>
        <w:ind w:left="0" w:right="0"/>
        <w:jc w:val="center"/>
        <w:rPr>
          <w:rFonts w:cs="B Zar" w:hint="cs"/>
          <w:b/>
          <w:bCs/>
          <w:szCs w:val="32"/>
          <w:rtl/>
        </w:rPr>
      </w:pPr>
      <w:r w:rsidRPr="00406624">
        <w:rPr>
          <w:rFonts w:cs="B Zar" w:hint="cs"/>
          <w:b/>
          <w:bCs/>
          <w:rtl/>
        </w:rPr>
        <w:t>تعريف «ودا»</w:t>
      </w:r>
    </w:p>
    <w:p w:rsidR="0011420A" w:rsidRPr="00406624" w:rsidP="003C0EF5">
      <w:pPr>
        <w:pStyle w:val="BodyTextIndent2"/>
        <w:widowControl w:val="0"/>
        <w:spacing w:line="420" w:lineRule="exact"/>
        <w:ind w:left="0" w:right="0" w:firstLine="567"/>
        <w:jc w:val="center"/>
        <w:rPr>
          <w:rFonts w:cs="B Zar" w:hint="cs"/>
          <w:b/>
          <w:bCs/>
          <w:rtl/>
        </w:rPr>
      </w:pPr>
    </w:p>
    <w:p w:rsidR="0011420A" w:rsidRPr="00406624" w:rsidP="003C0EF5">
      <w:pPr>
        <w:widowControl w:val="0"/>
        <w:spacing w:line="420" w:lineRule="exact"/>
        <w:ind w:left="0" w:right="0"/>
        <w:jc w:val="both"/>
        <w:rPr>
          <w:rFonts w:cs="B Zar" w:hint="cs"/>
          <w:rtl/>
        </w:rPr>
      </w:pPr>
      <w:r w:rsidRPr="00406624">
        <w:rPr>
          <w:rFonts w:cs="B Zar" w:hint="cs"/>
          <w:rtl/>
        </w:rPr>
        <w:t xml:space="preserve">ودا، از ريشه «ود» </w:t>
      </w:r>
      <w:r w:rsidRPr="00406624">
        <w:rPr>
          <w:rFonts w:cs="B Zar"/>
        </w:rPr>
        <w:t>(Ved)</w:t>
      </w:r>
      <w:r w:rsidRPr="00406624">
        <w:rPr>
          <w:rFonts w:cs="B Zar" w:hint="cs"/>
          <w:rtl/>
          <w:lang w:bidi="fa-IR"/>
        </w:rPr>
        <w:t xml:space="preserve"> و</w:t>
      </w:r>
      <w:r w:rsidRPr="00406624">
        <w:rPr>
          <w:rFonts w:cs="B Zar" w:hint="cs"/>
          <w:rtl/>
        </w:rPr>
        <w:t xml:space="preserve"> </w:t>
      </w:r>
      <w:r w:rsidRPr="00406624">
        <w:rPr>
          <w:rFonts w:cs="B Zar" w:hint="cs"/>
          <w:rtl/>
          <w:lang w:bidi="fa-IR"/>
        </w:rPr>
        <w:t xml:space="preserve">به </w:t>
      </w:r>
      <w:r w:rsidRPr="00406624">
        <w:rPr>
          <w:rFonts w:cs="B Zar" w:hint="cs"/>
          <w:rtl/>
        </w:rPr>
        <w:t xml:space="preserve">معناي </w:t>
      </w:r>
      <w:r w:rsidRPr="00406624">
        <w:rPr>
          <w:rFonts w:cs="B Zar"/>
        </w:rPr>
        <w:t>(Veda)</w:t>
      </w:r>
      <w:r w:rsidRPr="00406624">
        <w:rPr>
          <w:rFonts w:cs="B Zar" w:hint="cs"/>
          <w:rtl/>
        </w:rPr>
        <w:t xml:space="preserve"> معرفت است. در زبان سانسكريت كلمه ود، معاني گوناگوني دارد، از جمله: دانستن، كسب معرفت، درك</w:t>
      </w:r>
      <w:r w:rsidRPr="00406624">
        <w:rPr>
          <w:rFonts w:cs="B Zar" w:hint="cs"/>
          <w:rtl/>
          <w:lang w:bidi="fa-IR"/>
        </w:rPr>
        <w:t xml:space="preserve"> </w:t>
      </w:r>
      <w:r w:rsidRPr="00406624">
        <w:rPr>
          <w:rFonts w:cs="B Zar" w:hint="cs"/>
          <w:rtl/>
        </w:rPr>
        <w:t>كردن، نگريستن، اشراق كردن، آشنا شدن و يادگرفتن. در كتاب «</w:t>
      </w:r>
      <w:r w:rsidRPr="00406624">
        <w:rPr>
          <w:rFonts w:cs="B Zar" w:hint="cs"/>
          <w:i/>
          <w:iCs/>
          <w:rtl/>
        </w:rPr>
        <w:t>مهابهارات</w:t>
      </w:r>
      <w:r w:rsidRPr="00406624">
        <w:rPr>
          <w:rFonts w:cs="B Zar" w:hint="cs"/>
          <w:rtl/>
        </w:rPr>
        <w:t>»</w:t>
      </w:r>
      <w:r w:rsidRPr="00406624">
        <w:rPr>
          <w:rFonts w:cs="B Zar"/>
        </w:rPr>
        <w:t>(Mahabhar</w:t>
      </w:r>
      <w:r w:rsidRPr="00406624">
        <w:rPr>
          <w:rFonts w:cs="B Zar"/>
        </w:rPr>
        <w:t>at)</w:t>
      </w:r>
      <w:r w:rsidRPr="00406624">
        <w:rPr>
          <w:rFonts w:cs="B Zar" w:hint="cs"/>
          <w:rtl/>
        </w:rPr>
        <w:t xml:space="preserve"> اين كلمه به معني احساس كردن و تجربه كردن نيز به كار رفته است. كلمات ديگري كه از اين ريشه ساخته شده‌اند، همه داراي مفاهيم مشابهي هستند. ود، همچنين به معني «علم و دانش» است و در زبان هندي معاصر نيز به همين معنا به كار مي‌رود. اثبات وجود امري را در فلسفه هند، «وديات» </w:t>
      </w:r>
      <w:r w:rsidRPr="00406624">
        <w:rPr>
          <w:rFonts w:cs="B Zar"/>
        </w:rPr>
        <w:t>(Vedyat)</w:t>
      </w:r>
      <w:r w:rsidRPr="00406624">
        <w:rPr>
          <w:rFonts w:cs="B Zar" w:hint="cs"/>
          <w:rtl/>
        </w:rPr>
        <w:t xml:space="preserve"> مي‌گويند. اجمالاً، اگر مفاهيم گوناگون اين كلمه را از نظر معني‌شناسي تحليل كنيم، سه مفهوم اصلي معاني آن عبارتند از: 1) علم</w:t>
      </w:r>
      <w:r w:rsidRPr="00406624">
        <w:rPr>
          <w:rFonts w:cs="B Zar" w:hint="cs"/>
          <w:rtl/>
          <w:lang w:bidi="fa-IR"/>
        </w:rPr>
        <w:t>؛</w:t>
      </w:r>
      <w:r w:rsidRPr="00406624">
        <w:rPr>
          <w:rFonts w:cs="B Zar" w:hint="cs"/>
          <w:rtl/>
        </w:rPr>
        <w:t xml:space="preserve"> 2) اشراق و تجربه دروني؛ 3) حصول و نيل به مطلوب.</w:t>
      </w:r>
    </w:p>
    <w:p w:rsidR="0011420A" w:rsidRPr="00406624" w:rsidP="003C0EF5">
      <w:pPr>
        <w:widowControl w:val="0"/>
        <w:spacing w:line="420" w:lineRule="exact"/>
        <w:ind w:left="0" w:right="0"/>
        <w:jc w:val="both"/>
        <w:rPr>
          <w:rFonts w:cs="B Zar" w:hint="cs"/>
          <w:rtl/>
        </w:rPr>
      </w:pPr>
      <w:r w:rsidRPr="00406624">
        <w:rPr>
          <w:rFonts w:cs="B Zar" w:hint="cs"/>
          <w:rtl/>
        </w:rPr>
        <w:t>بدينسان، مي‌توان گفت كه ودا معرفتي است كه از طريق اشراق و الهام به دست آمد</w:t>
      </w:r>
      <w:r w:rsidRPr="00406624">
        <w:rPr>
          <w:rFonts w:cs="B Zar" w:hint="cs"/>
          <w:rtl/>
          <w:lang w:bidi="fa-IR"/>
        </w:rPr>
        <w:t>ه،</w:t>
      </w:r>
      <w:r w:rsidRPr="00406624">
        <w:rPr>
          <w:rFonts w:cs="B Zar" w:hint="cs"/>
          <w:rtl/>
        </w:rPr>
        <w:t xml:space="preserve"> منجر به نيل به حقا</w:t>
      </w:r>
      <w:r w:rsidRPr="00406624">
        <w:rPr>
          <w:rFonts w:cs="B Zar" w:hint="cs"/>
          <w:rtl/>
          <w:lang w:bidi="fa-IR"/>
        </w:rPr>
        <w:t>ي</w:t>
      </w:r>
      <w:r w:rsidRPr="00406624">
        <w:rPr>
          <w:rFonts w:cs="B Zar" w:hint="cs"/>
          <w:rtl/>
        </w:rPr>
        <w:t xml:space="preserve">ق و اتحاد ميان عارف و معروف مي‌شود. اين دانش از طريق كتاب يا مسموعات به دست نمي‌آيد، بلكه از طريق الهام يا تجربه دروني حاصل مي‌شود. ودا دانش و آگاهي است؛ البته اين آگاهي علم محض نيست، بلكه نوعي معرفت است؛ فلسفه نيست، بلكه حكمت است؛ تعقل نيست، بلكه اشراق است؛ دانشي است مبتني بر نوعي عقل متعالي يا خرد مقدس. ودا، عرفان حقائق ماورائي است كه از طريق آن، انسان ابديت را مي‌فهمد. بنابراين، به معناي دانش فلسفي و خبري </w:t>
      </w:r>
      <w:r w:rsidRPr="00406624">
        <w:rPr>
          <w:rFonts w:cs="B Zar"/>
        </w:rPr>
        <w:t>(Knowledge)</w:t>
      </w:r>
      <w:r w:rsidRPr="00406624">
        <w:rPr>
          <w:rFonts w:cs="B Zar" w:hint="cs"/>
          <w:rtl/>
        </w:rPr>
        <w:t xml:space="preserve"> و يا علم </w:t>
      </w:r>
      <w:r w:rsidRPr="00406624">
        <w:rPr>
          <w:rFonts w:cs="B Zar"/>
        </w:rPr>
        <w:t>(Science)</w:t>
      </w:r>
      <w:r w:rsidRPr="00406624">
        <w:rPr>
          <w:rFonts w:cs="B Zar" w:hint="cs"/>
          <w:rtl/>
        </w:rPr>
        <w:t xml:space="preserve"> نيست، بلكه چيزي است كه يونانيان آنرا سوفيا</w:t>
      </w:r>
      <w:r w:rsidRPr="00406624">
        <w:rPr>
          <w:rFonts w:cs="B Zar"/>
        </w:rPr>
        <w:t>(Sophia)</w:t>
      </w:r>
      <w:r w:rsidRPr="00406624">
        <w:rPr>
          <w:rFonts w:cs="B Zar" w:hint="cs"/>
          <w:rtl/>
        </w:rPr>
        <w:t xml:space="preserve"> مي‌ناميده‌اند و در فرهنگ اسلامي «حكمت» ناميده مي‌شود كه نوعي بينائي و بصيرت دروني، و علم حضوري است. حقيقت در اين نوع از دانائي، در ذهن و درون انسان تجلّي مي‌يابد و بدون آميختگي به ناداني و زمان</w:t>
      </w:r>
      <w:r w:rsidRPr="00406624">
        <w:rPr>
          <w:rFonts w:cs="B Zar" w:hint="cs"/>
          <w:rtl/>
          <w:lang w:bidi="fa-IR"/>
        </w:rPr>
        <w:t>،</w:t>
      </w:r>
      <w:r w:rsidRPr="00406624">
        <w:rPr>
          <w:rFonts w:cs="B Zar" w:hint="cs"/>
          <w:rtl/>
        </w:rPr>
        <w:t xml:space="preserve"> پايدار بوده</w:t>
      </w:r>
      <w:r w:rsidRPr="00406624">
        <w:rPr>
          <w:rFonts w:cs="B Zar" w:hint="cs"/>
          <w:rtl/>
          <w:lang w:bidi="fa-IR"/>
        </w:rPr>
        <w:t>،</w:t>
      </w:r>
      <w:r w:rsidRPr="00406624">
        <w:rPr>
          <w:rFonts w:cs="B Zar" w:hint="cs"/>
          <w:rtl/>
        </w:rPr>
        <w:t xml:space="preserve"> به نوعي اتحاد ميان مُدرِك و مُدرَك مي‌انجامد.</w:t>
      </w:r>
    </w:p>
    <w:p w:rsidR="0011420A" w:rsidRPr="00406624" w:rsidP="003C0EF5">
      <w:pPr>
        <w:widowControl w:val="0"/>
        <w:spacing w:line="420" w:lineRule="exact"/>
        <w:ind w:left="0" w:right="0"/>
        <w:jc w:val="both"/>
        <w:rPr>
          <w:rFonts w:cs="B Zar" w:hint="cs"/>
          <w:rtl/>
        </w:rPr>
      </w:pPr>
      <w:r w:rsidRPr="00406624">
        <w:rPr>
          <w:rFonts w:cs="B Zar" w:hint="cs"/>
          <w:rtl/>
        </w:rPr>
        <w:t>ودا معرفتي بالاتر از معرفت حسي است؛ معرفتي است معتبرتر از معرفت مبتني بر «حس» كه ممكن است فريبنده و سراب‌گونه باشد؛ ولي آنچه براي عموم «نص» است، براي حكيمان و عرفاء مي‌تواند «مسّ» باشد؛ يعني كساني كه به مرحله تزكيه دروني رسيده‌اند، مي‌توانند حقائق ودا را در هر زمان از طريق تجربه دروني لمس كنند</w:t>
      </w:r>
      <w:r>
        <w:rPr>
          <w:rStyle w:val="FootnoteReference"/>
          <w:rFonts w:cs="B Zar"/>
          <w:rtl/>
        </w:rPr>
        <w:footnoteReference w:id="141"/>
      </w:r>
      <w:r w:rsidRPr="00406624">
        <w:rPr>
          <w:rFonts w:cs="B Zar" w:hint="cs"/>
          <w:rtl/>
        </w:rPr>
        <w:t>.</w:t>
      </w:r>
    </w:p>
    <w:p w:rsidR="0011420A" w:rsidP="005B1E80">
      <w:pPr>
        <w:widowControl w:val="0"/>
        <w:spacing w:line="420" w:lineRule="exact"/>
        <w:ind w:left="0" w:right="0"/>
        <w:jc w:val="both"/>
        <w:rPr>
          <w:rFonts w:cs="B Zar" w:hint="cs"/>
          <w:rtl/>
        </w:rPr>
      </w:pPr>
      <w:r w:rsidRPr="00406624">
        <w:rPr>
          <w:rFonts w:cs="B Zar" w:hint="cs"/>
          <w:rtl/>
        </w:rPr>
        <w:t>طبق عقيده حكماي هندو، متون ودا مشتمل‌بر اسرار مبدأ و معاد و عالم ملكوت و تكاليف شرعيه است كه بر قلوب اهل عرفان تجلي مي‌يابد و نورِ معرفت و شناسائي است كه اسرار خلقت را بر عرفاي فرزانه آشكار مي‌نمايد. همه كسانيكه جهالت و كلمات ناپسنديدة باطن خويش را بزدايند، مي‌توانند اين كلمات را اشراق نمايند. آنان معتقدند كه: پروردگار دلهاي عرفاي فرزانه، «ريشي»ها، را با فضل و تأييد خود و در نتيجه رياضت و توجهات آنان به عالم معاني و با تحصيل صفاي باطن، مطالب و اسراري را دريافت مي‌كنند كه از عالم غيب بر قلوب و نفوس آنان وارد مي‌شود؛ و اين چيزي جز برخورداري از معرفت ويژه نيست.</w:t>
      </w:r>
    </w:p>
    <w:p w:rsidR="00D50DCD" w:rsidRPr="00406624" w:rsidP="003C0EF5">
      <w:pPr>
        <w:widowControl w:val="0"/>
        <w:spacing w:line="420" w:lineRule="exact"/>
        <w:ind w:left="0" w:right="0"/>
        <w:jc w:val="both"/>
        <w:rPr>
          <w:rFonts w:cs="B Zar" w:hint="cs"/>
          <w:rtl/>
        </w:rPr>
      </w:pPr>
    </w:p>
    <w:p w:rsidR="0011420A" w:rsidRPr="00747017" w:rsidP="003C0EF5">
      <w:pPr>
        <w:pStyle w:val="Heading1"/>
        <w:keepNext w:val="0"/>
        <w:widowControl w:val="0"/>
        <w:spacing w:line="420" w:lineRule="exact"/>
        <w:ind w:left="0" w:right="0"/>
        <w:jc w:val="left"/>
        <w:rPr>
          <w:rFonts w:cs="B Zar" w:hint="cs"/>
          <w:sz w:val="28"/>
          <w:szCs w:val="28"/>
          <w:rtl/>
        </w:rPr>
      </w:pPr>
      <w:r w:rsidRPr="00747017">
        <w:rPr>
          <w:rFonts w:cs="B Zar" w:hint="cs"/>
          <w:sz w:val="28"/>
          <w:szCs w:val="28"/>
          <w:rtl/>
        </w:rPr>
        <w:t>وداهاي چهارگانه و ادبيات آن</w:t>
      </w:r>
    </w:p>
    <w:p w:rsidR="0011420A" w:rsidRPr="00406624" w:rsidP="003C0EF5">
      <w:pPr>
        <w:widowControl w:val="0"/>
        <w:spacing w:line="420" w:lineRule="exact"/>
        <w:ind w:left="0" w:right="0"/>
        <w:jc w:val="both"/>
        <w:rPr>
          <w:rFonts w:cs="B Zar" w:hint="cs"/>
          <w:rtl/>
        </w:rPr>
      </w:pPr>
      <w:r w:rsidRPr="00406624">
        <w:rPr>
          <w:rFonts w:cs="B Zar" w:hint="cs"/>
          <w:rtl/>
        </w:rPr>
        <w:t>در فرهنگ هندو، اصطلاح «ودا»، يك معني اخص دارد و يك معني عام؛ همچنان‌كه ما براي كلمه «اسلام» هم يك معناي عام دين وحي شده از جانب خداوند ـ كه از آدم تا خاتم همه پيامبران انسان را به سوي آن دعوت مي‌كرده‌اند ـ هم يك معناي خاص كه آخرين دين و شريعت الهي است و حضرت محمد مصطفي(ص) آنرا ابلاغ فرموده ـ قائل هستيم.</w:t>
      </w:r>
    </w:p>
    <w:p w:rsidR="0011420A" w:rsidRPr="00406624" w:rsidP="003C0EF5">
      <w:pPr>
        <w:widowControl w:val="0"/>
        <w:spacing w:line="420" w:lineRule="exact"/>
        <w:ind w:left="0" w:right="0"/>
        <w:jc w:val="both"/>
        <w:rPr>
          <w:rFonts w:cs="B Zar" w:hint="cs"/>
          <w:rtl/>
        </w:rPr>
      </w:pPr>
      <w:r w:rsidRPr="00406624">
        <w:rPr>
          <w:rFonts w:cs="B Zar" w:hint="cs"/>
          <w:rtl/>
        </w:rPr>
        <w:t xml:space="preserve">در معني اخص كلمه، </w:t>
      </w:r>
      <w:r w:rsidRPr="00406624">
        <w:rPr>
          <w:rFonts w:cs="B Zar" w:hint="cs"/>
          <w:b/>
          <w:bCs/>
          <w:rtl/>
        </w:rPr>
        <w:t>ودا</w:t>
      </w:r>
      <w:r w:rsidRPr="00406624">
        <w:rPr>
          <w:rFonts w:cs="B Zar" w:hint="cs"/>
          <w:rtl/>
        </w:rPr>
        <w:t xml:space="preserve"> عنواني است براي چهار كتاب كه عبارتند از:</w:t>
      </w:r>
    </w:p>
    <w:p w:rsidR="0011420A" w:rsidRPr="00406624" w:rsidP="003C0EF5">
      <w:pPr>
        <w:widowControl w:val="0"/>
        <w:numPr>
          <w:ilvl w:val="0"/>
          <w:numId w:val="20"/>
        </w:numPr>
        <w:spacing w:line="420" w:lineRule="exact"/>
        <w:ind w:left="720" w:right="0"/>
        <w:jc w:val="both"/>
        <w:rPr>
          <w:rFonts w:cs="B Zar" w:hint="cs"/>
          <w:b/>
          <w:bCs/>
          <w:i/>
          <w:iCs/>
          <w:rtl/>
        </w:rPr>
      </w:pPr>
      <w:r w:rsidRPr="00406624">
        <w:rPr>
          <w:rFonts w:cs="B Zar" w:hint="cs"/>
          <w:b/>
          <w:bCs/>
          <w:i/>
          <w:iCs/>
          <w:rtl/>
        </w:rPr>
        <w:t>ريگ ودا سام‌هت</w:t>
      </w:r>
      <w:r w:rsidRPr="00406624">
        <w:rPr>
          <w:rFonts w:cs="B Zar"/>
          <w:b/>
          <w:bCs/>
          <w:i/>
          <w:iCs/>
        </w:rPr>
        <w:t xml:space="preserve"> </w:t>
      </w:r>
      <w:r w:rsidRPr="00406624">
        <w:rPr>
          <w:rFonts w:cs="B Zar"/>
        </w:rPr>
        <w:t>(Rig Veda Samhita</w:t>
      </w:r>
      <w:r w:rsidRPr="00406624">
        <w:rPr>
          <w:rFonts w:cs="B Zar" w:hint="cs"/>
          <w:rtl/>
        </w:rPr>
        <w:t>:</w:t>
      </w:r>
    </w:p>
    <w:p w:rsidR="0011420A" w:rsidRPr="00406624" w:rsidP="003C0EF5">
      <w:pPr>
        <w:widowControl w:val="0"/>
        <w:numPr>
          <w:ilvl w:val="0"/>
          <w:numId w:val="20"/>
        </w:numPr>
        <w:spacing w:line="420" w:lineRule="exact"/>
        <w:ind w:left="720" w:right="0"/>
        <w:jc w:val="both"/>
        <w:rPr>
          <w:rFonts w:cs="B Zar" w:hint="cs"/>
          <w:b/>
          <w:bCs/>
          <w:i/>
          <w:iCs/>
        </w:rPr>
      </w:pPr>
      <w:r w:rsidRPr="00406624">
        <w:rPr>
          <w:rFonts w:cs="B Zar" w:hint="cs"/>
          <w:b/>
          <w:bCs/>
          <w:i/>
          <w:iCs/>
          <w:rtl/>
        </w:rPr>
        <w:t>ياجُور ودا</w:t>
      </w:r>
      <w:r w:rsidRPr="00406624">
        <w:rPr>
          <w:rFonts w:cs="B Zar"/>
          <w:b/>
          <w:bCs/>
          <w:i/>
          <w:iCs/>
        </w:rPr>
        <w:t xml:space="preserve"> </w:t>
      </w:r>
      <w:r w:rsidRPr="00406624">
        <w:rPr>
          <w:rFonts w:cs="B Zar"/>
        </w:rPr>
        <w:t xml:space="preserve">(Yajur Veda) </w:t>
      </w:r>
      <w:r w:rsidRPr="00406624">
        <w:rPr>
          <w:rFonts w:cs="B Zar" w:hint="cs"/>
          <w:b/>
          <w:bCs/>
          <w:i/>
          <w:iCs/>
          <w:rtl/>
        </w:rPr>
        <w:t>؛</w:t>
      </w:r>
    </w:p>
    <w:p w:rsidR="0011420A" w:rsidRPr="00406624" w:rsidP="003C0EF5">
      <w:pPr>
        <w:widowControl w:val="0"/>
        <w:numPr>
          <w:ilvl w:val="0"/>
          <w:numId w:val="20"/>
        </w:numPr>
        <w:spacing w:line="420" w:lineRule="exact"/>
        <w:ind w:left="720" w:right="0"/>
        <w:jc w:val="both"/>
        <w:rPr>
          <w:rFonts w:cs="B Zar" w:hint="cs"/>
          <w:b/>
          <w:bCs/>
          <w:i/>
          <w:iCs/>
        </w:rPr>
      </w:pPr>
      <w:r w:rsidRPr="00406624">
        <w:rPr>
          <w:rFonts w:cs="B Zar" w:hint="cs"/>
          <w:b/>
          <w:bCs/>
          <w:i/>
          <w:iCs/>
          <w:rtl/>
        </w:rPr>
        <w:t>سام ودا</w:t>
      </w:r>
      <w:r w:rsidRPr="00406624">
        <w:rPr>
          <w:rFonts w:cs="B Zar"/>
          <w:b/>
          <w:bCs/>
          <w:i/>
          <w:iCs/>
        </w:rPr>
        <w:t xml:space="preserve"> </w:t>
      </w:r>
      <w:r w:rsidRPr="00406624">
        <w:rPr>
          <w:rFonts w:cs="B Zar"/>
        </w:rPr>
        <w:t>(Sama Veda)</w:t>
      </w:r>
      <w:r w:rsidRPr="00406624">
        <w:rPr>
          <w:rFonts w:cs="B Zar" w:hint="cs"/>
          <w:b/>
          <w:bCs/>
          <w:i/>
          <w:iCs/>
          <w:rtl/>
        </w:rPr>
        <w:t>؛</w:t>
      </w:r>
    </w:p>
    <w:p w:rsidR="0011420A" w:rsidRPr="00406624" w:rsidP="003C0EF5">
      <w:pPr>
        <w:widowControl w:val="0"/>
        <w:numPr>
          <w:ilvl w:val="0"/>
          <w:numId w:val="20"/>
        </w:numPr>
        <w:spacing w:line="420" w:lineRule="exact"/>
        <w:ind w:left="720" w:right="0"/>
        <w:jc w:val="both"/>
        <w:rPr>
          <w:rFonts w:cs="B Zar" w:hint="cs"/>
          <w:b/>
          <w:bCs/>
          <w:i/>
          <w:iCs/>
        </w:rPr>
      </w:pPr>
      <w:r w:rsidRPr="00406624">
        <w:rPr>
          <w:rFonts w:cs="B Zar" w:hint="cs"/>
          <w:b/>
          <w:bCs/>
          <w:i/>
          <w:iCs/>
          <w:rtl/>
        </w:rPr>
        <w:t>اتهاروا ودا</w:t>
      </w:r>
      <w:r w:rsidRPr="00406624">
        <w:rPr>
          <w:rFonts w:cs="B Zar"/>
          <w:b/>
          <w:bCs/>
          <w:i/>
          <w:iCs/>
        </w:rPr>
        <w:t xml:space="preserve"> </w:t>
      </w:r>
      <w:r w:rsidRPr="00406624">
        <w:rPr>
          <w:rFonts w:cs="B Zar"/>
        </w:rPr>
        <w:t xml:space="preserve">(Atharva veda) </w:t>
      </w:r>
      <w:r w:rsidRPr="00406624">
        <w:rPr>
          <w:rFonts w:cs="B Zar" w:hint="cs"/>
          <w:b/>
          <w:bCs/>
          <w:i/>
          <w:iCs/>
          <w:rtl/>
        </w:rPr>
        <w:t>.</w:t>
      </w:r>
    </w:p>
    <w:p w:rsidR="0011420A" w:rsidRPr="00406624" w:rsidP="003C0EF5">
      <w:pPr>
        <w:widowControl w:val="0"/>
        <w:spacing w:line="420" w:lineRule="exact"/>
        <w:ind w:left="0" w:right="0"/>
        <w:jc w:val="both"/>
        <w:rPr>
          <w:rFonts w:cs="B Zar" w:hint="cs"/>
          <w:rtl/>
        </w:rPr>
      </w:pPr>
      <w:r w:rsidRPr="00406624">
        <w:rPr>
          <w:rFonts w:cs="B Zar" w:hint="cs"/>
          <w:rtl/>
        </w:rPr>
        <w:t>در معني عام، ادبيات ودائي غير از چهار مجموعه فوق، كتابهاي زير را نيز شامل مي‌شود:</w:t>
      </w:r>
    </w:p>
    <w:p w:rsidR="0011420A" w:rsidRPr="00406624" w:rsidP="003C0EF5">
      <w:pPr>
        <w:widowControl w:val="0"/>
        <w:numPr>
          <w:ilvl w:val="0"/>
          <w:numId w:val="21"/>
        </w:numPr>
        <w:spacing w:line="420" w:lineRule="exact"/>
        <w:ind w:left="720" w:right="0"/>
        <w:jc w:val="both"/>
        <w:rPr>
          <w:rFonts w:cs="B Zar" w:hint="cs"/>
          <w:i/>
          <w:iCs/>
          <w:rtl/>
        </w:rPr>
      </w:pPr>
      <w:r w:rsidRPr="00406624">
        <w:rPr>
          <w:rFonts w:cs="B Zar" w:hint="cs"/>
          <w:rtl/>
        </w:rPr>
        <w:t xml:space="preserve">رسائل </w:t>
      </w:r>
      <w:r w:rsidRPr="00406624">
        <w:rPr>
          <w:rFonts w:cs="B Zar" w:hint="cs"/>
          <w:i/>
          <w:iCs/>
          <w:rtl/>
        </w:rPr>
        <w:t>براهمانا</w:t>
      </w:r>
      <w:r w:rsidRPr="00406624">
        <w:rPr>
          <w:rFonts w:cs="B Zar"/>
        </w:rPr>
        <w:t>(Brahmana)</w:t>
      </w:r>
      <w:r w:rsidRPr="00406624">
        <w:rPr>
          <w:rFonts w:cs="B Zar" w:hint="cs"/>
          <w:i/>
          <w:iCs/>
          <w:rtl/>
        </w:rPr>
        <w:t>؛</w:t>
      </w:r>
    </w:p>
    <w:p w:rsidR="0011420A" w:rsidRPr="00406624" w:rsidP="003C0EF5">
      <w:pPr>
        <w:widowControl w:val="0"/>
        <w:numPr>
          <w:ilvl w:val="0"/>
          <w:numId w:val="21"/>
        </w:numPr>
        <w:spacing w:line="420" w:lineRule="exact"/>
        <w:ind w:left="720" w:right="0"/>
        <w:jc w:val="both"/>
        <w:rPr>
          <w:rFonts w:cs="B Zar" w:hint="cs"/>
        </w:rPr>
      </w:pPr>
      <w:r w:rsidRPr="00406624">
        <w:rPr>
          <w:rFonts w:cs="B Zar" w:hint="cs"/>
          <w:rtl/>
        </w:rPr>
        <w:t xml:space="preserve">رسائل </w:t>
      </w:r>
      <w:r w:rsidRPr="00406624">
        <w:rPr>
          <w:rFonts w:cs="B Zar" w:hint="cs"/>
          <w:i/>
          <w:iCs/>
          <w:rtl/>
        </w:rPr>
        <w:t>آرن‌ ياكا</w:t>
      </w:r>
      <w:r w:rsidRPr="00406624">
        <w:rPr>
          <w:rFonts w:cs="B Zar"/>
          <w:i/>
          <w:iCs/>
        </w:rPr>
        <w:t xml:space="preserve"> </w:t>
      </w:r>
      <w:r w:rsidRPr="00406624">
        <w:rPr>
          <w:rFonts w:cs="B Zar"/>
        </w:rPr>
        <w:t xml:space="preserve">(Aranyaka) </w:t>
      </w:r>
      <w:r w:rsidRPr="00406624">
        <w:rPr>
          <w:rFonts w:cs="B Zar" w:hint="cs"/>
          <w:rtl/>
        </w:rPr>
        <w:t xml:space="preserve"> يا رسائل جنگل؛</w:t>
      </w:r>
    </w:p>
    <w:p w:rsidR="0011420A" w:rsidRPr="00406624" w:rsidP="003C0EF5">
      <w:pPr>
        <w:widowControl w:val="0"/>
        <w:numPr>
          <w:ilvl w:val="0"/>
          <w:numId w:val="21"/>
        </w:numPr>
        <w:spacing w:line="420" w:lineRule="exact"/>
        <w:ind w:left="720" w:right="0"/>
        <w:jc w:val="both"/>
        <w:rPr>
          <w:rFonts w:cs="B Zar" w:hint="cs"/>
        </w:rPr>
      </w:pPr>
      <w:r w:rsidRPr="00406624">
        <w:rPr>
          <w:rFonts w:cs="B Zar" w:hint="cs"/>
          <w:rtl/>
        </w:rPr>
        <w:t xml:space="preserve">رسائل فلسفي ـ عرفاني </w:t>
      </w:r>
      <w:r w:rsidRPr="00406624">
        <w:rPr>
          <w:rFonts w:cs="B Zar" w:hint="cs"/>
          <w:i/>
          <w:iCs/>
          <w:rtl/>
        </w:rPr>
        <w:t>اوپانيشاد</w:t>
      </w:r>
      <w:r w:rsidRPr="00406624">
        <w:rPr>
          <w:rFonts w:cs="B Zar"/>
        </w:rPr>
        <w:t xml:space="preserve">(Upanishads) </w:t>
      </w:r>
      <w:r w:rsidRPr="00406624">
        <w:rPr>
          <w:rFonts w:cs="B Zar" w:hint="cs"/>
          <w:i/>
          <w:iCs/>
          <w:rtl/>
        </w:rPr>
        <w:t>.</w:t>
      </w:r>
    </w:p>
    <w:p w:rsidR="0011420A" w:rsidP="003C0EF5">
      <w:pPr>
        <w:widowControl w:val="0"/>
        <w:spacing w:line="420" w:lineRule="exact"/>
        <w:ind w:left="0" w:right="0"/>
        <w:jc w:val="both"/>
        <w:rPr>
          <w:rFonts w:cs="B Zar" w:hint="cs"/>
          <w:rtl/>
          <w:lang w:bidi="fa-IR"/>
        </w:rPr>
      </w:pPr>
      <w:r w:rsidRPr="00406624">
        <w:rPr>
          <w:rFonts w:cs="B Zar" w:hint="cs"/>
          <w:rtl/>
        </w:rPr>
        <w:t>بدينسان، در معناي عام، ودا شامل ادبيات هزار ساله اول تاريخ آريائيهاي هند، يعني از 1500 تا 600 ق م مي‌باشد</w:t>
      </w:r>
      <w:r>
        <w:rPr>
          <w:rStyle w:val="FootnoteReference"/>
          <w:rFonts w:cs="B Zar"/>
          <w:rtl/>
        </w:rPr>
        <w:footnoteReference w:id="142"/>
      </w:r>
      <w:r w:rsidRPr="00406624">
        <w:rPr>
          <w:rFonts w:cs="B Zar" w:hint="cs"/>
          <w:rtl/>
        </w:rPr>
        <w:t>.</w:t>
      </w:r>
    </w:p>
    <w:p w:rsidR="00CE228A" w:rsidRPr="00406624" w:rsidP="003C0EF5">
      <w:pPr>
        <w:widowControl w:val="0"/>
        <w:spacing w:line="420" w:lineRule="exact"/>
        <w:ind w:left="0" w:right="0"/>
        <w:jc w:val="both"/>
        <w:rPr>
          <w:rFonts w:cs="B Zar" w:hint="cs"/>
          <w:rtl/>
          <w:lang w:bidi="fa-IR"/>
        </w:rPr>
      </w:pPr>
    </w:p>
    <w:p w:rsidR="0011420A" w:rsidRPr="00406624" w:rsidP="003C0EF5">
      <w:pPr>
        <w:pStyle w:val="BodyTextIndent2"/>
        <w:widowControl w:val="0"/>
        <w:spacing w:line="420" w:lineRule="exact"/>
        <w:ind w:left="0" w:right="0"/>
        <w:jc w:val="both"/>
        <w:rPr>
          <w:rFonts w:cs="B Zar"/>
          <w:b/>
          <w:bCs/>
          <w:sz w:val="26"/>
          <w:szCs w:val="26"/>
          <w:rtl/>
        </w:rPr>
      </w:pPr>
      <w:r w:rsidRPr="00406624">
        <w:rPr>
          <w:rFonts w:cs="B Zar" w:hint="cs"/>
          <w:b/>
          <w:bCs/>
          <w:sz w:val="26"/>
          <w:szCs w:val="26"/>
          <w:rtl/>
        </w:rPr>
        <w:t>ادبيات ودايي در سه حوزه</w:t>
      </w:r>
      <w:r w:rsidRPr="00406624">
        <w:rPr>
          <w:rFonts w:cs="B Zar"/>
          <w:b/>
          <w:bCs/>
          <w:sz w:val="26"/>
          <w:szCs w:val="26"/>
        </w:rPr>
        <w:t>:</w:t>
      </w:r>
    </w:p>
    <w:p w:rsidR="0011420A" w:rsidRPr="00406624" w:rsidP="003C0EF5">
      <w:pPr>
        <w:widowControl w:val="0"/>
        <w:spacing w:line="420" w:lineRule="exact"/>
        <w:ind w:left="0" w:right="0"/>
        <w:jc w:val="both"/>
        <w:rPr>
          <w:rFonts w:cs="B Zar" w:hint="cs"/>
          <w:rtl/>
        </w:rPr>
      </w:pPr>
      <w:r w:rsidRPr="00406624">
        <w:rPr>
          <w:rFonts w:cs="B Zar" w:hint="cs"/>
          <w:rtl/>
        </w:rPr>
        <w:t>در يك تقسيم‌بندي، ادبيات ودايي بر حسب موضوع، به سه دسته تقسيم مي‌شوند: نخست؛ دعاها، ذكرها، سرودها و تعويذهايي كه در وداهاي چهارگانه گرد آمده‌اند (</w:t>
      </w:r>
      <w:r w:rsidRPr="00406624">
        <w:rPr>
          <w:rFonts w:cs="B Zar" w:hint="cs"/>
          <w:i/>
          <w:iCs/>
          <w:rtl/>
        </w:rPr>
        <w:t>مانترا</w:t>
      </w:r>
      <w:r w:rsidRPr="00406624">
        <w:rPr>
          <w:rFonts w:cs="B Zar"/>
          <w:i/>
          <w:iCs/>
        </w:rPr>
        <w:t xml:space="preserve"> </w:t>
      </w:r>
      <w:r w:rsidRPr="00406624">
        <w:rPr>
          <w:rFonts w:cs="B Zar"/>
        </w:rPr>
        <w:t>Mantra=</w:t>
      </w:r>
      <w:r w:rsidRPr="00406624">
        <w:rPr>
          <w:rFonts w:cs="B Zar" w:hint="cs"/>
          <w:rtl/>
        </w:rPr>
        <w:t>). دوم، احكام فقهي، قواعد، مناسك و انجام مراسم مذهبي و مسائل شريعت كه رسائل برهمانا مشتمل بر آنست و سوم، ديدگاه‌هاي فلسفي ـ عرفاني و امور طريقت كه رسائل آرن</w:t>
      </w:r>
      <w:r w:rsidRPr="00406624">
        <w:rPr>
          <w:rFonts w:cs="B Zar" w:hint="cs"/>
          <w:i/>
          <w:iCs/>
          <w:rtl/>
        </w:rPr>
        <w:t>ياكا</w:t>
      </w:r>
      <w:r w:rsidRPr="00406624">
        <w:rPr>
          <w:rFonts w:cs="B Zar" w:hint="cs"/>
          <w:rtl/>
        </w:rPr>
        <w:t xml:space="preserve"> و اوپانيشادها، در بردارنده آنهاست.</w:t>
      </w:r>
    </w:p>
    <w:p w:rsidR="0011420A" w:rsidRPr="00406624" w:rsidP="003C0EF5">
      <w:pPr>
        <w:widowControl w:val="0"/>
        <w:spacing w:line="420" w:lineRule="exact"/>
        <w:ind w:left="0" w:right="0"/>
        <w:jc w:val="both"/>
        <w:rPr>
          <w:rFonts w:cs="B Zar" w:hint="cs"/>
          <w:rtl/>
        </w:rPr>
      </w:pPr>
      <w:r w:rsidRPr="00406624">
        <w:rPr>
          <w:rFonts w:cs="B Zar" w:hint="cs"/>
          <w:rtl/>
        </w:rPr>
        <w:t>با توجه به موضوعات متون فوق، برخي از انديشمندان هندو، ادبيات ودا را در دو بخش «</w:t>
      </w:r>
      <w:r w:rsidRPr="00406624">
        <w:rPr>
          <w:rFonts w:cs="B Zar" w:hint="cs"/>
          <w:i/>
          <w:iCs/>
          <w:rtl/>
        </w:rPr>
        <w:t>كراما كُند</w:t>
      </w:r>
      <w:r w:rsidRPr="00406624">
        <w:rPr>
          <w:rFonts w:cs="B Zar" w:hint="cs"/>
          <w:rtl/>
        </w:rPr>
        <w:t>»</w:t>
      </w:r>
      <w:r w:rsidRPr="00406624">
        <w:rPr>
          <w:rFonts w:cs="B Zar"/>
        </w:rPr>
        <w:t>(Karama Kund)</w:t>
      </w:r>
      <w:r w:rsidRPr="00406624">
        <w:rPr>
          <w:rFonts w:cs="B Zar" w:hint="cs"/>
          <w:rtl/>
        </w:rPr>
        <w:t xml:space="preserve"> و «</w:t>
      </w:r>
      <w:r w:rsidRPr="00406624">
        <w:rPr>
          <w:rFonts w:cs="B Zar" w:hint="cs"/>
          <w:i/>
          <w:iCs/>
          <w:rtl/>
        </w:rPr>
        <w:t>جنانا كُند</w:t>
      </w:r>
      <w:r w:rsidRPr="00406624">
        <w:rPr>
          <w:rFonts w:cs="B Zar" w:hint="cs"/>
          <w:rtl/>
        </w:rPr>
        <w:t>»</w:t>
      </w:r>
      <w:r w:rsidRPr="00406624">
        <w:rPr>
          <w:rFonts w:cs="B Zar"/>
        </w:rPr>
        <w:t>(Janana Kund)</w:t>
      </w:r>
      <w:r w:rsidRPr="00406624">
        <w:rPr>
          <w:rFonts w:cs="B Zar" w:hint="cs"/>
          <w:rtl/>
        </w:rPr>
        <w:t xml:space="preserve"> تقسيم مي‌كنند؛ «</w:t>
      </w:r>
      <w:r w:rsidRPr="00406624">
        <w:rPr>
          <w:rFonts w:cs="B Zar" w:hint="cs"/>
          <w:i/>
          <w:iCs/>
          <w:rtl/>
        </w:rPr>
        <w:t>كراما كُند،</w:t>
      </w:r>
      <w:r w:rsidRPr="00406624">
        <w:rPr>
          <w:rFonts w:cs="B Zar" w:hint="cs"/>
          <w:rtl/>
        </w:rPr>
        <w:t xml:space="preserve"> به معناي «راهنماي عمل» و «</w:t>
      </w:r>
      <w:r w:rsidRPr="00406624">
        <w:rPr>
          <w:rFonts w:cs="B Zar" w:hint="cs"/>
          <w:i/>
          <w:iCs/>
          <w:rtl/>
        </w:rPr>
        <w:t xml:space="preserve"> جنانا كُند</w:t>
      </w:r>
      <w:r w:rsidRPr="00406624">
        <w:rPr>
          <w:rFonts w:cs="B Zar" w:hint="cs"/>
          <w:rtl/>
        </w:rPr>
        <w:t xml:space="preserve"> »، به معناي «راهنماي عقل و معرفت» است. مقصود اصلي از عمل، انجام عبادات و مناسك و مراسم ديني و انجام شئون ديگر زندگي (نظير مراسم ازدواج، مرگ، احكام ميراث و غيره) است و </w:t>
      </w:r>
      <w:r w:rsidRPr="00406624">
        <w:rPr>
          <w:rFonts w:cs="B Zar" w:hint="cs"/>
          <w:i/>
          <w:iCs/>
          <w:rtl/>
        </w:rPr>
        <w:t>جنانا كُند</w:t>
      </w:r>
      <w:r w:rsidRPr="00406624">
        <w:rPr>
          <w:rFonts w:cs="B Zar" w:hint="cs"/>
          <w:rtl/>
        </w:rPr>
        <w:t xml:space="preserve"> حاوي اعتقادات و روش‌هاي عرفاني است. اگر بخواهيم با اصطلاحات اسلامي سخن بگوئيم، مي‌توانيم اين دو را «شريعت» و «طريقت» بناميم. طبق اين تقسيم‌بندي، وداهاي چهارگانه و رسائل برهمانا و آرن</w:t>
      </w:r>
      <w:r w:rsidRPr="00406624">
        <w:rPr>
          <w:rFonts w:cs="B Zar" w:hint="cs"/>
          <w:i/>
          <w:iCs/>
          <w:rtl/>
        </w:rPr>
        <w:t>ياكا</w:t>
      </w:r>
      <w:r w:rsidRPr="00406624">
        <w:rPr>
          <w:rFonts w:cs="B Zar" w:hint="cs"/>
          <w:rtl/>
        </w:rPr>
        <w:t xml:space="preserve"> تشكيل دهنده «</w:t>
      </w:r>
      <w:r w:rsidRPr="00406624">
        <w:rPr>
          <w:rFonts w:cs="B Zar" w:hint="cs"/>
          <w:i/>
          <w:iCs/>
          <w:rtl/>
        </w:rPr>
        <w:t>كراما كُند</w:t>
      </w:r>
      <w:r w:rsidRPr="00406624">
        <w:rPr>
          <w:rFonts w:cs="B Zar" w:hint="cs"/>
          <w:rtl/>
        </w:rPr>
        <w:t xml:space="preserve"> و اوپانيشادها، جوهر اصلي </w:t>
      </w:r>
      <w:r w:rsidRPr="00406624">
        <w:rPr>
          <w:rFonts w:cs="B Zar" w:hint="cs"/>
          <w:i/>
          <w:iCs/>
          <w:rtl/>
        </w:rPr>
        <w:t>جنانا كُند</w:t>
      </w:r>
      <w:r w:rsidRPr="00406624">
        <w:rPr>
          <w:rFonts w:cs="B Zar" w:hint="cs"/>
          <w:rtl/>
        </w:rPr>
        <w:t xml:space="preserve"> مي باشند.</w:t>
      </w:r>
    </w:p>
    <w:p w:rsidR="0011420A" w:rsidRPr="00406624" w:rsidP="003C0EF5">
      <w:pPr>
        <w:widowControl w:val="0"/>
        <w:spacing w:line="420" w:lineRule="exact"/>
        <w:ind w:left="0" w:right="0"/>
        <w:jc w:val="both"/>
        <w:rPr>
          <w:rFonts w:cs="B Zar" w:hint="cs"/>
          <w:rtl/>
        </w:rPr>
      </w:pPr>
      <w:r w:rsidRPr="00406624">
        <w:rPr>
          <w:rFonts w:cs="B Zar" w:hint="cs"/>
          <w:i/>
          <w:iCs/>
          <w:rtl/>
        </w:rPr>
        <w:t>كراما كُند</w:t>
      </w:r>
      <w:r w:rsidRPr="00406624">
        <w:rPr>
          <w:rFonts w:cs="B Zar" w:hint="cs"/>
          <w:rtl/>
        </w:rPr>
        <w:t xml:space="preserve"> را مي‌توان به سه دسته تقسيم كرد:</w:t>
      </w:r>
    </w:p>
    <w:p w:rsidR="0011420A" w:rsidRPr="00406624" w:rsidP="003C0EF5">
      <w:pPr>
        <w:widowControl w:val="0"/>
        <w:spacing w:line="420" w:lineRule="exact"/>
        <w:ind w:left="0" w:right="0"/>
        <w:jc w:val="both"/>
        <w:rPr>
          <w:rFonts w:cs="B Zar" w:hint="cs"/>
          <w:rtl/>
        </w:rPr>
      </w:pPr>
      <w:r w:rsidRPr="00406624">
        <w:rPr>
          <w:rFonts w:cs="B Zar" w:hint="cs"/>
          <w:b/>
          <w:bCs/>
          <w:rtl/>
        </w:rPr>
        <w:t xml:space="preserve">الف: </w:t>
      </w:r>
      <w:r w:rsidRPr="00406624">
        <w:rPr>
          <w:rFonts w:cs="B Zar" w:hint="cs"/>
          <w:rtl/>
        </w:rPr>
        <w:t>مانترا</w:t>
      </w:r>
      <w:r w:rsidRPr="00406624">
        <w:rPr>
          <w:rFonts w:cs="B Zar"/>
        </w:rPr>
        <w:t>(Mantra)</w:t>
      </w:r>
      <w:r w:rsidRPr="00406624">
        <w:rPr>
          <w:rFonts w:cs="B Zar" w:hint="cs"/>
          <w:rtl/>
        </w:rPr>
        <w:t xml:space="preserve"> يا حمد و نيايش شعري و اذكار كه ريگ ودا مشتمل‌بر آنست و در مراسم قرباني و مناسك عبادي با لحن خاصي تلاوت مي‌شوند.</w:t>
      </w:r>
    </w:p>
    <w:p w:rsidR="0011420A" w:rsidRPr="00406624" w:rsidP="003C0EF5">
      <w:pPr>
        <w:widowControl w:val="0"/>
        <w:spacing w:line="420" w:lineRule="exact"/>
        <w:ind w:left="0" w:right="0"/>
        <w:jc w:val="both"/>
        <w:rPr>
          <w:rFonts w:cs="B Zar" w:hint="cs"/>
          <w:rtl/>
        </w:rPr>
      </w:pPr>
      <w:r w:rsidRPr="00406624">
        <w:rPr>
          <w:rFonts w:cs="B Zar" w:hint="cs"/>
          <w:rtl/>
        </w:rPr>
        <w:t>مانترا نيز شامل ادعيه، تعويذها و طلسم‌هاي سام ودا، ياجورودا و اتهاروا وداست.</w:t>
      </w:r>
    </w:p>
    <w:p w:rsidR="0011420A" w:rsidRPr="00406624" w:rsidP="003C0EF5">
      <w:pPr>
        <w:widowControl w:val="0"/>
        <w:spacing w:line="420" w:lineRule="exact"/>
        <w:ind w:left="0" w:right="0"/>
        <w:jc w:val="both"/>
        <w:rPr>
          <w:rFonts w:cs="B Zar" w:hint="cs"/>
          <w:rtl/>
          <w:lang w:bidi="fa-IR"/>
        </w:rPr>
      </w:pPr>
      <w:r w:rsidRPr="00406624">
        <w:rPr>
          <w:rFonts w:cs="B Zar" w:hint="cs"/>
          <w:b/>
          <w:bCs/>
          <w:rtl/>
        </w:rPr>
        <w:t xml:space="preserve">ب: </w:t>
      </w:r>
      <w:r w:rsidRPr="00406624">
        <w:rPr>
          <w:rFonts w:cs="B Zar" w:hint="cs"/>
          <w:rtl/>
        </w:rPr>
        <w:t>دستورات فقهي كه بخش‌هائي از ياجورودا، اتهاروا ودا و رسائل برهمانا مشتمل بر آنست، كه عموماً نثرند نه شعر.</w:t>
      </w:r>
    </w:p>
    <w:p w:rsidR="0011420A" w:rsidRPr="00406624" w:rsidP="003C0EF5">
      <w:pPr>
        <w:widowControl w:val="0"/>
        <w:spacing w:line="420" w:lineRule="exact"/>
        <w:ind w:left="0" w:right="0"/>
        <w:jc w:val="both"/>
        <w:rPr>
          <w:rFonts w:cs="B Zar" w:hint="cs"/>
          <w:rtl/>
        </w:rPr>
      </w:pPr>
      <w:r w:rsidRPr="00406624">
        <w:rPr>
          <w:rFonts w:cs="B Zar" w:hint="cs"/>
          <w:b/>
          <w:bCs/>
          <w:rtl/>
        </w:rPr>
        <w:t xml:space="preserve">ج: </w:t>
      </w:r>
      <w:r w:rsidRPr="00406624">
        <w:rPr>
          <w:rFonts w:cs="B Zar" w:hint="cs"/>
          <w:rtl/>
        </w:rPr>
        <w:t xml:space="preserve"> بيان ابعاد مرموز و سمبليك مراسم مذهبي و يا فلسفه عبادات كه رسائل آرن‌ياكا آنها را در بردارد.</w:t>
      </w:r>
    </w:p>
    <w:p w:rsidR="0011420A" w:rsidRPr="00406624" w:rsidP="003C0EF5">
      <w:pPr>
        <w:widowControl w:val="0"/>
        <w:spacing w:line="420" w:lineRule="exact"/>
        <w:ind w:left="0" w:right="0"/>
        <w:jc w:val="both"/>
        <w:rPr>
          <w:rFonts w:cs="B Zar" w:hint="cs"/>
          <w:rtl/>
        </w:rPr>
      </w:pPr>
      <w:r w:rsidRPr="00406624">
        <w:rPr>
          <w:rFonts w:cs="B Zar" w:hint="cs"/>
          <w:b/>
          <w:bCs/>
          <w:rtl/>
        </w:rPr>
        <w:t xml:space="preserve">د: </w:t>
      </w:r>
      <w:r w:rsidRPr="00406624">
        <w:rPr>
          <w:rFonts w:cs="B Zar" w:hint="cs"/>
          <w:rtl/>
        </w:rPr>
        <w:t xml:space="preserve">سير و سلوك عرفاني و انديشه عميق فلسفي كه اوپانيشاد داراي آنست. </w:t>
      </w:r>
    </w:p>
    <w:p w:rsidR="0011420A" w:rsidRPr="00406624" w:rsidP="003C0EF5">
      <w:pPr>
        <w:widowControl w:val="0"/>
        <w:spacing w:line="420" w:lineRule="exact"/>
        <w:ind w:left="0" w:right="0"/>
        <w:jc w:val="both"/>
        <w:rPr>
          <w:rFonts w:cs="B Zar" w:hint="cs"/>
          <w:rtl/>
        </w:rPr>
      </w:pPr>
      <w:r w:rsidRPr="00406624">
        <w:rPr>
          <w:rFonts w:cs="B Zar" w:hint="cs"/>
          <w:rtl/>
        </w:rPr>
        <w:t xml:space="preserve">هند شناس معروف ديوسن </w:t>
      </w:r>
      <w:r w:rsidRPr="00406624">
        <w:rPr>
          <w:rFonts w:cs="B Zar"/>
        </w:rPr>
        <w:t>(Deusson)</w:t>
      </w:r>
      <w:r w:rsidRPr="00406624">
        <w:rPr>
          <w:rFonts w:cs="B Zar" w:hint="cs"/>
          <w:rtl/>
        </w:rPr>
        <w:t xml:space="preserve"> معتقد است كه اين تقسيم‌بندي، با تقسيم بندي ادوار زندگي فرد متدّين در نگرش هندوئيسم تطبيق مي‌كند. طبق اين نگرش در زندگي فرد چهار مرحله وجود دارد:</w:t>
      </w:r>
    </w:p>
    <w:p w:rsidR="0011420A" w:rsidRPr="00406624" w:rsidP="003C0EF5">
      <w:pPr>
        <w:widowControl w:val="0"/>
        <w:spacing w:line="420" w:lineRule="exact"/>
        <w:ind w:left="0" w:right="0"/>
        <w:jc w:val="both"/>
        <w:rPr>
          <w:rFonts w:cs="B Zar" w:hint="cs"/>
          <w:rtl/>
        </w:rPr>
      </w:pPr>
      <w:r w:rsidRPr="00406624">
        <w:rPr>
          <w:rFonts w:cs="B Zar" w:hint="cs"/>
          <w:b/>
          <w:bCs/>
          <w:rtl/>
        </w:rPr>
        <w:t>1. برهمچاريه</w:t>
      </w:r>
      <w:r w:rsidRPr="00406624">
        <w:rPr>
          <w:rFonts w:cs="B Zar"/>
          <w:b/>
          <w:bCs/>
        </w:rPr>
        <w:t>(</w:t>
      </w:r>
      <w:r w:rsidRPr="00406624">
        <w:rPr>
          <w:rFonts w:cs="B Zar"/>
        </w:rPr>
        <w:t>Brahamcharya)</w:t>
      </w:r>
      <w:r w:rsidRPr="00406624">
        <w:rPr>
          <w:rFonts w:cs="B Zar" w:hint="cs"/>
          <w:b/>
          <w:bCs/>
          <w:rtl/>
        </w:rPr>
        <w:t xml:space="preserve"> يا زندگي دوران طفوليت و تجرّد:</w:t>
      </w:r>
      <w:r w:rsidRPr="00406624">
        <w:rPr>
          <w:rFonts w:cs="B Zar" w:hint="cs"/>
          <w:rtl/>
        </w:rPr>
        <w:t xml:space="preserve"> در اين دوره، يعني از كودكي تا آغاز جواني، انسان با پدر و مادر يا استاد خود زندگي مي‌كند و در اين دوره اذكار و اوراد را بايد بخواند.</w:t>
      </w:r>
    </w:p>
    <w:p w:rsidR="0011420A" w:rsidRPr="00406624" w:rsidP="003C0EF5">
      <w:pPr>
        <w:widowControl w:val="0"/>
        <w:spacing w:line="420" w:lineRule="exact"/>
        <w:ind w:left="0" w:right="0"/>
        <w:jc w:val="both"/>
        <w:rPr>
          <w:rFonts w:cs="B Zar" w:hint="cs"/>
          <w:rtl/>
        </w:rPr>
      </w:pPr>
      <w:r w:rsidRPr="00406624">
        <w:rPr>
          <w:rFonts w:cs="B Zar" w:hint="cs"/>
          <w:b/>
          <w:bCs/>
          <w:rtl/>
        </w:rPr>
        <w:t>2. گرهستيه</w:t>
      </w:r>
      <w:r w:rsidRPr="00406624">
        <w:rPr>
          <w:rFonts w:cs="B Zar"/>
          <w:b/>
          <w:bCs/>
        </w:rPr>
        <w:t>(</w:t>
      </w:r>
      <w:r w:rsidRPr="00406624">
        <w:rPr>
          <w:rFonts w:cs="B Zar"/>
        </w:rPr>
        <w:t>Giriyahastiya)</w:t>
      </w:r>
      <w:r w:rsidRPr="00406624">
        <w:rPr>
          <w:rFonts w:cs="B Zar" w:hint="cs"/>
          <w:b/>
          <w:bCs/>
          <w:rtl/>
        </w:rPr>
        <w:t xml:space="preserve"> يا زندگي دوران تأهل:</w:t>
      </w:r>
      <w:r w:rsidRPr="00406624">
        <w:rPr>
          <w:rFonts w:cs="B Zar" w:hint="cs"/>
          <w:rtl/>
        </w:rPr>
        <w:t xml:space="preserve"> در اين دوره در كنار انجام تكاليف زندگي خانوادگي بايد در ياجناها (مراسم عبادي) كه در وداها به خصوص ياجُور ودا و رسائل برهمانا توضيح داده شده است، مشاركت كند و يا آنها را برگزار نمايد.</w:t>
      </w:r>
    </w:p>
    <w:p w:rsidR="0011420A" w:rsidRPr="00406624" w:rsidP="003C0EF5">
      <w:pPr>
        <w:widowControl w:val="0"/>
        <w:spacing w:line="420" w:lineRule="exact"/>
        <w:ind w:left="0" w:right="0"/>
        <w:jc w:val="both"/>
        <w:rPr>
          <w:rFonts w:cs="B Zar" w:hint="cs"/>
          <w:rtl/>
        </w:rPr>
      </w:pPr>
      <w:r w:rsidRPr="00406624">
        <w:rPr>
          <w:rFonts w:cs="B Zar" w:hint="cs"/>
          <w:b/>
          <w:bCs/>
          <w:rtl/>
        </w:rPr>
        <w:t>3. وَناپَراسته</w:t>
      </w:r>
      <w:r w:rsidRPr="00406624">
        <w:rPr>
          <w:rFonts w:cs="B Zar"/>
          <w:b/>
          <w:bCs/>
        </w:rPr>
        <w:t>(</w:t>
      </w:r>
      <w:r w:rsidRPr="00406624">
        <w:rPr>
          <w:rFonts w:cs="B Zar"/>
        </w:rPr>
        <w:t>Van</w:t>
      </w:r>
      <w:r w:rsidRPr="00406624">
        <w:rPr>
          <w:rFonts w:cs="B Zar"/>
        </w:rPr>
        <w:t>aparasta)</w:t>
      </w:r>
      <w:r w:rsidRPr="00406624">
        <w:rPr>
          <w:rFonts w:cs="B Zar" w:hint="cs"/>
          <w:b/>
          <w:bCs/>
          <w:rtl/>
        </w:rPr>
        <w:t xml:space="preserve"> يا دوران بازنشستگي:</w:t>
      </w:r>
      <w:r w:rsidRPr="00406624">
        <w:rPr>
          <w:rFonts w:cs="B Zar" w:hint="cs"/>
          <w:rtl/>
        </w:rPr>
        <w:t xml:space="preserve"> در اين دوره به جاي اشتغال به انجام مناسك، درباره مفاهيم باطني آنها به تأمل مي‌پردازد كه مرحله آرن‌ياكا است.</w:t>
      </w:r>
    </w:p>
    <w:p w:rsidR="0011420A" w:rsidRPr="00406624" w:rsidP="003C0EF5">
      <w:pPr>
        <w:widowControl w:val="0"/>
        <w:spacing w:line="420" w:lineRule="exact"/>
        <w:ind w:left="0" w:right="0"/>
        <w:jc w:val="both"/>
        <w:rPr>
          <w:rFonts w:cs="B Zar" w:hint="cs"/>
          <w:rtl/>
        </w:rPr>
      </w:pPr>
      <w:r w:rsidRPr="00406624">
        <w:rPr>
          <w:rFonts w:cs="B Zar" w:hint="cs"/>
          <w:rtl/>
        </w:rPr>
        <w:t xml:space="preserve">4. </w:t>
      </w:r>
      <w:r w:rsidRPr="00406624">
        <w:rPr>
          <w:rFonts w:cs="B Zar" w:hint="cs"/>
          <w:b/>
          <w:bCs/>
          <w:rtl/>
        </w:rPr>
        <w:t>سانياسا</w:t>
      </w:r>
      <w:r w:rsidRPr="00406624">
        <w:rPr>
          <w:rFonts w:cs="B Zar"/>
          <w:b/>
          <w:bCs/>
        </w:rPr>
        <w:t>(</w:t>
      </w:r>
      <w:r w:rsidRPr="00406624">
        <w:rPr>
          <w:rFonts w:cs="B Zar"/>
        </w:rPr>
        <w:t>Sanyasa</w:t>
      </w:r>
      <w:r w:rsidRPr="00406624">
        <w:rPr>
          <w:rFonts w:cs="B Zar"/>
          <w:b/>
          <w:bCs/>
        </w:rPr>
        <w:t>)</w:t>
      </w:r>
      <w:r w:rsidRPr="00406624">
        <w:rPr>
          <w:rFonts w:cs="B Zar" w:hint="cs"/>
          <w:rtl/>
        </w:rPr>
        <w:t xml:space="preserve"> يا زندگي راهبانه و زاهد مآبانه كه در آن  به سير و سلوك عرفاني، يوگا و مراقبه و مكاشفه مي‌پردازد. اين مرحله، طريقت يا اوپانيشادها است. </w:t>
      </w:r>
    </w:p>
    <w:p w:rsidR="0011420A" w:rsidRPr="00406624" w:rsidP="003C0EF5">
      <w:pPr>
        <w:widowControl w:val="0"/>
        <w:spacing w:line="420" w:lineRule="exact"/>
        <w:ind w:left="0" w:right="0"/>
        <w:jc w:val="both"/>
        <w:rPr>
          <w:rFonts w:cs="B Zar" w:hint="cs"/>
          <w:rtl/>
        </w:rPr>
      </w:pPr>
      <w:r w:rsidRPr="00406624">
        <w:rPr>
          <w:rFonts w:cs="B Zar" w:hint="cs"/>
          <w:rtl/>
        </w:rPr>
        <w:t>انسان پس از انجام كامل احكام و مراسم و آموزشهاي مقرر در طي سالها، به مرحله عرفان مي‌رسد. بدون شريعت، نيل به طريقت ميسور نيست. ماهيت اين سه دسته از ادبيات كه مجموعاً ادبيات ودائي يا «</w:t>
      </w:r>
      <w:r w:rsidRPr="00406624">
        <w:rPr>
          <w:rFonts w:cs="B Zar" w:hint="cs"/>
          <w:i/>
          <w:iCs/>
          <w:rtl/>
        </w:rPr>
        <w:t>سروتي</w:t>
      </w:r>
      <w:r w:rsidRPr="00406624">
        <w:rPr>
          <w:rFonts w:cs="B Zar" w:hint="cs"/>
          <w:rtl/>
        </w:rPr>
        <w:t>» ناميده مي‌شوند، يكي نيست.</w:t>
      </w:r>
    </w:p>
    <w:p w:rsidR="0011420A" w:rsidRPr="00406624" w:rsidP="003C0EF5">
      <w:pPr>
        <w:widowControl w:val="0"/>
        <w:spacing w:line="420" w:lineRule="exact"/>
        <w:ind w:left="0" w:right="0"/>
        <w:jc w:val="both"/>
        <w:rPr>
          <w:rFonts w:cs="B Zar" w:hint="cs"/>
          <w:rtl/>
        </w:rPr>
      </w:pPr>
      <w:r w:rsidRPr="00406624">
        <w:rPr>
          <w:rFonts w:cs="B Zar" w:hint="cs"/>
          <w:rtl/>
        </w:rPr>
        <w:t>دكتر رادا كريشنان مي‌گويد: «سروده‌هاي ريگ ودا و سام ودا را شاعران عارف سروده‌اند، رسائل برهمانا تأليف روحانيون آريائي است و اوپانيشادها مشتمل بر انديشه حكميان، فيلسوفان و عارفان است. اين سه دسته از ادبيات كاملاً با سه مرحله تكامل دين كه هگل پيشنهاد كرده است، قابل تطبيق است. هرچند در ادوار بعدي هر سه جريان كنار هم قرار گرفتند، ولي ترديدي نيست كه در آغاز، در توالي هم ظهور يافته اند. اوپانيشاد، اثر حكيمان و عارفان، در عين آنكه تتمه و ضميمه وداهاي چهارگانه و رسائل برهمانا محسوب مي‌شود، نوعي اعتراض انديشمندان و عرفا بر عليه ظاهرگرائي و مناسك محوري آئين برهمنيسم نيز محسوب مي شود</w:t>
      </w:r>
      <w:r>
        <w:rPr>
          <w:rStyle w:val="FootnoteReference"/>
          <w:rFonts w:cs="B Zar"/>
          <w:rtl/>
        </w:rPr>
        <w:footnoteReference w:id="143"/>
      </w:r>
      <w:r w:rsidRPr="00406624">
        <w:rPr>
          <w:rFonts w:cs="B Zar" w:hint="cs"/>
          <w:rtl/>
        </w:rPr>
        <w:t>»</w:t>
      </w:r>
    </w:p>
    <w:p w:rsidR="0011420A" w:rsidP="003C0EF5">
      <w:pPr>
        <w:widowControl w:val="0"/>
        <w:spacing w:line="420" w:lineRule="exact"/>
        <w:ind w:left="0" w:right="0"/>
        <w:jc w:val="both"/>
        <w:rPr>
          <w:rFonts w:cs="B Zar" w:hint="cs"/>
          <w:rtl/>
        </w:rPr>
      </w:pPr>
      <w:r w:rsidRPr="00406624">
        <w:rPr>
          <w:rFonts w:cs="B Zar" w:hint="cs"/>
          <w:rtl/>
        </w:rPr>
        <w:t>به اين ترتيب از نظر اصطلاحي، تعبير ودا اساساً براي مجموعه سروده‌ها</w:t>
      </w:r>
      <w:r w:rsidRPr="00406624">
        <w:rPr>
          <w:rFonts w:cs="B Zar"/>
        </w:rPr>
        <w:t>(Hymns)</w:t>
      </w:r>
      <w:r w:rsidRPr="00406624">
        <w:rPr>
          <w:rFonts w:cs="B Zar" w:hint="cs"/>
          <w:rtl/>
        </w:rPr>
        <w:t xml:space="preserve"> و مانترا</w:t>
      </w:r>
      <w:r w:rsidRPr="00406624">
        <w:rPr>
          <w:rFonts w:cs="B Zar"/>
        </w:rPr>
        <w:t xml:space="preserve"> (Mantra)</w:t>
      </w:r>
      <w:r w:rsidRPr="00406624">
        <w:rPr>
          <w:rFonts w:cs="B Zar" w:hint="cs"/>
          <w:rtl/>
        </w:rPr>
        <w:t>است كه در كتابهاي چهارگانه ودايي، يعني مجموعه‌هاي ريگ ودا،سام ودا، و ياجور ودا و اتهاروا ودا گرد آمده؛ ولي در معناي عام، مقصود از تعبير ادبيات ودا و يا سروتي، كتابهاي چهارگانه ياد شده به اضافه رسائل برهمانا، آرنياكا و اوپانيشادها مي‌باشد.</w:t>
      </w:r>
    </w:p>
    <w:p w:rsidR="00CE228A" w:rsidRPr="00406624" w:rsidP="003C0EF5">
      <w:pPr>
        <w:widowControl w:val="0"/>
        <w:spacing w:line="420" w:lineRule="exact"/>
        <w:ind w:left="0" w:right="0"/>
        <w:jc w:val="both"/>
        <w:rPr>
          <w:rFonts w:cs="B Zar" w:hint="cs"/>
          <w:rtl/>
        </w:rPr>
      </w:pPr>
    </w:p>
    <w:p w:rsidR="0011420A" w:rsidP="003C0EF5">
      <w:pPr>
        <w:widowControl w:val="0"/>
        <w:spacing w:line="420" w:lineRule="exact"/>
        <w:ind w:left="0" w:right="0"/>
        <w:jc w:val="both"/>
        <w:rPr>
          <w:rFonts w:cs="B Zar" w:hint="cs"/>
          <w:rtl/>
        </w:rPr>
      </w:pPr>
      <w:r w:rsidRPr="00406624">
        <w:rPr>
          <w:rFonts w:cs="B Zar" w:hint="cs"/>
          <w:b/>
          <w:bCs/>
          <w:rtl/>
        </w:rPr>
        <w:t>معنا و مفهوم سروتي</w:t>
      </w:r>
      <w:r w:rsidRPr="00406624">
        <w:rPr>
          <w:rFonts w:cs="B Zar"/>
        </w:rPr>
        <w:t>(Sruti)</w:t>
      </w:r>
      <w:r w:rsidRPr="00406624">
        <w:rPr>
          <w:rFonts w:cs="B Zar" w:hint="cs"/>
          <w:b/>
          <w:bCs/>
          <w:rtl/>
        </w:rPr>
        <w:t xml:space="preserve"> و اِسمرتي</w:t>
      </w:r>
      <w:r w:rsidRPr="00406624">
        <w:rPr>
          <w:rFonts w:cs="B Zar"/>
        </w:rPr>
        <w:t>(Smirti)</w:t>
      </w:r>
      <w:r w:rsidRPr="00406624">
        <w:rPr>
          <w:rFonts w:cs="B Zar" w:hint="cs"/>
          <w:rtl/>
        </w:rPr>
        <w:t>در فرهنگ ديني هندوها، ادبيات ودا (شامل وداهاي</w:t>
      </w:r>
      <w:r w:rsidRPr="00406624">
        <w:rPr>
          <w:rFonts w:cs="B Zar"/>
        </w:rPr>
        <w:t>(Veda)</w:t>
      </w:r>
      <w:r w:rsidRPr="00406624">
        <w:rPr>
          <w:rFonts w:cs="B Zar" w:hint="cs"/>
          <w:rtl/>
        </w:rPr>
        <w:t xml:space="preserve"> چهارگانه، رسائل برهمانا</w:t>
      </w:r>
      <w:r w:rsidRPr="00406624">
        <w:rPr>
          <w:rFonts w:cs="B Zar"/>
        </w:rPr>
        <w:t xml:space="preserve"> (Brahmana)</w:t>
      </w:r>
      <w:r w:rsidRPr="00406624">
        <w:rPr>
          <w:rFonts w:cs="B Zar" w:hint="cs"/>
          <w:rtl/>
        </w:rPr>
        <w:t xml:space="preserve"> و اوپانيشادها)، سروتي ناميده ميشود.ريشه آن «سُر» </w:t>
      </w:r>
      <w:r w:rsidRPr="00406624">
        <w:rPr>
          <w:rFonts w:cs="B Zar"/>
        </w:rPr>
        <w:t>(Sur)</w:t>
      </w:r>
      <w:r w:rsidRPr="00406624">
        <w:rPr>
          <w:rFonts w:cs="B Zar" w:hint="cs"/>
          <w:rtl/>
        </w:rPr>
        <w:t xml:space="preserve"> است كه معناي آن استراق سمع و شنيدن است. «سروتي» گوئي آهنگ ابديت است كه آنرا روح عارف وارسته (ريشي) با گوش دل مي‌شنود. كلمه «سروتي» و نيز «درست» كه در خود متن ودا نيز به كار رفته است، نشان مي‌دهد كه معرفت ودائي معرفت عقلاني يا تجربي نيست، بلكه به پندار هندوها، معرفتي اشراقي و مُنْزِل است. در حالت شور و جذبه، گويي روح و قلب شاعر عارف طنين حقيقت را مي‌شنود و آنرا به صورت شعر يا قطعه نثري بيان مي‌دارد. او اسرار ملكوتي را، با استراق سمع باطن درمي‌يابد. اين امر جالب توجه است كه حكيمان يونان نيز معتقد بودند كه در كائنات آهنگي وجود دارد كه براي سمع آن گوش دل لازم است. متون ديني كه در زمره «سروتي» قرار ندارند، اسمرتي ناميده مي‌شوند</w:t>
      </w:r>
      <w:r>
        <w:rPr>
          <w:rStyle w:val="FootnoteReference"/>
          <w:rFonts w:cs="B Zar"/>
          <w:rtl/>
        </w:rPr>
        <w:footnoteReference w:id="144"/>
      </w:r>
      <w:r w:rsidRPr="00406624">
        <w:rPr>
          <w:rFonts w:cs="B Zar" w:hint="cs"/>
          <w:rtl/>
        </w:rPr>
        <w:t>. مثلاً كتاب مهابهارات</w:t>
      </w:r>
      <w:r w:rsidRPr="00406624">
        <w:rPr>
          <w:rFonts w:cs="B Zar"/>
        </w:rPr>
        <w:t>(Mahabharata)</w:t>
      </w:r>
      <w:r w:rsidRPr="00406624">
        <w:rPr>
          <w:rFonts w:cs="B Zar" w:hint="cs"/>
          <w:rtl/>
        </w:rPr>
        <w:t xml:space="preserve"> و رامايانا</w:t>
      </w:r>
      <w:r w:rsidRPr="00406624">
        <w:rPr>
          <w:rFonts w:cs="B Zar"/>
        </w:rPr>
        <w:t>(Ramayana)</w:t>
      </w:r>
      <w:r w:rsidRPr="00406624">
        <w:rPr>
          <w:rFonts w:cs="B Zar" w:hint="cs"/>
          <w:rtl/>
        </w:rPr>
        <w:t xml:space="preserve"> و غيره «سُروتي» نيستند، اسمرتي</w:t>
      </w:r>
      <w:r w:rsidRPr="00406624">
        <w:rPr>
          <w:rFonts w:cs="B Zar"/>
        </w:rPr>
        <w:t xml:space="preserve"> (Smirti</w:t>
      </w:r>
      <w:r w:rsidRPr="00406624">
        <w:rPr>
          <w:rFonts w:cs="B Zar" w:hint="cs"/>
          <w:rtl/>
        </w:rPr>
        <w:t xml:space="preserve">‌اند. تفاوتي كه در هندوئيسم ميان اين دو گذاشته مي‌شود، تقريباً همان است كه در اصطلاحات اسلامي ميان كتاب و سنت و يا در اصطلاح يهود ميان </w:t>
      </w:r>
      <w:r w:rsidRPr="00406624">
        <w:rPr>
          <w:rFonts w:cs="B Zar" w:hint="cs"/>
          <w:i/>
          <w:iCs/>
          <w:rtl/>
        </w:rPr>
        <w:t>توراة</w:t>
      </w:r>
      <w:r w:rsidRPr="00406624">
        <w:rPr>
          <w:rFonts w:cs="B Zar" w:hint="cs"/>
          <w:rtl/>
        </w:rPr>
        <w:t xml:space="preserve"> و </w:t>
      </w:r>
      <w:r w:rsidRPr="00406624">
        <w:rPr>
          <w:rFonts w:cs="B Zar" w:hint="cs"/>
          <w:i/>
          <w:iCs/>
          <w:rtl/>
        </w:rPr>
        <w:t>تلمود</w:t>
      </w:r>
      <w:r w:rsidRPr="00406624">
        <w:rPr>
          <w:rFonts w:cs="B Zar" w:hint="cs"/>
          <w:rtl/>
        </w:rPr>
        <w:t xml:space="preserve"> وجود دارد. اسمرتي به معناي «انديشيده» و «تامل شده» و «نقل» است. معيار درستي و نادرستي اسمرتي، تطبيق آن با معارف يا «سروتي» مي‌باشد.</w:t>
      </w:r>
    </w:p>
    <w:p w:rsidR="00D50DCD" w:rsidRPr="00406624" w:rsidP="003C0EF5">
      <w:pPr>
        <w:widowControl w:val="0"/>
        <w:spacing w:line="420" w:lineRule="exact"/>
        <w:ind w:left="0" w:right="0"/>
        <w:jc w:val="both"/>
        <w:rPr>
          <w:rFonts w:cs="B Zar" w:hint="cs"/>
          <w:rtl/>
        </w:rPr>
      </w:pPr>
    </w:p>
    <w:p w:rsidR="0011420A" w:rsidRPr="00406624" w:rsidP="003C0EF5">
      <w:pPr>
        <w:pStyle w:val="BodyTextIndent2"/>
        <w:widowControl w:val="0"/>
        <w:spacing w:line="420" w:lineRule="exact"/>
        <w:ind w:left="0" w:right="0"/>
        <w:jc w:val="both"/>
        <w:rPr>
          <w:rFonts w:cs="B Zar" w:hint="cs"/>
          <w:b/>
          <w:bCs/>
          <w:sz w:val="26"/>
          <w:szCs w:val="26"/>
          <w:rtl/>
        </w:rPr>
      </w:pPr>
      <w:r w:rsidRPr="00406624">
        <w:rPr>
          <w:rFonts w:cs="B Zar" w:hint="cs"/>
          <w:b/>
          <w:bCs/>
          <w:sz w:val="26"/>
          <w:szCs w:val="26"/>
          <w:rtl/>
        </w:rPr>
        <w:t>ريشي: حكيم متاله</w:t>
      </w:r>
    </w:p>
    <w:p w:rsidR="0011420A" w:rsidRPr="00406624" w:rsidP="003C0EF5">
      <w:pPr>
        <w:widowControl w:val="0"/>
        <w:spacing w:line="420" w:lineRule="exact"/>
        <w:ind w:left="0" w:right="0"/>
        <w:jc w:val="both"/>
        <w:rPr>
          <w:rFonts w:cs="B Zar" w:hint="cs"/>
          <w:rtl/>
        </w:rPr>
      </w:pPr>
      <w:r w:rsidRPr="00406624">
        <w:rPr>
          <w:rFonts w:cs="B Zar" w:hint="cs"/>
          <w:rtl/>
        </w:rPr>
        <w:t xml:space="preserve"> ودا يا سروتي را </w:t>
      </w:r>
      <w:r w:rsidRPr="00406624">
        <w:rPr>
          <w:rFonts w:cs="B Zar" w:hint="cs"/>
          <w:i/>
          <w:iCs/>
          <w:rtl/>
        </w:rPr>
        <w:t>ريشي</w:t>
      </w:r>
      <w:r w:rsidRPr="00406624">
        <w:rPr>
          <w:rFonts w:cs="B Zar" w:hint="cs"/>
          <w:rtl/>
        </w:rPr>
        <w:t>‌ها اشراق مي‌كنند. كلمه ريشي</w:t>
      </w:r>
      <w:r w:rsidRPr="00406624">
        <w:rPr>
          <w:rFonts w:cs="B Zar"/>
        </w:rPr>
        <w:t>(Rishi)</w:t>
      </w:r>
      <w:r w:rsidRPr="00406624">
        <w:rPr>
          <w:rFonts w:cs="B Zar" w:hint="cs"/>
          <w:rtl/>
        </w:rPr>
        <w:t xml:space="preserve"> از ريشه «رش»</w:t>
      </w:r>
      <w:r w:rsidRPr="00406624">
        <w:rPr>
          <w:rFonts w:cs="B Zar"/>
        </w:rPr>
        <w:t>Rsh</w:t>
      </w:r>
      <w:r w:rsidRPr="00406624">
        <w:rPr>
          <w:rFonts w:cs="B Zar" w:hint="cs"/>
          <w:rtl/>
        </w:rPr>
        <w:t xml:space="preserve"> به معناي جاري شدن، روان شدن، طغيان، فراواني، و ريزش و معناي دوم آن، حركت كردن، جنبش  داشتن، به جلو راه بازكردن و به نرمي راه رفتن است. بدينسان به عقيده هندوها، ريشي كسي است كه دچار يك حالت ذهني و روحاني، طغيان، شور و جذبه مي‌گردد و دريچه‌هاي فكري او با عنايات الهي باز مي‌شود و به نوعي معناي ديگر كلمه تلاش پي‌گير و فعال براي راه باز كردن و رفتن به جلو است كه از طريق رياضت‌هاي مداوم، تزكيه نفس و كسب معارف صورت مي‌گيرد.</w:t>
      </w:r>
    </w:p>
    <w:p w:rsidR="0011420A" w:rsidRPr="00406624" w:rsidP="003C0EF5">
      <w:pPr>
        <w:widowControl w:val="0"/>
        <w:spacing w:line="420" w:lineRule="exact"/>
        <w:ind w:left="0" w:right="0"/>
        <w:jc w:val="both"/>
        <w:rPr>
          <w:rFonts w:cs="B Zar" w:hint="cs"/>
          <w:rtl/>
        </w:rPr>
      </w:pPr>
      <w:r w:rsidRPr="00406624">
        <w:rPr>
          <w:rFonts w:cs="B Zar" w:hint="cs"/>
          <w:rtl/>
        </w:rPr>
        <w:t xml:space="preserve">مفهوم سومي كه در كلمه ريشي مضمر است، ديدن و نگريستن است. طبق اعتقاد هندوها، پس از عارض شدن جذبه روحي و طغيان دروني، ريشي حقايق ماورائي را ادراك مي‌كند و گوئي با چشمان باطن مي‌بيند. از همين جهت به زبان انگليسي كلمه ريشي را به طور عموم به عنوان عارف و بيننده </w:t>
      </w:r>
      <w:r w:rsidRPr="00406624">
        <w:rPr>
          <w:rFonts w:cs="B Zar"/>
        </w:rPr>
        <w:t>(Seer)</w:t>
      </w:r>
      <w:r w:rsidRPr="00406624">
        <w:rPr>
          <w:rFonts w:cs="B Zar" w:hint="cs"/>
          <w:rtl/>
        </w:rPr>
        <w:t xml:space="preserve"> ترجمه مي‌كنند.</w:t>
      </w:r>
      <w:r>
        <w:rPr>
          <w:rStyle w:val="FootnoteReference"/>
          <w:rFonts w:cs="B Zar"/>
          <w:rtl/>
        </w:rPr>
        <w:footnoteReference w:id="145"/>
      </w:r>
    </w:p>
    <w:p w:rsidR="0011420A" w:rsidRPr="00406624" w:rsidP="003C0EF5">
      <w:pPr>
        <w:widowControl w:val="0"/>
        <w:spacing w:line="420" w:lineRule="exact"/>
        <w:ind w:left="0" w:right="0"/>
        <w:jc w:val="both"/>
        <w:rPr>
          <w:rFonts w:cs="B Zar" w:hint="cs"/>
          <w:rtl/>
        </w:rPr>
      </w:pPr>
      <w:r w:rsidRPr="00406624">
        <w:rPr>
          <w:rFonts w:cs="B Zar" w:hint="cs"/>
          <w:rtl/>
        </w:rPr>
        <w:t>جهت روشن شدن مفهوم سوم از ريشي در اعتقاد هندوان و براي رفع اشتباهي كه در روزگاران معاصر در ميان مصلحان</w:t>
      </w:r>
      <w:r>
        <w:rPr>
          <w:rStyle w:val="FootnoteReference"/>
          <w:rFonts w:cs="B Zar"/>
          <w:rtl/>
        </w:rPr>
        <w:footnoteReference w:id="146"/>
      </w:r>
      <w:r w:rsidRPr="00406624">
        <w:rPr>
          <w:rFonts w:cs="B Zar" w:hint="cs"/>
          <w:rtl/>
        </w:rPr>
        <w:t>و روشنفكران هندو صورت گرفته است، ريشي را به عنوان رسول و نبي، و ودا را به عنوان كتاب آسماني معرفي نموده‌اند، شواهدي را ذيلاً عرضه مي‌كنيم تا قرابتي بين دو مفهوم</w:t>
      </w:r>
      <w:r w:rsidRPr="00406624">
        <w:rPr>
          <w:rFonts w:cs="B Zar"/>
        </w:rPr>
        <w:t xml:space="preserve"> </w:t>
      </w:r>
      <w:r w:rsidRPr="00406624">
        <w:rPr>
          <w:rFonts w:cs="B Zar" w:hint="cs"/>
          <w:rtl/>
        </w:rPr>
        <w:t xml:space="preserve"> حكيم مت</w:t>
      </w:r>
      <w:r w:rsidRPr="00406624">
        <w:rPr>
          <w:rFonts w:cs="B Zar" w:hint="cs"/>
          <w:rtl/>
          <w:lang w:bidi="fa-IR"/>
        </w:rPr>
        <w:t>أ</w:t>
      </w:r>
      <w:r w:rsidRPr="00406624">
        <w:rPr>
          <w:rFonts w:cs="B Zar" w:hint="cs"/>
          <w:rtl/>
        </w:rPr>
        <w:t>له در حكمت اسلامي و ريشي در اصطلاح هندوان بوجود آوريم.</w:t>
      </w:r>
    </w:p>
    <w:p w:rsidR="0011420A" w:rsidRPr="00406624" w:rsidP="003C0EF5">
      <w:pPr>
        <w:widowControl w:val="0"/>
        <w:spacing w:line="420" w:lineRule="exact"/>
        <w:ind w:left="0" w:right="0"/>
        <w:jc w:val="both"/>
        <w:rPr>
          <w:rFonts w:cs="B Zar" w:hint="cs"/>
          <w:rtl/>
        </w:rPr>
      </w:pPr>
      <w:r w:rsidRPr="00406624">
        <w:rPr>
          <w:rFonts w:cs="B Zar" w:hint="cs"/>
          <w:rtl/>
        </w:rPr>
        <w:t>سوامي وویكاناند</w:t>
      </w:r>
      <w:r w:rsidRPr="00406624">
        <w:rPr>
          <w:rFonts w:cs="B Zar"/>
        </w:rPr>
        <w:t>(Swami Vivekananda)</w:t>
      </w:r>
      <w:r w:rsidRPr="00406624">
        <w:rPr>
          <w:rFonts w:cs="B Zar" w:hint="cs"/>
          <w:rtl/>
        </w:rPr>
        <w:t xml:space="preserve"> و سري اربيندو</w:t>
      </w:r>
      <w:r w:rsidRPr="00406624">
        <w:rPr>
          <w:rFonts w:cs="B Zar"/>
        </w:rPr>
        <w:t>(Sri Auribindo)</w:t>
      </w:r>
      <w:r w:rsidRPr="00406624">
        <w:rPr>
          <w:rFonts w:cs="B Zar" w:hint="cs"/>
          <w:rtl/>
        </w:rPr>
        <w:t>، دو تن از برجسته‌ترين شارحين معاصر هندوئيسم، «ريشي» را به عنوان فردي كه حقائق ماورائي و ملكوتي را اشراق مي‌كند، تعريف مي‌كنند</w:t>
      </w:r>
      <w:r>
        <w:rPr>
          <w:rStyle w:val="FootnoteReference"/>
          <w:rFonts w:cs="B Zar"/>
          <w:rtl/>
        </w:rPr>
        <w:footnoteReference w:id="147"/>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داس گوپتا</w:t>
      </w:r>
      <w:r w:rsidRPr="00406624">
        <w:rPr>
          <w:rFonts w:cs="B Zar"/>
        </w:rPr>
        <w:t>(Das Gupta)</w:t>
      </w:r>
      <w:r w:rsidRPr="00406624">
        <w:rPr>
          <w:rFonts w:cs="B Zar" w:hint="cs"/>
          <w:rtl/>
        </w:rPr>
        <w:t xml:space="preserve"> مي‌گويد: «اشراق كنندگان سرودهاي ودا حكيماني بودند كه هندوها معتقدند معارف ودا، بر قلب آنان نازل گرديده است. آنان اشراق كنندگان اين آيات و سرودهايند و نه نويسندگان آن</w:t>
      </w:r>
      <w:r>
        <w:rPr>
          <w:rStyle w:val="FootnoteReference"/>
          <w:rFonts w:cs="B Zar"/>
          <w:rtl/>
        </w:rPr>
        <w:footnoteReference w:id="148"/>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از اظهارات انديشمندان هندو برمي‌آيد كه آنان ريشي‌ها را «حكماي متأله» مي‌دانند كه با فضل و تأييد الهي و امداد رباني و رياضتها و توجه به عالم اسرار و معاني، به مرحله‌اي مي‌رسند كه حقائق ملكوتي را مستقيماً درك مي‌كنند؛ انوار ملكوتي بر قلب آنان وارد مي‌شود و نوعي حكمت بر آنان مي‌تابد و از راه ذوق و عرفان مطالب را در مي‌يابند و بازگو مي‌كنند. با توجه به اينكه در كلمه «رش» معناي تلاش فعال از طرف عبد براي دريافت حقائق از ناحيه معبود نهفته است، مي‌توانيم «ريشي» را بدينگونه تعريف كنيم: جويندگاني كه از طريق رياضت به مرحله‌اي مي‌رسند كه معلومات ذوقي و اسراري را كه جنبه ملكوتي دارد، از طريق اشراق دريافت مي‌كنند.</w:t>
      </w:r>
    </w:p>
    <w:p w:rsidR="0011420A" w:rsidRPr="00406624" w:rsidP="003C0EF5">
      <w:pPr>
        <w:widowControl w:val="0"/>
        <w:spacing w:line="420" w:lineRule="exact"/>
        <w:ind w:left="0" w:right="0"/>
        <w:jc w:val="both"/>
        <w:rPr>
          <w:rFonts w:cs="B Zar" w:hint="cs"/>
          <w:rtl/>
        </w:rPr>
      </w:pPr>
      <w:r w:rsidRPr="00406624">
        <w:rPr>
          <w:rFonts w:cs="B Zar" w:hint="cs"/>
          <w:rtl/>
        </w:rPr>
        <w:t xml:space="preserve">اين نظریه هندوها راجع به ريشي‌ها و طرق كسب معرفت آنان، درست همان است كه حكيمان و عارفان به خود نسبت داده‌اند. شيخ بزرگ، </w:t>
      </w:r>
      <w:r w:rsidRPr="00406624">
        <w:rPr>
          <w:rFonts w:cs="B Zar" w:hint="cs"/>
          <w:i/>
          <w:iCs/>
          <w:rtl/>
        </w:rPr>
        <w:t>ابن عربي</w:t>
      </w:r>
      <w:r w:rsidRPr="00406624">
        <w:rPr>
          <w:rFonts w:cs="B Zar" w:hint="cs"/>
          <w:rtl/>
        </w:rPr>
        <w:t xml:space="preserve">، </w:t>
      </w:r>
      <w:r w:rsidRPr="00406624">
        <w:rPr>
          <w:rFonts w:cs="B Zar" w:hint="cs"/>
          <w:i/>
          <w:iCs/>
          <w:rtl/>
        </w:rPr>
        <w:t>مولاناي روم</w:t>
      </w:r>
      <w:r w:rsidRPr="00406624">
        <w:rPr>
          <w:rFonts w:cs="B Zar" w:hint="cs"/>
          <w:rtl/>
        </w:rPr>
        <w:t>،</w:t>
      </w:r>
      <w:r w:rsidRPr="00406624">
        <w:rPr>
          <w:rFonts w:cs="B Zar" w:hint="cs"/>
          <w:rtl/>
        </w:rPr>
        <w:t xml:space="preserve"> </w:t>
      </w:r>
      <w:r w:rsidRPr="00406624">
        <w:rPr>
          <w:rFonts w:cs="B Zar" w:hint="cs"/>
          <w:i/>
          <w:iCs/>
          <w:rtl/>
        </w:rPr>
        <w:t xml:space="preserve">شيخ اشراق </w:t>
      </w:r>
      <w:r w:rsidRPr="00406624">
        <w:rPr>
          <w:rFonts w:cs="B Zar" w:hint="cs"/>
          <w:rtl/>
        </w:rPr>
        <w:t xml:space="preserve">و </w:t>
      </w:r>
      <w:r w:rsidRPr="00406624">
        <w:rPr>
          <w:rFonts w:cs="B Zar" w:hint="cs"/>
          <w:i/>
          <w:iCs/>
          <w:rtl/>
        </w:rPr>
        <w:t>صدرالمتألهين،</w:t>
      </w:r>
      <w:r w:rsidRPr="00406624">
        <w:rPr>
          <w:rFonts w:cs="B Zar" w:hint="cs"/>
          <w:rtl/>
        </w:rPr>
        <w:t xml:space="preserve"> دقيقاً همان عباراتي را براي خود به كار برده‌اند كه ما با آن ريشي‌ها را توصيف كرده‌ايم. ملّا صدرا در مدخل كتاب </w:t>
      </w:r>
      <w:r w:rsidRPr="00406624">
        <w:rPr>
          <w:rFonts w:cs="B Zar" w:hint="cs"/>
          <w:i/>
          <w:iCs/>
          <w:rtl/>
        </w:rPr>
        <w:t>الشواهد الربوبيه</w:t>
      </w:r>
      <w:r w:rsidRPr="00406624">
        <w:rPr>
          <w:rFonts w:cs="B Zar" w:hint="cs"/>
          <w:rtl/>
        </w:rPr>
        <w:t xml:space="preserve"> آورده است:</w:t>
      </w:r>
    </w:p>
    <w:p w:rsidR="0011420A" w:rsidRPr="00406624" w:rsidP="003C0EF5">
      <w:pPr>
        <w:widowControl w:val="0"/>
        <w:spacing w:line="420" w:lineRule="exact"/>
        <w:ind w:left="0" w:right="0"/>
        <w:jc w:val="both"/>
        <w:rPr>
          <w:rFonts w:cs="B Zar" w:hint="cs"/>
          <w:rtl/>
        </w:rPr>
      </w:pPr>
      <w:r w:rsidRPr="00406624">
        <w:rPr>
          <w:rFonts w:cs="B Zar" w:hint="cs"/>
          <w:rtl/>
        </w:rPr>
        <w:t>اين فقير حقير محمد مشهور به صدرالدين شيرازي چنين گويد: «هنگامي كه با فضل و تأييد الهي و امداد رباني، مراجعات و توجهاتم به عالم معاني و اسرار و ملازمت و پايداري من در درگاه حكمت الهي ... به حد وفور و كثرت رسيد ... ناگاه بر مشاهده و ديدگاه هاي الهي و شواهد و ادله‌اي لطيف و قواعدي محكم و رباني و مسائلي متفق و عرفاني آگاهي يافتم</w:t>
      </w:r>
      <w:r>
        <w:rPr>
          <w:rStyle w:val="FootnoteReference"/>
          <w:rFonts w:cs="B Zar"/>
          <w:i/>
          <w:iCs/>
          <w:szCs w:val="24"/>
          <w:rtl/>
        </w:rPr>
        <w:footnoteReference w:id="149"/>
      </w:r>
      <w:r w:rsidRPr="00406624">
        <w:rPr>
          <w:rFonts w:cs="B Zar" w:hint="cs"/>
          <w:rtl/>
        </w:rPr>
        <w:t>».</w:t>
      </w:r>
    </w:p>
    <w:p w:rsidR="0011420A" w:rsidRPr="00406624" w:rsidP="003C0EF5">
      <w:pPr>
        <w:widowControl w:val="0"/>
        <w:spacing w:line="420" w:lineRule="exact"/>
        <w:ind w:left="0" w:right="0"/>
        <w:jc w:val="both"/>
        <w:rPr>
          <w:rFonts w:cs="B Zar" w:hint="cs"/>
          <w:rtl/>
          <w:lang w:bidi="fa-IR"/>
        </w:rPr>
      </w:pPr>
      <w:r w:rsidRPr="00406624">
        <w:rPr>
          <w:rFonts w:cs="B Zar" w:hint="cs"/>
          <w:rtl/>
        </w:rPr>
        <w:t>در جاي ديگر مي‌گويد:</w:t>
      </w:r>
    </w:p>
    <w:p w:rsidR="0011420A" w:rsidRPr="00406624" w:rsidP="003C0EF5">
      <w:pPr>
        <w:widowControl w:val="0"/>
        <w:spacing w:line="420" w:lineRule="exact"/>
        <w:ind w:left="0" w:right="0"/>
        <w:jc w:val="both"/>
        <w:rPr>
          <w:rFonts w:cs="B Zar" w:hint="cs"/>
          <w:rtl/>
        </w:rPr>
      </w:pPr>
      <w:r w:rsidRPr="00406624">
        <w:rPr>
          <w:rFonts w:cs="B Zar" w:hint="cs"/>
          <w:rtl/>
        </w:rPr>
        <w:t xml:space="preserve">«مطالبي كه در اين كتاب تحرير يافته، انواري است ملكوتي كه در آسمان قدس و ولايت و افقهاي علم و معرفت مي درخشد </w:t>
      </w:r>
      <w:r w:rsidRPr="00406624">
        <w:rPr>
          <w:rFonts w:hint="eastAsia"/>
          <w:rtl/>
        </w:rPr>
        <w:t>…</w:t>
      </w:r>
      <w:r w:rsidRPr="00406624">
        <w:rPr>
          <w:rFonts w:cs="B Zar" w:hint="eastAsia"/>
          <w:rtl/>
        </w:rPr>
        <w:t xml:space="preserve"> </w:t>
      </w:r>
      <w:r w:rsidRPr="00406624">
        <w:rPr>
          <w:rFonts w:cs="B Zar" w:hint="cs"/>
          <w:rtl/>
        </w:rPr>
        <w:t>چون امر و فرمان از ناحيه غيب بر قلب من وارد شد و از جانب آن عالم به من اشاره شد كه قسمتي از آن اسرار را اظهار كنم ... به تحرير اين مسائل اقدام نمودم</w:t>
      </w:r>
      <w:r>
        <w:rPr>
          <w:rStyle w:val="FootnoteReference"/>
          <w:rFonts w:cs="B Zar"/>
          <w:i/>
          <w:iCs/>
          <w:szCs w:val="24"/>
          <w:rtl/>
        </w:rPr>
        <w:footnoteReference w:id="150"/>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ملا صدرا در مدخل كتاب «المشاعر» مي‌فرمايد:</w:t>
      </w:r>
    </w:p>
    <w:p w:rsidR="0011420A" w:rsidRPr="00406624" w:rsidP="003C0EF5">
      <w:pPr>
        <w:pStyle w:val="BodyText"/>
        <w:widowControl w:val="0"/>
        <w:spacing w:line="420" w:lineRule="exact"/>
        <w:ind w:left="0" w:right="0"/>
        <w:jc w:val="both"/>
        <w:rPr>
          <w:rFonts w:cs="B Zar" w:hint="cs"/>
          <w:rtl/>
        </w:rPr>
      </w:pPr>
      <w:r w:rsidRPr="00406624">
        <w:rPr>
          <w:rFonts w:cs="B Zar" w:hint="cs"/>
          <w:rtl/>
        </w:rPr>
        <w:t>«ايها الاخوان السالكون الي الله بنور العرفان، استمعوا باستماع قلوبكم مقالتي لينفذ في بواطنكم نور حكمتي.»</w:t>
      </w:r>
    </w:p>
    <w:p w:rsidR="0011420A" w:rsidRPr="00406624" w:rsidP="003C0EF5">
      <w:pPr>
        <w:widowControl w:val="0"/>
        <w:spacing w:line="420" w:lineRule="exact"/>
        <w:ind w:left="0" w:right="0"/>
        <w:jc w:val="both"/>
        <w:rPr>
          <w:rFonts w:cs="B Zar" w:hint="cs"/>
          <w:i/>
          <w:iCs/>
          <w:rtl/>
        </w:rPr>
      </w:pPr>
      <w:r w:rsidRPr="00406624">
        <w:rPr>
          <w:rFonts w:cs="B Zar" w:hint="cs"/>
          <w:i/>
          <w:iCs/>
          <w:rtl/>
        </w:rPr>
        <w:t>«ولقد قدمت اليكم يا اخواني في كتبي و رسائلي من انوارالحكم ... هي مناهج السلوك الي منازل الهدي ... فكلّ من تنور بيت قلبه بهذه الانوار، ارتقي روحه الي تلك الدار</w:t>
      </w:r>
      <w:r>
        <w:rPr>
          <w:rStyle w:val="FootnoteReference"/>
          <w:rFonts w:cs="B Zar"/>
          <w:i/>
          <w:iCs/>
          <w:szCs w:val="24"/>
          <w:rtl/>
        </w:rPr>
        <w:footnoteReference w:id="151"/>
      </w:r>
      <w:r w:rsidRPr="00406624">
        <w:rPr>
          <w:rFonts w:cs="B Zar" w:hint="cs"/>
          <w:i/>
          <w:iCs/>
          <w:rtl/>
        </w:rPr>
        <w:t>.»</w:t>
      </w:r>
    </w:p>
    <w:p w:rsidR="0011420A" w:rsidRPr="00406624" w:rsidP="003C0EF5">
      <w:pPr>
        <w:widowControl w:val="0"/>
        <w:spacing w:line="420" w:lineRule="exact"/>
        <w:ind w:left="0" w:right="0"/>
        <w:jc w:val="both"/>
        <w:rPr>
          <w:rFonts w:cs="B Zar" w:hint="cs"/>
          <w:rtl/>
        </w:rPr>
      </w:pPr>
      <w:r w:rsidRPr="00406624">
        <w:rPr>
          <w:rFonts w:cs="B Zar" w:hint="cs"/>
          <w:rtl/>
        </w:rPr>
        <w:t>شيخ اشراق شهاب‌الدين سهروردي در مقدمه اثر ماندگار خود «</w:t>
      </w:r>
      <w:r w:rsidRPr="00406624">
        <w:rPr>
          <w:rFonts w:cs="B Zar" w:hint="cs"/>
          <w:i/>
          <w:iCs/>
          <w:rtl/>
        </w:rPr>
        <w:t>حكمه‌الاشراق</w:t>
      </w:r>
      <w:r w:rsidRPr="00406624">
        <w:rPr>
          <w:rFonts w:cs="B Zar" w:hint="cs"/>
          <w:rtl/>
        </w:rPr>
        <w:t>» مي‌گويد:</w:t>
      </w:r>
    </w:p>
    <w:p w:rsidR="0011420A" w:rsidRPr="00406624" w:rsidP="003C0EF5">
      <w:pPr>
        <w:widowControl w:val="0"/>
        <w:spacing w:line="420" w:lineRule="exact"/>
        <w:ind w:left="0" w:right="0"/>
        <w:jc w:val="both"/>
        <w:rPr>
          <w:rFonts w:cs="B Zar" w:hint="cs"/>
          <w:rtl/>
        </w:rPr>
      </w:pPr>
      <w:r w:rsidRPr="00406624">
        <w:rPr>
          <w:rFonts w:cs="B Zar" w:hint="cs"/>
          <w:rtl/>
        </w:rPr>
        <w:t xml:space="preserve">«اي گروه برادران، </w:t>
      </w:r>
      <w:r w:rsidRPr="00406624">
        <w:rPr>
          <w:rFonts w:hint="eastAsia"/>
          <w:rtl/>
        </w:rPr>
        <w:t>…</w:t>
      </w:r>
      <w:r w:rsidRPr="00406624">
        <w:rPr>
          <w:rFonts w:cs="B Zar" w:hint="eastAsia"/>
          <w:rtl/>
        </w:rPr>
        <w:t xml:space="preserve"> از من خواسته و مي</w:t>
      </w:r>
      <w:r w:rsidRPr="00406624">
        <w:rPr>
          <w:rFonts w:cs="B Zar" w:hint="cs"/>
          <w:rtl/>
        </w:rPr>
        <w:t>‌خواهيد كه كتابي بنگارم كه آنچه براي من از راه ذوق و خلوت و منازلات حاصل و يافت شده است، ثبت كرده ، ياد نمايم. البته هر جوينده‌اي را سهمي بود از نور الهي، كم باشد يا زياد و هر كوشش كننده‌اي را ذوقي بود، ناقص يا كامل</w:t>
      </w:r>
      <w:r w:rsidRPr="00406624">
        <w:rPr>
          <w:rFonts w:hint="eastAsia"/>
          <w:rtl/>
        </w:rPr>
        <w:t>…</w:t>
      </w:r>
      <w:r w:rsidRPr="00406624">
        <w:rPr>
          <w:rFonts w:cs="B Zar" w:hint="eastAsia"/>
          <w:rtl/>
        </w:rPr>
        <w:t xml:space="preserve"> زيرا دانش بر دسته و گروه خاصي وقف نباشد تا لازم </w:t>
      </w:r>
      <w:r w:rsidRPr="00406624">
        <w:rPr>
          <w:rFonts w:cs="B Zar" w:hint="cs"/>
          <w:rtl/>
        </w:rPr>
        <w:t>آ</w:t>
      </w:r>
      <w:r w:rsidRPr="00406624">
        <w:rPr>
          <w:rFonts w:cs="B Zar" w:hint="eastAsia"/>
          <w:rtl/>
        </w:rPr>
        <w:t xml:space="preserve">يد كه پس از آنها درهاي تابش انوار ملكوتي بسته گردد و راه حصول و فزوني دانش بر جهانيان بند </w:t>
      </w:r>
      <w:r w:rsidRPr="00406624">
        <w:rPr>
          <w:rFonts w:cs="B Zar" w:hint="cs"/>
          <w:rtl/>
        </w:rPr>
        <w:t>آ</w:t>
      </w:r>
      <w:r w:rsidRPr="00406624">
        <w:rPr>
          <w:rFonts w:cs="B Zar" w:hint="eastAsia"/>
          <w:rtl/>
        </w:rPr>
        <w:t>يد و بلكه بر عكس، بخشنده علم كه خود در افق مبين بود</w:t>
      </w:r>
      <w:r w:rsidRPr="00406624">
        <w:rPr>
          <w:rFonts w:cs="B Zar" w:hint="cs"/>
          <w:rtl/>
        </w:rPr>
        <w:t>،</w:t>
      </w:r>
      <w:r w:rsidRPr="00406624">
        <w:rPr>
          <w:rFonts w:cs="B Zar" w:hint="eastAsia"/>
          <w:rtl/>
        </w:rPr>
        <w:t xml:space="preserve"> بر اظهار امور و علوم نجيبيه بخيل نبود</w:t>
      </w:r>
      <w:r>
        <w:rPr>
          <w:rStyle w:val="FootnoteReference"/>
          <w:rFonts w:cs="B Zar"/>
          <w:i/>
          <w:iCs/>
          <w:szCs w:val="24"/>
          <w:rtl/>
        </w:rPr>
        <w:footnoteReference w:id="152"/>
      </w:r>
      <w:r w:rsidRPr="00406624">
        <w:rPr>
          <w:rFonts w:cs="B Zar" w:hint="eastAsia"/>
          <w:rtl/>
        </w:rPr>
        <w:t>.</w:t>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شيخ اشراق پس از چند صفحه مي‌فرمايد:</w:t>
      </w:r>
    </w:p>
    <w:p w:rsidR="0011420A" w:rsidRPr="00406624" w:rsidP="003C0EF5">
      <w:pPr>
        <w:widowControl w:val="0"/>
        <w:spacing w:line="420" w:lineRule="exact"/>
        <w:ind w:left="0" w:right="0"/>
        <w:jc w:val="both"/>
        <w:rPr>
          <w:rFonts w:cs="B Zar" w:hint="cs"/>
          <w:rtl/>
        </w:rPr>
      </w:pPr>
      <w:r w:rsidRPr="00406624">
        <w:rPr>
          <w:rFonts w:cs="B Zar" w:hint="cs"/>
          <w:rtl/>
        </w:rPr>
        <w:t>«</w:t>
      </w:r>
      <w:r w:rsidRPr="00406624">
        <w:rPr>
          <w:rFonts w:hint="eastAsia"/>
          <w:rtl/>
        </w:rPr>
        <w:t>…</w:t>
      </w:r>
      <w:r w:rsidRPr="00406624">
        <w:rPr>
          <w:rFonts w:cs="B Zar" w:hint="eastAsia"/>
          <w:rtl/>
        </w:rPr>
        <w:t xml:space="preserve"> اين كتاب از آن كساني است كه هم خواستار حكمت ذوقي باشند و هم جوياي حكمت بحثي</w:t>
      </w:r>
      <w:r w:rsidRPr="00406624">
        <w:rPr>
          <w:rFonts w:cs="B Zar" w:hint="cs"/>
          <w:rtl/>
        </w:rPr>
        <w:t>،</w:t>
      </w:r>
      <w:r w:rsidRPr="00406624">
        <w:rPr>
          <w:rFonts w:cs="B Zar" w:hint="eastAsia"/>
          <w:rtl/>
        </w:rPr>
        <w:t xml:space="preserve"> و براي كسانيكه تنها جوياي حكمت بحثي</w:t>
      </w:r>
      <w:r w:rsidRPr="00406624">
        <w:rPr>
          <w:rFonts w:cs="B Zar" w:hint="cs"/>
          <w:rtl/>
        </w:rPr>
        <w:t xml:space="preserve">‌اند، نه متاله‌اند و نه خواستار تاله، در اين كتاب سهمي نباشد </w:t>
      </w:r>
      <w:r w:rsidRPr="00406624">
        <w:rPr>
          <w:rFonts w:hint="eastAsia"/>
          <w:rtl/>
        </w:rPr>
        <w:t>…</w:t>
      </w:r>
      <w:r w:rsidRPr="00406624">
        <w:rPr>
          <w:rFonts w:cs="B Zar" w:hint="eastAsia"/>
          <w:rtl/>
        </w:rPr>
        <w:t xml:space="preserve"> كمترين درجات و شرائط خواننده اين كتاب اين است كه بارقه الهي بر دل او تابش كرده و فرود آمده باشد و ملكه وي شده باشد و آنان كه از بارقات الهي بهره</w:t>
      </w:r>
      <w:r w:rsidRPr="00406624">
        <w:rPr>
          <w:rFonts w:cs="B Zar" w:hint="cs"/>
          <w:rtl/>
        </w:rPr>
        <w:t>‌ور نشده باشند، از اين كتاب سودي برنگيرند</w:t>
      </w:r>
      <w:r>
        <w:rPr>
          <w:rStyle w:val="FootnoteReference"/>
          <w:rFonts w:cs="B Zar"/>
          <w:i/>
          <w:iCs/>
          <w:szCs w:val="24"/>
          <w:rtl/>
        </w:rPr>
        <w:footnoteReference w:id="153"/>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‌تصوري كه هندوئيسم از ريشيهايي كه ودا و اوپانيشادها را اشراق كردند دارد، از سنخ همين گونه «حكيمان متاله» است كه در تعبيرات سهروردي، «از راه ذوق در خلوات حقائق را درك مي‌كنند»، «جويندگاني‌اند كه نور الهي را در مي‌يابند» «تابش انوار ملكوتي برآنان مي‌دمد»، «بخشنده علوم كه در افق مبين است، درهاي علوم غيبيه را بر آنان مي گشايد»، «بارقه خدائي بر دلهاي آنان تابش مي‌كند. يا چنانكه ملا صدرا تعبير مي كند: در نتيجه مراجعات و توجهات به عالم معاني و اسرار، مشاهد و معارف الهي براي آنان روشن مي‌شود و نسبت به قواعدي محكم اطلاع مي‌يابند» و «انواري را كه در آسمان ملكوت و ولايت مي‌درخشد، مي‌بينند». در ديدگاه حكيم صدرا، اينها كساني‌اند كه به نور عرفان و نور حكمت، مسائلي براي‌شان روشن شده است.</w:t>
      </w:r>
    </w:p>
    <w:p w:rsidR="0011420A" w:rsidRPr="00406624" w:rsidP="003C0EF5">
      <w:pPr>
        <w:widowControl w:val="0"/>
        <w:spacing w:line="420" w:lineRule="exact"/>
        <w:ind w:left="0" w:right="0"/>
        <w:jc w:val="both"/>
        <w:rPr>
          <w:rFonts w:cs="B Zar" w:hint="cs"/>
          <w:rtl/>
        </w:rPr>
      </w:pPr>
      <w:r w:rsidRPr="00406624">
        <w:rPr>
          <w:rFonts w:cs="B Zar" w:hint="cs"/>
          <w:rtl/>
        </w:rPr>
        <w:t>بدين ترتيب، تصوري كه در فرهنگ هندوئي درباره «ريشي»ها وجود دارد، همان است كه عارفان‌ و انديشمندان ما نسبت به «حكيمان متاله» داشته‌اند. البته در قرون بعدي ريشي را ترفيع دادند و در روايات و مجموعه‌هاي اخبار ـ كه به نام «پورانا» معروف‌اند (ودا و اوپانيشاد) ـ را نيافته و حقائق عرفاني عارفان حكيم را به عنوان كلام الهي و كتابهاي منزَل توصيف كردند و در قرون اخير برخي علماي هندو، نظير دياناند سارسواتي و سوامي وويكاناند، ريشي‌ها را نه به صورت حكيمان بلكه به عنوان پيامبران و رسولان معرفي نمودند.</w:t>
      </w:r>
    </w:p>
    <w:p w:rsidR="0011420A" w:rsidRPr="00406624" w:rsidP="003C0EF5">
      <w:pPr>
        <w:widowControl w:val="0"/>
        <w:spacing w:line="420" w:lineRule="exact"/>
        <w:ind w:left="0" w:right="0"/>
        <w:jc w:val="both"/>
        <w:rPr>
          <w:rFonts w:cs="B Zar" w:hint="cs"/>
          <w:rtl/>
        </w:rPr>
      </w:pPr>
      <w:r w:rsidRPr="00406624">
        <w:rPr>
          <w:rFonts w:cs="B Zar" w:hint="cs"/>
          <w:rtl/>
        </w:rPr>
        <w:t>هندوها معتقدند كه تمام متون باستاني كه به عنوان سروتي</w:t>
      </w:r>
      <w:r w:rsidRPr="00406624">
        <w:rPr>
          <w:rFonts w:cs="B Zar"/>
        </w:rPr>
        <w:t>)</w:t>
      </w:r>
      <w:r w:rsidRPr="00406624">
        <w:rPr>
          <w:rFonts w:cs="B Zar" w:hint="cs"/>
          <w:rtl/>
        </w:rPr>
        <w:t xml:space="preserve"> </w:t>
      </w:r>
      <w:r w:rsidRPr="00406624">
        <w:rPr>
          <w:rFonts w:cs="B Zar"/>
        </w:rPr>
        <w:t>(Sruti</w:t>
      </w:r>
      <w:r w:rsidRPr="00406624">
        <w:rPr>
          <w:rFonts w:cs="B Zar" w:hint="cs"/>
          <w:rtl/>
        </w:rPr>
        <w:t xml:space="preserve"> معروف‌اند؛ از جمله وداهاي چهارگانه، رسائل براهمانا و اوپانيشاد را اشراق كرده‌اند. ولي عقيده هرچه باشد، مطالعه بي‌طرفانه نشان مي‌دهد كه ماهيت و وزن هر سه نمونه ادبيات فوق يكي نيست. سرايندگان سرودهاي ريگ ودا</w:t>
      </w:r>
      <w:r w:rsidRPr="00406624">
        <w:rPr>
          <w:rFonts w:cs="B Zar"/>
        </w:rPr>
        <w:t>(Rig Veda)</w:t>
      </w:r>
      <w:r w:rsidRPr="00406624">
        <w:rPr>
          <w:rFonts w:cs="B Zar" w:hint="cs"/>
          <w:rtl/>
        </w:rPr>
        <w:t xml:space="preserve"> و وداهاي ديگر، شاعراني بودند كه در حال شور و جذبه به تجليل و تمجيد معبودان و پديده‌هاي طبيعت پرداخته‌اند. انديشه آنان بسيار ابتدائي، نارس، بي‌ريا، مقدماتي، ساده لوحانه و بدوي است. توجيهات آنان ناشيانه و گاه مبتذل و سبك آنان بسيط و بي تكلف است. در مواردي، در قله‌هاي رفيع اديبانه و در موارد ديگر تكراري و بي‌مزه و خسته كننده است. در حالي‌كه رسائل برهمانا</w:t>
      </w:r>
      <w:r w:rsidRPr="00406624">
        <w:rPr>
          <w:rFonts w:cs="B Zar"/>
        </w:rPr>
        <w:t>(Brahmana)</w:t>
      </w:r>
      <w:r w:rsidRPr="00406624">
        <w:rPr>
          <w:rFonts w:cs="B Zar" w:hint="cs"/>
          <w:rtl/>
        </w:rPr>
        <w:t xml:space="preserve"> هيچ شور و جذبه‌اي را نشان نمي‌دهد، بلكه در آن نوعي موشكافيهاي فقيه مآبانه ديده مي شود. در ميان تمام انواع سروتي تنها اوپانيشادها، بدون ترديد سطح والاي بينش عرفاني و فلسفي سرايندگان و مولفان را نشان مي‌دهد. از نظر عمق انديشه، پروازهاي عرفاني، زيبائي بيان، ارائه تمثيلات و تشبيهات، در ميان ساير متون مقدس هندوها، تنها گيتا به مرحله اي از عرفان و حكمت پيشتاز و ممتاز مي‌رسد. از اين رو براي يك خواننده غير هندو، تنها نويسندگان اوپانيشادها و كساني كه مطالب اين مجموعه را ايراد كردند، مي‌توانند به عنوان عارف متاله به معنائي كه سهروردي و ملاصدرا اين كلمه را به كار برده‌‌اند، خوانده شوند.</w:t>
      </w:r>
    </w:p>
    <w:p w:rsidR="0011420A" w:rsidRPr="00406624" w:rsidP="003C0EF5">
      <w:pPr>
        <w:widowControl w:val="0"/>
        <w:spacing w:line="420" w:lineRule="exact"/>
        <w:ind w:left="0" w:right="0"/>
        <w:jc w:val="both"/>
        <w:rPr>
          <w:rFonts w:cs="B Zar" w:hint="cs"/>
          <w:rtl/>
        </w:rPr>
      </w:pPr>
      <w:r w:rsidRPr="00406624">
        <w:rPr>
          <w:rFonts w:cs="B Zar" w:hint="cs"/>
          <w:rtl/>
        </w:rPr>
        <w:t xml:space="preserve">اين نكته را برخي انديشمندان بزرگ معاصر هند از جمله داس گوپتا و رادا كريشنان پذيرفته‌اند؛ رادا كريشنان مي‌نويسد: </w:t>
      </w:r>
    </w:p>
    <w:p w:rsidR="0011420A" w:rsidRPr="00406624" w:rsidP="003C0EF5">
      <w:pPr>
        <w:widowControl w:val="0"/>
        <w:spacing w:line="420" w:lineRule="exact"/>
        <w:ind w:left="0" w:right="0"/>
        <w:jc w:val="both"/>
        <w:rPr>
          <w:rFonts w:cs="B Zar" w:hint="cs"/>
          <w:i/>
          <w:iCs/>
          <w:rtl/>
        </w:rPr>
      </w:pPr>
      <w:r w:rsidRPr="00406624">
        <w:rPr>
          <w:rFonts w:cs="B Zar" w:hint="cs"/>
          <w:i/>
          <w:iCs/>
          <w:rtl/>
        </w:rPr>
        <w:t>«ودا اثر شاعراني در حال شور و جذبه است، برهمانا اثر روحانيون و اوپانيشاد اثر حكيمان و عرفا مي‌باشد. اين سه دسته از ادبيات كهن با سه مرحله بزرگ تكامل دين كه هگل پيشنهاد كرده است، كاملاً تطبيق مي‌كند. هرچند در ادوار بعدي هر سه جريان در كنار هم قرار گرفت؛ ولي ترديدي نيست كه از آغاز، آنان در توالي هم به ظهور رسيده‌اند.</w:t>
      </w:r>
      <w:r>
        <w:rPr>
          <w:rStyle w:val="FootnoteReference"/>
          <w:rFonts w:cs="B Zar"/>
          <w:i/>
          <w:iCs/>
          <w:rtl/>
        </w:rPr>
        <w:footnoteReference w:id="154"/>
      </w:r>
      <w:r w:rsidRPr="00406624" w:rsidR="00AB7C33">
        <w:rPr>
          <w:rFonts w:cs="B Zar" w:hint="cs"/>
          <w:i/>
          <w:iCs/>
          <w:rtl/>
        </w:rPr>
        <w:t xml:space="preserve"> </w:t>
      </w:r>
      <w:r w:rsidRPr="00406624">
        <w:rPr>
          <w:rFonts w:cs="B Zar" w:hint="cs"/>
          <w:i/>
          <w:iCs/>
          <w:rtl/>
        </w:rPr>
        <w:t xml:space="preserve">» </w:t>
      </w:r>
    </w:p>
    <w:p w:rsidR="0011420A" w:rsidRPr="00406624" w:rsidP="003C0EF5">
      <w:pPr>
        <w:widowControl w:val="0"/>
        <w:spacing w:line="420" w:lineRule="exact"/>
        <w:ind w:left="0" w:right="0"/>
        <w:jc w:val="both"/>
        <w:rPr>
          <w:rFonts w:cs="B Zar" w:hint="cs"/>
          <w:rtl/>
        </w:rPr>
      </w:pPr>
      <w:r w:rsidRPr="00406624">
        <w:rPr>
          <w:rFonts w:cs="B Zar" w:hint="cs"/>
          <w:rtl/>
        </w:rPr>
        <w:t>داس گوپتا مي‌گويد: «تكامل انديشه منجر به گذار از مرحله طبيعت‌پرستي ساده ودا و مناسك‌گري برهمانا شد، و نهايتا به مرحله مكاشفات فلسفي و عرفاني والا رسيد</w:t>
      </w:r>
      <w:r>
        <w:rPr>
          <w:rStyle w:val="FootnoteReference"/>
          <w:rFonts w:cs="B Zar"/>
          <w:rtl/>
        </w:rPr>
        <w:footnoteReference w:id="155"/>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بدين ترتيب، به نظر دو تن از بزرگترين و معتبرترين صاحب‌نظران فلسفه هند، سرايندگان ودا، شاعران در حال جذبه و نويسندگان رسائل برهمانا و فقها بوده‌اند. بنابراين تنها مؤلفان اوپانيشادها را مي توانيم به معني واقعي عرفا و  حكيمان متاله بدانيم.</w:t>
      </w:r>
    </w:p>
    <w:p w:rsidR="0011420A" w:rsidRPr="00406624" w:rsidP="003C0EF5">
      <w:pPr>
        <w:widowControl w:val="0"/>
        <w:spacing w:line="420" w:lineRule="exact"/>
        <w:ind w:left="0" w:right="0"/>
        <w:jc w:val="both"/>
        <w:rPr>
          <w:rFonts w:cs="B Zar" w:hint="cs"/>
          <w:rtl/>
        </w:rPr>
      </w:pPr>
      <w:r w:rsidRPr="00406624">
        <w:rPr>
          <w:rFonts w:cs="B Zar" w:hint="cs"/>
          <w:rtl/>
        </w:rPr>
        <w:t xml:space="preserve">اما علماي هندو از نظر ديني با نظر ما موافق نيستند. آنان ريشي‌هاي اشراق كننده وداها را، حتي در مرتبه‌اي بالاتر از ريشيهايي كه مطالب اوپانيشاد را به تحرير كشيده‌اند مي‌دانند. به نظر آنان، ودا </w:t>
      </w:r>
      <w:r w:rsidRPr="00406624">
        <w:rPr>
          <w:rFonts w:cs="B Zar" w:hint="cs"/>
          <w:i/>
          <w:iCs/>
          <w:rtl/>
        </w:rPr>
        <w:t>ام‌الكتاب</w:t>
      </w:r>
      <w:r w:rsidRPr="00406624">
        <w:rPr>
          <w:rFonts w:cs="B Zar" w:hint="cs"/>
          <w:rtl/>
        </w:rPr>
        <w:t xml:space="preserve"> است و اوپانيشاد و غيره، اعتبار خود را از ودا گرفته‌اند. به خاطر توجيه اين مدعا كه ودا والاتر از ساير متون ديني است و براي آنكه نشان دهند مطالب آن بدوي و ساده لوحانه و بسيط نيست، مجبور مي‌‌شوند به روش تاويل و تفسير متوسل شوند و در صدد برآيند ابيات و قطعات به ظاهر ساده و بدوي و مطالب گاه متناقض و خرافي را چنان تأويل كنند كه از آن يك نظام والاي فلسفه و حكمت و عرفان</w:t>
      </w:r>
      <w:r>
        <w:rPr>
          <w:rStyle w:val="FootnoteReference"/>
          <w:rFonts w:cs="B Zar"/>
          <w:rtl/>
        </w:rPr>
        <w:footnoteReference w:id="156"/>
      </w:r>
      <w:r w:rsidRPr="00406624">
        <w:rPr>
          <w:rFonts w:cs="B Zar" w:hint="cs"/>
          <w:rtl/>
        </w:rPr>
        <w:t xml:space="preserve"> و يا يك سيستم انديشه توحيدي يا وحدت‌الوجودي درست كنند</w:t>
      </w:r>
      <w:r>
        <w:rPr>
          <w:rStyle w:val="FootnoteReference"/>
          <w:rFonts w:cs="B Zar"/>
          <w:rtl/>
        </w:rPr>
        <w:footnoteReference w:id="157"/>
      </w:r>
      <w:r w:rsidRPr="00406624">
        <w:rPr>
          <w:rFonts w:cs="B Zar" w:hint="cs"/>
          <w:rtl/>
        </w:rPr>
        <w:t xml:space="preserve"> و يا پيشرفته‌ترين نظريه‌هاي فيزيك و شيمي و بيولوژي و علم هيئت و نجوم را در وداها سراغ گيرند</w:t>
      </w:r>
      <w:r>
        <w:rPr>
          <w:rStyle w:val="FootnoteReference"/>
          <w:rFonts w:cs="B Zar"/>
          <w:rtl/>
        </w:rPr>
        <w:footnoteReference w:id="158"/>
      </w:r>
      <w:r w:rsidRPr="00406624">
        <w:rPr>
          <w:rFonts w:cs="B Zar" w:hint="cs"/>
          <w:rtl/>
        </w:rPr>
        <w:t xml:space="preserve">. بهتر است تفاوت ميان ريشيهاي سه گانه را با توجه به گفته شيخ اشراق، سهروردي، توجيه كنيم كه گفته است: </w:t>
      </w:r>
      <w:r w:rsidRPr="00406624">
        <w:rPr>
          <w:rFonts w:cs="B Zar" w:hint="cs"/>
          <w:i/>
          <w:iCs/>
          <w:rtl/>
        </w:rPr>
        <w:t>«هر جوينده‌اي را سهمي بود از نور الهي، كم باشد يا زياد و هر كوشش كننده‌اي را ذوقي بود، ناقص يا كامل</w:t>
      </w:r>
      <w:r>
        <w:rPr>
          <w:rStyle w:val="FootnoteReference"/>
          <w:rFonts w:cs="B Zar"/>
          <w:i/>
          <w:iCs/>
          <w:rtl/>
        </w:rPr>
        <w:footnoteReference w:id="159"/>
      </w:r>
      <w:r w:rsidRPr="00406624">
        <w:rPr>
          <w:rFonts w:cs="B Zar" w:hint="cs"/>
          <w:i/>
          <w:iCs/>
          <w:rtl/>
        </w:rPr>
        <w:t>».</w:t>
      </w:r>
      <w:r w:rsidRPr="00406624">
        <w:rPr>
          <w:rFonts w:cs="B Zar" w:hint="cs"/>
          <w:rtl/>
        </w:rPr>
        <w:t xml:space="preserve"> نگارندگان اوپانيشادها از اين نور بيشتر بهره برده بودند و سرايندگان وداها كه صدها سال پيش از آنان مي‌زيسته‌اند، انديشه بدوي‌تر و نسبتاً نارس داشتند؛ ليكن هردو جويندگاني بودند داراي سهمي از «نور» ، و كوشش كنندگاني بودند داراي ذوق؛ هر چند، ممكن است يكي كاملتر باشد و ديگري ناقصتر.</w:t>
      </w:r>
    </w:p>
    <w:p w:rsidR="0011420A" w:rsidRPr="00406624" w:rsidP="003C0EF5">
      <w:pPr>
        <w:widowControl w:val="0"/>
        <w:spacing w:line="420" w:lineRule="exact"/>
        <w:ind w:left="0" w:right="0"/>
        <w:jc w:val="both"/>
        <w:rPr>
          <w:rFonts w:cs="B Zar"/>
          <w:rtl/>
        </w:rPr>
      </w:pPr>
      <w:r w:rsidRPr="00406624">
        <w:rPr>
          <w:rFonts w:cs="B Zar" w:hint="cs"/>
          <w:rtl/>
        </w:rPr>
        <w:t>البته ماهيت بدوي ودا به اين معنا نيست كه اهميت آنرا دست كم بگيريم. مي‌توان گفت از جهات مختلف، ودا مهمترين كتاب مقدس هندوان است؛ هم براي پژوهشگران اديان تطبيقي و هم براي دانش پژوهان جامعه شناسي دين؛ همچنانكه براي باستان شناسان و مردم شناسان، اهميت آن بيش از ساير آثار ديگر است. در صفحات بعد ما تحت دو عنوان «اهميت ديني ـ مذهبي وداها» و «اهميت تاريخي ـ علمي وداها»، به بررسي ابعاد اهميت آن مي‌پردازيم.</w:t>
      </w:r>
    </w:p>
    <w:p w:rsidR="0011420A" w:rsidRPr="00406624" w:rsidP="003C0EF5">
      <w:pPr>
        <w:pStyle w:val="BodyTextIndent2"/>
        <w:widowControl w:val="0"/>
        <w:spacing w:line="420" w:lineRule="exact"/>
        <w:ind w:left="62" w:right="0" w:hanging="62"/>
        <w:jc w:val="left"/>
        <w:rPr>
          <w:rFonts w:cs="B Zar" w:hint="cs"/>
          <w:b/>
          <w:bCs/>
          <w:rtl/>
        </w:rPr>
      </w:pPr>
      <w:r w:rsidRPr="00406624">
        <w:rPr>
          <w:rFonts w:cs="B Zar" w:hint="cs"/>
          <w:b/>
          <w:bCs/>
          <w:rtl/>
        </w:rPr>
        <w:t>اهميت ودا</w:t>
      </w:r>
    </w:p>
    <w:p w:rsidR="0011420A" w:rsidRPr="00406624" w:rsidP="003C0EF5">
      <w:pPr>
        <w:widowControl w:val="0"/>
        <w:spacing w:line="420" w:lineRule="exact"/>
        <w:ind w:left="0" w:right="0"/>
        <w:jc w:val="both"/>
        <w:rPr>
          <w:rFonts w:cs="B Zar" w:hint="cs"/>
          <w:rtl/>
        </w:rPr>
      </w:pPr>
      <w:r w:rsidRPr="00406624">
        <w:rPr>
          <w:rFonts w:cs="B Zar" w:hint="cs"/>
          <w:rtl/>
        </w:rPr>
        <w:t>ماكس مولر مي‌نويسد:</w:t>
      </w:r>
    </w:p>
    <w:p w:rsidR="0011420A" w:rsidRPr="00406624" w:rsidP="003C0EF5">
      <w:pPr>
        <w:widowControl w:val="0"/>
        <w:spacing w:line="420" w:lineRule="exact"/>
        <w:ind w:left="0" w:right="0"/>
        <w:jc w:val="both"/>
        <w:rPr>
          <w:rFonts w:cs="B Zar" w:hint="cs"/>
          <w:rtl/>
        </w:rPr>
      </w:pPr>
      <w:r w:rsidRPr="00406624">
        <w:rPr>
          <w:rFonts w:cs="B Zar" w:hint="cs"/>
          <w:rtl/>
        </w:rPr>
        <w:t>«چه چيزي مي تواند خسته كننده‌تر و رنج آورتر از مطالعه سرودهاي يكنواخت و يك آهنگ ودا باشد؟ در عين حال، چه چيزي مي‌تواند شورانگيزتر و هيجان انگيزتر از مطالعه اين متون باشد؟ اگر در نظر داشته باشيم كه اين نخستين سخناني است كه نژاد آريا ايراد كرده و نخستين متون ديني موجود بشر مي‌باشد.</w:t>
      </w:r>
      <w:r>
        <w:rPr>
          <w:rStyle w:val="FootnoteReference"/>
          <w:rFonts w:cs="B Zar"/>
          <w:rtl/>
        </w:rPr>
        <w:footnoteReference w:id="160"/>
      </w:r>
      <w:r w:rsidRPr="00406624" w:rsidR="00F6786C">
        <w:rPr>
          <w:rFonts w:cs="B Zar" w:hint="cs"/>
          <w:rtl/>
        </w:rPr>
        <w:t xml:space="preserve"> </w:t>
      </w:r>
      <w:r w:rsidRPr="00406624">
        <w:rPr>
          <w:rFonts w:cs="B Zar" w:hint="cs"/>
          <w:rtl/>
        </w:rPr>
        <w:t>»</w:t>
      </w:r>
    </w:p>
    <w:p w:rsidR="0011420A" w:rsidRPr="00406624" w:rsidP="003C0EF5">
      <w:pPr>
        <w:widowControl w:val="0"/>
        <w:spacing w:line="420" w:lineRule="exact"/>
        <w:ind w:left="0" w:right="0"/>
        <w:jc w:val="both"/>
        <w:rPr>
          <w:rFonts w:cs="B Zar" w:hint="cs"/>
          <w:i/>
          <w:iCs/>
          <w:rtl/>
        </w:rPr>
      </w:pPr>
      <w:r w:rsidRPr="00406624">
        <w:rPr>
          <w:rFonts w:cs="B Zar" w:hint="cs"/>
          <w:rtl/>
        </w:rPr>
        <w:t xml:space="preserve">ودا براي مردم شناسان، باستان شناسان و جامعه شناسان دين و تاريخ، داراي اهميت فوق العاده‌اي است؛ چرا كه نشان مي‌دهد انسان پنج هزار سال پيش، انساني كه تازه به مرحله آغاز تمدن و اجتماع رسيده بود، چه احساساتي داشت، چه انديشه‌اي در سر مي‌پروراند، به چگونه ديني باور داشت و نگرش او به هستي، از چه مراحلي گذر كرده است. ما در حين مطالعه ريگ ودا و ساير متون ادبيات ودا، گوئي با چشمان خود كيفيات دروني، حالات ذهني، شرائط زندگي و مهمتر از همه سير انديشه ديني ـ فلسفي بشر را نظاره مي‌كنيم. بدون مطالعه ودا، هيچكس نمي‌تواند به نظري اجتهادي پيرامون جامعه شناسي دين و يا مردم شناسي تاريخ، دست پيدا كند و در اين رشته‌ها صاحب نظر شود. براي شناخت گذشته تاريخ انسان، مطالعه ودا اجتناب ناپذير است. ماكس مولر مي‌گويد: </w:t>
      </w:r>
      <w:r w:rsidRPr="00406624">
        <w:rPr>
          <w:rFonts w:cs="B Zar" w:hint="cs"/>
          <w:i/>
          <w:iCs/>
          <w:rtl/>
        </w:rPr>
        <w:t>«تا زمانيكه انسان به شناسائي تاريخ و سرگذشت خود بر صفحه گيتي علاقه‌مند است و عتيقه‌هاي گذشته را ارج مي‌نهد، ودا داراي اهميت  درجه اول خواهد بود»</w:t>
      </w:r>
      <w:r>
        <w:rPr>
          <w:rStyle w:val="FootnoteReference"/>
          <w:rFonts w:cs="B Zar"/>
          <w:i/>
          <w:iCs/>
          <w:rtl/>
        </w:rPr>
        <w:footnoteReference w:id="161"/>
      </w:r>
      <w:r w:rsidRPr="00406624">
        <w:rPr>
          <w:rFonts w:cs="B Zar" w:hint="cs"/>
          <w:i/>
          <w:iCs/>
          <w:rtl/>
        </w:rPr>
        <w:t>.</w:t>
      </w:r>
    </w:p>
    <w:p w:rsidR="0011420A" w:rsidRPr="00406624" w:rsidP="003C0EF5">
      <w:pPr>
        <w:widowControl w:val="0"/>
        <w:spacing w:line="420" w:lineRule="exact"/>
        <w:ind w:left="0" w:right="0"/>
        <w:jc w:val="both"/>
        <w:rPr>
          <w:rFonts w:cs="B Zar" w:hint="cs"/>
          <w:rtl/>
        </w:rPr>
      </w:pPr>
      <w:r w:rsidRPr="00406624">
        <w:rPr>
          <w:rFonts w:cs="B Zar" w:hint="cs"/>
          <w:rtl/>
        </w:rPr>
        <w:t>باستثناي برخي اسناد پراكنده‌ كه به صورت  كتيبه‌ها، از مقابر فرعون مصر و طي حفاري‌هاي مختلف به دست آمده است و برخي داستانها و حماسه‌هاي ديني سومري‌ها و قوم ماد و آشور كه در قرن بيستم كشف گرديده است، وداهاي چهارگانه به خصوص ريگ ودا، قديمي‌ترين سند انديشه ديني است. آلبرشت وبر، يكي از پيشقراولان رشته هند شناسي و سانسكريت شناسي در غرب، مي‌نويسد:</w:t>
      </w:r>
    </w:p>
    <w:p w:rsidR="0011420A" w:rsidRPr="00406624" w:rsidP="003C0EF5">
      <w:pPr>
        <w:widowControl w:val="0"/>
        <w:spacing w:line="420" w:lineRule="exact"/>
        <w:ind w:left="0" w:right="0"/>
        <w:jc w:val="both"/>
        <w:rPr>
          <w:rFonts w:cs="B Zar" w:hint="cs"/>
          <w:rtl/>
        </w:rPr>
      </w:pPr>
      <w:r w:rsidRPr="00406624">
        <w:rPr>
          <w:rFonts w:cs="B Zar" w:hint="cs"/>
          <w:rtl/>
        </w:rPr>
        <w:t>«ودا را بايد كهن‌ترين متن ادبي ـ ديني بشر تلقي كرد.»</w:t>
      </w:r>
    </w:p>
    <w:p w:rsidR="0011420A" w:rsidRPr="00406624" w:rsidP="003C0EF5">
      <w:pPr>
        <w:widowControl w:val="0"/>
        <w:spacing w:line="420" w:lineRule="exact"/>
        <w:ind w:left="0" w:right="0"/>
        <w:jc w:val="both"/>
        <w:rPr>
          <w:rFonts w:cs="B Zar" w:hint="cs"/>
          <w:rtl/>
        </w:rPr>
      </w:pPr>
      <w:r w:rsidRPr="00406624">
        <w:rPr>
          <w:rFonts w:cs="B Zar" w:hint="cs"/>
          <w:rtl/>
        </w:rPr>
        <w:t>ويلسون، هند شناس بزرگ ديگر ، مي‌گويد:</w:t>
      </w:r>
    </w:p>
    <w:p w:rsidR="0011420A" w:rsidRPr="00406624" w:rsidP="003C0EF5">
      <w:pPr>
        <w:widowControl w:val="0"/>
        <w:spacing w:line="420" w:lineRule="exact"/>
        <w:ind w:left="0" w:right="0"/>
        <w:jc w:val="both"/>
        <w:rPr>
          <w:rFonts w:cs="B Zar" w:hint="cs"/>
          <w:rtl/>
        </w:rPr>
      </w:pPr>
      <w:r w:rsidRPr="00406624">
        <w:rPr>
          <w:rFonts w:cs="B Zar" w:hint="cs"/>
          <w:rtl/>
        </w:rPr>
        <w:t>«سرود ودا را آريائي ها قرن ها پيش از طلوع تمدن يونان، حتي پيش از كهن ترين اسناد امپراطوري آشور و همزمان با نخستين كتب آسماني انبياء و پيامبران بني اسرائيل سروده اند. اين متون تنها متأخرتر از اسناد پراكنده ديني مصر و سومراند</w:t>
      </w:r>
      <w:r>
        <w:rPr>
          <w:rStyle w:val="FootnoteReference"/>
          <w:rFonts w:cs="B Zar"/>
          <w:rtl/>
        </w:rPr>
        <w:footnoteReference w:id="162"/>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در تاريخ انديشه ديني ـ فلسفي نيز متون ودا داراي اهميت فوق‌العاده‌اي است. تمام متون مقدس هندوها كه در اعصار بعدي تدوين گرديدند، نوعي تفسير و حواشي بر ودا و ضمائم آن محسوب مي‌شوند. رسائل براهمانا، نوعي تفسير فقهي مناسك و احكام ودا است. رسائل آرن‌ياكا و اوپانيشاد، گونه‌اي تفسير فلسفي و كلامي وداها است. گيتا  و «برهما سوترا»، به ودا استناد مي‌جويند. مي‌توان گفت كه در تاريخ انديشه هند، هيچ  مكتب و مذهبي نيست كه نفياً يا اثباتاً متأثر از ريگ ودا و متون ديگر ودائي نباشد. ريگ ودا را بايد به منزلة «ام‌الكتاب» در فرهنگ و تاريخ هند محسوب كرد. البته بعداً به نوبه خود اوپانيشادها نيز اين جايگاه را به دست آورد و تمام نظريه‌ها و مكاتب فلسفي هند به نحوي متأثر از اوپانيشادها گرديد؛ ولي، بايد توجه داشته باشيم كه اوپانيشادها نيز تفسيري بر وداها بوده است و از جمله ادبيات ودائي و سُروتي محسوب مي‌‌شود.</w:t>
      </w:r>
    </w:p>
    <w:p w:rsidR="0011420A" w:rsidRPr="00406624" w:rsidP="003C0EF5">
      <w:pPr>
        <w:widowControl w:val="0"/>
        <w:spacing w:line="420" w:lineRule="exact"/>
        <w:ind w:left="0" w:right="0"/>
        <w:jc w:val="both"/>
        <w:rPr>
          <w:rFonts w:cs="B Zar" w:hint="cs"/>
          <w:rtl/>
        </w:rPr>
      </w:pPr>
      <w:r w:rsidRPr="00406624">
        <w:rPr>
          <w:rFonts w:cs="B Zar" w:hint="cs"/>
          <w:rtl/>
        </w:rPr>
        <w:t>دكتر رادا كريشنان، مرجع بزرگ فلسفه هند، مي‌نويسد:</w:t>
      </w:r>
    </w:p>
    <w:p w:rsidR="0011420A" w:rsidRPr="00406624" w:rsidP="003C0EF5">
      <w:pPr>
        <w:widowControl w:val="0"/>
        <w:spacing w:line="420" w:lineRule="exact"/>
        <w:ind w:left="0" w:right="0"/>
        <w:jc w:val="both"/>
        <w:rPr>
          <w:rFonts w:cs="B Zar" w:hint="cs"/>
          <w:rtl/>
        </w:rPr>
      </w:pPr>
      <w:r w:rsidRPr="00406624">
        <w:rPr>
          <w:rFonts w:cs="B Zar" w:hint="cs"/>
          <w:rtl/>
        </w:rPr>
        <w:t>«مطالعه سرودهاي ريگ ودا براي درك انديشه و فلسفه هند، اجتناب ناپذير است. ما هرچند ماهيت بدوي و ابتدائي براي وداها قائل باشيم، در هر حال آنها مأخذ و منبع تمام مكاتب فلسفي هند بوده اند. درك سير انديشه آريائي در هند بدون مطالعه ودا ميسر نيست.</w:t>
      </w:r>
      <w:r>
        <w:rPr>
          <w:rStyle w:val="FootnoteReference"/>
          <w:rFonts w:cs="B Zar"/>
          <w:rtl/>
        </w:rPr>
        <w:footnoteReference w:id="163"/>
      </w:r>
      <w:r w:rsidRPr="00406624" w:rsidR="00F6786C">
        <w:rPr>
          <w:rFonts w:cs="B Zar" w:hint="cs"/>
          <w:rtl/>
        </w:rPr>
        <w:t xml:space="preserve"> </w:t>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اس. داس گوپتا، ديگر مرجع معتبر فلسفه هند مي‌گويد:</w:t>
      </w:r>
    </w:p>
    <w:p w:rsidR="0011420A" w:rsidP="003C0EF5">
      <w:pPr>
        <w:widowControl w:val="0"/>
        <w:spacing w:line="420" w:lineRule="exact"/>
        <w:ind w:left="0" w:right="0"/>
        <w:jc w:val="both"/>
        <w:rPr>
          <w:rFonts w:cs="B Zar" w:hint="cs"/>
          <w:i/>
          <w:iCs/>
          <w:rtl/>
        </w:rPr>
      </w:pPr>
      <w:r w:rsidRPr="00406624">
        <w:rPr>
          <w:rFonts w:cs="B Zar" w:hint="cs"/>
          <w:i/>
          <w:iCs/>
          <w:rtl/>
        </w:rPr>
        <w:t>«نظام ها و مكاتب فلسفه هند همگي به وداها تمسك مي‌جويند و به آن استناد مي‌كنند. در مجادله‌ها و مباحث ميان مكاتب فلسفه، ودا داور نهائي است و همه آنان براي اثبات ديدگاه‌هاي خود به آن تمسك مي‌جويند.</w:t>
      </w:r>
      <w:r>
        <w:rPr>
          <w:rStyle w:val="FootnoteReference"/>
          <w:rFonts w:cs="B Zar"/>
          <w:i/>
          <w:iCs/>
          <w:rtl/>
        </w:rPr>
        <w:footnoteReference w:id="164"/>
      </w:r>
      <w:r w:rsidRPr="00406624" w:rsidR="00F6786C">
        <w:rPr>
          <w:rFonts w:cs="B Zar" w:hint="cs"/>
          <w:i/>
          <w:iCs/>
          <w:rtl/>
        </w:rPr>
        <w:t xml:space="preserve"> </w:t>
      </w:r>
      <w:r w:rsidRPr="00406624">
        <w:rPr>
          <w:rFonts w:cs="B Zar" w:hint="cs"/>
          <w:i/>
          <w:iCs/>
          <w:rtl/>
        </w:rPr>
        <w:t>»</w:t>
      </w:r>
    </w:p>
    <w:p w:rsidR="00263778" w:rsidRPr="00406624" w:rsidP="003C0EF5">
      <w:pPr>
        <w:widowControl w:val="0"/>
        <w:spacing w:line="420" w:lineRule="exact"/>
        <w:ind w:left="0" w:right="0"/>
        <w:jc w:val="both"/>
        <w:rPr>
          <w:rFonts w:cs="B Zar" w:hint="cs"/>
          <w:i/>
          <w:iCs/>
          <w:rtl/>
        </w:rPr>
      </w:pPr>
    </w:p>
    <w:p w:rsidR="0011420A" w:rsidRPr="00406624" w:rsidP="003C0EF5">
      <w:pPr>
        <w:pStyle w:val="Heading3"/>
        <w:keepNext w:val="0"/>
        <w:widowControl w:val="0"/>
        <w:spacing w:before="0" w:after="0" w:line="420" w:lineRule="exact"/>
        <w:ind w:left="0" w:right="0"/>
        <w:jc w:val="left"/>
        <w:rPr>
          <w:rFonts w:cs="B Zar" w:hint="cs"/>
          <w:rtl/>
        </w:rPr>
      </w:pPr>
      <w:r w:rsidRPr="00406624">
        <w:rPr>
          <w:rFonts w:cs="B Zar" w:hint="cs"/>
          <w:rtl/>
        </w:rPr>
        <w:t>اهميت ديني ـ مذهبي وداها</w:t>
      </w:r>
    </w:p>
    <w:p w:rsidR="0011420A" w:rsidRPr="00406624" w:rsidP="003C0EF5">
      <w:pPr>
        <w:widowControl w:val="0"/>
        <w:spacing w:line="420" w:lineRule="exact"/>
        <w:ind w:left="0" w:right="0"/>
        <w:jc w:val="both"/>
        <w:rPr>
          <w:rFonts w:cs="B Zar" w:hint="cs"/>
          <w:rtl/>
        </w:rPr>
      </w:pPr>
      <w:r w:rsidRPr="00406624">
        <w:rPr>
          <w:rFonts w:cs="B Zar" w:hint="cs"/>
          <w:rtl/>
        </w:rPr>
        <w:t>اما اهميت اصلي ودا از نظر ديني است.</w:t>
      </w:r>
    </w:p>
    <w:p w:rsidR="0011420A" w:rsidRPr="00406624" w:rsidP="003C0EF5">
      <w:pPr>
        <w:widowControl w:val="0"/>
        <w:spacing w:line="420" w:lineRule="exact"/>
        <w:ind w:left="0" w:right="0"/>
        <w:jc w:val="both"/>
        <w:rPr>
          <w:rFonts w:cs="B Zar" w:hint="cs"/>
          <w:rtl/>
        </w:rPr>
      </w:pPr>
      <w:r w:rsidRPr="00406624">
        <w:rPr>
          <w:rFonts w:cs="B Zar" w:hint="cs"/>
          <w:rtl/>
        </w:rPr>
        <w:t>نظام‌هاي فلسفي و كلامي هند به دو دسته تقسيم مي‌شوند: «</w:t>
      </w:r>
      <w:r w:rsidRPr="00406624">
        <w:rPr>
          <w:rFonts w:cs="B Zar" w:hint="cs"/>
          <w:i/>
          <w:iCs/>
          <w:rtl/>
        </w:rPr>
        <w:t>اس تكا</w:t>
      </w:r>
      <w:r w:rsidRPr="00406624">
        <w:rPr>
          <w:rFonts w:cs="B Zar" w:hint="cs"/>
          <w:rtl/>
        </w:rPr>
        <w:t>» و «</w:t>
      </w:r>
      <w:r w:rsidRPr="00406624">
        <w:rPr>
          <w:rFonts w:cs="B Zar" w:hint="cs"/>
          <w:i/>
          <w:iCs/>
          <w:rtl/>
        </w:rPr>
        <w:t>نس تكا</w:t>
      </w:r>
      <w:r w:rsidRPr="00406624">
        <w:rPr>
          <w:rFonts w:cs="B Zar" w:hint="cs"/>
          <w:rtl/>
        </w:rPr>
        <w:t>». تمام مكاتب فلسفي و ديني هندو، در زمره اس تكا مي‌باشد؛ تنها بودائيسم و جينيسم از جمله مكاتب «نس تكايند.</w:t>
      </w:r>
    </w:p>
    <w:p w:rsidR="0011420A" w:rsidRPr="00406624" w:rsidP="003C0EF5">
      <w:pPr>
        <w:widowControl w:val="0"/>
        <w:spacing w:line="420" w:lineRule="exact"/>
        <w:ind w:left="0" w:right="0"/>
        <w:jc w:val="both"/>
        <w:rPr>
          <w:rFonts w:cs="B Zar" w:hint="cs"/>
          <w:rtl/>
        </w:rPr>
      </w:pPr>
      <w:r w:rsidRPr="00406624">
        <w:rPr>
          <w:rFonts w:cs="B Zar" w:hint="cs"/>
          <w:rtl/>
        </w:rPr>
        <w:t>برخي دانشمندان «اس تكا» را به عنوان خداپرست و «نس تكا» را به عنوان ملي ترجمه كرده‌اند. ولي در اين معني حتي بودائيسم و جينيسم را بايد «اس تكا» ناميد و تنها فلسفه ماديگراي «</w:t>
      </w:r>
      <w:r w:rsidRPr="00406624">
        <w:rPr>
          <w:rFonts w:cs="B Zar" w:hint="cs"/>
          <w:i/>
          <w:iCs/>
          <w:rtl/>
        </w:rPr>
        <w:t>چارواك</w:t>
      </w:r>
      <w:r w:rsidRPr="00406624">
        <w:rPr>
          <w:rFonts w:cs="B Zar" w:hint="cs"/>
          <w:rtl/>
        </w:rPr>
        <w:t xml:space="preserve">» كه منكر وجود باري تعالي است را مي توان «نس تكا» قلمداد كرد. البته اثري از چارواك به جاي نمانده است و تنها از ردّيه‌هاي الهيون به خصوص </w:t>
      </w:r>
      <w:r w:rsidRPr="00406624">
        <w:rPr>
          <w:rFonts w:cs="B Zar" w:hint="cs"/>
          <w:i/>
          <w:iCs/>
          <w:rtl/>
        </w:rPr>
        <w:t>شانكارا</w:t>
      </w:r>
      <w:r w:rsidRPr="00406624">
        <w:rPr>
          <w:rFonts w:cs="B Zar" w:hint="cs"/>
          <w:rtl/>
        </w:rPr>
        <w:t xml:space="preserve"> به وجود چنين فيلسوفي در هند باستان پي مي‌بريم. به نظر مي‌رسد مكتب او نيز مبتني بر شكاكيت بوده نه الحاد. اين نكته داراي اهميت است كه در زبان سانسكريت، ما اصلاً معادلي براي كلمه «الحاد» نداريم. پس «نس تكا» نمي تواند به معناي الحاد باشد. اگر گفته شود معناي «نس تكا» انكار تجسم خداوند به صورت انسان است، در اين صورت نه تنها بودائيسم و جينيسم، بلكه بسياري از مكاتب كلامي و فلسفي هندو نيز در زمره «نس تكا» قرار خواهند گرفت. به عنوان نمونه مكتب فلسفي </w:t>
      </w:r>
      <w:r w:rsidRPr="00406624">
        <w:rPr>
          <w:rFonts w:cs="B Zar" w:hint="cs"/>
          <w:i/>
          <w:iCs/>
          <w:rtl/>
        </w:rPr>
        <w:t>سان‌كهيا</w:t>
      </w:r>
      <w:r w:rsidRPr="00406624">
        <w:rPr>
          <w:rFonts w:cs="B Zar" w:hint="cs"/>
          <w:rtl/>
        </w:rPr>
        <w:t xml:space="preserve"> مخالف تجسم و خالقيت خداوند است و آفرينش را ازلي و ابدي مي‌داند؛ ولي آن را كسي در زمره «نس تكا» محسوب نكرده است.</w:t>
      </w:r>
    </w:p>
    <w:p w:rsidR="0011420A" w:rsidRPr="00406624" w:rsidP="003C0EF5">
      <w:pPr>
        <w:widowControl w:val="0"/>
        <w:spacing w:line="420" w:lineRule="exact"/>
        <w:ind w:left="0" w:right="0"/>
        <w:jc w:val="both"/>
        <w:rPr>
          <w:rFonts w:cs="B Zar" w:hint="cs"/>
          <w:rtl/>
        </w:rPr>
      </w:pPr>
      <w:r w:rsidRPr="00406624">
        <w:rPr>
          <w:rFonts w:cs="B Zar" w:hint="cs"/>
          <w:rtl/>
        </w:rPr>
        <w:t>واقعيت اين است كه «اس تكا» به معناي پذيرش اصالت ودا و «نس تكا» به معناي انكار اصالت آن است؛ پس دسته‌بندي اصلي مذاهب و مكاتب در هند برمبناي قبول يا رد اصالت ودا صورت گرفته است. به استثناي بودائيسم و جينيسم،  تمام مكاتب فلسفي ـ مذهبي در هند از جمله مكاتب ششگانه فلسفه (درشان شاسترا) ودا را كتاب مقدس، مشتمل بر وحي آسماني كه بر قلب عرفاني آريا (ريشي) نازل گرديده، مي‌دانند. در واقع ودا را جزئي از ذات لايزال الهي محسوب مي‌كنند؛ چرا كه، منعكس كننده صفت تكلم خداست و صفات از ذات، انديشه از صاحب انديشه و كلام از صاحب كلام جدا نيست.</w:t>
      </w:r>
    </w:p>
    <w:p w:rsidR="0011420A" w:rsidRPr="00406624" w:rsidP="003C0EF5">
      <w:pPr>
        <w:widowControl w:val="0"/>
        <w:spacing w:line="420" w:lineRule="exact"/>
        <w:ind w:left="0" w:right="0"/>
        <w:jc w:val="both"/>
        <w:rPr>
          <w:rFonts w:cs="B Zar" w:hint="cs"/>
          <w:rtl/>
        </w:rPr>
      </w:pPr>
      <w:r w:rsidRPr="00406624">
        <w:rPr>
          <w:rFonts w:cs="B Zar" w:hint="cs"/>
          <w:rtl/>
        </w:rPr>
        <w:t xml:space="preserve">در كتاب مقدس «ساتپاتا براهمانا» آورده شده است: </w:t>
      </w:r>
      <w:r w:rsidRPr="00406624">
        <w:rPr>
          <w:rFonts w:cs="B Zar" w:hint="cs"/>
          <w:i/>
          <w:iCs/>
          <w:rtl/>
        </w:rPr>
        <w:t>«همانگونه كه دود از آتش بلند مي‌شود، ودا از ذات خداوند برخاسته است»</w:t>
      </w:r>
      <w:r w:rsidRPr="00406624">
        <w:rPr>
          <w:rFonts w:cs="B Zar" w:hint="cs"/>
          <w:rtl/>
        </w:rPr>
        <w:t xml:space="preserve"> در اوپانيشاد برهدارن ياكا مي‌خوانيم ودا ناشي از نفس و نفخه الهي است</w:t>
      </w:r>
      <w:r>
        <w:rPr>
          <w:rStyle w:val="FootnoteReference"/>
          <w:rFonts w:cs="B Zar"/>
          <w:rtl/>
        </w:rPr>
        <w:footnoteReference w:id="165"/>
      </w:r>
      <w:r w:rsidRPr="00406624">
        <w:rPr>
          <w:rFonts w:cs="B Zar" w:hint="cs"/>
          <w:rtl/>
        </w:rPr>
        <w:t>.  در گيتا معروفترين كتاب مقدس هندوها آمده است:</w:t>
      </w:r>
    </w:p>
    <w:p w:rsidR="0011420A" w:rsidRPr="00406624" w:rsidP="003C0EF5">
      <w:pPr>
        <w:widowControl w:val="0"/>
        <w:spacing w:line="420" w:lineRule="exact"/>
        <w:ind w:left="0" w:right="0"/>
        <w:jc w:val="both"/>
        <w:rPr>
          <w:rFonts w:cs="B Zar" w:hint="cs"/>
          <w:rtl/>
        </w:rPr>
      </w:pPr>
      <w:r w:rsidRPr="00406624">
        <w:rPr>
          <w:rFonts w:cs="B Zar" w:hint="cs"/>
          <w:rtl/>
        </w:rPr>
        <w:t>«ودا از خداي لايزال نشأت گرفته است</w:t>
      </w:r>
      <w:r>
        <w:rPr>
          <w:rStyle w:val="FootnoteReference"/>
          <w:rFonts w:cs="B Zar"/>
          <w:rtl/>
        </w:rPr>
        <w:footnoteReference w:id="166"/>
      </w:r>
      <w:r w:rsidRPr="00406624">
        <w:rPr>
          <w:rFonts w:cs="B Zar" w:hint="cs"/>
          <w:rtl/>
        </w:rPr>
        <w:t>». در مهابهارات مي‌خوانيم: «در آغاز خداي يگانه ودا را نازل فرمود تا وسيله هدايت آدميان باشد</w:t>
      </w:r>
      <w:r>
        <w:rPr>
          <w:rStyle w:val="FootnoteReference"/>
          <w:rFonts w:cs="B Zar"/>
          <w:i/>
          <w:iCs/>
          <w:rtl/>
        </w:rPr>
        <w:footnoteReference w:id="167"/>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هندوها چون ودا را جزئي از ذات خداوند مي‌دانند، از همين روي معتقدند كه آن حادث نيست، بلكه قديم است و تاريخ تدوين ندارد</w:t>
      </w:r>
      <w:r>
        <w:rPr>
          <w:rStyle w:val="FootnoteReference"/>
          <w:rFonts w:cs="B Zar"/>
          <w:rtl/>
        </w:rPr>
        <w:footnoteReference w:id="168"/>
      </w:r>
      <w:r w:rsidRPr="00406624">
        <w:rPr>
          <w:rFonts w:cs="B Zar" w:hint="cs"/>
          <w:rtl/>
        </w:rPr>
        <w:t xml:space="preserve">. شانكارا مجدد بزرگ هندوئيسم مي‌گويد: </w:t>
      </w:r>
      <w:r w:rsidRPr="00406624">
        <w:rPr>
          <w:rFonts w:cs="B Zar" w:hint="cs"/>
          <w:i/>
          <w:iCs/>
          <w:rtl/>
        </w:rPr>
        <w:t>«معرفت ودا حتي پيش از آفرينش كيهان وجود داشته است.»</w:t>
      </w:r>
    </w:p>
    <w:p w:rsidR="0011420A" w:rsidRPr="00406624" w:rsidP="003C0EF5">
      <w:pPr>
        <w:widowControl w:val="0"/>
        <w:spacing w:line="420" w:lineRule="exact"/>
        <w:ind w:left="0" w:right="0"/>
        <w:jc w:val="both"/>
        <w:rPr>
          <w:rFonts w:cs="B Zar" w:hint="cs"/>
          <w:rtl/>
        </w:rPr>
      </w:pPr>
      <w:r w:rsidRPr="00406624">
        <w:rPr>
          <w:rFonts w:cs="B Zar" w:hint="cs"/>
          <w:rtl/>
        </w:rPr>
        <w:t xml:space="preserve">طبق اساطير هندوئي، ودا در علم الهي (لوح محفوظ) وجود داشت و نخست رب‌‌النوع آفرينش يعني </w:t>
      </w:r>
      <w:r w:rsidRPr="00406624">
        <w:rPr>
          <w:rFonts w:cs="B Zar" w:hint="cs"/>
          <w:i/>
          <w:iCs/>
          <w:rtl/>
        </w:rPr>
        <w:t>براهمانا</w:t>
      </w:r>
      <w:r w:rsidRPr="00406624">
        <w:rPr>
          <w:rFonts w:cs="B Zar" w:hint="cs"/>
          <w:rtl/>
        </w:rPr>
        <w:t xml:space="preserve"> آنرا دريافت و سپس مجموعه اين حقايق را به عرفا (ريشيها) تعليم داد. اساطير هند مي‌گويند: براهمانا درباره ذات احديت (برهمن) در انديشه بوده كه در فضاي قلب او كلمه مقدس «اوم» (كه گونه‌اي اسم اعظم تلقي مي‌‌شود) طنين انداخت. اين كلمه، درِِ</w:t>
      </w:r>
      <w:r w:rsidRPr="00406624">
        <w:rPr>
          <w:rFonts w:ascii="Tahoma" w:hAnsi="Tahoma" w:cs="B Zar" w:hint="cs"/>
          <w:rtl/>
        </w:rPr>
        <w:t>ِ</w:t>
      </w:r>
      <w:r w:rsidRPr="00406624">
        <w:rPr>
          <w:rFonts w:cs="B Zar" w:hint="cs"/>
          <w:rtl/>
        </w:rPr>
        <w:t xml:space="preserve"> معرفت را بر «براهمانا» گشود. براهمانا حقايق دريافت شده را به ريشي‌هايي نظير: </w:t>
      </w:r>
      <w:r w:rsidRPr="00406624">
        <w:rPr>
          <w:rFonts w:cs="B Zar" w:hint="cs"/>
          <w:i/>
          <w:iCs/>
          <w:rtl/>
        </w:rPr>
        <w:t>مريچي</w:t>
      </w:r>
      <w:r w:rsidRPr="00406624">
        <w:rPr>
          <w:rFonts w:cs="B Zar" w:hint="cs"/>
          <w:rtl/>
        </w:rPr>
        <w:t xml:space="preserve">، </w:t>
      </w:r>
      <w:r w:rsidRPr="00406624">
        <w:rPr>
          <w:rFonts w:cs="B Zar" w:hint="cs"/>
          <w:i/>
          <w:iCs/>
          <w:rtl/>
        </w:rPr>
        <w:t>اتري</w:t>
      </w:r>
      <w:r w:rsidRPr="00406624">
        <w:rPr>
          <w:rFonts w:cs="B Zar" w:hint="cs"/>
          <w:rtl/>
        </w:rPr>
        <w:t xml:space="preserve">، </w:t>
      </w:r>
      <w:r w:rsidRPr="00406624">
        <w:rPr>
          <w:rFonts w:cs="B Zar" w:hint="cs"/>
          <w:i/>
          <w:iCs/>
          <w:rtl/>
        </w:rPr>
        <w:t>آنگي‌رس</w:t>
      </w:r>
      <w:r w:rsidRPr="00406624">
        <w:rPr>
          <w:rFonts w:cs="B Zar" w:hint="cs"/>
          <w:rtl/>
        </w:rPr>
        <w:t xml:space="preserve"> تعليم داد</w:t>
      </w:r>
      <w:r>
        <w:rPr>
          <w:rStyle w:val="FootnoteReference"/>
          <w:rFonts w:cs="B Zar"/>
          <w:rtl/>
        </w:rPr>
        <w:footnoteReference w:id="169"/>
      </w:r>
      <w:r w:rsidRPr="00406624">
        <w:rPr>
          <w:rFonts w:cs="B Zar" w:hint="cs"/>
          <w:rtl/>
        </w:rPr>
        <w:t>. طبق عقيده هندوها، ريشي‌ها در آغاز هر عصر از ادوار تاريخ پديدار مي‌شوند. اينان حقائق را اشراق و به مردم ابلاغ مي‌كنند.</w:t>
      </w:r>
    </w:p>
    <w:p w:rsidR="0011420A" w:rsidRPr="00406624" w:rsidP="003C0EF5">
      <w:pPr>
        <w:widowControl w:val="0"/>
        <w:spacing w:line="420" w:lineRule="exact"/>
        <w:ind w:left="0" w:right="0"/>
        <w:jc w:val="both"/>
        <w:rPr>
          <w:rFonts w:cs="B Zar" w:hint="cs"/>
          <w:rtl/>
        </w:rPr>
      </w:pPr>
      <w:r w:rsidRPr="00406624">
        <w:rPr>
          <w:rFonts w:cs="B Zar" w:hint="cs"/>
          <w:rtl/>
        </w:rPr>
        <w:t>پس از گذشت ادوار متعددي، دوره «پرايگ» فرا رسيده و در آن رب‌النوع به نام «نارايانا» به صورت رسول تجسم پيدا كرد و همراه با ريشيهاي ديگر مجموعه حقائق را در چهار كتاب ريگ ودا، سام ودا، ياجور ودا و اتهارو ودا تدوين كردند. طبقه برهمن ـ كه نوعي از «اشراف و ممتازان» جامعه هند مي‌باشند ـ خود را از اعقاب ريشي‌هاي باستاني و اساطيري مي‌دانند.</w:t>
      </w:r>
    </w:p>
    <w:p w:rsidR="0011420A" w:rsidRPr="00406624" w:rsidP="003C0EF5">
      <w:pPr>
        <w:widowControl w:val="0"/>
        <w:spacing w:line="420" w:lineRule="exact"/>
        <w:ind w:left="0" w:right="0"/>
        <w:jc w:val="both"/>
        <w:rPr>
          <w:rFonts w:cs="B Zar" w:hint="cs"/>
          <w:rtl/>
        </w:rPr>
      </w:pPr>
      <w:r w:rsidRPr="00406624">
        <w:rPr>
          <w:rFonts w:cs="B Zar" w:hint="cs"/>
          <w:rtl/>
        </w:rPr>
        <w:t>بدينسان مي‌بينيم در باور ديني هندوان، بعد از دوره تدوين رسائل براهمانا، ودا موقعيت بالائي پيدا كرد. به نظر مي‌رسد طبقه براهمانان كه عهده‌دار انجام مراسم ودائي بودند، اهميت ودا را بسيار بالا بردند. از آن پس، اين متون نه تنها به عنوان اشراق و سرودهاي شعراي عارف، بلكه به عنوان وحي الهي و كلام باري تعالي و كتب آسماني تلقي گرديد.</w:t>
      </w:r>
    </w:p>
    <w:p w:rsidR="0011420A" w:rsidRPr="00406624" w:rsidP="003C0EF5">
      <w:pPr>
        <w:widowControl w:val="0"/>
        <w:spacing w:line="420" w:lineRule="exact"/>
        <w:ind w:left="0" w:right="0"/>
        <w:jc w:val="both"/>
        <w:rPr>
          <w:rFonts w:cs="B Zar" w:hint="cs"/>
          <w:rtl/>
        </w:rPr>
      </w:pPr>
      <w:r w:rsidRPr="00406624">
        <w:rPr>
          <w:rFonts w:cs="B Zar" w:hint="cs"/>
          <w:rtl/>
        </w:rPr>
        <w:t xml:space="preserve">امروز نيز تعاليم و احكام ودا بر زندگي روزمره مردم هند حاكم است. درست است كه معبودان عصر ودا كه از سنخ پديده‌هاي طبيعت بودند (نظير </w:t>
      </w:r>
      <w:r w:rsidRPr="00406624">
        <w:rPr>
          <w:rFonts w:cs="B Zar" w:hint="cs"/>
          <w:i/>
          <w:iCs/>
          <w:rtl/>
        </w:rPr>
        <w:t>ايندير،</w:t>
      </w:r>
      <w:r w:rsidRPr="00406624">
        <w:rPr>
          <w:rFonts w:cs="B Zar" w:hint="cs"/>
          <w:rtl/>
        </w:rPr>
        <w:t xml:space="preserve"> آگني، </w:t>
      </w:r>
      <w:r w:rsidRPr="00406624">
        <w:rPr>
          <w:rFonts w:cs="B Zar" w:hint="cs"/>
          <w:i/>
          <w:iCs/>
          <w:rtl/>
        </w:rPr>
        <w:t>ورن</w:t>
      </w:r>
      <w:r w:rsidRPr="00406624">
        <w:rPr>
          <w:rFonts w:cs="B Zar" w:hint="cs"/>
          <w:rtl/>
        </w:rPr>
        <w:t xml:space="preserve">، </w:t>
      </w:r>
      <w:r w:rsidRPr="00406624">
        <w:rPr>
          <w:rFonts w:cs="B Zar" w:hint="cs"/>
          <w:i/>
          <w:iCs/>
          <w:rtl/>
        </w:rPr>
        <w:t>ايو</w:t>
      </w:r>
      <w:r w:rsidRPr="00406624">
        <w:rPr>
          <w:rFonts w:cs="B Zar" w:hint="cs"/>
          <w:rtl/>
        </w:rPr>
        <w:t xml:space="preserve"> و غيره) يا فراموش شده و يا تحت‌الشعاع معبودان ديگر، نظير: </w:t>
      </w:r>
      <w:r w:rsidRPr="00406624">
        <w:rPr>
          <w:rFonts w:cs="B Zar" w:hint="cs"/>
          <w:i/>
          <w:iCs/>
          <w:rtl/>
        </w:rPr>
        <w:t>براهمانا</w:t>
      </w:r>
      <w:r w:rsidRPr="00406624">
        <w:rPr>
          <w:rFonts w:cs="B Zar" w:hint="cs"/>
          <w:rtl/>
        </w:rPr>
        <w:t xml:space="preserve">، </w:t>
      </w:r>
      <w:r w:rsidRPr="00406624">
        <w:rPr>
          <w:rFonts w:cs="B Zar" w:hint="cs"/>
          <w:i/>
          <w:iCs/>
          <w:rtl/>
        </w:rPr>
        <w:t>شيوا</w:t>
      </w:r>
      <w:r w:rsidRPr="00406624">
        <w:rPr>
          <w:rFonts w:cs="B Zar" w:hint="cs"/>
          <w:rtl/>
        </w:rPr>
        <w:t xml:space="preserve"> و </w:t>
      </w:r>
      <w:r w:rsidRPr="00406624">
        <w:rPr>
          <w:rFonts w:cs="B Zar" w:hint="cs"/>
          <w:i/>
          <w:iCs/>
          <w:rtl/>
        </w:rPr>
        <w:t>رام</w:t>
      </w:r>
      <w:r w:rsidRPr="00406624">
        <w:rPr>
          <w:rFonts w:cs="B Zar" w:hint="cs"/>
          <w:rtl/>
        </w:rPr>
        <w:t xml:space="preserve"> و </w:t>
      </w:r>
      <w:r w:rsidRPr="00406624">
        <w:rPr>
          <w:rFonts w:cs="B Zar" w:hint="cs"/>
          <w:i/>
          <w:iCs/>
          <w:rtl/>
        </w:rPr>
        <w:t>كريشنا</w:t>
      </w:r>
      <w:r w:rsidRPr="00406624">
        <w:rPr>
          <w:rFonts w:cs="B Zar" w:hint="cs"/>
          <w:rtl/>
        </w:rPr>
        <w:t xml:space="preserve"> قرار گرفته‌اند؛ ولي اكثر مراسم مذهبي و اجتماعي، همانند مراسم عقيقه، نكاح و مراسم سوگواري و دفن ميت، درست مطابق شيوه‌هائي كه در ياجور ودا تعيين شده بود، صورت مي‌گيرد و در آنها دعاها و ذكرهايي از ريگ ودا و سام ودا تلاوت مي‌گردد. امروزه احكام ميراث و پسرخواندگي عيناً مطابق احكام ودا انجام مي‌گيرد</w:t>
      </w:r>
      <w:r>
        <w:rPr>
          <w:rStyle w:val="FootnoteReference"/>
          <w:rFonts w:cs="B Zar"/>
          <w:rtl/>
        </w:rPr>
        <w:footnoteReference w:id="170"/>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هر برهمن (روحاني هندو) موظف است بامدادان و شامگاهان مراسم عبادي ودائي را انجام دهد كه طي آن قطعاتي از ريگ ودا و سام ودا را با لحن خاصي تلاوت مي‌كنند. يكي از اين قطعات كه عموم هندوها روزانه سه بار آنرا تكرار مي‌كنند،</w:t>
      </w:r>
      <w:r>
        <w:rPr>
          <w:rStyle w:val="FootnoteReference"/>
          <w:rFonts w:cs="B Zar"/>
          <w:rtl/>
        </w:rPr>
        <w:footnoteReference w:id="171"/>
      </w:r>
      <w:r w:rsidRPr="00406624">
        <w:rPr>
          <w:rFonts w:cs="B Zar" w:hint="cs"/>
          <w:rtl/>
        </w:rPr>
        <w:t xml:space="preserve">  </w:t>
      </w:r>
      <w:r w:rsidRPr="00406624">
        <w:rPr>
          <w:rFonts w:cs="B Zar" w:hint="cs"/>
          <w:i/>
          <w:iCs/>
          <w:rtl/>
        </w:rPr>
        <w:t>گياتري مانترا</w:t>
      </w:r>
      <w:r w:rsidRPr="00406624">
        <w:rPr>
          <w:rFonts w:cs="B Zar" w:hint="cs"/>
          <w:rtl/>
        </w:rPr>
        <w:t xml:space="preserve"> نام دارد. دعا اين است:</w:t>
      </w:r>
    </w:p>
    <w:p w:rsidR="0011420A" w:rsidRPr="00406624" w:rsidP="003C0EF5">
      <w:pPr>
        <w:widowControl w:val="0"/>
        <w:spacing w:line="420" w:lineRule="exact"/>
        <w:ind w:left="0" w:right="0"/>
        <w:jc w:val="both"/>
        <w:rPr>
          <w:rFonts w:cs="B Zar" w:hint="cs"/>
          <w:rtl/>
        </w:rPr>
      </w:pPr>
      <w:r w:rsidRPr="00406624">
        <w:rPr>
          <w:rFonts w:cs="B Zar" w:hint="cs"/>
          <w:rtl/>
        </w:rPr>
        <w:t>«اوم يُهور يُهوا ْ سُوَتَ تَت ياويتر ورن يم بهارك ديوُسيا دهيماهي، دهيويوُناُه پَرَجُ ديت اَوَم.»</w:t>
      </w:r>
    </w:p>
    <w:p w:rsidR="0011420A" w:rsidRPr="00406624" w:rsidP="003C0EF5">
      <w:pPr>
        <w:widowControl w:val="0"/>
        <w:spacing w:line="420" w:lineRule="exact"/>
        <w:ind w:left="0" w:right="0"/>
        <w:jc w:val="both"/>
        <w:rPr>
          <w:rFonts w:cs="B Zar" w:hint="cs"/>
          <w:rtl/>
        </w:rPr>
      </w:pPr>
      <w:r w:rsidRPr="00406624">
        <w:rPr>
          <w:rFonts w:cs="B Zar" w:hint="cs"/>
          <w:rtl/>
        </w:rPr>
        <w:t>يعني : خداوندا! ما را توفيق مراقبه در ذات احدي خود عنايت فرما.</w:t>
      </w:r>
    </w:p>
    <w:p w:rsidR="0011420A" w:rsidRPr="00406624" w:rsidP="003C0EF5">
      <w:pPr>
        <w:widowControl w:val="0"/>
        <w:spacing w:line="420" w:lineRule="exact"/>
        <w:ind w:left="0" w:right="0"/>
        <w:jc w:val="both"/>
        <w:rPr>
          <w:rFonts w:cs="B Zar" w:hint="cs"/>
          <w:rtl/>
        </w:rPr>
      </w:pPr>
      <w:r w:rsidRPr="00406624">
        <w:rPr>
          <w:rFonts w:cs="B Zar" w:hint="cs"/>
          <w:rtl/>
        </w:rPr>
        <w:t>خداوندا! فكر ما را به سوي خودت متوجه كن.</w:t>
      </w:r>
    </w:p>
    <w:p w:rsidR="0011420A" w:rsidRPr="00406624" w:rsidP="003C0EF5">
      <w:pPr>
        <w:widowControl w:val="0"/>
        <w:spacing w:line="420" w:lineRule="exact"/>
        <w:ind w:left="0" w:right="0"/>
        <w:jc w:val="both"/>
        <w:rPr>
          <w:rFonts w:cs="B Zar" w:hint="cs"/>
          <w:rtl/>
        </w:rPr>
      </w:pPr>
      <w:r w:rsidRPr="00406624">
        <w:rPr>
          <w:rFonts w:cs="B Zar" w:hint="cs"/>
          <w:rtl/>
        </w:rPr>
        <w:t>ما را به راه راست هدايت فرما.</w:t>
      </w:r>
    </w:p>
    <w:p w:rsidR="0011420A" w:rsidRPr="00406624" w:rsidP="003C0EF5">
      <w:pPr>
        <w:widowControl w:val="0"/>
        <w:spacing w:line="420" w:lineRule="exact"/>
        <w:ind w:left="0" w:right="0"/>
        <w:jc w:val="both"/>
        <w:rPr>
          <w:rFonts w:cs="B Zar" w:hint="cs"/>
          <w:rtl/>
        </w:rPr>
      </w:pPr>
      <w:r w:rsidRPr="00406624">
        <w:rPr>
          <w:rFonts w:cs="B Zar" w:hint="cs"/>
          <w:rtl/>
        </w:rPr>
        <w:t>نكته‌اي كه بايد يادآور شد اين است كه به رغم اهميت فوق‌العاده ودا در نگرش هندوئيسم، اين متون تنها وسيله‌اي براي نيل به مرحله اشراق مستقيم است. هندوها معتقدند  كه كاركرد اصلي ودا يا سروتي، هدايت از طريق مكاشفه است. منبع اصلي كسب معرفت و وسيله نجات، بلكه عين نجات، اشراق مستقيم فرد است؛ آن اشراقي كه از طريق آن قطره به دريا مي‌رسد. اوپانيشاد و گيتا نيز تأكيد دارد كه مانترا (آيات و اذكار ودا) صرفاً براي تلاوت نيستند، بلكه بايد حقايق آنرا تجربه كرد</w:t>
      </w:r>
      <w:r>
        <w:rPr>
          <w:rStyle w:val="FootnoteReference"/>
          <w:rFonts w:cs="B Zar"/>
          <w:rtl/>
        </w:rPr>
        <w:footnoteReference w:id="172"/>
      </w:r>
      <w:r w:rsidRPr="00406624">
        <w:rPr>
          <w:rFonts w:cs="B Zar" w:hint="cs"/>
          <w:rtl/>
        </w:rPr>
        <w:t xml:space="preserve">. هندوئيسم عرفاني معتقد است كه در هر زماني، فرزانگان و‌عرفاي وارسته و بي‌واسطه، به اشراق و ادراك مستقيم ودا مي‌پردازند و خود نيز به غناي آن مي‌افزايند و آن را پيراسته‌تر و آراسته‌تر مي‌سازند. به اين ترتيب، ودا جريان اشراق و الهام مداوم در هندوئيسم است. به همين سبب، هندوها معتقدند كه ودا آغاز و پاياني ندارد و آنان در هر دوره، برخي افراد را </w:t>
      </w:r>
      <w:r w:rsidRPr="00406624">
        <w:rPr>
          <w:rFonts w:cs="B Zar" w:hint="cs"/>
          <w:i/>
          <w:iCs/>
          <w:rtl/>
        </w:rPr>
        <w:t>ريشي</w:t>
      </w:r>
      <w:r w:rsidRPr="00406624">
        <w:rPr>
          <w:rFonts w:cs="B Zar" w:hint="cs"/>
          <w:rtl/>
        </w:rPr>
        <w:t xml:space="preserve"> و </w:t>
      </w:r>
      <w:r w:rsidRPr="00406624">
        <w:rPr>
          <w:rFonts w:cs="B Zar" w:hint="cs"/>
          <w:i/>
          <w:iCs/>
          <w:rtl/>
        </w:rPr>
        <w:t>بهگوان</w:t>
      </w:r>
      <w:r w:rsidRPr="00406624">
        <w:rPr>
          <w:rFonts w:cs="B Zar" w:hint="cs"/>
          <w:rtl/>
        </w:rPr>
        <w:t xml:space="preserve"> مي‌نامند. البته سنت عرفاني هندوئيسم معتقد است كه هيچكس نمي‌تواند بدون تلمذ از يك عارف كامل و يا گورو </w:t>
      </w:r>
      <w:r w:rsidRPr="00406624">
        <w:rPr>
          <w:rFonts w:cs="B Zar"/>
        </w:rPr>
        <w:t>(Guru)</w:t>
      </w:r>
      <w:r w:rsidRPr="00406624">
        <w:rPr>
          <w:rFonts w:cs="B Zar" w:hint="cs"/>
          <w:rtl/>
        </w:rPr>
        <w:t xml:space="preserve"> و مريدي او به مقام اشراق مستقيم برسد.</w:t>
      </w:r>
    </w:p>
    <w:p w:rsidR="0011420A" w:rsidRPr="00406624" w:rsidP="003C0EF5">
      <w:pPr>
        <w:widowControl w:val="0"/>
        <w:spacing w:line="420" w:lineRule="exact"/>
        <w:ind w:left="0" w:right="0"/>
        <w:jc w:val="both"/>
        <w:rPr>
          <w:rFonts w:cs="B Zar" w:hint="cs"/>
          <w:rtl/>
        </w:rPr>
      </w:pPr>
      <w:r w:rsidRPr="00406624">
        <w:rPr>
          <w:rFonts w:cs="B Zar" w:hint="cs"/>
          <w:rtl/>
        </w:rPr>
        <w:t xml:space="preserve">اهميت ديني ودا تا آن اندازه است كه يك برهمن مجاز است مراسم پرستش بتها (پوجا) را، به خاطر محذوري انجام ندهد؛ ولي در هيچ شرائطي نمي‌تواند از انجام مراسم ودائي و تلاوت اذكار ريگ ودايي شانه خالي كند. حتي پوجا در مقابل تلاوت ودا، جنبه ثانوي دارد. هنوز هم هندوها به خصوص آنان كه داراي ثروت و قدرت سياسي‌اند، با صرف سرمايه هنگفتي، مراسم قرباني و تقديم نذور و تلاوت ودا را كه </w:t>
      </w:r>
      <w:r w:rsidRPr="00406624">
        <w:rPr>
          <w:rFonts w:cs="B Zar" w:hint="cs"/>
          <w:i/>
          <w:iCs/>
          <w:rtl/>
        </w:rPr>
        <w:t>ياجنا</w:t>
      </w:r>
      <w:r w:rsidRPr="00406624">
        <w:rPr>
          <w:rFonts w:cs="B Zar" w:hint="cs"/>
          <w:rtl/>
        </w:rPr>
        <w:t xml:space="preserve"> ناميده مي‌شود، انجام مي‌دهند. انجام اين مناسك عموماً چهل روز طول مي‌كشد. آنان معتقدند انجام اين مناسك موجب بركت و سعادت است. در طول تاريخ، تمام مكاتب فلسفي هند، براي اثبات ديدگاه‌هاي خود به ودا استناد كرده‌اند. هنوز هم در بحث و جدال‌هاي كلامي ميان هندوها، داور نهائي و فصل الخطاب، وداهاي چهارگانه‌اند.</w:t>
      </w:r>
    </w:p>
    <w:p w:rsidR="0011420A" w:rsidRPr="00406624" w:rsidP="003C0EF5">
      <w:pPr>
        <w:widowControl w:val="0"/>
        <w:spacing w:line="420" w:lineRule="exact"/>
        <w:ind w:left="0" w:right="0"/>
        <w:jc w:val="both"/>
        <w:rPr>
          <w:rFonts w:cs="B Zar" w:hint="cs"/>
          <w:rtl/>
        </w:rPr>
      </w:pPr>
      <w:r w:rsidRPr="00406624">
        <w:rPr>
          <w:rFonts w:cs="B Zar" w:hint="cs"/>
          <w:rtl/>
        </w:rPr>
        <w:t>اين همه نشان مي‌دهد كه متون وداهاي چهارگانه را نبايد مرده و مربوط به زندگي ديني چهار هزار و پانصد سال پيش تلقي كرد، بلكه  مطالعه و درك آن براي شناخت زندگي اجتماعي و روش انديشه هند معاصر داراي اهميت خاصي است</w:t>
      </w:r>
      <w:r>
        <w:rPr>
          <w:rStyle w:val="FootnoteReference"/>
          <w:rFonts w:cs="B Zar"/>
          <w:rtl/>
        </w:rPr>
        <w:footnoteReference w:id="173"/>
      </w:r>
      <w:r w:rsidRPr="00406624">
        <w:rPr>
          <w:rFonts w:cs="B Zar" w:hint="cs"/>
          <w:rtl/>
        </w:rPr>
        <w:t>.</w:t>
      </w:r>
    </w:p>
    <w:p w:rsidR="0011420A" w:rsidRPr="00406624" w:rsidP="003C0EF5">
      <w:pPr>
        <w:pStyle w:val="BodyTextIndent2"/>
        <w:widowControl w:val="0"/>
        <w:spacing w:line="420" w:lineRule="exact"/>
        <w:ind w:left="0" w:right="0" w:firstLine="567"/>
        <w:jc w:val="center"/>
        <w:rPr>
          <w:rFonts w:cs="B Zar" w:hint="cs"/>
          <w:b/>
          <w:bCs/>
          <w:rtl/>
        </w:rPr>
      </w:pPr>
    </w:p>
    <w:p w:rsidR="0011420A" w:rsidRPr="00406624" w:rsidP="003C0EF5">
      <w:pPr>
        <w:pStyle w:val="BodyTextIndent2"/>
        <w:widowControl w:val="0"/>
        <w:spacing w:line="420" w:lineRule="exact"/>
        <w:ind w:left="0" w:right="0" w:firstLine="119"/>
        <w:jc w:val="left"/>
        <w:rPr>
          <w:rFonts w:cs="B Zar" w:hint="cs"/>
          <w:b/>
          <w:bCs/>
          <w:rtl/>
        </w:rPr>
      </w:pPr>
      <w:r w:rsidRPr="00406624">
        <w:rPr>
          <w:rFonts w:cs="B Zar" w:hint="cs"/>
          <w:b/>
          <w:bCs/>
          <w:rtl/>
        </w:rPr>
        <w:t>چگونگي تدوين ودا</w:t>
      </w:r>
    </w:p>
    <w:p w:rsidR="0011420A" w:rsidRPr="00406624" w:rsidP="003C0EF5">
      <w:pPr>
        <w:widowControl w:val="0"/>
        <w:spacing w:line="420" w:lineRule="exact"/>
        <w:ind w:left="0" w:right="0"/>
        <w:jc w:val="both"/>
        <w:rPr>
          <w:rFonts w:cs="B Zar" w:hint="cs"/>
          <w:rtl/>
        </w:rPr>
      </w:pPr>
      <w:r w:rsidRPr="00406624">
        <w:rPr>
          <w:rFonts w:cs="B Zar" w:hint="cs"/>
          <w:rtl/>
        </w:rPr>
        <w:t>نخستين و مهم‌ترين مجموعه از وداهاي چهارگانه، ريگ وداست. ريگ ودا به معناي معرفت و حمد باري است و قديمي‌ترين متن ادبي ـ ديني آريائيها در جهان و نوعي «ام‌الكتاب» است. وداهاي سه گانه ديگر و تمام متون ديني هندوان در اعصار بعد،  ضمائم، ملحقات، تلخيص، تفسير و نقد ريگ ودا محسوب مي‌شود.</w:t>
      </w:r>
    </w:p>
    <w:p w:rsidR="0011420A" w:rsidRPr="00406624" w:rsidP="003C0EF5">
      <w:pPr>
        <w:widowControl w:val="0"/>
        <w:spacing w:line="420" w:lineRule="exact"/>
        <w:ind w:left="0" w:right="0"/>
        <w:jc w:val="both"/>
        <w:rPr>
          <w:rFonts w:cs="B Zar" w:hint="cs"/>
          <w:rtl/>
        </w:rPr>
      </w:pPr>
      <w:r w:rsidRPr="00406624">
        <w:rPr>
          <w:rFonts w:cs="B Zar" w:hint="cs"/>
          <w:rtl/>
        </w:rPr>
        <w:t>باستان شناسان و هند شناسان اتفاق نظر دارند كه ريگ ودا قديمي‌ترين كتاب ملت آرياست</w:t>
      </w:r>
      <w:r>
        <w:rPr>
          <w:rStyle w:val="FootnoteReference"/>
          <w:rFonts w:cs="B Zar"/>
          <w:rtl/>
        </w:rPr>
        <w:footnoteReference w:id="174"/>
      </w:r>
      <w:r w:rsidRPr="00406624">
        <w:rPr>
          <w:rFonts w:cs="B Zar" w:hint="cs"/>
          <w:rtl/>
        </w:rPr>
        <w:t>؛ هرچند، در مورد قدمت و نحوه تدوين آن، نظريه‌ها و فرضيه‌هاي گوناگوني عنوان كرده‌اند:</w:t>
      </w:r>
    </w:p>
    <w:p w:rsidR="0011420A" w:rsidRPr="00406624" w:rsidP="003C0EF5">
      <w:pPr>
        <w:pStyle w:val="Heading4"/>
        <w:keepNext w:val="0"/>
        <w:widowControl w:val="0"/>
        <w:spacing w:line="420" w:lineRule="exact"/>
        <w:ind w:left="0" w:right="0"/>
        <w:jc w:val="left"/>
        <w:rPr>
          <w:rFonts w:cs="B Zar" w:hint="cs"/>
          <w:rtl/>
        </w:rPr>
      </w:pPr>
      <w:r w:rsidRPr="00406624">
        <w:rPr>
          <w:rFonts w:cs="B Zar" w:hint="cs"/>
          <w:rtl/>
        </w:rPr>
        <w:t>قدمت سرودهاي ودا: نظرية بال گنگا دهار تِيلاك</w:t>
      </w:r>
    </w:p>
    <w:p w:rsidR="0011420A" w:rsidRPr="00406624" w:rsidP="003C0EF5">
      <w:pPr>
        <w:widowControl w:val="0"/>
        <w:spacing w:line="420" w:lineRule="exact"/>
        <w:ind w:left="0" w:right="0"/>
        <w:jc w:val="both"/>
        <w:rPr>
          <w:rFonts w:cs="B Zar" w:hint="cs"/>
          <w:rtl/>
        </w:rPr>
      </w:pPr>
      <w:r w:rsidRPr="00406624">
        <w:rPr>
          <w:rFonts w:cs="B Zar" w:hint="cs"/>
          <w:rtl/>
        </w:rPr>
        <w:t xml:space="preserve">گروهي از دانشمندان از جمله </w:t>
      </w:r>
      <w:r w:rsidRPr="00406624">
        <w:rPr>
          <w:rFonts w:cs="B Zar" w:hint="cs"/>
          <w:i/>
          <w:iCs/>
          <w:rtl/>
        </w:rPr>
        <w:t>وارن</w:t>
      </w:r>
      <w:r w:rsidRPr="00406624">
        <w:rPr>
          <w:rFonts w:cs="B Zar" w:hint="cs"/>
          <w:rtl/>
        </w:rPr>
        <w:t>‌</w:t>
      </w:r>
      <w:r w:rsidRPr="00406624">
        <w:rPr>
          <w:rFonts w:cs="B Zar"/>
        </w:rPr>
        <w:t>(Warren)</w:t>
      </w:r>
      <w:r w:rsidRPr="00406624">
        <w:rPr>
          <w:rFonts w:cs="B Zar" w:hint="cs"/>
          <w:rtl/>
        </w:rPr>
        <w:t xml:space="preserve">، </w:t>
      </w:r>
      <w:r w:rsidRPr="00406624">
        <w:rPr>
          <w:rFonts w:cs="B Zar" w:hint="cs"/>
          <w:i/>
          <w:iCs/>
          <w:rtl/>
        </w:rPr>
        <w:t>گيلبرت</w:t>
      </w:r>
      <w:r w:rsidRPr="00406624">
        <w:rPr>
          <w:rFonts w:cs="B Zar" w:hint="cs"/>
          <w:rtl/>
        </w:rPr>
        <w:t>‌</w:t>
      </w:r>
      <w:r w:rsidRPr="00406624">
        <w:rPr>
          <w:rFonts w:cs="B Zar"/>
        </w:rPr>
        <w:t>(Gilbert)</w:t>
      </w:r>
      <w:r w:rsidRPr="00406624">
        <w:rPr>
          <w:rFonts w:cs="B Zar" w:hint="cs"/>
          <w:rtl/>
        </w:rPr>
        <w:t xml:space="preserve">، </w:t>
      </w:r>
      <w:r w:rsidRPr="00406624">
        <w:rPr>
          <w:rFonts w:cs="B Zar" w:hint="cs"/>
          <w:i/>
          <w:iCs/>
          <w:rtl/>
        </w:rPr>
        <w:t>وينچل</w:t>
      </w:r>
      <w:r w:rsidRPr="00406624">
        <w:rPr>
          <w:rFonts w:cs="B Zar" w:hint="cs"/>
          <w:rtl/>
        </w:rPr>
        <w:t>‌</w:t>
      </w:r>
      <w:r w:rsidRPr="00406624">
        <w:rPr>
          <w:rFonts w:cs="B Zar"/>
        </w:rPr>
        <w:t>(Win</w:t>
      </w:r>
      <w:r w:rsidRPr="00406624">
        <w:rPr>
          <w:rFonts w:cs="B Zar"/>
        </w:rPr>
        <w:t>chel)</w:t>
      </w:r>
      <w:r w:rsidRPr="00406624">
        <w:rPr>
          <w:rFonts w:cs="B Zar" w:hint="cs"/>
          <w:rtl/>
        </w:rPr>
        <w:t xml:space="preserve"> </w:t>
      </w:r>
      <w:r w:rsidRPr="00406624">
        <w:rPr>
          <w:rFonts w:cs="B Zar" w:hint="cs"/>
          <w:i/>
          <w:iCs/>
          <w:rtl/>
        </w:rPr>
        <w:t>جراف</w:t>
      </w:r>
      <w:r w:rsidRPr="00406624">
        <w:rPr>
          <w:rFonts w:cs="B Zar" w:hint="cs"/>
          <w:rtl/>
        </w:rPr>
        <w:t>‌</w:t>
      </w:r>
      <w:r w:rsidRPr="00406624">
        <w:rPr>
          <w:rFonts w:cs="B Zar"/>
        </w:rPr>
        <w:t>(Jerraffe)</w:t>
      </w:r>
      <w:r w:rsidRPr="00406624">
        <w:rPr>
          <w:rFonts w:cs="B Zar" w:hint="cs"/>
          <w:rtl/>
        </w:rPr>
        <w:t xml:space="preserve">، و </w:t>
      </w:r>
      <w:r w:rsidRPr="00406624">
        <w:rPr>
          <w:rFonts w:cs="B Zar" w:hint="cs"/>
          <w:i/>
          <w:iCs/>
          <w:rtl/>
        </w:rPr>
        <w:t>تيلاك</w:t>
      </w:r>
      <w:r w:rsidRPr="00406624">
        <w:rPr>
          <w:rFonts w:cs="B Zar" w:hint="cs"/>
          <w:rtl/>
        </w:rPr>
        <w:t>‌</w:t>
      </w:r>
      <w:r w:rsidRPr="00406624">
        <w:rPr>
          <w:rFonts w:cs="B Zar"/>
        </w:rPr>
        <w:t>(Tilak)</w:t>
      </w:r>
      <w:r w:rsidRPr="00406624">
        <w:rPr>
          <w:rFonts w:cs="B Zar" w:hint="cs"/>
          <w:rtl/>
        </w:rPr>
        <w:t xml:space="preserve">، اين فرضيه را عنوان كرده‌اند كه موطن اوليه آريائي‌ها در يك دوره پارينه، در منطقه قطب شمالي قرار داشت و نخستين بخش از سرودهاي ريگ ودا در آن منطقه سرد سير يخ بسته سروده شده است كه قدمت آنها به چهارهزار و پانصد سال قبل از ميلاد مي‌رسد. يكي از شارحان اصلي اين فرضيه، </w:t>
      </w:r>
      <w:r w:rsidRPr="00406624">
        <w:rPr>
          <w:rFonts w:cs="B Zar" w:hint="cs"/>
          <w:i/>
          <w:iCs/>
          <w:rtl/>
        </w:rPr>
        <w:t>بال گانگا دهار تيلاك</w:t>
      </w:r>
      <w:r w:rsidRPr="00406624">
        <w:rPr>
          <w:rFonts w:cs="B Zar" w:hint="cs"/>
          <w:rtl/>
        </w:rPr>
        <w:t xml:space="preserve">، رهبر برجسته اجتماعي ـ سياسي هند در ربع اول قرن بيستم است كه پيش از گاندي، رهبر </w:t>
      </w:r>
      <w:r w:rsidRPr="00406624">
        <w:rPr>
          <w:rFonts w:cs="B Zar" w:hint="cs"/>
          <w:i/>
          <w:iCs/>
          <w:rtl/>
        </w:rPr>
        <w:t xml:space="preserve">حزب كنگره </w:t>
      </w:r>
      <w:r w:rsidRPr="00406624">
        <w:rPr>
          <w:rFonts w:cs="B Zar" w:hint="cs"/>
          <w:rtl/>
        </w:rPr>
        <w:t xml:space="preserve">بود. او از آزاديخواهاني بود كه با استعمار انگليس به مبارزه پرداخت. تيلاك در نوشتار معروفي به نام </w:t>
      </w:r>
      <w:r w:rsidRPr="00406624">
        <w:rPr>
          <w:rFonts w:cs="B Zar" w:hint="cs"/>
          <w:i/>
          <w:iCs/>
          <w:rtl/>
        </w:rPr>
        <w:t>قطب شمال موطن آريائي‌ها،</w:t>
      </w:r>
      <w:r w:rsidRPr="00406624">
        <w:rPr>
          <w:rFonts w:cs="B Zar" w:hint="cs"/>
          <w:rtl/>
        </w:rPr>
        <w:t xml:space="preserve"> خاطر نشان مي‌سازد كه قطب شمال، زماني قابل سكونت بود و يخبندان آن زيست آدميان را دشوار نمي‌ساخت. نياكان اوليه آريائي‌ها در منطقة سرد سير و در آغوش پاك طبيعت زندگي مي‌كردند. در اين خطه سردسير كه شبهاي آن شش ماه تمام به درازا مي‌كشيد، «خورشيد»، «آتش» و مشروب حرارت بخش، اهميت حياتي داشتند. از اين رو بود كه آريائيها به پرستش ايندرا (خورشيد) و آگني (آتش) و سوما يا هوما (مشروب مقدس) مي‌پرداختند. آنان خورشيد را با نامهاي گوناگوني چون: </w:t>
      </w:r>
      <w:r w:rsidRPr="00406624">
        <w:rPr>
          <w:rFonts w:cs="B Zar" w:hint="cs"/>
          <w:i/>
          <w:iCs/>
          <w:rtl/>
        </w:rPr>
        <w:t>ورن</w:t>
      </w:r>
      <w:r w:rsidRPr="00406624">
        <w:rPr>
          <w:rFonts w:cs="B Zar" w:hint="cs"/>
          <w:rtl/>
        </w:rPr>
        <w:t xml:space="preserve"> و غيره مورد عبادت و پرستش قرار مي‌داده‌اند. در آن شبهاي دراز و سرماي شديد، نعمتي بزرگتر از آتش نبوده است. علت اينكه آريائيان هند و ايران به پرستش آتش پرداختند و آتش براي آنان تقدس يافت، همين بود. آغاز طلوع خورشيد، پس از غيبتي طولاني، در ماه فروردين بود. در اين هنگام، شب تمام مي‌شد و </w:t>
      </w:r>
      <w:r w:rsidRPr="00406624">
        <w:rPr>
          <w:rFonts w:cs="B Zar" w:hint="cs"/>
          <w:i/>
          <w:iCs/>
          <w:rtl/>
        </w:rPr>
        <w:t>نوروز</w:t>
      </w:r>
      <w:r w:rsidRPr="00406624">
        <w:rPr>
          <w:rFonts w:cs="B Zar" w:hint="cs"/>
          <w:rtl/>
        </w:rPr>
        <w:t xml:space="preserve"> مي‌رسيد. بهار براي آريائي‌هاي هند و ايران داراي اهميت ويژه، نويد دهنده روز، روزي نو و نوروز است.</w:t>
      </w:r>
    </w:p>
    <w:p w:rsidR="0011420A" w:rsidRPr="00406624" w:rsidP="003C0EF5">
      <w:pPr>
        <w:widowControl w:val="0"/>
        <w:spacing w:line="420" w:lineRule="exact"/>
        <w:ind w:left="0" w:right="0"/>
        <w:jc w:val="both"/>
        <w:rPr>
          <w:rFonts w:cs="B Zar" w:hint="cs"/>
          <w:rtl/>
        </w:rPr>
      </w:pPr>
      <w:r w:rsidRPr="00406624">
        <w:rPr>
          <w:rFonts w:cs="B Zar" w:hint="cs"/>
          <w:rtl/>
        </w:rPr>
        <w:t xml:space="preserve">طبيعت پرستي و سرودن اشعار ساده و بي‌پيرايه براي ستايش و پرستش پديده‌هاي گوناگون طبيعت به خصوص مظاهر خورشيد (نور و حرارت)، انديشه ديني آريائيان را در دوران پارينه سنگي تشكيل مي‌دهد. آريائيان خدايان خود را </w:t>
      </w:r>
      <w:r w:rsidRPr="00406624">
        <w:rPr>
          <w:rFonts w:cs="B Zar" w:hint="cs"/>
          <w:i/>
          <w:iCs/>
          <w:rtl/>
        </w:rPr>
        <w:t>ديو</w:t>
      </w:r>
      <w:r w:rsidRPr="00406624">
        <w:rPr>
          <w:rFonts w:cs="B Zar" w:hint="cs"/>
          <w:rtl/>
        </w:rPr>
        <w:t xml:space="preserve"> مي‌ناميدند كه به معني «موجودات نوراني» است. اين خود نشان دهنده توجه فوق‌العاده آنان به پديده‌هاي نوراني و گرمابخش است.</w:t>
      </w:r>
    </w:p>
    <w:p w:rsidR="0011420A" w:rsidRPr="00406624" w:rsidP="003C0EF5">
      <w:pPr>
        <w:widowControl w:val="0"/>
        <w:spacing w:line="420" w:lineRule="exact"/>
        <w:ind w:left="0" w:right="0"/>
        <w:jc w:val="both"/>
        <w:rPr>
          <w:rFonts w:cs="B Zar" w:hint="cs"/>
          <w:rtl/>
        </w:rPr>
      </w:pPr>
      <w:r w:rsidRPr="00406624">
        <w:rPr>
          <w:rFonts w:cs="B Zar" w:hint="cs"/>
          <w:rtl/>
        </w:rPr>
        <w:t xml:space="preserve">بخش اول سرودهاي ريگ ودا در قطب شمال سروده شده و قدمت آن به 4500 ق‌م مي‌رسد. سپس با دگرگوني شديد شرائط منظومه شمسي، درجه حرارت قطب شمال كاسته شد و زندگي در آن دشوار گرديد. در اين هنگام تمام اقوام آريائي قطب شمال، اجباراً از موطن خود مهاجرت كردند و به ساير نقاط زمين، از جمله: هند، ايران، روسيه و كشورهاي اروپائي رفتند. پيش از سكونت دائم در ايران و هند، دسته‌هاي آريائي كه به سوي شرق حركت كرده بودند، در منطقه‌اي در آسياي مركزي يا مديترانه، چند دهه يا چند صد سال در كنار هم زندگي كردند. بخش ديگري از سرودهاي ريگ ودا در موطن ثانوي كه آنرا </w:t>
      </w:r>
      <w:r w:rsidRPr="00406624">
        <w:rPr>
          <w:rFonts w:cs="B Zar" w:hint="cs"/>
          <w:i/>
          <w:iCs/>
          <w:rtl/>
        </w:rPr>
        <w:t xml:space="preserve">آريانا </w:t>
      </w:r>
      <w:r w:rsidRPr="00406624">
        <w:rPr>
          <w:rFonts w:cs="B Zar" w:hint="cs"/>
          <w:rtl/>
        </w:rPr>
        <w:t>مي‌‌ناميدند سروده شده است. احتمالاً پس از، آن ميان طوايف آريائي دو دستگي و نزاع شديد مذهبي بروز كرده به دو فرقه تقسيم شدند. اكثريت آنان مي‌خواستند كه به دين ساده و طبيعت پرستانه و انيميستي موطن اوليه خود وفادار بمانند. اينان پيروان ديوها (اشياي نوراني) و يا «</w:t>
      </w:r>
      <w:r w:rsidRPr="00406624">
        <w:rPr>
          <w:rFonts w:cs="B Zar" w:hint="cs"/>
          <w:i/>
          <w:iCs/>
          <w:rtl/>
        </w:rPr>
        <w:t>سور</w:t>
      </w:r>
      <w:r w:rsidRPr="00406624">
        <w:rPr>
          <w:rFonts w:cs="B Zar" w:hint="cs"/>
          <w:rtl/>
        </w:rPr>
        <w:t>»ها (يعني مصرف كنندگان مشروب مقدس در مراسم ديني) ناميده شدند. فرقه ديگر كه مشتمل بر اقليت روشنفكر آريائي بود، در صدد برآمد كه كيش قديمي را اصلاح كند؛ زيرا به نگرش اخلاقي و توحيدي دين گرايش داشت. اينان «</w:t>
      </w:r>
      <w:r w:rsidRPr="00406624">
        <w:rPr>
          <w:rFonts w:cs="B Zar" w:hint="cs"/>
          <w:i/>
          <w:iCs/>
          <w:rtl/>
        </w:rPr>
        <w:t>اسورا</w:t>
      </w:r>
      <w:r w:rsidRPr="00406624">
        <w:rPr>
          <w:rFonts w:cs="B Zar" w:hint="cs"/>
          <w:rtl/>
        </w:rPr>
        <w:t>» (كساني كه صرف مشروب مقدس را ممنوع مي‌دانسته‌اند) ناميده شدند.</w:t>
      </w:r>
    </w:p>
    <w:p w:rsidR="0011420A" w:rsidRPr="00406624" w:rsidP="003C0EF5">
      <w:pPr>
        <w:widowControl w:val="0"/>
        <w:spacing w:line="420" w:lineRule="exact"/>
        <w:ind w:left="0" w:right="0"/>
        <w:jc w:val="both"/>
        <w:rPr>
          <w:rFonts w:cs="B Zar" w:hint="cs"/>
          <w:rtl/>
        </w:rPr>
      </w:pPr>
      <w:r w:rsidRPr="00406624">
        <w:rPr>
          <w:rFonts w:cs="B Zar" w:hint="cs"/>
          <w:rtl/>
        </w:rPr>
        <w:t>جنگ داخلي آريائيان موجب شد بزرگان و سالخوردگان آريائي هر دو گرايش مذهبي، تصميم بگيرند كه به دو جهت مختلف كوچ كنند. آريائيهاي ديو پرست به مناطق هند و پنجاب سرازير شدند و اسورا پرستان به مناطق ايران روي آوردند. دوره كوچ از موطن اوليه قطب شمال و دوره اقامت در موطن ثانوي و سپس ورود به مناطق هند، ده قرن طول كشيده است.</w:t>
      </w:r>
    </w:p>
    <w:p w:rsidR="0011420A" w:rsidRPr="00406624" w:rsidP="003C0EF5">
      <w:pPr>
        <w:widowControl w:val="0"/>
        <w:spacing w:line="420" w:lineRule="exact"/>
        <w:ind w:left="0" w:right="0"/>
        <w:jc w:val="both"/>
        <w:rPr>
          <w:rFonts w:cs="B Zar" w:hint="cs"/>
          <w:rtl/>
        </w:rPr>
      </w:pPr>
      <w:r w:rsidRPr="00406624">
        <w:rPr>
          <w:rFonts w:cs="B Zar" w:hint="cs"/>
          <w:rtl/>
        </w:rPr>
        <w:t>پس ودا شامل سرودها، اذكار، اوراد و طلسمهايي است كه در طي يك دوره طولاني سه هزار و پانصد ساله از 4500 تا 1000 ق م جمع‌آوري شده است.</w:t>
      </w:r>
    </w:p>
    <w:p w:rsidR="0011420A" w:rsidRPr="00406624" w:rsidP="003C0EF5">
      <w:pPr>
        <w:widowControl w:val="0"/>
        <w:spacing w:line="420" w:lineRule="exact"/>
        <w:ind w:left="0" w:right="0"/>
        <w:jc w:val="both"/>
        <w:rPr>
          <w:rFonts w:cs="B Zar" w:hint="cs"/>
          <w:rtl/>
        </w:rPr>
      </w:pPr>
      <w:r w:rsidRPr="00406624">
        <w:rPr>
          <w:rFonts w:cs="B Zar" w:hint="cs"/>
          <w:i/>
          <w:iCs/>
          <w:rtl/>
        </w:rPr>
        <w:t>بال گنگا دهار تيلاك</w:t>
      </w:r>
      <w:r w:rsidRPr="00406624">
        <w:rPr>
          <w:rFonts w:cs="B Zar" w:hint="cs"/>
          <w:rtl/>
        </w:rPr>
        <w:t xml:space="preserve"> از ريگ ودا شواهدي نقل مي‌كند كه فرضيه او را ثابت كند؛ مثلاً مي‌گويد كه در برخي از سرودها، به شبها و روزهاي بس طولاني اشاره شده است. ريگ ودا از منطقه اي سخن مي‌گويد كه شبها شش ماه به دراز مي‌كشد، خورشيد از جنوب طلوع مي‌كند، و ستارگان ثابت‌اند و طلوع و غروبي ندارند؛ او به نتايج زير مي‌‌رسد؛</w:t>
      </w:r>
    </w:p>
    <w:p w:rsidR="0011420A" w:rsidRPr="00406624" w:rsidP="003C0EF5">
      <w:pPr>
        <w:widowControl w:val="0"/>
        <w:spacing w:line="420" w:lineRule="exact"/>
        <w:ind w:left="0" w:right="0"/>
        <w:jc w:val="both"/>
        <w:rPr>
          <w:rFonts w:cs="B Zar" w:hint="cs"/>
          <w:rtl/>
        </w:rPr>
      </w:pPr>
      <w:r w:rsidRPr="00406624">
        <w:rPr>
          <w:rFonts w:cs="B Zar" w:hint="cs"/>
          <w:rtl/>
        </w:rPr>
        <w:t>1. از سرودهاي ريگ ودا چنان دريافت مي‌شود كه در منطقه‌اي سروده شده‌اند كه به شدت سرد و يخ زده بوده و خورشيد به ندرت ديده مي‌شده است؛ چنانكه وقتي ظاهر مي‌شد، مردم ظهور آن را جشن مي‌گرفتند. آريائيان، چنانچه اشاره شد، خورشيد را با دهها نام و عنوان، و آتش را به صورت پديده‌اي مقدس مي‌پرستيدند.</w:t>
      </w:r>
    </w:p>
    <w:p w:rsidR="0011420A" w:rsidRPr="00406624" w:rsidP="003C0EF5">
      <w:pPr>
        <w:widowControl w:val="0"/>
        <w:spacing w:line="420" w:lineRule="exact"/>
        <w:ind w:left="0" w:right="0"/>
        <w:jc w:val="both"/>
        <w:rPr>
          <w:rFonts w:cs="B Zar" w:hint="cs"/>
          <w:rtl/>
        </w:rPr>
      </w:pPr>
      <w:r w:rsidRPr="00406624">
        <w:rPr>
          <w:rFonts w:cs="B Zar" w:hint="cs"/>
          <w:rtl/>
        </w:rPr>
        <w:t>2. سرودهاي ريگ ودا نشان مي‌دهد كه آريائيها آغاز سال را فرارسيدن سرما (غروب خورشيد) مي‌دانسته‌اند</w:t>
      </w:r>
      <w:r>
        <w:rPr>
          <w:rStyle w:val="FootnoteReference"/>
          <w:rFonts w:cs="B Zar"/>
          <w:rtl/>
        </w:rPr>
        <w:footnoteReference w:id="175"/>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3. در يكي از ادعيه و اذكار بسيار معروف ريگ ودا گفته شده است: «خدايا ما را نيرو و توانائي بده تا در صدها سال در زمستان سخت زندگي كنيم».</w:t>
      </w:r>
    </w:p>
    <w:p w:rsidR="0011420A" w:rsidRPr="00406624" w:rsidP="003C0EF5">
      <w:pPr>
        <w:widowControl w:val="0"/>
        <w:spacing w:line="420" w:lineRule="exact"/>
        <w:ind w:left="0" w:right="0"/>
        <w:jc w:val="both"/>
        <w:rPr>
          <w:rFonts w:cs="B Zar" w:hint="cs"/>
          <w:rtl/>
        </w:rPr>
      </w:pPr>
      <w:r w:rsidRPr="00406624">
        <w:rPr>
          <w:rFonts w:cs="B Zar" w:hint="cs"/>
          <w:rtl/>
        </w:rPr>
        <w:t xml:space="preserve">در </w:t>
      </w:r>
      <w:r w:rsidRPr="00406624">
        <w:rPr>
          <w:rFonts w:cs="B Zar" w:hint="cs"/>
          <w:i/>
          <w:iCs/>
          <w:rtl/>
        </w:rPr>
        <w:t>سات پاتا برهمانا</w:t>
      </w:r>
      <w:r w:rsidRPr="00406624">
        <w:rPr>
          <w:rFonts w:cs="B Zar" w:hint="cs"/>
          <w:rtl/>
        </w:rPr>
        <w:t xml:space="preserve"> به توفان مهيب (نظير توفان نوح) اشاره شده است. تيلاك آن را اشاره به توفان، برف و باران مي‌داند كه با تنزل درجه حرارت در قطب شمال همراه بود و بالاخره نيز موجب كوچيدن آريائيها از ديار خود شد</w:t>
      </w:r>
      <w:r>
        <w:rPr>
          <w:rStyle w:val="FootnoteReference"/>
          <w:rFonts w:cs="B Zar"/>
          <w:rtl/>
        </w:rPr>
        <w:footnoteReference w:id="176"/>
      </w:r>
      <w:r w:rsidRPr="00406624">
        <w:rPr>
          <w:rFonts w:cs="B Zar" w:hint="cs"/>
          <w:rtl/>
        </w:rPr>
        <w:t>.</w:t>
      </w:r>
    </w:p>
    <w:p w:rsidR="0011420A" w:rsidRPr="00406624" w:rsidP="003C0EF5">
      <w:pPr>
        <w:widowControl w:val="0"/>
        <w:numPr>
          <w:ilvl w:val="0"/>
          <w:numId w:val="22"/>
        </w:numPr>
        <w:spacing w:line="420" w:lineRule="exact"/>
        <w:ind w:left="720" w:right="0"/>
        <w:jc w:val="both"/>
        <w:rPr>
          <w:rFonts w:cs="B Zar" w:hint="cs"/>
          <w:rtl/>
        </w:rPr>
      </w:pPr>
      <w:r w:rsidRPr="00406624">
        <w:rPr>
          <w:rFonts w:cs="B Zar" w:hint="cs"/>
          <w:rtl/>
        </w:rPr>
        <w:t xml:space="preserve">البته محققان اخير، نظريه تيلاك و ساير پژوهشگراني را كه معتقد به فرضيه‌هاي مشابه‌اند، رد كرده‌اند؛ چرا كه تحقيقات دامنه‌دار اخير در منطقه قطب شمال چنين فرضيه‌اي را تأييد نكرده است. چنانكه در بخش گذشته گفته‌ايم، نظريه مورد قبول پژوهش‌گران اخير اين است كه موطن اوليه آريائيها در منطقه آسياي مركزي قرار داشته است، و تمام اشارات ودا به منطقه سردسير، راجع به موطن اوليه آريائيها در آسياي مركزي و يا موطن دوم آنان در منطقه پامير و مديترانه و مناطق ايراني و افغانستان است كه آريائيان در طي مهاجرت خود به هند، آن مناطق را درنورديدند. به هر حال اين امر مسلم است كه بسياري از سرودهاي ريگ ودا، پيش از ورود آريائيها به هند سروده شده است. شواهد اين امر در متن ريگ ودا ديده مي‌شود؛ به عنوان مثال، ريگ ودا از برخي رودخانه ها، شهرها و كشورهايي نام مي برد كه در خارج از هند قرار دارند. در ريگ ودا از </w:t>
      </w:r>
      <w:r w:rsidRPr="00406624">
        <w:rPr>
          <w:rFonts w:cs="B Zar" w:hint="cs"/>
          <w:i/>
          <w:iCs/>
          <w:rtl/>
        </w:rPr>
        <w:t>يكشو</w:t>
      </w:r>
      <w:r w:rsidRPr="00406624">
        <w:rPr>
          <w:rFonts w:cs="B Zar" w:hint="cs"/>
          <w:rtl/>
        </w:rPr>
        <w:t xml:space="preserve"> اسم برده شده، كه نقطه‌اي در آسياي مركزي و در كنار رود اوكسس </w:t>
      </w:r>
      <w:r w:rsidRPr="00406624">
        <w:rPr>
          <w:rFonts w:cs="B Zar"/>
        </w:rPr>
        <w:t>(Oxus)</w:t>
      </w:r>
      <w:r w:rsidRPr="00406624">
        <w:rPr>
          <w:rFonts w:cs="B Zar" w:hint="cs"/>
          <w:rtl/>
        </w:rPr>
        <w:t xml:space="preserve"> است. شهر</w:t>
      </w:r>
      <w:r w:rsidRPr="00406624">
        <w:rPr>
          <w:rFonts w:cs="B Zar" w:hint="cs"/>
          <w:i/>
          <w:iCs/>
          <w:rtl/>
        </w:rPr>
        <w:t xml:space="preserve"> اَجَ </w:t>
      </w:r>
      <w:r w:rsidRPr="00406624">
        <w:rPr>
          <w:rFonts w:cs="B Zar" w:hint="cs"/>
          <w:rtl/>
        </w:rPr>
        <w:t xml:space="preserve">و </w:t>
      </w:r>
      <w:r w:rsidRPr="00406624">
        <w:rPr>
          <w:rFonts w:cs="B Zar" w:hint="cs"/>
          <w:i/>
          <w:iCs/>
          <w:rtl/>
        </w:rPr>
        <w:t>اجيكا</w:t>
      </w:r>
      <w:r w:rsidRPr="00406624">
        <w:rPr>
          <w:rFonts w:cs="B Zar" w:hint="cs"/>
          <w:rtl/>
        </w:rPr>
        <w:t xml:space="preserve"> كه در ريگ ودا مورد اشاره قرار گرفته است، احتمالاً در آسياي مركزي قرار دارد. ريگ ودا از كشور پهناوري به نام «</w:t>
      </w:r>
      <w:r w:rsidRPr="00406624">
        <w:rPr>
          <w:rFonts w:cs="B Zar" w:hint="cs"/>
          <w:i/>
          <w:iCs/>
          <w:rtl/>
        </w:rPr>
        <w:t>روسم»</w:t>
      </w:r>
      <w:r w:rsidRPr="00406624">
        <w:rPr>
          <w:rFonts w:cs="B Zar" w:hint="cs"/>
          <w:rtl/>
        </w:rPr>
        <w:t xml:space="preserve"> ياد مي‌كند كه همان روسيه قبلي است. منطقه «هاري پپتا» نيز در اروپاي شرقي قرار دارد. ايندراليا مذكور در ريگ ودا، عملي است موسوم به ايندرالايا</w:t>
      </w:r>
      <w:r w:rsidRPr="00406624">
        <w:rPr>
          <w:rFonts w:cs="B Zar"/>
        </w:rPr>
        <w:t>(Inder-Alaya)</w:t>
      </w:r>
      <w:r w:rsidRPr="00406624">
        <w:rPr>
          <w:rFonts w:cs="B Zar" w:hint="cs"/>
          <w:rtl/>
        </w:rPr>
        <w:t xml:space="preserve"> كه در شمال سلسلة جبال هندوكش است. رود اجك در ودا، رودخانه جكسارتي</w:t>
      </w:r>
      <w:r w:rsidRPr="00406624">
        <w:rPr>
          <w:rFonts w:cs="B Zar"/>
        </w:rPr>
        <w:t>(Jaxartes)</w:t>
      </w:r>
      <w:r w:rsidRPr="00406624">
        <w:rPr>
          <w:rFonts w:cs="B Zar" w:hint="cs"/>
          <w:rtl/>
        </w:rPr>
        <w:t>، كُبها در ودا كافس</w:t>
      </w:r>
      <w:r w:rsidRPr="00406624">
        <w:rPr>
          <w:rFonts w:cs="B Zar"/>
        </w:rPr>
        <w:t>(Cophes)</w:t>
      </w:r>
      <w:r w:rsidRPr="00406624">
        <w:rPr>
          <w:rFonts w:cs="B Zar" w:hint="cs"/>
          <w:rtl/>
        </w:rPr>
        <w:t xml:space="preserve"> و «آرار» همان رود «اورال» در افغانستان است. رودخانه «اكسي ون </w:t>
      </w:r>
      <w:r w:rsidRPr="00406624">
        <w:rPr>
          <w:rFonts w:cs="B Zar"/>
        </w:rPr>
        <w:t>(Ixion)</w:t>
      </w:r>
      <w:r w:rsidRPr="00406624">
        <w:rPr>
          <w:rFonts w:cs="B Zar" w:hint="cs"/>
          <w:rtl/>
        </w:rPr>
        <w:t xml:space="preserve"> در يوناني و «آروسا» در ودا همان رود </w:t>
      </w:r>
      <w:r w:rsidRPr="00406624">
        <w:rPr>
          <w:rFonts w:cs="B Zar"/>
        </w:rPr>
        <w:t>(Eyos)</w:t>
      </w:r>
      <w:r w:rsidRPr="00406624">
        <w:rPr>
          <w:rFonts w:cs="B Zar" w:hint="cs"/>
          <w:rtl/>
        </w:rPr>
        <w:t xml:space="preserve"> در يونان است. اسامي شهرها، مناطق و رودخانه‌هاي آسياي مركزي، مديترانه و افغانستان، ثابت كننده اين نكته هستند كه بخشي از سرودهاي ريگ ودا پيش از ورد آريائي‌ها به هند سروده شده است</w:t>
      </w:r>
      <w:r>
        <w:rPr>
          <w:rStyle w:val="FootnoteReference"/>
          <w:rFonts w:cs="B Zar"/>
          <w:rtl/>
        </w:rPr>
        <w:footnoteReference w:id="177"/>
      </w:r>
      <w:r w:rsidRPr="00406624">
        <w:rPr>
          <w:rFonts w:cs="B Zar" w:hint="cs"/>
          <w:rtl/>
        </w:rPr>
        <w:t>.</w:t>
      </w:r>
    </w:p>
    <w:p w:rsidR="0011420A" w:rsidP="003C0EF5">
      <w:pPr>
        <w:widowControl w:val="0"/>
        <w:numPr>
          <w:ilvl w:val="0"/>
          <w:numId w:val="22"/>
        </w:numPr>
        <w:spacing w:line="420" w:lineRule="exact"/>
        <w:ind w:left="720" w:right="0"/>
        <w:jc w:val="both"/>
        <w:rPr>
          <w:rFonts w:cs="B Zar" w:hint="cs"/>
        </w:rPr>
      </w:pPr>
      <w:r w:rsidRPr="00406624">
        <w:rPr>
          <w:rFonts w:cs="B Zar" w:hint="cs"/>
          <w:rtl/>
        </w:rPr>
        <w:t xml:space="preserve">درباره تاريخ ورود آريائي‌ها به هند نيز ميان دانشمندان اختلاف نظر وجود داشته است. پرفسور </w:t>
      </w:r>
      <w:r w:rsidRPr="00406624">
        <w:rPr>
          <w:rFonts w:cs="B Zar" w:hint="cs"/>
          <w:i/>
          <w:iCs/>
          <w:rtl/>
        </w:rPr>
        <w:t>ژاكوبي</w:t>
      </w:r>
      <w:r w:rsidRPr="00406624">
        <w:rPr>
          <w:rFonts w:cs="B Zar"/>
        </w:rPr>
        <w:t>(Jacobi)</w:t>
      </w:r>
      <w:r w:rsidRPr="00406624">
        <w:rPr>
          <w:rFonts w:cs="B Zar" w:hint="cs"/>
          <w:rtl/>
        </w:rPr>
        <w:t xml:space="preserve">، تاريخ ورود آريائيان را به هند سه هزار سال قبل از ميلاد مي‌‌داند در حالي كه </w:t>
      </w:r>
      <w:r w:rsidRPr="00406624">
        <w:rPr>
          <w:rFonts w:cs="B Zar" w:hint="cs"/>
          <w:i/>
          <w:iCs/>
          <w:rtl/>
        </w:rPr>
        <w:t>موجامدار</w:t>
      </w:r>
      <w:r w:rsidRPr="00406624">
        <w:rPr>
          <w:rFonts w:cs="B Zar" w:hint="cs"/>
          <w:rtl/>
        </w:rPr>
        <w:t xml:space="preserve"> آنرا 2800 ق م برآورده كرده است، ولي نظريه جديد اين است كه آريائيها در حوالي سال 1500 ق م وارد سرزمين هند شده‌اند. اگر تاريخ حركت آريائي‌ها را از موطن اوليه خود 2500 تا 2000 ق م برآورد كنيم، باز ريگ ودا مشتمل بر سرودهايي است كه در يك دوره بلند هزار و پانصد ساله سروده شده و منعكس كننده سير انديشه ديني ـ فلسفي آريائيها از تاريخ پيدايش تا استقرار كامل در پنجاب، كشمير و شرق افغانستان مي‌باشد.</w:t>
      </w:r>
    </w:p>
    <w:p w:rsidR="00263778" w:rsidRPr="00406624" w:rsidP="00263778">
      <w:pPr>
        <w:widowControl w:val="0"/>
        <w:spacing w:line="420" w:lineRule="exact"/>
        <w:ind w:left="360" w:right="0"/>
        <w:jc w:val="both"/>
        <w:rPr>
          <w:rFonts w:cs="B Zar" w:hint="cs"/>
        </w:rPr>
      </w:pPr>
    </w:p>
    <w:p w:rsidR="0011420A" w:rsidRPr="008B6127" w:rsidP="003C0EF5">
      <w:pPr>
        <w:pStyle w:val="Heading5"/>
        <w:keepNext w:val="0"/>
        <w:widowControl w:val="0"/>
        <w:spacing w:line="420" w:lineRule="exact"/>
        <w:ind w:left="0" w:right="0"/>
        <w:jc w:val="left"/>
        <w:rPr>
          <w:rFonts w:cs="B Zar" w:hint="cs"/>
          <w:sz w:val="28"/>
          <w:szCs w:val="28"/>
          <w:rtl/>
        </w:rPr>
      </w:pPr>
      <w:r w:rsidRPr="008B6127">
        <w:rPr>
          <w:rFonts w:cs="B Zar" w:hint="cs"/>
          <w:sz w:val="28"/>
          <w:szCs w:val="28"/>
          <w:rtl/>
        </w:rPr>
        <w:t>چگونگي تأليف سرودها</w:t>
      </w:r>
    </w:p>
    <w:p w:rsidR="0011420A" w:rsidRPr="00406624" w:rsidP="003C0EF5">
      <w:pPr>
        <w:widowControl w:val="0"/>
        <w:spacing w:line="420" w:lineRule="exact"/>
        <w:ind w:left="0" w:right="0"/>
        <w:jc w:val="both"/>
        <w:rPr>
          <w:rFonts w:cs="B Zar" w:hint="cs"/>
          <w:rtl/>
        </w:rPr>
      </w:pPr>
      <w:r w:rsidRPr="00406624">
        <w:rPr>
          <w:rFonts w:cs="B Zar" w:hint="cs"/>
          <w:rtl/>
        </w:rPr>
        <w:t xml:space="preserve">سرودهاي ريگ ودا تا قرنها به صورت شفاهي از نسلي به نسل ديگري منتقل شد. ظاهراً آريائيان در آن زمان فاقد روش كتابت بودند. اين نژاد گرچه از نظر ايجاد ادبيات ديني از ساير ملل جلوتر، اما از نظر ايجاد و كشف رسم‌الخط و روش كتابت از اقوام بين‌النهرين، مصر، چين و حتي دراويديان هند، بسيار عقب مانده‌تر بود. وقتي اجتماعي فاقد روش كتابت باشد، معارف آن به صورت محفوظات نگهداري مي‌شود. عموماً حافظه افراد در اجتماعات بي‌سواد و فاقد روش كتابت، بسيار قويتر است. گذشته از آن، چون اكثر اين سرودها در مراسم مذهبي تلاوت و قرائت مي‌شد، چندان تحريف و فراموش نگرديد. سرودها را شاعرانِ عارف مي‌سرودند، سپس بزرگان و ريش سپيدان هر خانواده كه مراسم مذهبي ماهانه، هفتگي و روزانه براي افراد خانواده خود اجرا مي‌كردند، آن را به حافظه مي‌سپردند. به نظر مي‌رسد با گذشت زمان، در اجتماع آريائيها، نهاد روحانيت به وجود آمد. شش خانواده برجسته كه نسب خود را به سرايندگان اوليه سرودها، يعني همان ريشيها ارتباط مي دادند، به صورت سه مرجع اصلي ملت آريا درآمد. صدها و هزاران سرود ديني كه تا آن زمان به وجود آمده بود، ميان اين شش دودمان تقسيم گرديد. وظيفه اينان حفظ كردن كل مجموعه سرودها و تلاوت و قرائت آن در مراسم ديني بود. اينان در واقع حافظان و قاريان ودا بودند؛ اما برخلاف حافظان و قاريان در جامعه اسلامي ما، آنها سرودهاي تازه اي را نيز با سرودن اشعار تازه و يا با شنيدن ابيات و مصرع‌‌هاي موجود در كنار هم مي ساختند. به اين ترتيب، نه تنها هر نسلي، سرودها و معارف موجود را با دقت و جانفشاني تمام به نسل‌هاي بعدي تحويل داد، بلكه مطابق ذوق و سليقه خود و گرايشها و نيازهاي روز، به گنجينة سرودها مي‌افزود و ابياتي را به سروده‌هاي پيشين اضافه مي‌كرد. غير از سرودهايي كه به وسيله روحانيون و سلسله قاريان و حافظان ششگانه افزوده مي‌شد، شواهد داخلي نشان مي‌دهد كه برخي سرودها و اوراد را حتي افراد عادي مي‌سرودند و به مرور برگنجينة آنها مي‌افزودند؛ مثلاً سراينده يكي از سرودهاي ريگ ودا مي‌گويد: </w:t>
      </w:r>
      <w:r w:rsidRPr="00406624">
        <w:rPr>
          <w:rFonts w:cs="B Zar" w:hint="cs"/>
          <w:iCs/>
          <w:szCs w:val="24"/>
          <w:rtl/>
        </w:rPr>
        <w:t>«پدر من حكيم باشي است، مادر من گندم را آرد مي‌كند، ولي ببين من سرودي از ودا ساخته ام</w:t>
      </w:r>
      <w:r>
        <w:rPr>
          <w:rStyle w:val="FootnoteReference"/>
          <w:rFonts w:cs="B Zar"/>
          <w:iCs/>
          <w:szCs w:val="24"/>
          <w:rtl/>
        </w:rPr>
        <w:footnoteReference w:id="178"/>
      </w:r>
      <w:r w:rsidRPr="00406624">
        <w:rPr>
          <w:rFonts w:cs="B Zar" w:hint="cs"/>
          <w:iCs/>
          <w:szCs w:val="24"/>
          <w:rtl/>
        </w:rPr>
        <w:t xml:space="preserve">». </w:t>
      </w:r>
      <w:r w:rsidRPr="00406624">
        <w:rPr>
          <w:rFonts w:cs="B Zar" w:hint="cs"/>
          <w:rtl/>
        </w:rPr>
        <w:t xml:space="preserve">يكي از سرايندگان سرودها، </w:t>
      </w:r>
      <w:r w:rsidRPr="00406624">
        <w:rPr>
          <w:rFonts w:cs="B Zar" w:hint="cs"/>
          <w:i/>
          <w:iCs/>
          <w:rtl/>
        </w:rPr>
        <w:t>كواس ايلوس</w:t>
      </w:r>
      <w:r w:rsidRPr="00406624">
        <w:rPr>
          <w:rFonts w:cs="B Zar" w:hint="cs"/>
          <w:rtl/>
        </w:rPr>
        <w:t xml:space="preserve"> نام داشت و ظاهراً غير آريائي بوده كه آريائيان او را در دين و ملت خود پذيرفته‌اند. برخي از سرايندگان و قاريان ودا زن بوده‌اند؛ از جمله: </w:t>
      </w:r>
      <w:r w:rsidRPr="00406624">
        <w:rPr>
          <w:rFonts w:cs="B Zar" w:hint="cs"/>
          <w:i/>
          <w:iCs/>
          <w:rtl/>
        </w:rPr>
        <w:t>بسوَد</w:t>
      </w:r>
      <w:r w:rsidRPr="00406624">
        <w:rPr>
          <w:rFonts w:cs="B Zar" w:hint="cs"/>
          <w:rtl/>
        </w:rPr>
        <w:t xml:space="preserve"> از خانواده </w:t>
      </w:r>
      <w:r w:rsidRPr="00406624">
        <w:rPr>
          <w:rFonts w:cs="B Zar" w:hint="cs"/>
          <w:i/>
          <w:iCs/>
          <w:rtl/>
        </w:rPr>
        <w:t>اُتري،</w:t>
      </w:r>
      <w:r w:rsidRPr="00406624">
        <w:rPr>
          <w:rFonts w:cs="B Zar" w:hint="cs"/>
          <w:rtl/>
        </w:rPr>
        <w:t xml:space="preserve"> شش سرود از كتاب پنجم ودا را سروده و اُ</w:t>
      </w:r>
      <w:r w:rsidRPr="00406624">
        <w:rPr>
          <w:rFonts w:cs="B Zar" w:hint="cs"/>
          <w:i/>
          <w:iCs/>
          <w:rtl/>
        </w:rPr>
        <w:t>پالا</w:t>
      </w:r>
      <w:r w:rsidRPr="00406624">
        <w:rPr>
          <w:rFonts w:cs="B Zar" w:hint="cs"/>
          <w:rtl/>
        </w:rPr>
        <w:t xml:space="preserve"> نيز از همان خانواده هشت سرود ساخته است</w:t>
      </w:r>
      <w:r>
        <w:rPr>
          <w:rStyle w:val="FootnoteReference"/>
          <w:rFonts w:cs="B Zar"/>
          <w:rtl/>
        </w:rPr>
        <w:footnoteReference w:id="179"/>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i/>
          <w:iCs/>
          <w:rtl/>
        </w:rPr>
        <w:t>اُروسي</w:t>
      </w:r>
      <w:r w:rsidRPr="00406624">
        <w:rPr>
          <w:rFonts w:cs="B Zar" w:hint="cs"/>
          <w:rtl/>
        </w:rPr>
        <w:t xml:space="preserve"> عشق خود را به </w:t>
      </w:r>
      <w:r w:rsidRPr="00406624">
        <w:rPr>
          <w:rFonts w:cs="B Zar" w:hint="cs"/>
          <w:i/>
          <w:iCs/>
          <w:rtl/>
        </w:rPr>
        <w:t>پُرُرابا</w:t>
      </w:r>
      <w:r w:rsidRPr="00406624">
        <w:rPr>
          <w:rFonts w:cs="B Zar" w:hint="cs"/>
          <w:rtl/>
        </w:rPr>
        <w:t xml:space="preserve"> در هفت بيت در سرود 95 كتاب دهم بيان داشته است</w:t>
      </w:r>
      <w:r>
        <w:rPr>
          <w:rStyle w:val="FootnoteReference"/>
          <w:rFonts w:cs="B Zar"/>
          <w:rtl/>
        </w:rPr>
        <w:footnoteReference w:id="180"/>
      </w:r>
      <w:r w:rsidRPr="00406624">
        <w:rPr>
          <w:rFonts w:cs="B Zar" w:hint="cs"/>
          <w:rtl/>
        </w:rPr>
        <w:t>. به نظر مي رسد خانواده اتري كه دو خانم فوق به آن تعلق داشتند، از جمله شش خانواده و سلسله قاريان و حافظان بوده‌اند. اين امر نشان مي‌دهد كه نه تنها مردان، بلكه زنان خانواده‌هاي روحاني هم وظايف ديني را انجام مي‌داده و در اجتماع آريائيان، روحانيون تنها از طبقه مردان نبوده‌اند. اجمالاً اينكه دودمانهاي روحاني تا قرنها، معارف ودا و سرودها و اذكار و اوراد را به صورت شفاهي حفظ كرده‌اند. راگوزين در اين باره مي‌گويد:</w:t>
      </w:r>
    </w:p>
    <w:p w:rsidR="0011420A" w:rsidP="003C0EF5">
      <w:pPr>
        <w:widowControl w:val="0"/>
        <w:spacing w:line="420" w:lineRule="exact"/>
        <w:ind w:left="0" w:right="0"/>
        <w:jc w:val="both"/>
        <w:rPr>
          <w:rFonts w:cs="B Zar" w:hint="cs"/>
          <w:rtl/>
        </w:rPr>
      </w:pPr>
      <w:r w:rsidRPr="00406624">
        <w:rPr>
          <w:rFonts w:cs="B Zar" w:hint="cs"/>
          <w:rtl/>
        </w:rPr>
        <w:t>«روش كتابت را هندوان احتمالاً صدها سال پس از تأليف سرودها كشف كردند و براي صدها سال سرودها به صورت شفاهي ، دهان به دهان مي‌گشت و از نسلي به نسل ديگري منتقل مي‌شد</w:t>
      </w:r>
      <w:r>
        <w:rPr>
          <w:rStyle w:val="FootnoteReference"/>
          <w:rFonts w:cs="B Zar"/>
          <w:rtl/>
        </w:rPr>
        <w:footnoteReference w:id="181"/>
      </w:r>
      <w:r w:rsidRPr="00406624">
        <w:rPr>
          <w:rFonts w:cs="B Zar" w:hint="cs"/>
          <w:rtl/>
        </w:rPr>
        <w:t>.</w:t>
      </w:r>
    </w:p>
    <w:p w:rsidR="0011420A" w:rsidRPr="00406624" w:rsidP="003C0EF5">
      <w:pPr>
        <w:widowControl w:val="0"/>
        <w:spacing w:line="420" w:lineRule="exact"/>
        <w:ind w:left="0" w:right="0"/>
        <w:jc w:val="both"/>
        <w:rPr>
          <w:rFonts w:cs="B Zar" w:hint="cs"/>
          <w:b/>
          <w:bCs/>
          <w:rtl/>
        </w:rPr>
      </w:pPr>
      <w:r w:rsidRPr="00406624">
        <w:rPr>
          <w:rFonts w:cs="B Zar" w:hint="cs"/>
          <w:b/>
          <w:bCs/>
          <w:rtl/>
        </w:rPr>
        <w:t>ايجاد روش كتابت و تدوين ودا</w:t>
      </w:r>
    </w:p>
    <w:p w:rsidR="0011420A" w:rsidRPr="00406624" w:rsidP="003C0EF5">
      <w:pPr>
        <w:widowControl w:val="0"/>
        <w:spacing w:line="420" w:lineRule="exact"/>
        <w:ind w:left="0" w:right="0"/>
        <w:jc w:val="both"/>
        <w:rPr>
          <w:rFonts w:cs="B Zar" w:hint="cs"/>
          <w:rtl/>
        </w:rPr>
      </w:pPr>
      <w:r w:rsidRPr="00406624">
        <w:rPr>
          <w:rFonts w:cs="B Zar" w:hint="cs"/>
          <w:rtl/>
        </w:rPr>
        <w:t xml:space="preserve">به نظر مي‌رسد درحدود سالهاي 1400 ق م آريائيان روش كتابت را اختراع كردند. برخي دانشمندان معتقدند كه رسم الخط قديم سانسكريت اقتباس شده از خط فنيقي است. البته </w:t>
      </w:r>
      <w:r w:rsidRPr="00406624">
        <w:rPr>
          <w:rFonts w:cs="B Zar" w:hint="cs"/>
          <w:i/>
          <w:iCs/>
          <w:rtl/>
        </w:rPr>
        <w:t>دوسون</w:t>
      </w:r>
      <w:r w:rsidRPr="00406624">
        <w:rPr>
          <w:rFonts w:cs="B Zar" w:hint="cs"/>
          <w:rtl/>
        </w:rPr>
        <w:t xml:space="preserve"> </w:t>
      </w:r>
      <w:r w:rsidRPr="00406624">
        <w:rPr>
          <w:rFonts w:cs="B Zar"/>
        </w:rPr>
        <w:t>(Dowson)</w:t>
      </w:r>
      <w:r w:rsidRPr="00406624">
        <w:rPr>
          <w:rFonts w:cs="B Zar" w:hint="cs"/>
          <w:rtl/>
        </w:rPr>
        <w:t xml:space="preserve"> و </w:t>
      </w:r>
      <w:r w:rsidRPr="00406624">
        <w:rPr>
          <w:rFonts w:cs="B Zar" w:hint="cs"/>
          <w:i/>
          <w:iCs/>
          <w:rtl/>
        </w:rPr>
        <w:t>مجمدار،</w:t>
      </w:r>
      <w:r w:rsidRPr="00406624">
        <w:rPr>
          <w:rFonts w:cs="B Zar" w:hint="cs"/>
          <w:rtl/>
        </w:rPr>
        <w:t xml:space="preserve"> هر دو معتقدند كه رسم‌الخط قديم سانسكريت كه </w:t>
      </w:r>
      <w:r w:rsidRPr="00406624">
        <w:rPr>
          <w:rFonts w:cs="B Zar" w:hint="cs"/>
          <w:i/>
          <w:iCs/>
          <w:rtl/>
        </w:rPr>
        <w:t>برهماپسي</w:t>
      </w:r>
      <w:r w:rsidRPr="00406624">
        <w:rPr>
          <w:rFonts w:cs="B Zar" w:hint="cs"/>
          <w:rtl/>
        </w:rPr>
        <w:t xml:space="preserve"> ناميده مي‌شد، متأثر از خط فنيقي نيست، بلكه به طور مستقل اختراع گرديده و يا ممكن است متأثر از رسم‌الخط دراويديان  بومي باشد</w:t>
      </w:r>
      <w:r>
        <w:rPr>
          <w:rStyle w:val="FootnoteReference"/>
          <w:rFonts w:cs="B Zar"/>
          <w:rtl/>
        </w:rPr>
        <w:footnoteReference w:id="182"/>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آريائيان پس از استقرار در مناطق پنجاب و كشمير، مجبور شدند با اكثريت مردم بومي به مبادله فرهنگي بپردازند. اسناد تاريخي نشان مي‌دهد كه قرنها، آريائيان در مناطق شرق افغانستان و پنجاب به صورت جزاير كوچكي كه از هر سو در محاصره اقيانوسي از جمعيت انبوه بوميان بود، زندگي مي‌‌كردند. درست است كه آريائيها از نظر نظامي ـ سياسي قدرت را در دست داشته و طبقه حاكم را تشكيل مي‌دادند، ولي رعاياي آنان همگي دراويدي يا متعلق به قبايل ديگر محلي بودند. كشف تمدن هراپا و موهانجدارو در سند، كه فاصله زيادي با مناطق آريانشين پنجاب نداشت، نشان مي‌دهد كه دراويديها داراي رسم‌الخط و روش كتابت بودند. طبيعي بود كه آريائيها پس از گذشت زمان روش كتابت را از بوميان ياد گيرند. اگر فرض كنيم آريائيها در حدود 1500 ق م وارد هند شده باشند، ممكن است حداكثر يكي دو قرن اول در كشاكش و نبرد و ستيزه جوئي‌ با بوميها، سپري شده، و قوم حاكم از روشهاي قوم مغلوب استفاده نكرده باشد. اكثر سرودهاي ريگ ودا، به خصوص آنها كه به اينديرا اختصاص دارد، از دوران جنگ حكايت مي‌كند؛ اما با مغلوب شدن دراويديها و سيطره كامل آريائيها، جريان تبادل فرهنگي آغاز شده است و در اين دوره، آريائيها رسم الخط و روش كتابت را از آنان ياد گرفته‌اند. اين امر قاعدتاً مي‌تواند از قرن چهاردهم يا سيزدهم قبل از ميلاد آغاز شده باشد.</w:t>
      </w:r>
    </w:p>
    <w:p w:rsidR="0011420A" w:rsidRPr="00406624" w:rsidP="003C0EF5">
      <w:pPr>
        <w:widowControl w:val="0"/>
        <w:spacing w:line="420" w:lineRule="exact"/>
        <w:ind w:left="0" w:right="0"/>
        <w:jc w:val="both"/>
        <w:rPr>
          <w:rFonts w:cs="B Zar" w:hint="cs"/>
          <w:rtl/>
        </w:rPr>
      </w:pPr>
      <w:r w:rsidRPr="00406624">
        <w:rPr>
          <w:rFonts w:cs="B Zar" w:hint="cs"/>
          <w:rtl/>
        </w:rPr>
        <w:t>نگاه تحقيقي ثابت مي‌كند كه در حوالي سال 1000 ق م آريائيها ودا را به صورت مكتوب درآورده‌اند؛ زيرا آنها در اين زمان داراي رسم‌الخط و روش كتابت بودند. شواهد فراواني براي اثبات اين امر در دست داريم؛ از جمله آنكه، در بخشهاي اخير ودا و در رسائل براهمانا، برخي گفته‌ها حكايت از آن دارد كه روش كتابت در آن زمان مرسوم بوده است. در مجموعه</w:t>
      </w:r>
      <w:r w:rsidRPr="00406624">
        <w:rPr>
          <w:rFonts w:cs="B Zar" w:hint="cs"/>
          <w:i/>
          <w:iCs/>
          <w:rtl/>
        </w:rPr>
        <w:t xml:space="preserve"> گوپاتا برهمانا</w:t>
      </w:r>
      <w:r w:rsidRPr="00406624">
        <w:rPr>
          <w:rFonts w:cs="B Zar" w:hint="cs"/>
          <w:rtl/>
        </w:rPr>
        <w:t xml:space="preserve"> كه تفسيري از احكام سام ودا است، يك مبحث به الفبا و حروف اختصاص دارد و در </w:t>
      </w:r>
      <w:r w:rsidRPr="00406624">
        <w:rPr>
          <w:rFonts w:cs="B Zar" w:hint="cs"/>
          <w:i/>
          <w:iCs/>
          <w:rtl/>
        </w:rPr>
        <w:t>تانديه برهمانا</w:t>
      </w:r>
      <w:r w:rsidRPr="00406624">
        <w:rPr>
          <w:rFonts w:cs="B Zar" w:hint="cs"/>
          <w:rtl/>
        </w:rPr>
        <w:t xml:space="preserve"> نيز به الفبا اشاره شده است؛ در تيتاريا اوپانيشاد در بخش «سك شوالي» به حروف (ورن) و حروف با صدا (سور) اشاره شده است. در چندوگيا اوپانيشاد گفته شده است كه ريشي </w:t>
      </w:r>
      <w:r w:rsidRPr="00406624">
        <w:rPr>
          <w:rFonts w:cs="B Zar" w:hint="cs"/>
          <w:i/>
          <w:iCs/>
          <w:rtl/>
        </w:rPr>
        <w:t>چندر چهار</w:t>
      </w:r>
      <w:r w:rsidRPr="00406624">
        <w:rPr>
          <w:rFonts w:cs="B Zar" w:hint="cs"/>
          <w:rtl/>
        </w:rPr>
        <w:t xml:space="preserve"> حروف س، ش،</w:t>
      </w:r>
      <w:r w:rsidR="001817C5">
        <w:rPr>
          <w:rFonts w:cs="B Zar" w:hint="cs"/>
          <w:rtl/>
        </w:rPr>
        <w:t xml:space="preserve"> </w:t>
      </w:r>
      <w:r w:rsidRPr="00406624">
        <w:rPr>
          <w:rFonts w:cs="B Zar" w:hint="cs"/>
          <w:rtl/>
        </w:rPr>
        <w:t>ص، و هـ را و ديگري بيست و نه حرف از ك  تا واو را اختراع كرد. در راماين</w:t>
      </w:r>
      <w:r>
        <w:rPr>
          <w:rStyle w:val="FootnoteReference"/>
          <w:rFonts w:cs="B Zar"/>
          <w:rtl/>
        </w:rPr>
        <w:footnoteReference w:id="183"/>
      </w:r>
      <w:r w:rsidRPr="00406624">
        <w:rPr>
          <w:rFonts w:cs="B Zar" w:hint="cs"/>
          <w:rtl/>
        </w:rPr>
        <w:t>، والميكي مي‌گويد: «همزمان، يار و ياور ميمون گونه رام، به سيتا، همسر رام، انگشتري نشان داد كه در آن اسم «رام» نوشته شده بود.»</w:t>
      </w:r>
    </w:p>
    <w:p w:rsidR="0011420A" w:rsidRPr="00406624" w:rsidP="003C0EF5">
      <w:pPr>
        <w:widowControl w:val="0"/>
        <w:spacing w:line="420" w:lineRule="exact"/>
        <w:ind w:left="0" w:right="0"/>
        <w:jc w:val="both"/>
        <w:rPr>
          <w:rFonts w:cs="B Zar" w:hint="cs"/>
          <w:rtl/>
        </w:rPr>
      </w:pPr>
      <w:r w:rsidRPr="00406624">
        <w:rPr>
          <w:rFonts w:cs="B Zar" w:hint="cs"/>
          <w:i/>
          <w:iCs/>
          <w:rtl/>
        </w:rPr>
        <w:t>ياسكا (ياسكا اچاريا)</w:t>
      </w:r>
      <w:r w:rsidRPr="00406624">
        <w:rPr>
          <w:rFonts w:cs="B Zar" w:hint="cs"/>
          <w:rtl/>
        </w:rPr>
        <w:t xml:space="preserve"> ،نويسنده و عالم بزرگ مفردات ودا، كه در قرن نهم قبل از ميلاد مي‌زيسته است، در كتاب </w:t>
      </w:r>
      <w:r w:rsidRPr="00406624">
        <w:rPr>
          <w:rFonts w:cs="B Zar" w:hint="cs"/>
          <w:i/>
          <w:iCs/>
          <w:rtl/>
        </w:rPr>
        <w:t>نيراكتا</w:t>
      </w:r>
      <w:r w:rsidRPr="00406624">
        <w:rPr>
          <w:rFonts w:cs="B Zar" w:hint="cs"/>
          <w:rtl/>
        </w:rPr>
        <w:t xml:space="preserve"> به الفباي نگارشي اشاره دارد و نيز دقيقاً كلمات و بلكه حروف ودا را نيز شمارش كرده است. او مي‌گويد: «ريگ‌ودا داراي 153826 كلمه و 432000 حرف است.» اين امر نشان مي‌دهد كه در آن دوره، ريگ ودا به شكل مكتوب در دست مردم بوده است. تا دوره پانيني </w:t>
      </w:r>
      <w:r w:rsidRPr="00406624">
        <w:rPr>
          <w:rFonts w:cs="B Zar"/>
        </w:rPr>
        <w:t>(Panini)</w:t>
      </w:r>
      <w:r w:rsidRPr="00406624">
        <w:rPr>
          <w:rFonts w:cs="B Zar" w:hint="cs"/>
          <w:rtl/>
        </w:rPr>
        <w:t>، زبان‌شناس بزرگ، رسم الخط سانسكريت به طور كامل تثبيت شده بود. در رساله او كلمه لپي (رسم‌الخط) ديده مي‌شود. او به چهارده اصل نحوي ماهيش، زبان شناس قديمتر اشاره كرده، و الفبا را در دسته‌هاي مختلف تقسيم كرده است. پانيني چهاربار در رساله خود تعبير گيرانتها (كتاب مكتوب) را به كار برده است. جالب آنستكه او در رساله خود كلمه «ياوناني» (يوناني) را به كار برده كه نشان مي‌دهد هندوان در آنزمان حتي نسبت به رسم‌الخط زبانهاي بيگانه نيز اطلاعاتي داشته‌اند</w:t>
      </w:r>
      <w:r>
        <w:rPr>
          <w:rStyle w:val="FootnoteReference"/>
          <w:rFonts w:cs="B Zar"/>
          <w:rtl/>
        </w:rPr>
        <w:footnoteReference w:id="184"/>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اين شواهد به طور قطع ثابت مي‌كند كه تا سال 1000 ق م آريائي‌هاي هند رسم‌الخط خاصي را ايجاد كرده بودند كه آنرا «برهمالپي» مي‌ناميده‌اند، از اين جهت تدوين ودا در يك كتاب، نمي‌تواند متأخرتر از اين دوره باشد.</w:t>
      </w:r>
    </w:p>
    <w:p w:rsidR="0011420A" w:rsidRPr="00406624" w:rsidP="003C0EF5">
      <w:pPr>
        <w:widowControl w:val="0"/>
        <w:spacing w:line="420" w:lineRule="exact"/>
        <w:ind w:left="0" w:right="0"/>
        <w:jc w:val="both"/>
        <w:rPr>
          <w:rFonts w:cs="B Zar" w:hint="cs"/>
          <w:rtl/>
        </w:rPr>
      </w:pPr>
      <w:r w:rsidRPr="00406624">
        <w:rPr>
          <w:rFonts w:cs="B Zar" w:hint="cs"/>
          <w:rtl/>
        </w:rPr>
        <w:t>دكتر رادا كريشنان اين احتمال را مي‌پذيرد كه يكي از عوامل آنكه برهمانان يا روحانيون و علماي آريائي در صدد اختراع رسم‌الخطي برآمدند، علاقه آنان براي حفظ معارف ودا به صورت مكتوب باشد. او خاطر نشان مي‌سازد كه پس از استقرار در هند و پايان دوره درگيري و منازعه با بوميان، طبيعي است كه جريان تبادل فرهنگي ميان طبقه حاكم آريائي و اكثريت بومي دراويدي آغاز شده باشد. با توجه با اينكه دراويديها داراي فرهنگ و تمدن مستقلي بودند، ممكن است برخي از مردان انديشمند آريائي اين دلهره را پيدا كرده باشند كه مبادا دين و آئين اصيل آريائي در نتيجه اختلاط فرهنگي، اصالت خود را از دست بدهد. شايد همين انگيزه موجب آن شده باشد كه آريائيان معارف ديني خود را به صورت وداهاي چهارگانه تدوين كنند</w:t>
      </w:r>
      <w:r>
        <w:rPr>
          <w:rStyle w:val="FootnoteReference"/>
          <w:rFonts w:cs="B Zar"/>
          <w:rtl/>
        </w:rPr>
        <w:footnoteReference w:id="185"/>
      </w:r>
      <w:r w:rsidRPr="00406624">
        <w:rPr>
          <w:rFonts w:cs="B Zar" w:hint="cs"/>
          <w:rtl/>
        </w:rPr>
        <w:t>.</w:t>
      </w:r>
    </w:p>
    <w:p w:rsidR="0011420A" w:rsidP="003C0EF5">
      <w:pPr>
        <w:widowControl w:val="0"/>
        <w:spacing w:line="420" w:lineRule="exact"/>
        <w:ind w:left="0" w:right="0"/>
        <w:jc w:val="both"/>
        <w:rPr>
          <w:rFonts w:cs="B Zar" w:hint="cs"/>
          <w:rtl/>
        </w:rPr>
      </w:pPr>
      <w:r w:rsidRPr="00406624">
        <w:rPr>
          <w:rFonts w:cs="B Zar" w:hint="cs"/>
          <w:rtl/>
        </w:rPr>
        <w:t xml:space="preserve">اما همچنان كه جريان تأليف سرودهاي ودا بيش از هزار سال طول كشيده، روندِ تدوينِ اين سرودها به صورت كتاب و مجموعه‌هاي مكتوب نيز، چندين بار و در طي چند قرن صورت گرفته است. سياح معروف چيني، </w:t>
      </w:r>
      <w:r w:rsidRPr="00406624">
        <w:rPr>
          <w:rFonts w:cs="B Zar" w:hint="cs"/>
          <w:i/>
          <w:iCs/>
          <w:rtl/>
        </w:rPr>
        <w:t>ايت چينگ</w:t>
      </w:r>
      <w:r w:rsidRPr="00406624">
        <w:rPr>
          <w:rFonts w:cs="B Zar"/>
        </w:rPr>
        <w:t>(It-Ching)</w:t>
      </w:r>
      <w:r w:rsidRPr="00406624">
        <w:rPr>
          <w:rFonts w:cs="B Zar" w:hint="cs"/>
          <w:rtl/>
        </w:rPr>
        <w:t xml:space="preserve">، كه در حوالي سال 680 م از هند ديدن كرد، نوشته است كه در آغاز، ريگ ودا مشتمل بر بيش از صد هزار سرود بوده است. </w:t>
      </w:r>
      <w:r w:rsidRPr="00406624">
        <w:rPr>
          <w:rFonts w:cs="B Zar" w:hint="cs"/>
          <w:i/>
          <w:iCs/>
          <w:rtl/>
        </w:rPr>
        <w:t>ويالس</w:t>
      </w:r>
      <w:r w:rsidRPr="00406624">
        <w:rPr>
          <w:rFonts w:cs="B Zar" w:hint="cs"/>
          <w:rtl/>
        </w:rPr>
        <w:t xml:space="preserve"> در كتاب </w:t>
      </w:r>
      <w:r w:rsidRPr="00406624">
        <w:rPr>
          <w:rFonts w:cs="B Zar" w:hint="cs"/>
          <w:i/>
          <w:iCs/>
          <w:rtl/>
        </w:rPr>
        <w:t>چرن ودا</w:t>
      </w:r>
      <w:r w:rsidRPr="00406624">
        <w:rPr>
          <w:rFonts w:cs="B Zar" w:hint="cs"/>
          <w:rtl/>
        </w:rPr>
        <w:t xml:space="preserve"> نوشته است كه ودا داراي ده هزار و پانصد و هشتاد سرود بوده، در حاليكه ريگ وداي فعلي، تنها داراي يك هزار و هفده سرود و يا كمي بيش از آن (به اضافه ملحقات) مي‌باشد</w:t>
      </w:r>
      <w:r>
        <w:rPr>
          <w:rStyle w:val="FootnoteReference"/>
          <w:rFonts w:cs="B Zar"/>
          <w:rtl/>
        </w:rPr>
        <w:footnoteReference w:id="186"/>
      </w:r>
      <w:r w:rsidRPr="00406624">
        <w:rPr>
          <w:rFonts w:cs="B Zar" w:hint="cs"/>
          <w:rtl/>
        </w:rPr>
        <w:t>. اين امر نشان مي‌دهد كه ودا، دست كم سه بار مورد ويرايش و انتخاب و تدوين جديد قرار گرفته است. زماني چندين نسخه مختلف از ريگ ودا نزد مردم بوده و به تدريج در غبار تاريخ محو شده‌اند؛ تا اينكه نسخه نهائي كه مورد استفاده روحانيون در مراسم مذهبي بوده رسميت و اعتبار و مقبوليت همگاني يافته است.</w:t>
      </w:r>
    </w:p>
    <w:p w:rsidR="00971E73" w:rsidRPr="00406624" w:rsidP="003C0EF5">
      <w:pPr>
        <w:widowControl w:val="0"/>
        <w:spacing w:line="420" w:lineRule="exact"/>
        <w:ind w:left="0" w:right="0"/>
        <w:jc w:val="both"/>
        <w:rPr>
          <w:rFonts w:cs="B Zar" w:hint="cs"/>
          <w:rtl/>
        </w:rPr>
      </w:pPr>
    </w:p>
    <w:p w:rsidR="0011420A" w:rsidRPr="00406624" w:rsidP="003C0EF5">
      <w:pPr>
        <w:pStyle w:val="BodyTextIndent2"/>
        <w:widowControl w:val="0"/>
        <w:spacing w:line="420" w:lineRule="exact"/>
        <w:ind w:left="0" w:right="0" w:firstLine="119"/>
        <w:jc w:val="left"/>
        <w:rPr>
          <w:rFonts w:cs="B Zar" w:hint="cs"/>
          <w:b/>
          <w:bCs/>
          <w:rtl/>
        </w:rPr>
      </w:pPr>
      <w:r w:rsidRPr="00406624">
        <w:rPr>
          <w:rFonts w:cs="B Zar" w:hint="cs"/>
          <w:b/>
          <w:bCs/>
          <w:rtl/>
        </w:rPr>
        <w:t>تفاسير ودا و ماهيت دين آرياها</w:t>
      </w:r>
    </w:p>
    <w:p w:rsidR="0011420A" w:rsidRPr="00406624" w:rsidP="003C0EF5">
      <w:pPr>
        <w:widowControl w:val="0"/>
        <w:spacing w:line="420" w:lineRule="exact"/>
        <w:ind w:left="0" w:right="0"/>
        <w:jc w:val="both"/>
        <w:rPr>
          <w:rFonts w:cs="B Zar" w:hint="cs"/>
          <w:rtl/>
        </w:rPr>
      </w:pPr>
      <w:r w:rsidRPr="00406624">
        <w:rPr>
          <w:rFonts w:cs="B Zar" w:hint="cs"/>
          <w:rtl/>
        </w:rPr>
        <w:t>انسان از آغاز تاريخ، بر آن بوده است كه نمودهاي هستي پيرامونِ خود را بشناسد و معماهاي هستي و آفرينش را حل كند. او به طور غريزي احساس كرده است كه ماوراي «نمودها» چيزي به نام «بود» وجود دارد و در فراسوي عالم مشاهدات، جهان غيب قرار گرفته است، ولي اين «غيب» چگونه است؟ از چه سنخ است و چه رابطه‌اي با جهان مشاهدات دارد؟ آيا در عالم غيب ذوات قدسي وجود دارند؟ اين ذوات با موجودات عالم چه رابطه‌اي دارند؟ ما از كجا آمده‌ايم؟ و پس از مرگ به كجا مي‌رويم؟ آيا جهان هميشه وجود داشته يا آفريده شده است؟ چگونه آفريده شد و چه كسي آنرا آفريد؟ زلزله چرا اتفاق مي‌افتد و باران چرا مي‌بارد؟ برق و صاعقه چيست؟ نور از كجا آمده؟ رويا چه معمائي است و ما كه بر بستر خواب هستيم، چگونه به سير آفاق مي‌پردازيم؟ چگونه است كه ما به چيزهايي برخورد مي‌كنيم و حتي با آنان به گفتگو مي پردازيم كه دهها سال پيش مرده‌اند و استخوان‌هاي همه آنان پوسيده است.</w:t>
      </w:r>
    </w:p>
    <w:p w:rsidR="0011420A" w:rsidRPr="00406624" w:rsidP="003C0EF5">
      <w:pPr>
        <w:widowControl w:val="0"/>
        <w:spacing w:line="420" w:lineRule="exact"/>
        <w:ind w:left="0" w:right="0"/>
        <w:jc w:val="both"/>
        <w:rPr>
          <w:rFonts w:cs="B Zar" w:hint="cs"/>
          <w:rtl/>
        </w:rPr>
      </w:pPr>
      <w:r w:rsidRPr="00406624">
        <w:rPr>
          <w:rFonts w:cs="B Zar" w:hint="cs"/>
          <w:rtl/>
        </w:rPr>
        <w:t>انسان ابتدائي با صدها پرسش‌ از اين سنخ روبرو بوده است. چنانكه استاد مطهري خاطر نشان ساخته، هر اجتماع و هر فرد، خواه نا خواه، مجبور است، براي اينگونه پرسش‌ها پاسخي داشته باشد و بر پايه پاسخ خود، داراي نوعي اعتقاد و بينش درباره هستي و نوعي تفسير از جهان و نوعي برداشت نسبت به آفريده جهان باشد. هر جامعه‌اي بر مبناي همين برداشت و نگرش كلي، خداشناسي، جهان بيني و فلسفه تاريخ و «بايد» ها و «نبايد»هاي خود را تعيين و مناسك عبادي خاصي را براي نيل به نجات تجويز مي نمايد.</w:t>
      </w:r>
      <w:r>
        <w:rPr>
          <w:rStyle w:val="FootnoteReference"/>
          <w:rFonts w:cs="B Zar"/>
          <w:rtl/>
        </w:rPr>
        <w:footnoteReference w:id="187"/>
      </w:r>
    </w:p>
    <w:p w:rsidR="0011420A" w:rsidRPr="00406624" w:rsidP="003C0EF5">
      <w:pPr>
        <w:widowControl w:val="0"/>
        <w:spacing w:line="420" w:lineRule="exact"/>
        <w:ind w:left="0" w:right="0"/>
        <w:jc w:val="both"/>
        <w:rPr>
          <w:rFonts w:cs="B Zar" w:hint="cs"/>
          <w:rtl/>
        </w:rPr>
      </w:pPr>
      <w:r w:rsidRPr="00406624">
        <w:rPr>
          <w:rFonts w:cs="B Zar" w:hint="cs"/>
          <w:rtl/>
        </w:rPr>
        <w:t>مجموعِ نگرش و بينش كلي راجع به خدا، جهان، انسان، دنيا و آخرت، به همراه روشهاي عبادي و سير و سلوك، نظام ارزشي و نظامات فردي و اجتماعي «دين» و «ايدوئولوژي» ناميده مي‌‌شود. هيچ جامعه‌اي در هيچ دوره‌اي از تاريخ نبوده است كه نوعي «دين» يا «ايدئولوژي» نداشته باشد؛ چرا كه هيچ انساني يا گروهي نمي‌تواند نوعي پاسخ نسبت به پرسشهاي ياد شده نداشته باشد. از اين رو در مورد هيچ فردي يا قومي نبايد اين سوال را مطرح كرد كه آيا «دين» دارد يا نه؛ بلكه بايد پرسش اين باشد كه چگونه ديني دارد و برداشت او از ماهيت خدا، جهان و انسان چيست. براي تعيين ماهيت دين هر اجتماع، لازم است نخست بدانيم كه آيا او حقايق را تنها به عالم مشاهدات نسبت مي‌دهد يا معتقد به عالم غيب نيز هست؟ تصور او راجع به «غيب» چيست و چه تصوري از خدا دارد؟ آيا معتقد به وحدت خداست يا كثرت خدايان؟ هستي را آفريده خدا مي‌داند يا جهان را جزئي از حقيقت نهائي و تجلي آن محسوب مي‌كند؟ چه رابطه‌اي ميان انسان و خدا از يكسو و انسان و جهان از سوي ديگر برقرار مي‌نمايد؟ كاركرد دين را نجات اخروي مي‌داند يا بهبود شرايط زندگي دنيوي؟ چه تصوري از زندگي پس از مرگ دارد و بالاخره خلقت جهان را چگونه توجيه مي‌نمايد؟</w:t>
      </w:r>
    </w:p>
    <w:p w:rsidR="0011420A" w:rsidP="003C0EF5">
      <w:pPr>
        <w:widowControl w:val="0"/>
        <w:spacing w:line="420" w:lineRule="exact"/>
        <w:ind w:left="0" w:right="0"/>
        <w:jc w:val="both"/>
        <w:rPr>
          <w:rFonts w:cs="B Zar" w:hint="cs"/>
          <w:rtl/>
        </w:rPr>
      </w:pPr>
      <w:r w:rsidRPr="00406624">
        <w:rPr>
          <w:rFonts w:cs="B Zar" w:hint="cs"/>
          <w:rtl/>
        </w:rPr>
        <w:t>اگر بخواهيم ماهيت دين آريائيان عصر ودا را دريابيم، بايد ببينيم وداهاي چهارگانه به پرسش‌هاي فوق چه پاسخي مي‌دهد. آيا نگرش ديني ودا توتميستي است يا انيميستي يا طبيعت‌پرستانه؛ شرك آميز است يا توحيدي يا وحدت‌الوجودي؛ كاركرد عبادات از نظر ودا آيا نيل به كمال روحي و نجات اخروي است يا نيل به اهداف مادي و بهروزي اين جهاني. متاسفانه ارائه پاسخ‌هاي صريح و قطعي بدينگونه پرسش‌ها كار دشواري است؛ چرا كه وداها مشتمل بر سرودهايي است كه طي قرون متمادي به وسيله دهها بلكه صدها تن از شعراي عارف و براهمانان (روحانيون) ساخته شده است. در نتيجه، داراي جريانات مختلف و گاه متضاد فكري ـ اعتقادي است. همين امر موجب گرديده تا صاحب نظران و مفسران ودا، نظريه‌هاي گوناگوني را در اين زمينه عنوان كنند. در اينجا ما برخي از معروف‌ترين نظريه‌ها را پيرامون ماهيت دين ودايي مورد بررسي و سنجش قرار مي‌دهيم.</w:t>
      </w:r>
    </w:p>
    <w:p w:rsidR="00971E73" w:rsidRPr="00406624" w:rsidP="003C0EF5">
      <w:pPr>
        <w:widowControl w:val="0"/>
        <w:spacing w:line="420" w:lineRule="exact"/>
        <w:ind w:left="0" w:right="0"/>
        <w:jc w:val="both"/>
        <w:rPr>
          <w:rFonts w:cs="B Zar" w:hint="cs"/>
          <w:rtl/>
        </w:rPr>
      </w:pPr>
    </w:p>
    <w:p w:rsidR="0011420A" w:rsidRPr="00406624" w:rsidP="003C0EF5">
      <w:pPr>
        <w:pStyle w:val="Heading6"/>
        <w:keepNext w:val="0"/>
        <w:widowControl w:val="0"/>
        <w:spacing w:line="420" w:lineRule="exact"/>
        <w:ind w:left="0" w:right="0"/>
        <w:jc w:val="center"/>
        <w:rPr>
          <w:rFonts w:cs="B Zar" w:hint="cs"/>
          <w:rtl/>
        </w:rPr>
      </w:pPr>
      <w:r w:rsidRPr="00406624">
        <w:rPr>
          <w:rFonts w:cs="B Zar" w:hint="cs"/>
          <w:rtl/>
        </w:rPr>
        <w:t>تفسير روائي و داستاني: روش سايانا و پورانا  دين ودا مبتني بر شرك</w:t>
      </w:r>
    </w:p>
    <w:p w:rsidR="0011420A" w:rsidRPr="00406624" w:rsidP="003C0EF5">
      <w:pPr>
        <w:widowControl w:val="0"/>
        <w:spacing w:line="420" w:lineRule="exact"/>
        <w:ind w:left="0" w:right="0"/>
        <w:jc w:val="both"/>
        <w:rPr>
          <w:rFonts w:cs="B Zar" w:hint="cs"/>
          <w:rtl/>
        </w:rPr>
      </w:pPr>
      <w:r w:rsidRPr="00406624">
        <w:rPr>
          <w:rFonts w:cs="B Zar" w:hint="cs"/>
          <w:rtl/>
        </w:rPr>
        <w:t xml:space="preserve">نخستين تلاش براي تفسير و تاويلِ نگرش ديني ودا به وسيله نويسندگان رسائل «برهمانا»‌ها و تدوين كنندگان مجموعه سنن پورانا و سرايندگان حماسه‌هاي رامايان و مهابهارات صورت گرفت. اين شيوه از تفسير ودا را ما مي‌توانيم «تفسير روائي» يا «داستاني» بناميم و اگر اين تفسير را به طور دربست بپذيريم، در آن صورت بايد اذعان كنيم كه دين ودا مبتني بر شرك محض است. اين شيوه تفسير را مي‌توانيم «تفسير سنتي» ودا تلقي كنيم؛ چرا كه علما و روحانيون بعدي هندو در قرون وسطي براي روايات و اخبار، ارج فراوان نهاده و در نتيجه تفسير پورانا را از ودا پذيرفته‌اند. از جمله سايانا كه معروفترين تفسير ودا را نگاشته، به اين روش گرايش داشته است. سايانا در قرن چهاردهم ميلادي مي‌زيسته و در سال 1378 ميلادي درگذشته است. گفته مي‌شود او نخست وزير مهاراجه وجي‌نگر بوده است. بيش از صد كتاب به او منسوب است و تقريباً بر تمام بخش‌هاي ودا حواشي و تفسير دارد، در اين كار برخي از شاگردان او و برادرش به نام </w:t>
      </w:r>
      <w:r w:rsidRPr="00406624">
        <w:rPr>
          <w:rFonts w:cs="B Zar" w:hint="cs"/>
          <w:iCs/>
          <w:rtl/>
        </w:rPr>
        <w:t>مادهو اچاريه</w:t>
      </w:r>
      <w:r w:rsidRPr="00406624">
        <w:rPr>
          <w:rFonts w:cs="B Zar" w:hint="cs"/>
          <w:rtl/>
        </w:rPr>
        <w:t xml:space="preserve"> به او كمك كرده‌اند.</w:t>
      </w:r>
    </w:p>
    <w:p w:rsidR="0011420A" w:rsidRPr="00406624" w:rsidP="003C0EF5">
      <w:pPr>
        <w:widowControl w:val="0"/>
        <w:spacing w:line="420" w:lineRule="exact"/>
        <w:ind w:left="0" w:right="0"/>
        <w:jc w:val="both"/>
        <w:rPr>
          <w:rFonts w:cs="B Zar" w:hint="cs"/>
          <w:rtl/>
        </w:rPr>
      </w:pPr>
      <w:r w:rsidRPr="00406624">
        <w:rPr>
          <w:rFonts w:cs="B Zar" w:hint="cs"/>
          <w:rtl/>
        </w:rPr>
        <w:t>عالم بزرگ ديگر «ياساكا» است كه در قديم به ريشه‌يابي مفردات ودا پرداخت و نوعي علم فقه اللغه كه</w:t>
      </w:r>
      <w:r w:rsidRPr="00406624">
        <w:rPr>
          <w:rFonts w:cs="B Zar" w:hint="cs"/>
          <w:i/>
          <w:iCs/>
          <w:rtl/>
        </w:rPr>
        <w:t xml:space="preserve"> نروكت</w:t>
      </w:r>
      <w:r w:rsidRPr="00406624">
        <w:rPr>
          <w:rFonts w:cs="B Zar" w:hint="cs"/>
          <w:rtl/>
        </w:rPr>
        <w:t xml:space="preserve"> ناميده مي‌شود، بوجود آورد. وي نيز در مورادي كه در صدد شرح كلمات برآمده به روش قصص و «تفسير روائي» متوسل شده است. در حال حاضر نيز علماي سنتي و نيز مردم عوام، ودا را در مقوله تفسير سنتي پورانا شرح مي‌كنند.</w:t>
      </w:r>
    </w:p>
    <w:p w:rsidR="0011420A" w:rsidRPr="00406624" w:rsidP="003C0EF5">
      <w:pPr>
        <w:widowControl w:val="0"/>
        <w:spacing w:line="420" w:lineRule="exact"/>
        <w:ind w:left="0" w:right="0"/>
        <w:jc w:val="both"/>
        <w:rPr>
          <w:rFonts w:cs="B Zar" w:hint="cs"/>
          <w:rtl/>
        </w:rPr>
      </w:pPr>
      <w:r w:rsidRPr="00406624">
        <w:rPr>
          <w:rFonts w:cs="B Zar" w:hint="cs"/>
          <w:rtl/>
        </w:rPr>
        <w:t>«روش روائي» يا «داستاني» عبارتست از اينكه: براي شرح هر كلمه و بيت متن مقدس، روايت يا قصه‌اي نقل شود. كلمات عموماً به عنوان اسامي افراد (قهرمانان تاريخي ـ اسطوره‌اي و يا خدايان عالم ملكوت) تلقي مي‌شوند و چنان پنداشته مي‌شود كه هر بيتي به يكي از رخدادهاي تاريخ انسان يا تاريخ خدايان اشاره دارد. اگر در متن مقدس اشاره مختصري به جنبه تشبيه (در مقابل تنزيه) داشته باشد، هيچ تلاشي براي تفسير آن عبارت به عنوان كنايه و تمثيل نمي‌‌شود، بلكه داستان مفصلي در شرح آن ساخته و نقل مي‌گردد. اين روش در تفسير متون تنها به نقل روايات و قصص بسنده مي‌كند و به انديشه عقلاني اعتنا ندارد، معتقد است در شرح مطالب متون مقدس، بايد بر «نقل» اتكاء كرد و به «عقل» مجال دخالت نداد. وقتي «نص» ظاهرش تنزيه ذات خدا نيست، بلكه تشبيه (انسان انگاري خدا) است، از معناي تحت اللفظي نبايد عدول كرد. در نتيجه اين روش به ظاهر گرايش دارد. نصوص را به معناي ظاهري حمل مي‌كند؛ چون معتقد به تاويل نيست و به عقل وقعي نمي‌نهد، معناي باطني و عرفاني را در نظر نمي‌گيرد و در عين حال در ورطه بدترين نوع «تاويل» مي‌افتد؛ چرا كه براي شرح معاني مبهم و اشارات متون به نقل اساطير و داستان‌هائي مي‌پردازد، كه خارج از متن، و با كمك تخيل ساخته شده يا از منابع بيروني به دست آمده است.</w:t>
      </w:r>
    </w:p>
    <w:p w:rsidR="0011420A" w:rsidRPr="00406624" w:rsidP="003C0EF5">
      <w:pPr>
        <w:widowControl w:val="0"/>
        <w:spacing w:line="420" w:lineRule="exact"/>
        <w:ind w:left="0" w:right="0"/>
        <w:jc w:val="both"/>
        <w:rPr>
          <w:rFonts w:cs="B Zar" w:hint="cs"/>
          <w:rtl/>
        </w:rPr>
      </w:pPr>
      <w:r w:rsidRPr="00406624">
        <w:rPr>
          <w:rFonts w:cs="B Zar" w:hint="cs"/>
          <w:rtl/>
        </w:rPr>
        <w:t>براي توضيح هر بيت ريگ ودا، در مجموعه روايات «پورانا»، يك داستان مفصل نقل شده است. مثلاً، براي شرح اشارات به معبودي به نام ويشنو در بخش اخير ريگ ودا اين روش ديده مي شود. در «نارا كانديا پورانا» داستان‌هاي مفصلي راجع به خداي ويشنو و شرح احوال و حماسه‌هاي او، كُشتي‌هاي او با ساير خدايان و ساير دستاوردهايش به تفصيل تمام بيان گرديده است و براي او يك شجره نسب كامل ارائه شده و نام برادران و خواهران و فرزندانش را آورده‌اند.</w:t>
      </w:r>
    </w:p>
    <w:p w:rsidR="0011420A" w:rsidRPr="00406624" w:rsidP="003C0EF5">
      <w:pPr>
        <w:widowControl w:val="0"/>
        <w:spacing w:line="420" w:lineRule="exact"/>
        <w:ind w:left="0" w:right="0"/>
        <w:jc w:val="both"/>
        <w:rPr>
          <w:rFonts w:cs="B Zar" w:hint="cs"/>
          <w:rtl/>
        </w:rPr>
      </w:pPr>
      <w:r w:rsidRPr="00406624">
        <w:rPr>
          <w:rFonts w:cs="B Zar" w:hint="cs"/>
          <w:rtl/>
        </w:rPr>
        <w:t>در شرح «تعبير سه گام بزرگ وشنو»، والميكي در رامايان و وياس و ساير حماسه سرايان در مهابهارات، داستان‌هاي مفصلي ساخته و يا نقل كرده‌اند كه چگونه وشنو سه گام بزرگ برداشت و در هر گام يكي از پهلوان‌هاي بزرگ را مقهور ساخت (در حاليكه مفسران متأخر نظير سري اربيندو و دياناند سارسواتي «سه گام بزرگ» را استعاره‌اي از سيطره كامل ويشنو بر سه قلمرو آسمان، فضا و زمين تلقي مي‌كنند). همچنين براي شرح سرود بيست و چهارم كتاب اول ريگ ودا كه به «شوناه شباه» اختصاص دارد، در رسالة «ايتاريا برهمانا» داستان مفصلي نقل كرده‌اند</w:t>
      </w:r>
      <w:r>
        <w:rPr>
          <w:rStyle w:val="FootnoteReference"/>
          <w:rFonts w:cs="B Zar"/>
          <w:rtl/>
        </w:rPr>
        <w:footnoteReference w:id="188"/>
      </w:r>
      <w:r w:rsidRPr="00406624">
        <w:rPr>
          <w:rFonts w:cs="B Zar" w:hint="cs"/>
          <w:rtl/>
        </w:rPr>
        <w:t>، در حاليكه متأخرين اين را يك استعاره تصور مي‌كنند. بر مبناي يك اشاره مختصر در ودا، راجع به «تولد مانو»، در پورانا و مهابهارات داستان مفصّلي آمده كه چگونه معبودان با هم ازدواج كردند و معبود مادينه بچه‌دار شد و كيفيت استقرار حمل و وضع حمل چه بود و بچه، به چه نحو به دنيا آمد و چگونه پرورش يافت و جوان شد.</w:t>
      </w:r>
    </w:p>
    <w:p w:rsidR="0011420A" w:rsidRPr="00406624" w:rsidP="003C0EF5">
      <w:pPr>
        <w:widowControl w:val="0"/>
        <w:spacing w:line="420" w:lineRule="exact"/>
        <w:ind w:left="0" w:right="0"/>
        <w:jc w:val="both"/>
        <w:rPr>
          <w:rFonts w:cs="B Zar" w:hint="cs"/>
          <w:rtl/>
        </w:rPr>
      </w:pPr>
      <w:r w:rsidRPr="00406624">
        <w:rPr>
          <w:rFonts w:cs="B Zar" w:hint="cs"/>
          <w:rtl/>
        </w:rPr>
        <w:t>بدينسان، رسائل براهمانا، پورانا، مهابهارات و رامايانا، روش قصه را براي تفسير ودا پذيرفته‌اند. همچنان كه در فرهنگ اسلامي برخي از مفسران نو مسلمان يهودي، اين روش را براي تفسير آيات قرآن كريم پيش گرفته بودند، اما علماي اسلام آن را به عنوان اسرائيليات محكوم كردند. آنان براي شرح يا تفسير هر آيه، داستاني از قصص يهوديان نقل مي‌كردند. تفاوت اين دو آنست كه در اسرائيليات قصص انبيا نقل مي‌شود، ولي در داستان سرائي مهابهارات و رامايانا و پورانا، قصص خدايان مورد توجه قرار گرفته است.</w:t>
      </w:r>
    </w:p>
    <w:p w:rsidR="0011420A" w:rsidRPr="00406624" w:rsidP="003C0EF5">
      <w:pPr>
        <w:widowControl w:val="0"/>
        <w:spacing w:line="420" w:lineRule="exact"/>
        <w:ind w:left="0" w:right="0"/>
        <w:jc w:val="both"/>
        <w:rPr>
          <w:rFonts w:cs="B Zar" w:hint="cs"/>
          <w:rtl/>
        </w:rPr>
      </w:pPr>
      <w:r w:rsidRPr="00406624">
        <w:rPr>
          <w:rFonts w:cs="B Zar" w:hint="cs"/>
          <w:rtl/>
        </w:rPr>
        <w:t>اگر ودا را با اين روش و با عنايت به معاني تحت‌اللفظي و ظاهري مطالعه كنيم و نيز قصص و روايات پورانا، مهابهارات و رامايانا را در شرح نصوص بپذيريم، در آن صورت ترديدي وجود ندارد، كه دين ودا، ديني است شرك آلود كه در آن لااقل سي و سه تن و حداكثر سيصد و سي و سه تن مورد پرستش قرار گرفته‌اند. نگرش‌هاي تفسيري ديگر ، خدايان ودا همچون اينديرا، اگني، ورون و غيره را به عنوان اسماي حسنه خداي واحد، يا مظهر صفات الهي، و يا مظهر فرشتگان يا عناصر «آفاقي» يا «انفسي» تلقي كرده‌اند، ولي مكتب تفسير سنتي پورانا كه سايانا نيز از آن پيروي كرده، همه اينان را ذوات ملكوتي داراي تشخص مستقل تلقي مي كند كه مجموعاً «جرگه‌اي خدائي» را تشكيل مي‌‌دهند.</w:t>
      </w:r>
    </w:p>
    <w:p w:rsidR="0011420A" w:rsidRPr="00406624" w:rsidP="003C0EF5">
      <w:pPr>
        <w:widowControl w:val="0"/>
        <w:spacing w:line="420" w:lineRule="exact"/>
        <w:ind w:left="0" w:right="0"/>
        <w:jc w:val="both"/>
        <w:rPr>
          <w:rFonts w:cs="B Zar" w:hint="cs"/>
          <w:rtl/>
        </w:rPr>
      </w:pPr>
      <w:r w:rsidRPr="00406624">
        <w:rPr>
          <w:rFonts w:cs="B Zar" w:hint="cs"/>
          <w:rtl/>
        </w:rPr>
        <w:t xml:space="preserve">بنابر تفسير سنتي «پورانا و سايانا»، آريائيان عصر ودا، مشرك تمام عيار بوده‌اند. آنان معتقد به شرك ذاتي بودند؛ چرا كه معتقد به وجود دهها، بلكه صدها خدا بوده‌اند و جهان را چند پايه‌اي و چند قطبي مي‌انگاشته‌اند. مثلاً، آسمان در حاكميت خدايان مخصوص است، فضا در حاكميت خدايان ديگر؛ و زمين تحت حاكميت معبودان جداگانه، خداوند ابر و صاعقه جداست؛ رب النوع روز جدا و معبود شب جدا. اينان گاه با هم همكاري مي‌كنند و گاه حتي درگير مي‌شوند؛ زاده مي‌شوند؛ همسر مي‌گيرند و فرزند دارند. </w:t>
      </w:r>
    </w:p>
    <w:p w:rsidR="0011420A" w:rsidRPr="00406624" w:rsidP="003C0EF5">
      <w:pPr>
        <w:widowControl w:val="0"/>
        <w:spacing w:line="420" w:lineRule="exact"/>
        <w:ind w:left="0" w:right="0"/>
        <w:jc w:val="both"/>
        <w:rPr>
          <w:rFonts w:cs="B Zar" w:hint="cs"/>
          <w:rtl/>
        </w:rPr>
      </w:pPr>
      <w:r w:rsidRPr="00406624">
        <w:rPr>
          <w:rFonts w:cs="B Zar" w:hint="cs"/>
          <w:rtl/>
        </w:rPr>
        <w:t>در عين حال آريائي‌ها، با توجه به تفسير پورانا و سايانا معتقد به شرك در خالقيت نيز بوده‌اند. موجودات را خداي واحد نيآفريده، بلكه خدايان مختلف آفريده‌اند. درست نظير معماران و بناهاي مختلف به طور دست‌جمعي تلاش كرده‌اند تا جهان بوجود آيد. همچنين موجودات و پديده‌هاي گوناگون را ممكن است خدايان مختلف آفريده باشند.</w:t>
      </w:r>
    </w:p>
    <w:p w:rsidR="0011420A" w:rsidRPr="00406624" w:rsidP="003C0EF5">
      <w:pPr>
        <w:widowControl w:val="0"/>
        <w:spacing w:line="420" w:lineRule="exact"/>
        <w:ind w:left="0" w:right="0"/>
        <w:jc w:val="both"/>
        <w:rPr>
          <w:rFonts w:cs="B Zar" w:hint="cs"/>
          <w:rtl/>
        </w:rPr>
      </w:pPr>
      <w:r w:rsidRPr="00406624">
        <w:rPr>
          <w:rFonts w:cs="B Zar" w:hint="cs"/>
          <w:rtl/>
        </w:rPr>
        <w:t>آريائيان عصر ودا مرتكب شرك در پرستش نيز شده‌اند. سرودهاي ريگ ودا و سام ودا به خدايان مختلف تعلق دارد كه در مراسم خاصي كه براي تجليل از آن معبود برگزار مي‌شد، قرائت مي‌گرديده است. ياجور ودا و نيز رسائل براهمانا، به صراحت مناسك عبادي را براي هريك از خدايان عمده به طور جداگانه تعيين مي كند. ودا هرگونه پرستش از خورشيد پرستي گرفته تا پرستش چوب و سنگ و فلز، ستاره و ماه و درخت و دريا را تجويز مي‌كند.</w:t>
      </w:r>
    </w:p>
    <w:p w:rsidR="0011420A" w:rsidRPr="00406624" w:rsidP="003C0EF5">
      <w:pPr>
        <w:widowControl w:val="0"/>
        <w:spacing w:line="420" w:lineRule="exact"/>
        <w:ind w:left="0" w:right="0"/>
        <w:jc w:val="both"/>
        <w:rPr>
          <w:rFonts w:cs="B Zar" w:hint="cs"/>
          <w:rtl/>
        </w:rPr>
      </w:pPr>
      <w:r w:rsidRPr="00406624">
        <w:rPr>
          <w:rFonts w:cs="B Zar" w:hint="cs"/>
          <w:rtl/>
        </w:rPr>
        <w:t>بدين ترتيب، بر مبناي تفسير روايي براهمانا، پورانا و مهابهارات دين ودا دين شرك است.</w:t>
      </w:r>
    </w:p>
    <w:p w:rsidR="0011420A" w:rsidRPr="00406624" w:rsidP="003C0EF5">
      <w:pPr>
        <w:pStyle w:val="Heading7"/>
        <w:keepNext w:val="0"/>
        <w:widowControl w:val="0"/>
        <w:spacing w:before="0" w:line="420" w:lineRule="exact"/>
        <w:ind w:left="-63" w:right="0"/>
        <w:jc w:val="left"/>
        <w:rPr>
          <w:rFonts w:cs="B Zar" w:hint="cs"/>
          <w:rtl/>
        </w:rPr>
      </w:pPr>
      <w:r w:rsidRPr="00406624">
        <w:rPr>
          <w:rFonts w:cs="B Zar" w:hint="cs"/>
          <w:rtl/>
        </w:rPr>
        <w:t>تفسير عرفاني روش اوپانيشاد ـ دين ودا: مبتني بر وحدت‌الوجود</w:t>
      </w:r>
    </w:p>
    <w:p w:rsidR="0011420A" w:rsidRPr="00406624" w:rsidP="003C0EF5">
      <w:pPr>
        <w:widowControl w:val="0"/>
        <w:spacing w:line="420" w:lineRule="exact"/>
        <w:ind w:left="0" w:right="0"/>
        <w:jc w:val="both"/>
        <w:rPr>
          <w:rFonts w:cs="B Zar" w:hint="cs"/>
          <w:rtl/>
        </w:rPr>
      </w:pPr>
      <w:r w:rsidRPr="00406624">
        <w:rPr>
          <w:rFonts w:cs="B Zar" w:hint="cs"/>
          <w:rtl/>
        </w:rPr>
        <w:t>در مقابل تفسير تحت اللفظي و روائي «براهمانا، پورانا و مهابهارات»، رسائل اوپانيشاد دين ودا را در مقولات وحدت‌الوجودي تفسير مي‌كند. البته در اوپانيشاد چيزي در مورد دين ودا به طور مستقيم و صريح گفته نشده است، ولي آنچه از اظهارات پراكنده اين متون استفاده مي‌شود، اين است كه حكيماني كه اوپانيشاد را اشراق كرده‌اند، براي ودا مفاهيم عرفاني و وحدت‌الوجودي قائل بوده‌اند.</w:t>
      </w:r>
    </w:p>
    <w:p w:rsidR="0011420A" w:rsidRPr="00406624" w:rsidP="003C0EF5">
      <w:pPr>
        <w:widowControl w:val="0"/>
        <w:spacing w:line="420" w:lineRule="exact"/>
        <w:ind w:left="0" w:right="0"/>
        <w:jc w:val="both"/>
        <w:rPr>
          <w:rFonts w:cs="B Zar" w:hint="cs"/>
          <w:rtl/>
        </w:rPr>
      </w:pPr>
      <w:r w:rsidRPr="00406624">
        <w:rPr>
          <w:rFonts w:cs="B Zar" w:hint="cs"/>
          <w:rtl/>
        </w:rPr>
        <w:t>به عنوان مثال، چاندوگيا اوپانيشاد مي‌گويد:</w:t>
      </w:r>
    </w:p>
    <w:p w:rsidR="0011420A" w:rsidRPr="00406624" w:rsidP="003C0EF5">
      <w:pPr>
        <w:widowControl w:val="0"/>
        <w:spacing w:line="420" w:lineRule="exact"/>
        <w:ind w:left="0" w:right="0"/>
        <w:jc w:val="both"/>
        <w:rPr>
          <w:rFonts w:cs="B Zar" w:hint="cs"/>
          <w:rtl/>
        </w:rPr>
      </w:pPr>
      <w:r w:rsidRPr="00406624">
        <w:rPr>
          <w:rFonts w:cs="B Zar" w:hint="cs"/>
          <w:rtl/>
        </w:rPr>
        <w:t>«ريگ ودا عبارت از كلام الهي، و سام، نفس گرم او، و اُدگِته عبارت از اسم اعظم «اوم» است</w:t>
      </w:r>
      <w:r>
        <w:rPr>
          <w:rStyle w:val="FootnoteReference"/>
          <w:rFonts w:cs="B Zar"/>
          <w:iCs/>
          <w:szCs w:val="24"/>
          <w:rtl/>
        </w:rPr>
        <w:footnoteReference w:id="189"/>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مقصود آن است كه مناسكي كه براي خدايان مختلف برگزار مي‌شود، در واقع همه رخساره‌هاي مختلف كلام و وحي از يك مبدأ فعال است. در آيت ديگري گفته شده است:</w:t>
      </w:r>
    </w:p>
    <w:p w:rsidR="0011420A" w:rsidRPr="00406624" w:rsidP="003C0EF5">
      <w:pPr>
        <w:widowControl w:val="0"/>
        <w:spacing w:line="420" w:lineRule="exact"/>
        <w:ind w:left="0" w:right="0"/>
        <w:jc w:val="both"/>
        <w:rPr>
          <w:rFonts w:cs="B Zar" w:hint="cs"/>
          <w:rtl/>
        </w:rPr>
      </w:pPr>
      <w:r w:rsidRPr="00406624">
        <w:rPr>
          <w:rFonts w:cs="B Zar" w:hint="cs"/>
          <w:rtl/>
        </w:rPr>
        <w:t>«آنچه ريگ است سام است و آنچه سام است اُدگته است» كه مقصود همان است</w:t>
      </w:r>
      <w:r>
        <w:rPr>
          <w:rStyle w:val="FootnoteReference"/>
          <w:rFonts w:cs="B Zar"/>
          <w:iCs/>
          <w:szCs w:val="24"/>
          <w:rtl/>
        </w:rPr>
        <w:footnoteReference w:id="190"/>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در جاي ديگر همين كتاب مي‌خوانيم:</w:t>
      </w:r>
    </w:p>
    <w:p w:rsidR="0011420A" w:rsidRPr="00406624" w:rsidP="003C0EF5">
      <w:pPr>
        <w:widowControl w:val="0"/>
        <w:spacing w:line="420" w:lineRule="exact"/>
        <w:ind w:left="0" w:right="0"/>
        <w:jc w:val="both"/>
        <w:rPr>
          <w:rFonts w:cs="B Zar" w:hint="cs"/>
          <w:rtl/>
        </w:rPr>
      </w:pPr>
      <w:r w:rsidRPr="00406624">
        <w:rPr>
          <w:rFonts w:cs="B Zar" w:hint="cs"/>
          <w:rtl/>
        </w:rPr>
        <w:t>مناسكي كه براي معبودان مختلف (ايندرا، آگني و غيره) برگزار مي‌شود و آنرا روحانيون گوناگون نظير ادهرو، هوتر و غيره انجام مي‌دهند، همه در واقع براي ذات واحدي است كه اسم او «اوم» است</w:t>
      </w:r>
      <w:r>
        <w:rPr>
          <w:rStyle w:val="FootnoteReference"/>
          <w:rFonts w:cs="B Zar"/>
          <w:rtl/>
        </w:rPr>
        <w:footnoteReference w:id="191"/>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در اين عبارت خدايان گوناگون جنبه‌هاي مختلف يا عناوين گوناگون حقيقت‌الوهي واحدي تلقي شده‌اند. در آخر «ايسا اوپانيشاد» و همچنين اگني از خدايان ودا، به عنوان يكي از عناوين ذات واحدي كه با كلمه «اوم» شناخته مي‌شود، معرفي شده است</w:t>
      </w:r>
      <w:r>
        <w:rPr>
          <w:rStyle w:val="FootnoteReference"/>
          <w:rFonts w:cs="B Zar"/>
          <w:rtl/>
        </w:rPr>
        <w:footnoteReference w:id="192"/>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در «كاتها اوپانيشاد»، پوروش كه در ودا به عنوان فرزند خدا يا آدم اول معرفي شده است، تجسمي از خالق به عنوان مخلوق تلقي شده است</w:t>
      </w:r>
      <w:r>
        <w:rPr>
          <w:rStyle w:val="FootnoteReference"/>
          <w:rFonts w:cs="B Zar"/>
          <w:rtl/>
        </w:rPr>
        <w:footnoteReference w:id="193"/>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صريحترين تلاش براي ارائه تفسير وحدت‌الوجودي ودا در «مانداكا اوپانيشاد» ديده مي‌شود. در اينجا به طور صريح گفته شده است كه ودا يك ظاهر دارد و يك «باطن»؛ «ظاهر» آن عبارت از انجام مناسك عبادي و مراسم نيايش معبودان است، ولي در باطن همه معبودان اسامي و عناويني از حقيقت واحدند كه از انسان و جهان جدا نيست. مناسك قرباني نيز علائمي براي سير و سلوك باطني و عرفاني است</w:t>
      </w:r>
      <w:r>
        <w:rPr>
          <w:rStyle w:val="FootnoteReference"/>
          <w:rFonts w:cs="B Zar"/>
          <w:rtl/>
        </w:rPr>
        <w:footnoteReference w:id="194"/>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 xml:space="preserve">در دوره بعدي </w:t>
      </w:r>
      <w:r w:rsidRPr="00406624">
        <w:rPr>
          <w:rFonts w:cs="B Zar" w:hint="cs"/>
          <w:iCs/>
          <w:rtl/>
        </w:rPr>
        <w:t>شانكارا</w:t>
      </w:r>
      <w:r w:rsidRPr="00406624">
        <w:rPr>
          <w:rFonts w:cs="B Zar" w:hint="cs"/>
          <w:rtl/>
        </w:rPr>
        <w:t xml:space="preserve"> فيلسوف بزرگ مكتب ودانتا و شارح و مفسر اوپانيشادها نيز ودا را در همين مقوله‌ها تفسير كرد. پتانجالي بنيانگذار مكتب يوگا نيز در «يوگا سوترها»، ودا را با اين ديد مي‌نگرد؛ در قرون وسطي، عرفائي نظير كبير داس، خدايان مختلف ودا را عناوين و اسماي حسنه خداي واحدي تلقي كردند؛ در قرون نوزدهم و بيستم هواداران جنبش راما كريشنا، به خصوص سوامي وویكاناند و شاگردانش نيز با اين نگرش موافقند. اينان تفسير شرك آلوده و  عاميانه پورانا و مهابهارات و رامايان را رد كرده و اوپانيشاد و گيتا را متون مقدس تلقي كرده‌اند. آنان چون نمي توانستند از نظر مذهبي اصالت ودا را زير سوال ببرند، از اين رو در صدد برآمدند آنرا در مقوله انديشه وحدت الوجودي اوپانيشاد تفسير كنند.</w:t>
      </w:r>
    </w:p>
    <w:p w:rsidR="0011420A" w:rsidRPr="00406624" w:rsidP="003C0EF5">
      <w:pPr>
        <w:widowControl w:val="0"/>
        <w:spacing w:line="420" w:lineRule="exact"/>
        <w:ind w:left="0" w:right="0"/>
        <w:jc w:val="both"/>
        <w:rPr>
          <w:rFonts w:cs="B Zar" w:hint="cs"/>
          <w:rtl/>
        </w:rPr>
      </w:pPr>
      <w:r w:rsidRPr="00406624">
        <w:rPr>
          <w:rFonts w:cs="B Zar" w:hint="cs"/>
          <w:rtl/>
        </w:rPr>
        <w:t>روش عرفاني تفسير ودا مبتني بر عدول از معاني تحت اللفظي و ظاهري نصوص و تطبيق معاني با نگرش اوپانيشاد است. كلمات مخصوص اسامي خدايان و عناوين مناسك قرباني، به عنوان كنايه و تمثيل تلقي مي‌شوند. نصوص به معناي ظاهري حمل نمي‌شوند، بلكه براي آنان مفاهيم باطني در نظر گرفته مي‌شود.</w:t>
      </w:r>
    </w:p>
    <w:p w:rsidR="0011420A" w:rsidRPr="00406624" w:rsidP="003C0EF5">
      <w:pPr>
        <w:widowControl w:val="0"/>
        <w:spacing w:line="420" w:lineRule="exact"/>
        <w:ind w:left="0" w:right="0"/>
        <w:jc w:val="both"/>
        <w:rPr>
          <w:rFonts w:cs="B Zar" w:hint="cs"/>
          <w:rtl/>
        </w:rPr>
      </w:pPr>
      <w:r w:rsidRPr="00406624">
        <w:rPr>
          <w:rFonts w:cs="B Zar" w:hint="cs"/>
          <w:rtl/>
        </w:rPr>
        <w:t>طبق برداشت عرفاني، دين ودا يك دين وحدت‌الوجودي است. ساير خداياني كه در نصوص ودا به آنها اشاره شده است، جنبه‌هاي مختلف يك حقيقت واحدند. اين وحدت حتي انسان و جهان را در بر مي گيرد، خدا يگانه حقيقت واقعي كيهان و «لاموجود الاالله» كلمه شهادتِ اين فلسفه است. مناسك قرباني كه در ودا (به خصوص ياجور ودا) به تفصيل مورد اشاره قرار گرفته است، كنايه‌هائي از سير و سلوك عرفاني محسوب مي‌شود. سرگذشت خدايان و اساطيري كه در وداها مورد اشاره قرار گرفته اند، همه تمثيل و بيان مجازي حقايق روحاني و معنوي ديگري تلقي مي‌شوند</w:t>
      </w:r>
      <w:r>
        <w:rPr>
          <w:rStyle w:val="FootnoteReference"/>
          <w:rFonts w:cs="B Zar"/>
          <w:rtl/>
        </w:rPr>
        <w:footnoteReference w:id="195"/>
      </w:r>
      <w:r w:rsidRPr="00406624">
        <w:rPr>
          <w:rFonts w:cs="B Zar" w:hint="cs"/>
          <w:rtl/>
        </w:rPr>
        <w:t>.</w:t>
      </w:r>
    </w:p>
    <w:p w:rsidR="0011420A" w:rsidRPr="00406624" w:rsidP="003C0EF5">
      <w:pPr>
        <w:pStyle w:val="Heading8"/>
        <w:keepNext w:val="0"/>
        <w:widowControl w:val="0"/>
        <w:spacing w:before="0" w:after="0" w:line="420" w:lineRule="exact"/>
        <w:ind w:left="0" w:right="0"/>
        <w:jc w:val="left"/>
        <w:rPr>
          <w:rFonts w:cs="B Zar" w:hint="cs"/>
          <w:rtl/>
        </w:rPr>
      </w:pPr>
      <w:r w:rsidRPr="00406624">
        <w:rPr>
          <w:rFonts w:cs="B Zar" w:hint="cs"/>
          <w:rtl/>
        </w:rPr>
        <w:t>روش و تفسير هنوتيستي ماكس مولر</w:t>
      </w:r>
    </w:p>
    <w:p w:rsidR="0011420A" w:rsidRPr="00406624" w:rsidP="003C0EF5">
      <w:pPr>
        <w:widowControl w:val="0"/>
        <w:spacing w:line="420" w:lineRule="exact"/>
        <w:ind w:left="0" w:right="0"/>
        <w:jc w:val="both"/>
        <w:rPr>
          <w:rFonts w:cs="B Zar" w:hint="cs"/>
          <w:rtl/>
        </w:rPr>
      </w:pPr>
      <w:r w:rsidRPr="00406624">
        <w:rPr>
          <w:rFonts w:cs="B Zar" w:hint="cs"/>
          <w:rtl/>
        </w:rPr>
        <w:t>بدين ترتيب، اگر شرح داستاني پورانا و مهابهارات و رامايان را بپذيريم، هيچ ترديدي وجود ندارد كه دين هندو و آئين ودا مبتني بر شرك است. براي تبيين مظاهر گوناگون عملكرد طبيعت و جامعه، دهها خدا و شيطان (راكشس) تجويز مي‌گردند. خدايان آسمان و قلمرو فضا و زمين هركدام جداگانه‌اند؛ خداي روز و خداي شب نيز جدايند و به نظر مي‌رسد آريائيان از ديرباز معتقد به تعدد خدايان بوده‌اند.</w:t>
      </w:r>
    </w:p>
    <w:p w:rsidR="0011420A" w:rsidRPr="00406624" w:rsidP="003C0EF5">
      <w:pPr>
        <w:widowControl w:val="0"/>
        <w:spacing w:line="420" w:lineRule="exact"/>
        <w:ind w:left="0" w:right="0"/>
        <w:jc w:val="both"/>
        <w:rPr>
          <w:rFonts w:cs="B Zar" w:hint="cs"/>
          <w:rtl/>
        </w:rPr>
      </w:pPr>
      <w:r w:rsidRPr="00406624">
        <w:rPr>
          <w:rFonts w:cs="B Zar" w:hint="cs"/>
          <w:rtl/>
        </w:rPr>
        <w:t>ولي شرك ودا، شركي عادي نيست، بلكه داراي ويژگي خاصي است. به نظر مي‌رسد كه آريائيهاي عصر ودا با اين معما و مشكل بزرگ مواجه شده‌اند؛ از يكسو آئيني از پدران خود به ارث بردند كه در آن خدايان بسياري پرستش مي‌شد و از سوي ديگر سرشت پاك، اصل توحيد را به آنان ارزاني مي‌داشت. اين نكته را درك مي‌كردند، كه خالق و پروردگار و كردگار آنها بيش از يكي نيست، ولي دچار نوسان ميان توحيد و شرك بودند. بنا به عادت ديرينة قومي از سي و سه و يا سيصد وسي و سه (يا ذوات فوق طبيعي) دم مي‌زده‌اند، ولي بنا به تقاضاي عقل و فطرت خود تمام صفاتي را كه آئين توحيدي براي خداي واحد قائل است، نظير: خالقيت، ربوبيت، كمال مطلق و نامتناهي بودن را به نوبه خود به هر يك از خدايان نسبت مي‌داده‌اند. براي نمونه: چنان شاعر عارف آريائي به تجليل و تمجيد از وارونا مي پردازد، كه به نظر مي‌رسد او، خداي واحد، خالق زمين و آسمان، آفريننده خدايان، فرود آورنده باران، رازق همه موجودات، حاضر و ناظر در همه جا و عالم و قادر مطلق است، ولي وقتي شاعر ديگر در سرود ديگري به تمجيد اينديرا مي‌پردازد، تمام صفات فوق را به او نسبت مي‌دهد، و «وارونا» تابع او مي‌شود. باز در سرود ديگر وقتي شاعر ديگري از آگني تجليل مي‌‌كند، درست تعبيرات مشابهي به كار مي‌برد و چنان به نظر مي‌رسد كه خداي واحد و ذات اكمل كه همه را خلق كرده، او است.</w:t>
      </w:r>
    </w:p>
    <w:p w:rsidR="0011420A" w:rsidRPr="00406624" w:rsidP="003C0EF5">
      <w:pPr>
        <w:widowControl w:val="0"/>
        <w:spacing w:line="420" w:lineRule="exact"/>
        <w:ind w:left="0" w:right="0"/>
        <w:jc w:val="both"/>
        <w:rPr>
          <w:rFonts w:cs="B Zar" w:hint="cs"/>
          <w:rtl/>
        </w:rPr>
      </w:pPr>
      <w:r w:rsidRPr="00406624">
        <w:rPr>
          <w:rFonts w:cs="B Zar" w:hint="cs"/>
          <w:rtl/>
        </w:rPr>
        <w:t xml:space="preserve">اين حالت را ماكس مولر، هند شناس بزرگ، هنوتيسم </w:t>
      </w:r>
      <w:r w:rsidRPr="00406624">
        <w:rPr>
          <w:rFonts w:cs="B Zar"/>
        </w:rPr>
        <w:t>(Henotheism)</w:t>
      </w:r>
      <w:r w:rsidRPr="00406624">
        <w:rPr>
          <w:rFonts w:cs="B Zar" w:hint="cs"/>
          <w:rtl/>
        </w:rPr>
        <w:t xml:space="preserve"> ناميده است. «هنوتيسم» به معناي واحد دانستن هر يك از سي و سه تن است.</w:t>
      </w:r>
    </w:p>
    <w:p w:rsidR="0011420A" w:rsidRPr="00406624" w:rsidP="003C0EF5">
      <w:pPr>
        <w:widowControl w:val="0"/>
        <w:spacing w:line="420" w:lineRule="exact"/>
        <w:ind w:left="0" w:right="0"/>
        <w:jc w:val="both"/>
        <w:rPr>
          <w:rFonts w:cs="B Zar" w:hint="cs"/>
          <w:rtl/>
        </w:rPr>
      </w:pPr>
      <w:r w:rsidRPr="00406624">
        <w:rPr>
          <w:rFonts w:cs="B Zar" w:hint="cs"/>
          <w:rtl/>
        </w:rPr>
        <w:t>دكتر رادا كريشنان مي‌گويد:</w:t>
      </w:r>
    </w:p>
    <w:p w:rsidR="0011420A" w:rsidRPr="00406624" w:rsidP="003C0EF5">
      <w:pPr>
        <w:widowControl w:val="0"/>
        <w:spacing w:line="420" w:lineRule="exact"/>
        <w:ind w:left="0" w:right="0"/>
        <w:jc w:val="both"/>
        <w:rPr>
          <w:rFonts w:cs="B Zar" w:hint="cs"/>
          <w:rtl/>
        </w:rPr>
      </w:pPr>
      <w:r w:rsidRPr="00406624">
        <w:rPr>
          <w:rFonts w:cs="B Zar" w:hint="cs"/>
          <w:iCs/>
          <w:szCs w:val="24"/>
          <w:rtl/>
        </w:rPr>
        <w:t xml:space="preserve"> «هنوتيسم، دست و پا زدن ناآگاهانه بشر، در تاريكي شرك، به سوي توحيد است</w:t>
      </w:r>
      <w:r>
        <w:rPr>
          <w:rStyle w:val="FootnoteReference"/>
          <w:rFonts w:cs="B Zar"/>
          <w:iCs/>
          <w:szCs w:val="24"/>
          <w:rtl/>
        </w:rPr>
        <w:footnoteReference w:id="196"/>
      </w:r>
      <w:r w:rsidRPr="00406624">
        <w:rPr>
          <w:rFonts w:cs="B Zar" w:hint="cs"/>
          <w:iCs/>
          <w:szCs w:val="24"/>
          <w:rtl/>
        </w:rPr>
        <w:t xml:space="preserve">.» </w:t>
      </w:r>
      <w:r w:rsidRPr="00406624">
        <w:rPr>
          <w:rFonts w:cs="B Zar" w:hint="cs"/>
          <w:rtl/>
        </w:rPr>
        <w:t>آن زمان كه فكر انسان آنچنان توانا نگرديده است كه به توحيد كامل برسد، هر خدائي به نوبه خود، اهميت مي‌يابد و در هنگاميكه مورد تمجيد قرار مي‌‌گيرد، گوئي هيچ خداي ديگري جز او نيست؛ تمام صفات كمال به او نسبت داده مي‌شود. سپس در سرود ديگر او را رها مي‌كند و همين عمل را با معبود ديگري انجام مي‌دهد و گاه آن معبود ديگر، به صورت خداي واحد ستايش مي‌شود. اهميت يافتن هر يك از معبودان، بستگي به آن دارد كه مراسم مذهبي و قرباني براي كدام يك از آنها باشد، و شاعر و سراينده سرود از چه دسته‌اي از روحانيون بوده و به كدامين عشق بورزد.</w:t>
      </w:r>
    </w:p>
    <w:p w:rsidR="0011420A" w:rsidRPr="00406624" w:rsidP="003C0EF5">
      <w:pPr>
        <w:widowControl w:val="0"/>
        <w:spacing w:line="420" w:lineRule="exact"/>
        <w:ind w:left="0" w:right="0"/>
        <w:jc w:val="both"/>
        <w:rPr>
          <w:rFonts w:cs="B Zar" w:hint="cs"/>
          <w:rtl/>
        </w:rPr>
      </w:pPr>
      <w:r w:rsidRPr="00406624">
        <w:rPr>
          <w:rFonts w:cs="B Zar" w:hint="cs"/>
          <w:rtl/>
        </w:rPr>
        <w:t xml:space="preserve">سومين عاملي كه موجب گرديده گاه اينديرا اهميت يابد و گاه وارونا يا آگني، نياز آني دعاكننده بوده است؛ مثلاً اينديرا خداي جنگ تلقي مي‌شده است و طبيعتاً هرگاه آريائي‌ها در لحظات بحراني جنگ خواسته‌اند طلب پيروزي كنند، به او متوسل شده‌اند. اگر دچار قحطي و كمي باران مي‌گرديدند، دست به دامان خداي آسمان و باد و باران مي‌شدند؛ هرگاه سرما آنان را اذيت كرده است، از آگني (آتش) ياري طلبيده‌اند. همانند گروه حرفه‌اي چاپلوسان، آنان مي‌دانستند كه براي برطرف ساختن نياز فوري و آني، چه كنند؛ هر تعبيري مي‌دانستند براي معبودي كه توانائي انجام آن كار را داشت، به كار مي‌بردند. بلوم فيلد </w:t>
      </w:r>
      <w:r w:rsidRPr="00406624">
        <w:rPr>
          <w:rFonts w:cs="B Zar"/>
        </w:rPr>
        <w:t>(Bloomfield)</w:t>
      </w:r>
      <w:r w:rsidRPr="00406624">
        <w:rPr>
          <w:rFonts w:cs="B Zar" w:hint="cs"/>
          <w:rtl/>
        </w:rPr>
        <w:t xml:space="preserve"> با توجه به اين خصيصه، دين آريائي‌هاي عصر ودا را «دين فرصت طلبانه» ناميده است</w:t>
      </w:r>
      <w:r>
        <w:rPr>
          <w:rStyle w:val="FootnoteReference"/>
          <w:rFonts w:cs="B Zar"/>
          <w:rtl/>
        </w:rPr>
        <w:footnoteReference w:id="197"/>
      </w:r>
      <w:r w:rsidRPr="00406624">
        <w:rPr>
          <w:rFonts w:cs="B Zar" w:hint="cs"/>
          <w:rtl/>
        </w:rPr>
        <w:t>. هر خدايي را كه به آن نياز داشتند، به تخت‌الوهيت مي‌نشاندند، و ساير معبودان را به عنوان مشاوران به استخدام او در مي‌آوردند؛ هر گاه نياز به ديگري پيدا مي‌شد، اولي را از تخت‌الوهيت پائين كشيده و ديگري را به جاي او مي‌نشاندند.</w:t>
      </w:r>
    </w:p>
    <w:p w:rsidR="0011420A" w:rsidP="003C0EF5">
      <w:pPr>
        <w:widowControl w:val="0"/>
        <w:spacing w:line="420" w:lineRule="exact"/>
        <w:ind w:left="0" w:right="0"/>
        <w:jc w:val="both"/>
        <w:rPr>
          <w:rFonts w:cs="B Zar" w:hint="cs"/>
          <w:rtl/>
        </w:rPr>
      </w:pPr>
      <w:r w:rsidRPr="00406624">
        <w:rPr>
          <w:rFonts w:cs="B Zar" w:hint="cs"/>
          <w:rtl/>
        </w:rPr>
        <w:t>بنابراين نظرية ماكس مولر وبلوم فيلد، دين ودا داراي ماهيت «هنوتيستي» است، يعني در آن سي و سه خدا وجود دارد، ولي به نوبه، هريك از آنان خداي واحدي تلقي مي‌شد؛ بنابراين ديني است در نوسان ميان شرك و توحيد.</w:t>
      </w:r>
    </w:p>
    <w:p w:rsidR="00672403" w:rsidRPr="00406624" w:rsidP="003C0EF5">
      <w:pPr>
        <w:widowControl w:val="0"/>
        <w:spacing w:line="420" w:lineRule="exact"/>
        <w:ind w:left="0" w:right="0"/>
        <w:jc w:val="both"/>
        <w:rPr>
          <w:rFonts w:cs="B Zar" w:hint="cs"/>
          <w:rtl/>
        </w:rPr>
      </w:pPr>
    </w:p>
    <w:p w:rsidR="0011420A" w:rsidRPr="00406624" w:rsidP="003C0EF5">
      <w:pPr>
        <w:pStyle w:val="BodyTextIndent2"/>
        <w:widowControl w:val="0"/>
        <w:spacing w:line="420" w:lineRule="exact"/>
        <w:ind w:left="0" w:right="0"/>
        <w:jc w:val="left"/>
        <w:rPr>
          <w:rFonts w:cs="B Zar" w:hint="cs"/>
          <w:b/>
          <w:bCs/>
          <w:sz w:val="26"/>
          <w:szCs w:val="26"/>
          <w:rtl/>
        </w:rPr>
      </w:pPr>
      <w:r w:rsidRPr="00406624">
        <w:rPr>
          <w:rFonts w:cs="B Zar" w:hint="cs"/>
          <w:b/>
          <w:bCs/>
          <w:sz w:val="26"/>
          <w:szCs w:val="26"/>
          <w:rtl/>
        </w:rPr>
        <w:t>تفسير توحيدي دين ودا</w:t>
      </w:r>
    </w:p>
    <w:p w:rsidR="0011420A" w:rsidRPr="00406624" w:rsidP="003C0EF5">
      <w:pPr>
        <w:widowControl w:val="0"/>
        <w:spacing w:line="420" w:lineRule="exact"/>
        <w:ind w:left="0" w:right="0"/>
        <w:jc w:val="both"/>
        <w:rPr>
          <w:rFonts w:cs="B Zar" w:hint="cs"/>
          <w:rtl/>
        </w:rPr>
      </w:pPr>
      <w:r w:rsidRPr="00406624">
        <w:rPr>
          <w:rFonts w:cs="B Zar" w:hint="cs"/>
          <w:rtl/>
        </w:rPr>
        <w:t>مفسران و شارحان جديد هندو، تفسير ماكس مولر وبلوم فيلد را به شدت رد مي‌كنند و مدعيند كه دين ودا يك دين توحيدي خالص است.</w:t>
      </w:r>
    </w:p>
    <w:p w:rsidR="0011420A" w:rsidRPr="00406624" w:rsidP="003C0EF5">
      <w:pPr>
        <w:widowControl w:val="0"/>
        <w:spacing w:line="420" w:lineRule="exact"/>
        <w:ind w:left="0" w:right="0"/>
        <w:jc w:val="both"/>
        <w:rPr>
          <w:rFonts w:cs="B Zar" w:hint="cs"/>
          <w:rtl/>
        </w:rPr>
      </w:pPr>
      <w:r w:rsidRPr="00406624">
        <w:rPr>
          <w:rFonts w:cs="B Zar" w:hint="cs"/>
          <w:rtl/>
        </w:rPr>
        <w:t>تفسير توحيدي ودا از قرن سيزدهم به بعد، پس از سلطه مسلمين در هند آغاز گرديد. اين نوع تفسير را دو گروه توسعه دادند؛ اولاً متكلمان هندو كه مي‌خواستند در برابر انتقادات علماي اسلام از دين خود دفاع كنند؛ ثانياً گروه عرفا و نيز برخي دولت مردان مسلمان كه خواسته‌اند با اين شيوه طريق درگيري و تنش ميان اسلام و هندوئيسم را ازبين ببرند و نوعي سازش ميان دو ملت بوجود آورند. يكي از چهره‌هاي عرفاني اين گروه، كبير داس و از چهره‌هاي گروه دولت مردان داراشكوه بوده است. اينان در صدد بودند سرودها و تعبيرات ودا را به گونه‌اي تفسير كنند كه گوئي در آن جز توحيد چيزي وجود ندارد. داراشكوه سي و سه تن از خدايان ودا را به عنوان فرشتگان ناظر بر اداره امور عالم تعريف كرد و بدينسان باب تاويل توحيد گرايانه ودا را گشود</w:t>
      </w:r>
      <w:r>
        <w:rPr>
          <w:rStyle w:val="FootnoteReference"/>
          <w:rFonts w:cs="B Zar"/>
          <w:rtl/>
        </w:rPr>
        <w:footnoteReference w:id="198"/>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 xml:space="preserve">شديدترين تلاش در جهت توحيدي نمودن هندوئيزم، در قرن نوزدهم و بيستم به وسيله متكلمان و علماي هندو صورت گرفت. سه انديشمند بزرگ كه تفسير توحيدي ودا را رواج دادند: </w:t>
      </w:r>
      <w:r w:rsidRPr="00406624">
        <w:rPr>
          <w:rFonts w:cs="B Zar" w:hint="cs"/>
          <w:iCs/>
          <w:rtl/>
        </w:rPr>
        <w:t>رام موهن راي،</w:t>
      </w:r>
      <w:r w:rsidRPr="00406624">
        <w:rPr>
          <w:rFonts w:cs="B Zar" w:hint="cs"/>
          <w:rtl/>
        </w:rPr>
        <w:t xml:space="preserve"> بنيانگذار جنبش «برهمو سماج»؛ </w:t>
      </w:r>
      <w:r w:rsidRPr="00406624">
        <w:rPr>
          <w:rFonts w:cs="B Zar" w:hint="cs"/>
          <w:iCs/>
          <w:rtl/>
        </w:rPr>
        <w:t>دياناند سارسواتي</w:t>
      </w:r>
      <w:r w:rsidRPr="00406624">
        <w:rPr>
          <w:rFonts w:cs="B Zar" w:hint="cs"/>
          <w:rtl/>
        </w:rPr>
        <w:t xml:space="preserve"> بنيانگذار نهضت «آرياسماج» و </w:t>
      </w:r>
      <w:r w:rsidRPr="00406624">
        <w:rPr>
          <w:rFonts w:cs="B Zar" w:hint="cs"/>
          <w:iCs/>
          <w:rtl/>
        </w:rPr>
        <w:t>سري اربيندو</w:t>
      </w:r>
      <w:r w:rsidRPr="00406624">
        <w:rPr>
          <w:rFonts w:cs="B Zar" w:hint="cs"/>
          <w:rtl/>
        </w:rPr>
        <w:t>، عارف بزرگ قرن حاضر بوده است.</w:t>
      </w:r>
    </w:p>
    <w:p w:rsidR="0011420A" w:rsidRPr="00406624" w:rsidP="003C0EF5">
      <w:pPr>
        <w:widowControl w:val="0"/>
        <w:spacing w:line="420" w:lineRule="exact"/>
        <w:ind w:left="0" w:right="0"/>
        <w:jc w:val="both"/>
        <w:rPr>
          <w:rFonts w:cs="B Zar" w:hint="cs"/>
          <w:rtl/>
        </w:rPr>
      </w:pPr>
      <w:r w:rsidRPr="00406624">
        <w:rPr>
          <w:rFonts w:cs="B Zar" w:hint="cs"/>
          <w:rtl/>
        </w:rPr>
        <w:t xml:space="preserve">ترديدي نيست كه ودا از خدايان بسيار نام برده است، ولي غير از خصيصه هنوتيستي، سرودها حكايت از آن دارند كه ريشي‌ها خدايان مختلف را مظاهري از خداي واحد يا عناوين ذات واحد مي‌دانند. از همين‌روي برخي خاورشناسان از جمله پكتت </w:t>
      </w:r>
      <w:r w:rsidRPr="00406624">
        <w:rPr>
          <w:rFonts w:cs="B Zar"/>
        </w:rPr>
        <w:t>(Pictet)</w:t>
      </w:r>
      <w:r w:rsidRPr="00406624">
        <w:rPr>
          <w:rFonts w:cs="B Zar" w:hint="cs"/>
          <w:rtl/>
        </w:rPr>
        <w:t xml:space="preserve"> و روث نيز نظر داده‌اند كه آريائيان عصر ودا به توحيد، ولو يك توحيد ناقص، معتقد بوده‌اند. در عين حال، مشكل مي توان انكار كرد كه اكثر سرودها منعكس كننده طبيعت‌پرستي و نگرش شرك‌آميز نباشد. تقريباً در هر سرود از خدايان متعدد سخن به ميان آمده است.</w:t>
      </w:r>
    </w:p>
    <w:p w:rsidR="0011420A" w:rsidRPr="00406624" w:rsidP="003C0EF5">
      <w:pPr>
        <w:widowControl w:val="0"/>
        <w:spacing w:line="420" w:lineRule="exact"/>
        <w:ind w:left="0" w:right="0"/>
        <w:jc w:val="both"/>
        <w:rPr>
          <w:rFonts w:cs="B Zar" w:hint="cs"/>
          <w:rtl/>
        </w:rPr>
      </w:pPr>
      <w:r w:rsidRPr="00406624">
        <w:rPr>
          <w:rFonts w:cs="B Zar" w:hint="cs"/>
          <w:rtl/>
        </w:rPr>
        <w:t>براي حل تضاد مذكور، انديشمندان هندوي توحيدگرا، راههاي جداگانه‌اي را پيشنهاد كرده‌اند:</w:t>
      </w:r>
    </w:p>
    <w:p w:rsidR="0011420A" w:rsidRPr="00406624" w:rsidP="003C0EF5">
      <w:pPr>
        <w:widowControl w:val="0"/>
        <w:spacing w:line="420" w:lineRule="exact"/>
        <w:ind w:left="0" w:right="0"/>
        <w:jc w:val="both"/>
        <w:rPr>
          <w:rFonts w:cs="B Zar" w:hint="cs"/>
          <w:rtl/>
        </w:rPr>
      </w:pPr>
      <w:r w:rsidRPr="00406624">
        <w:rPr>
          <w:rFonts w:cs="B Zar" w:hint="cs"/>
          <w:iCs/>
          <w:rtl/>
        </w:rPr>
        <w:t>رام موهن راي</w:t>
      </w:r>
      <w:r w:rsidRPr="00406624">
        <w:rPr>
          <w:rFonts w:cs="B Zar" w:hint="cs"/>
          <w:rtl/>
        </w:rPr>
        <w:t xml:space="preserve"> كه آغازگر جنبش اصلاح و تجديد هندوئيسم در قرم نوزدهم محسوب مي‌شود، عناوين خدايان را در ودا نظير وارونا، اينديرا، آگني و غيره، به مثابه «اسماي حسني» براي خداي واحد و عناوين و صفات او تلقي مي‌كند. همانگونه كه در فرهنگ اسلامي، كلمات رحيم، رحمان، غفور، قادر، عليم و غيره براي «الله» به كار مي‌رود، و نمي‌توان از آن نتيجه گرفت كه اسلام در كنار «الله» معتقد به خدايان ديگر است، ودا هم عناوين متعددي به كار مي‌گيرد كه صرفاً ذات واحد خداي متعال را در نظر دارد.</w:t>
      </w:r>
    </w:p>
    <w:p w:rsidR="0011420A" w:rsidRPr="00406624" w:rsidP="003C0EF5">
      <w:pPr>
        <w:widowControl w:val="0"/>
        <w:spacing w:line="420" w:lineRule="exact"/>
        <w:ind w:left="0" w:right="0"/>
        <w:jc w:val="both"/>
        <w:rPr>
          <w:rFonts w:cs="B Zar" w:hint="cs"/>
          <w:rtl/>
        </w:rPr>
      </w:pPr>
      <w:r w:rsidRPr="00406624">
        <w:rPr>
          <w:rFonts w:cs="B Zar" w:hint="cs"/>
          <w:rtl/>
        </w:rPr>
        <w:t xml:space="preserve">به ظاهر توجيه </w:t>
      </w:r>
      <w:r w:rsidRPr="00406624">
        <w:rPr>
          <w:rFonts w:cs="B Zar" w:hint="cs"/>
          <w:iCs/>
          <w:rtl/>
        </w:rPr>
        <w:t>رام موهن راي</w:t>
      </w:r>
      <w:r w:rsidRPr="00406624">
        <w:rPr>
          <w:rFonts w:cs="B Zar" w:hint="cs"/>
          <w:rtl/>
        </w:rPr>
        <w:t xml:space="preserve"> عقل پسند است، ولي اگر وداهاي مختلف، نظير: ريگ ودا، ياجور ودا و اًتْهاروا ودا را مورد مطالعه قرار دهيم شواهد و قراين نشان مي‌دهد كه مقصود از اسامي گوناگون در سرودها، واقعاً ذات‌ها و شخصيت‌هاي الوهي مختلفند و بدون عدول از كلمات و تعبيرات ظاهري و تاويل، نمي توان ثابت كرد كه مقصود از خدايان، صفات مختلف ذات واحد مي‌باشد.</w:t>
      </w:r>
    </w:p>
    <w:p w:rsidR="0011420A" w:rsidRPr="00406624" w:rsidP="003C0EF5">
      <w:pPr>
        <w:widowControl w:val="0"/>
        <w:spacing w:line="420" w:lineRule="exact"/>
        <w:ind w:left="0" w:right="0"/>
        <w:jc w:val="both"/>
        <w:rPr>
          <w:rFonts w:cs="B Zar" w:hint="cs"/>
          <w:rtl/>
        </w:rPr>
      </w:pPr>
      <w:r w:rsidRPr="00406624">
        <w:rPr>
          <w:rFonts w:cs="B Zar" w:hint="cs"/>
          <w:rtl/>
        </w:rPr>
        <w:t>ممكن است در آغاز، پيامبران آريائي كلماتي را كه بعداً به مثابه اسامي خدايان (ديوتا) تلقي مي‌شدند، به عنوان القاب خداي واحدي مطرح كرده باشند، ولي مسلم است كه طي گذشت زمان، آريائيان تعاليم يگانه پرستي را فراموش كرده، و «صفات» را با «ذات» اشتباه گرفته‌اند، و در ورطه شرك خالص و عقيده چند خدائي افتاده‌اند. گرچه برخي از ريشي‌ها اين نكته را درك مي‌كرده اند كه در واقع معدودي چند از سرودهاي ريگ ودا و وداهاي ديگر منعكس كننده نگرش توحيدي است.</w:t>
      </w:r>
    </w:p>
    <w:p w:rsidR="0011420A" w:rsidRPr="00406624" w:rsidP="003C0EF5">
      <w:pPr>
        <w:widowControl w:val="0"/>
        <w:spacing w:line="420" w:lineRule="exact"/>
        <w:ind w:left="0" w:right="0"/>
        <w:jc w:val="both"/>
        <w:rPr>
          <w:rFonts w:cs="B Zar" w:hint="cs"/>
          <w:rtl/>
        </w:rPr>
      </w:pPr>
      <w:r w:rsidRPr="00406624">
        <w:rPr>
          <w:rFonts w:cs="B Zar" w:hint="cs"/>
          <w:rtl/>
        </w:rPr>
        <w:t xml:space="preserve">سري اربيندو </w:t>
      </w:r>
      <w:r w:rsidRPr="00406624">
        <w:rPr>
          <w:rFonts w:cs="B Zar"/>
        </w:rPr>
        <w:t>(Sri Auribindo)</w:t>
      </w:r>
      <w:r w:rsidRPr="00406624">
        <w:rPr>
          <w:rFonts w:cs="B Zar" w:hint="cs"/>
          <w:rtl/>
        </w:rPr>
        <w:t>، انديشمند و عارف بزرگ قرن بيستم، همچنين اين نظريه را عنوان كرده است كه معبودان سرودهاي ودا، نمودار عناصر و قواي «روحاني» و «رواني» انسانند. سوريا مظهر «عقل فعال»؛ آگني سمبل قوه اراده و سوما نشانگر عواطف و احساس و قوه اشراق انسان است.</w:t>
      </w:r>
    </w:p>
    <w:p w:rsidR="0011420A" w:rsidRPr="00406624" w:rsidP="003C0EF5">
      <w:pPr>
        <w:widowControl w:val="0"/>
        <w:spacing w:line="420" w:lineRule="exact"/>
        <w:ind w:left="0" w:right="0"/>
        <w:jc w:val="both"/>
        <w:rPr>
          <w:rFonts w:cs="B Zar" w:hint="cs"/>
          <w:rtl/>
        </w:rPr>
      </w:pPr>
      <w:r w:rsidRPr="00406624">
        <w:rPr>
          <w:rFonts w:cs="B Zar" w:hint="cs"/>
          <w:rtl/>
        </w:rPr>
        <w:t xml:space="preserve">سري اربيندو دين ودا را مذهب عرفاني ـ باطني، نظير كيش اُرفيك </w:t>
      </w:r>
      <w:r w:rsidRPr="00406624">
        <w:rPr>
          <w:rFonts w:cs="B Zar"/>
        </w:rPr>
        <w:t>(Orphic)</w:t>
      </w:r>
      <w:r w:rsidRPr="00406624">
        <w:rPr>
          <w:rFonts w:cs="B Zar" w:hint="cs"/>
          <w:rtl/>
        </w:rPr>
        <w:t xml:space="preserve"> و «الوسينيون» </w:t>
      </w:r>
      <w:r w:rsidRPr="00406624">
        <w:rPr>
          <w:rFonts w:cs="B Zar"/>
        </w:rPr>
        <w:t>(Eleusinian)</w:t>
      </w:r>
      <w:r w:rsidRPr="00406624">
        <w:rPr>
          <w:rFonts w:cs="B Zar" w:hint="cs"/>
          <w:rtl/>
        </w:rPr>
        <w:t xml:space="preserve"> در يونان باستان مي‌داند. او معتقد است كه عرفاي آريائي، حقايقي را پيرامون نفس انسان در پيرايه شعر و تمثيل و استعاره گفته‌اند، تا تنها «حكيمان و عارفان» معاني آنرا دريابند، و نامحرمان بدان پي نبرند. آنان در صدد بوده‌اند به حكيمان رموز را بياموزند و به عوام «شعاير» را، تا فرزانگان حقائق مجرد ملكوت را درك كنند و عوام قالب‌هاي ظاهري و مظاهر ذات احديت را به صورت اسامي ديوها نام ببرند.</w:t>
      </w:r>
      <w:r>
        <w:rPr>
          <w:rStyle w:val="FootnoteReference"/>
          <w:rFonts w:cs="B Zar"/>
          <w:rtl/>
        </w:rPr>
        <w:footnoteReference w:id="199"/>
      </w:r>
    </w:p>
    <w:p w:rsidR="0011420A" w:rsidRPr="00406624" w:rsidP="003C0EF5">
      <w:pPr>
        <w:widowControl w:val="0"/>
        <w:spacing w:line="420" w:lineRule="exact"/>
        <w:ind w:left="0" w:right="0"/>
        <w:jc w:val="both"/>
        <w:rPr>
          <w:rFonts w:cs="B Zar" w:hint="cs"/>
          <w:rtl/>
        </w:rPr>
      </w:pPr>
      <w:r w:rsidRPr="00406624">
        <w:rPr>
          <w:rFonts w:cs="B Zar" w:hint="cs"/>
          <w:rtl/>
        </w:rPr>
        <w:t>سري اربيندو معتقد است كه ودا، يك «ظاهر» دارد و يك «باطن». ظاهر آن شامل طبيعت پرستي و شرك است كه به كار مردم عامي مي‌آيد و باطن آن ژرفترين و لطيفترين مطالب عرفاني و فلسفي را در بردارد. سرّ عظمت ودا در ظاهر آن نيست، بلكه در باطن آنست. او مي گويد:</w:t>
      </w:r>
    </w:p>
    <w:p w:rsidR="0011420A" w:rsidRPr="00406624" w:rsidP="003C0EF5">
      <w:pPr>
        <w:widowControl w:val="0"/>
        <w:spacing w:line="420" w:lineRule="exact"/>
        <w:ind w:left="0" w:right="0"/>
        <w:jc w:val="both"/>
        <w:rPr>
          <w:rFonts w:cs="B Zar" w:hint="cs"/>
          <w:szCs w:val="24"/>
          <w:rtl/>
        </w:rPr>
      </w:pPr>
      <w:r w:rsidRPr="00406624">
        <w:rPr>
          <w:rFonts w:cs="B Zar" w:hint="cs"/>
          <w:rtl/>
        </w:rPr>
        <w:t>«يكي از اصول راهنماي روش عرفا و حكيمان، پنهان نگهداشتن اسرار از نامحرمان و رموز حكمت از نا اهلان بوده است. از اين‌رو آنان مطالب را در استعاره و تمثيل و علائم بيان مي‌كرده‌اند و گاه مطالب را در تعبيرات دو پهلو بيان كرده‌اند، كه عوام از آن چيزي فهميده و حكيمان معناي ديگري را استنباط كنند. در ودا نيز ريشي‌ها از همين روش پيروي كرده‌اند؛ به ظاهر سخن از مناسك قرباني و مراسم تقديم نذور و يا مراسم سوما است، ولي در واقع مقصود چيز ديگري است»</w:t>
      </w:r>
      <w:r w:rsidRPr="00406624">
        <w:rPr>
          <w:rFonts w:cs="B Zar" w:hint="cs"/>
          <w:szCs w:val="24"/>
          <w:rtl/>
        </w:rPr>
        <w:t xml:space="preserve">. </w:t>
      </w:r>
      <w:r w:rsidRPr="00406624">
        <w:rPr>
          <w:rFonts w:cs="B Zar" w:hint="cs"/>
          <w:rtl/>
        </w:rPr>
        <w:t>او اضافه مي‌كند: اين نكته را، مكتب سنتي تفسيري «سايانا» درك كرده است، نه بينش سطحي خاورشناسان توصيف گرا</w:t>
      </w:r>
      <w:r w:rsidRPr="00406624">
        <w:rPr>
          <w:rFonts w:cs="B Zar" w:hint="cs"/>
          <w:szCs w:val="24"/>
          <w:rtl/>
        </w:rPr>
        <w:t>.</w:t>
      </w:r>
      <w:r>
        <w:rPr>
          <w:rStyle w:val="FootnoteReference"/>
          <w:rFonts w:cs="B Zar"/>
          <w:szCs w:val="24"/>
          <w:rtl/>
        </w:rPr>
        <w:footnoteReference w:id="200"/>
      </w:r>
    </w:p>
    <w:p w:rsidR="0011420A" w:rsidRPr="00406624" w:rsidP="003C0EF5">
      <w:pPr>
        <w:widowControl w:val="0"/>
        <w:spacing w:line="420" w:lineRule="exact"/>
        <w:ind w:left="0" w:right="0"/>
        <w:jc w:val="both"/>
        <w:rPr>
          <w:rFonts w:cs="B Zar" w:hint="cs"/>
          <w:rtl/>
        </w:rPr>
      </w:pPr>
      <w:r w:rsidRPr="00406624">
        <w:rPr>
          <w:rFonts w:cs="B Zar" w:hint="cs"/>
          <w:rtl/>
        </w:rPr>
        <w:t>سوامي دياناند سارسواتي، يكي از بانفوذترين انديشمندان هندو در قرن بيستم بوده است. سارسواتي نهضت «آرياساماج» را ـ كه با مسيونرهاي مسيحي و مبلغان مسلمان به مبارزه مي‌پرداخت ـ بنيان گذاشت، و در عين حال در صدد تفسير توحيد گرايانه هندوئيسم و اصلاح رسوم خرافي، بت‌پرستي و شرك بود. او شعار «بازگشت به ودا» را سرداد. سارسواتي معاصر سري اربيندو بوده، ولي نگرش او و سازمانش به گونه ديگري بوده است. سري اربيندو، عارف مسلك است، در حاليكه سوامي دياناند سارسواتي از قشر علماي هندو است، ولي در تفسير توحيدگرايانه ودا او نه تنها با سري اربيندو هم عقيده شد، بلكه از او هم فراتر رفت و جانب افراط را گرفت.</w:t>
      </w:r>
    </w:p>
    <w:p w:rsidR="0011420A" w:rsidRPr="00406624" w:rsidP="003C0EF5">
      <w:pPr>
        <w:widowControl w:val="0"/>
        <w:spacing w:line="420" w:lineRule="exact"/>
        <w:ind w:left="0" w:right="0"/>
        <w:jc w:val="both"/>
        <w:rPr>
          <w:rFonts w:cs="B Zar" w:hint="cs"/>
          <w:rtl/>
        </w:rPr>
      </w:pPr>
      <w:r w:rsidRPr="00406624">
        <w:rPr>
          <w:rFonts w:cs="B Zar" w:hint="cs"/>
          <w:rtl/>
        </w:rPr>
        <w:t>سارسواتي در اين نظر با سري اربيندو موافق است كه ودا داراي سبك تمثيلي و استعاره ايست. اكثر تعبيرات ودا، از جمله اسامي خدايان و عناوين مناسك استعاره‌هائي هستند که از مطالب ژرفتر و متعاليتر سرچشمه گرفته‌اند. در حاليكه اربيندو براي ودا تفسير عرفاني ـ فلسفي قائل بود و معبودان ودا را سمبل قواي رواني ـ روحي تلقي مي‌كرد، دياناند سارسواتي، ودا را در مقوله‌هاي الهيات توحيدي تفسير مي‌كرد. در تفسير پنج جلدي خود از ريگ ودا كه به نام «ريگ ودا بهاسيه» كراراً در هند منتشر شده و از بانفوذترين تفاسير ودا است؛ سارسواتي خدايان سيصد و سي و سه گانه را به عنوان صفات الهي و يا عنواني براي قوا و عناصر فيزيكي و بيولوژيك تفسير مي‌كند.</w:t>
      </w:r>
      <w:r>
        <w:rPr>
          <w:rStyle w:val="FootnoteReference"/>
          <w:rFonts w:cs="B Zar"/>
          <w:rtl/>
        </w:rPr>
        <w:footnoteReference w:id="201"/>
      </w:r>
    </w:p>
    <w:p w:rsidR="0011420A" w:rsidRPr="00406624" w:rsidP="003C0EF5">
      <w:pPr>
        <w:widowControl w:val="0"/>
        <w:spacing w:line="420" w:lineRule="exact"/>
        <w:ind w:left="0" w:right="0"/>
        <w:jc w:val="both"/>
        <w:rPr>
          <w:rFonts w:cs="B Zar" w:hint="cs"/>
          <w:rtl/>
        </w:rPr>
      </w:pPr>
      <w:r w:rsidRPr="00406624">
        <w:rPr>
          <w:rFonts w:cs="B Zar" w:hint="cs"/>
          <w:rtl/>
        </w:rPr>
        <w:t>در سرود اول كتاب اول ريگ ودا، آگني (آتش مقدس يا رب‌النوع آتش يا خورشيد) را به عنوان «نور»، «قائد و رهبر» و «قوام جهان» ترجمه كرده است</w:t>
      </w:r>
      <w:r>
        <w:rPr>
          <w:rStyle w:val="FootnoteReference"/>
          <w:rFonts w:cs="B Zar"/>
          <w:rtl/>
        </w:rPr>
        <w:footnoteReference w:id="202"/>
      </w:r>
      <w:r w:rsidRPr="00406624">
        <w:rPr>
          <w:rFonts w:cs="B Zar" w:hint="cs"/>
          <w:rtl/>
        </w:rPr>
        <w:t>. در سرود دوم وايو (رب‌النوع باد) را به عنوان «قادر»، اصل هستي بخش جهان و «جليل» تفسير مي‌كند</w:t>
      </w:r>
      <w:r>
        <w:rPr>
          <w:rStyle w:val="FootnoteReference"/>
          <w:rFonts w:cs="B Zar"/>
          <w:rtl/>
        </w:rPr>
        <w:footnoteReference w:id="203"/>
      </w:r>
      <w:r w:rsidRPr="00406624">
        <w:rPr>
          <w:rFonts w:cs="B Zar" w:hint="cs"/>
          <w:rtl/>
        </w:rPr>
        <w:t xml:space="preserve"> در سرود سوم اسوين (رب‌النوع فجر و غروب) را به عنوان «دو عنصر هستي بخش آب و آتش» تاويل مي‌نمايد</w:t>
      </w:r>
      <w:r>
        <w:rPr>
          <w:rStyle w:val="FootnoteReference"/>
          <w:rFonts w:cs="B Zar"/>
          <w:rtl/>
        </w:rPr>
        <w:footnoteReference w:id="204"/>
      </w:r>
      <w:r w:rsidRPr="00406624">
        <w:rPr>
          <w:rFonts w:cs="B Zar" w:hint="cs"/>
          <w:rtl/>
        </w:rPr>
        <w:t>. در جاي ديگر اينديرا را به عنوان خورشيد و «سوما» را به عنوان ماه ترجمه كرده است.</w:t>
      </w:r>
      <w:r>
        <w:rPr>
          <w:rStyle w:val="FootnoteReference"/>
          <w:rFonts w:cs="B Zar"/>
          <w:rtl/>
        </w:rPr>
        <w:footnoteReference w:id="205"/>
      </w:r>
      <w:r w:rsidRPr="00406624">
        <w:rPr>
          <w:rFonts w:cs="B Zar" w:hint="cs"/>
          <w:rtl/>
        </w:rPr>
        <w:t xml:space="preserve"> در سرود سوم «اينديرا» را به عنوان نيروي «انرژي» و الكتريسته در جهان تلقي مي‌كند‌</w:t>
      </w:r>
      <w:r>
        <w:rPr>
          <w:rStyle w:val="FootnoteReference"/>
          <w:rFonts w:cs="B Zar"/>
          <w:rtl/>
        </w:rPr>
        <w:footnoteReference w:id="206"/>
      </w:r>
      <w:r w:rsidRPr="00406624">
        <w:rPr>
          <w:rFonts w:cs="B Zar" w:hint="cs"/>
          <w:rtl/>
        </w:rPr>
        <w:t>. در تفسير بيست دوم سرود پنجم، دعوت ودا را براي انجام مناسك سوما و صرف مشروب مقدس به عنوان ارج‌گذاري به علم، و دعوت دانشمندان فيزيك و شيمي براي شناخت خاصيت‌هاي باد و اكسيژن و هيدروژن و تلاش در جهت ساختن هواپيما مي‌داند</w:t>
      </w:r>
      <w:r>
        <w:rPr>
          <w:rStyle w:val="FootnoteReference"/>
          <w:rFonts w:cs="B Zar"/>
          <w:rtl/>
        </w:rPr>
        <w:footnoteReference w:id="207"/>
      </w:r>
      <w:r w:rsidRPr="00406624">
        <w:rPr>
          <w:rFonts w:cs="B Zar" w:hint="cs"/>
          <w:rtl/>
        </w:rPr>
        <w:t>.</w:t>
      </w:r>
    </w:p>
    <w:p w:rsidR="0011420A" w:rsidRPr="00406624" w:rsidP="003C0EF5">
      <w:pPr>
        <w:widowControl w:val="0"/>
        <w:spacing w:line="420" w:lineRule="exact"/>
        <w:ind w:left="0" w:right="0"/>
        <w:jc w:val="both"/>
        <w:rPr>
          <w:rFonts w:cs="B Zar" w:hint="cs"/>
          <w:rtl/>
        </w:rPr>
      </w:pPr>
      <w:r w:rsidRPr="00406624">
        <w:rPr>
          <w:rFonts w:cs="B Zar" w:hint="cs"/>
          <w:rtl/>
        </w:rPr>
        <w:t>از اين نمونه‌ها مي‌توان دريافت كه دياناند سارسواتي چه روشي را براي شرك زدائي از ودا و علمي جلوه دادن مطالب آن پيش گرفته است. ممكن است اين روش مسخره آميز و غير قابل قبول به نظر برسد، ولي نبايد فراموش كرد كه هندوان معتقدند كتابشان كتاب آسماني است كه تمام معارف ممكن را در بردارد. اكثر مولفان كتابهائي كه پيرامون ودا در ربع قرن اخير در هند منتشر شده، يا از روش تفسير توحيدي كه سارسواتي ارائه داد پيروي كرده‌اند يا از روش تفسير «به اصلاح علمي» او، و پذيرش عمومي منافاتي با تأويل‌هاي دور از ذهن نداشته است.</w:t>
      </w:r>
    </w:p>
    <w:p w:rsidR="0011420A" w:rsidRPr="00406624" w:rsidP="003C0EF5">
      <w:pPr>
        <w:widowControl w:val="0"/>
        <w:spacing w:line="420" w:lineRule="exact"/>
        <w:ind w:left="0" w:right="0"/>
        <w:jc w:val="both"/>
        <w:rPr>
          <w:rFonts w:cs="B Zar" w:hint="cs"/>
          <w:rtl/>
        </w:rPr>
      </w:pPr>
      <w:r w:rsidRPr="00406624">
        <w:rPr>
          <w:rFonts w:cs="B Zar" w:hint="cs"/>
          <w:rtl/>
        </w:rPr>
        <w:t>اين روش مبتني بر آن است كه هر چه پندار مفسر با نگرش توحيدي  و يا  حقائق علمي فيزيك، شيمي و بيولوژي و تكنولوژي معاصر سازگار نباشد، و هرمطلبي كه پيروان اديان توحيدي و يا افكار و انديشه‌هاي علم زده جديد نپذيرند، و امكان نقد يا تمسخر آن باشد، بايد به گونه اي تفسير شود. بايد ودا به صورت كتابي توحيدي و علمي درآيد.</w:t>
      </w:r>
    </w:p>
    <w:p w:rsidR="0011420A" w:rsidRPr="00406624" w:rsidP="003C0EF5">
      <w:pPr>
        <w:widowControl w:val="0"/>
        <w:spacing w:line="420" w:lineRule="exact"/>
        <w:ind w:left="0" w:right="0"/>
        <w:jc w:val="both"/>
        <w:rPr>
          <w:rFonts w:cs="B Zar" w:hint="cs"/>
          <w:rtl/>
        </w:rPr>
      </w:pPr>
      <w:r w:rsidRPr="00406624">
        <w:rPr>
          <w:rFonts w:cs="B Zar" w:hint="cs"/>
          <w:rtl/>
        </w:rPr>
        <w:t>در حقيقت سارسواتي و هواداران او به نام تفسير، از «تطبيق» سردرآورده‌اند. روش آنان مبتني بر تشريح و تفسير ديدگاههاي ودا نيست، بلكه تطبيق آن با اصول مذهب توحيدي و يا نگرش علمي است. آنچه مطابق نگرش توحيدي مي بينند، نقل مي‌كنند. نصوص ديگري را كه ظاهراً منعكس كننده باورهاي شرك آميز يا خرافي پارينه است، از طريق تاويل‌هاي دور از ذهن، و عموماً با كمك معاني گوناگونِ لغوي، ارجاع به اصل كلمه و به زور، به باورهاي توحيدي و يا كشفيات و فرضيه‌هاي علمي هماهنگ مي‌سازند. در اكثر موارد، مفاهيم تحت اللفظي كلمات و جملات را كنار مي زنند، و به قراين داخل جملات وقعي نمي‌نهند. با پيش گرفتن روش «تطبيق» به عنوان تفسير، اين دسته از شارحين ودا، يا از ودا كتابي آسماني، مانند دين توحيدي درست مي‌كنند، و يا چيزي نظير كشفيات نيوتون و اينشتاين از آن استخراج مي كنند.</w:t>
      </w:r>
    </w:p>
    <w:p w:rsidR="0011420A" w:rsidRPr="00406624" w:rsidP="003C0EF5">
      <w:pPr>
        <w:widowControl w:val="0"/>
        <w:spacing w:line="420" w:lineRule="exact"/>
        <w:ind w:left="0" w:right="0"/>
        <w:jc w:val="both"/>
        <w:rPr>
          <w:rFonts w:cs="B Zar" w:hint="cs"/>
          <w:rtl/>
        </w:rPr>
      </w:pPr>
      <w:r w:rsidRPr="00406624">
        <w:rPr>
          <w:rFonts w:cs="B Zar" w:hint="cs"/>
          <w:rtl/>
        </w:rPr>
        <w:t>روش تطبيقي، ممكن است براي خوش باوران اعجاب برانگيز باشد؛ ولي چنانكه دكتر رادا كريشنان خاطر نشان ساخته است، اينگونه تاويل، نه تنها با نظريه محققان وداشناس غربي، نظير ماكس مولر، وبر، ويتني و گرفيث اختلاف دارد، بلكه با تفسير سنتي هندوان، نظير تفسير گيتا و پورانا و سايانا و مكتب فلسفي «پورومماسا» نيز سازگار نيست. طبق تفسير اربيندو و سارسواتي، ودا مظهر متعالي‌ترين انديشه آريائي است كه پنج هزار سال پيش، نه تنها مترقي‌ترين نظام اعتقادي توحيد را عرضه كرد، بلكه پيشرفت هاي علوم و قوانين فيزيك و شيمي و بيولوژي و رواشناسي را نيز دربرداشته است. بنابر نظريه اينان با گذشت زمان، انديشه آريائيان از اصول «مترقي» و «علمي» ودا فاصله گرفت و دستخوش اعتقادات مشركانه، خرافه گري و فلسفه بافي گرديد. پس سير تحول انديشه در جهت تنزل بوده و تكاملي نداشته است.</w:t>
      </w:r>
    </w:p>
    <w:p w:rsidR="0011420A" w:rsidP="003C0EF5">
      <w:pPr>
        <w:widowControl w:val="0"/>
        <w:spacing w:line="420" w:lineRule="exact"/>
        <w:ind w:left="0" w:right="0"/>
        <w:jc w:val="both"/>
        <w:rPr>
          <w:rFonts w:cs="B Zar" w:hint="cs"/>
          <w:rtl/>
        </w:rPr>
      </w:pPr>
      <w:r w:rsidRPr="00406624">
        <w:rPr>
          <w:rFonts w:cs="B Zar" w:hint="cs"/>
          <w:rtl/>
        </w:rPr>
        <w:t>اين نظريه نه با نگرش سنتي علماي هند مطابقت دارد و نه با روند كلي سير تاريخ بشر. گيتا به وضوح نگرش ديني ودا را يك مرحله ابتدائي انديشه ديني تلقي مي كند كه با اوپانيشاد، برهماسوترا و سپس خود گيتا به اوج رسانيده شد. موضع مكتب ودانت يا «پورومماسا» نيز همين است. در زمانهاي بعد بود كه فيلسوفان و عرفاي هند انديشه نارس، و فلسفه خام ودا را پخته و لطيف ساختند و طبيعت‌پرستي و چند خدائي ودا به تدريج به صورت توحيد و نگرش وحدت‌الوجودي اوپانيشاد و گيتا و مكتب ودانت درآمد.</w:t>
      </w:r>
      <w:r>
        <w:rPr>
          <w:rStyle w:val="FootnoteReference"/>
          <w:rFonts w:cs="B Zar"/>
          <w:rtl/>
        </w:rPr>
        <w:footnoteReference w:id="208"/>
      </w:r>
    </w:p>
    <w:p w:rsidR="005439A9" w:rsidRPr="00406624" w:rsidP="003C0EF5">
      <w:pPr>
        <w:widowControl w:val="0"/>
        <w:spacing w:line="420" w:lineRule="exact"/>
        <w:ind w:left="0" w:right="0"/>
        <w:jc w:val="both"/>
        <w:rPr>
          <w:rFonts w:cs="B Zar" w:hint="cs"/>
          <w:rtl/>
        </w:rPr>
      </w:pPr>
    </w:p>
    <w:p w:rsidR="0011420A" w:rsidRPr="00406624" w:rsidP="003C0EF5">
      <w:pPr>
        <w:widowControl w:val="0"/>
        <w:spacing w:line="420" w:lineRule="exact"/>
        <w:ind w:left="0" w:right="0"/>
        <w:jc w:val="both"/>
        <w:rPr>
          <w:rFonts w:cs="B Zar" w:hint="cs"/>
          <w:b/>
          <w:bCs/>
          <w:rtl/>
        </w:rPr>
      </w:pPr>
      <w:r w:rsidRPr="00406624">
        <w:rPr>
          <w:rFonts w:cs="B Zar" w:hint="cs"/>
          <w:b/>
          <w:bCs/>
          <w:rtl/>
        </w:rPr>
        <w:t>روش تفسيري متجددان:</w:t>
      </w:r>
    </w:p>
    <w:p w:rsidR="0011420A" w:rsidRPr="00406624" w:rsidP="003C0EF5">
      <w:pPr>
        <w:widowControl w:val="0"/>
        <w:spacing w:line="420" w:lineRule="exact"/>
        <w:ind w:left="0" w:right="0"/>
        <w:jc w:val="both"/>
        <w:rPr>
          <w:rFonts w:cs="B Zar" w:hint="cs"/>
          <w:rtl/>
        </w:rPr>
      </w:pPr>
      <w:r w:rsidRPr="00406624">
        <w:rPr>
          <w:rFonts w:cs="B Zar" w:hint="cs"/>
          <w:rtl/>
        </w:rPr>
        <w:t>در همين بررسي به روش تفسيري دياناند سارسواتي، اشاره كرديم كه او، علاوه بر تفسير  توحيدي ودا، به تفسير «علمي» پرداخته است. مقصود از تفسير «علمي» تلاش براي تطبيق دادن اظهارات متون مقدس با نظريه‌هاي علوم، و تأكيد براين نكته است كه مطالب كتاب مقدس تمام يا بسياري از قوانين علوم تجربي را دربر دارد. اين روش را نيز نبايد «تفسير» ناميد، بلكه آنرا بايد «تطبيق» به نام تفسير دانست. در چند دهه اخير اين روش را نويسندگان هندو در شرح و تفسير ودا بسيار به كار گرفته‌اند. اكثر كتابها و مقالات پيرامون ودا با اين ديدگاه نگاشته مي‌‌شوند. آغازگر اين روش تفسيري نيز دياناند سارسواتي بوده است. او در تفسير خود، براي شرح هر بيت و آيه ودا دو عنوان آورده است. نخست زير عنوان اول هر بيت، اعتقادات توحيدي را شرح مي‌دهد و سپس آنرا در مقوله هاي فيزيك، شيمي و ساير علوم تجربي تفسير و تاويل مي‌نمايد. سارسواتي اين عمل را چنين توجيه مي‌كند كه چون ودا داراي ابعاد مختلف است و بطون گوناگون دارد، از اين‌رو هر بيت، هم تفسير ديني و هم تفسير علمي دارد.</w:t>
      </w:r>
    </w:p>
    <w:p w:rsidR="0011420A" w:rsidRPr="00406624" w:rsidP="003C0EF5">
      <w:pPr>
        <w:widowControl w:val="0"/>
        <w:spacing w:line="420" w:lineRule="exact"/>
        <w:ind w:left="0" w:right="0"/>
        <w:jc w:val="both"/>
        <w:rPr>
          <w:rFonts w:cs="B Zar" w:hint="cs"/>
          <w:rtl/>
        </w:rPr>
      </w:pPr>
      <w:r w:rsidRPr="00406624">
        <w:rPr>
          <w:rFonts w:cs="B Zar" w:hint="cs"/>
          <w:rtl/>
        </w:rPr>
        <w:t>پس از دياناند سارسواتي، علما و انديشمندان ديگر هندو به خصوص آنان كه تحت تأثير جنبش «آريا ساماج» بودند، همين روش را پيش گرفتند. يكي از نمونه‌هاي تازه اين سنخ، تفسير كتابيست با عنوان «ريگ‌ودا، تحليلي علمي و عقلاني از سرودها»، اثر دكتر ج.ك. تريكها</w:t>
      </w:r>
      <w:r>
        <w:rPr>
          <w:rStyle w:val="FootnoteReference"/>
          <w:rFonts w:cs="B Zar"/>
          <w:rtl/>
        </w:rPr>
        <w:footnoteReference w:id="209"/>
      </w:r>
      <w:r w:rsidRPr="00406624">
        <w:rPr>
          <w:rFonts w:cs="B Zar" w:hint="cs"/>
          <w:rtl/>
        </w:rPr>
        <w:t>. او در صدد است اثبات كند كه عصر ودا عصر شكوفائي علوم تجربي بوده است. او به گفته والميكي در رامايانا استناد مي‌كند كه در بخش «ارن ياكند» گفته است كه «ريشي‌‌هائي» كه ودا را اشراق كردند، انديشمندان بزرگ علوم بودند»</w:t>
      </w:r>
      <w:r>
        <w:rPr>
          <w:rStyle w:val="FootnoteReference"/>
          <w:rFonts w:cs="B Zar"/>
          <w:rtl/>
        </w:rPr>
        <w:footnoteReference w:id="210"/>
      </w:r>
    </w:p>
    <w:p w:rsidR="0011420A" w:rsidRPr="00406624" w:rsidP="003C0EF5">
      <w:pPr>
        <w:widowControl w:val="0"/>
        <w:spacing w:line="420" w:lineRule="exact"/>
        <w:ind w:left="0" w:right="0"/>
        <w:jc w:val="both"/>
        <w:rPr>
          <w:rFonts w:cs="B Zar" w:hint="cs"/>
          <w:rtl/>
        </w:rPr>
      </w:pPr>
      <w:r w:rsidRPr="00406624">
        <w:rPr>
          <w:rFonts w:cs="B Zar" w:hint="cs"/>
          <w:rtl/>
        </w:rPr>
        <w:t xml:space="preserve">براي آنكه خوانندگان گرامي روش دكتر تريكها و اصولاً همه پرچمداران اين روش را درك كنند، نمونه‌اي از تفسير او را ذكر مي‌كنيم. در ودا گفته شده است كه خداي اينديرا، اهريمني را به نام وريتر مغلوب كرد و پس از مغلوب شدن اين ديو بود كه زمين و آسمان به وجود آمدند. در تفسير اين داستان، تريكها مي‌نويسد: «وريتر را ابر و سحاب گويند؛ مقصود نبولا </w:t>
      </w:r>
      <w:r w:rsidRPr="00406624">
        <w:rPr>
          <w:rFonts w:cs="B Zar"/>
        </w:rPr>
        <w:t>(Nabuala)</w:t>
      </w:r>
      <w:r w:rsidRPr="00406624">
        <w:rPr>
          <w:rFonts w:cs="B Zar" w:hint="cs"/>
          <w:rtl/>
        </w:rPr>
        <w:t xml:space="preserve"> يا ابر غليظ گازها و غبارهايي است كه بنا به تئوري علمي در آغاز به خورشيد نزديك شد. مقصود از خداي اينديرا خورشيد است. وقتي اين ابر غليظ گاز، به خورشيد نزديك شد، در نتيجه كشش خورشيدي با آن اصطكاك پيدا كرد. حرارت شديد آفتاب گازها را به حالت جوشش درآورد، اين سحاب ديوپيكر، گازها و غبارها، پيرامون خورشيد پراگنده شد و از آن، زمين و ساير اجرام منظومه شمسي به وجود آمدند. مقصود ودا از اينكه زمين و آسمان پس از برخورد خداي اينديرا با اهريمن يا وريتر صورت گرفت، همين است.»</w:t>
      </w:r>
      <w:r>
        <w:rPr>
          <w:rStyle w:val="FootnoteReference"/>
          <w:rFonts w:cs="B Zar"/>
          <w:rtl/>
        </w:rPr>
        <w:footnoteReference w:id="211"/>
      </w:r>
    </w:p>
    <w:p w:rsidR="0011420A" w:rsidRPr="00406624" w:rsidP="003C0EF5">
      <w:pPr>
        <w:widowControl w:val="0"/>
        <w:spacing w:line="420" w:lineRule="exact"/>
        <w:ind w:left="0" w:right="0"/>
        <w:jc w:val="both"/>
        <w:rPr>
          <w:rFonts w:cs="B Zar" w:hint="cs"/>
          <w:rtl/>
        </w:rPr>
      </w:pPr>
      <w:r w:rsidRPr="00406624">
        <w:rPr>
          <w:rFonts w:cs="B Zar" w:hint="cs"/>
          <w:rtl/>
        </w:rPr>
        <w:t>آشكار است كه با اين روش تفسيري، هرچيزي را در هر كتاب مي‌توان پيدا كرد و از گفته‌هاي يك روستائي ساده دل، فلسفه افلاطون و ارسطو درست كرد! يك نمونه بارز ديگر اين روش، كتابي است به عنوان «فلسفه خلقت ودا» كه دكتر بي. آر. يادو آنرا نگاشته است.</w:t>
      </w:r>
      <w:r>
        <w:rPr>
          <w:rStyle w:val="FootnoteReference"/>
          <w:rFonts w:cs="B Zar"/>
          <w:rtl/>
        </w:rPr>
        <w:footnoteReference w:id="212"/>
      </w:r>
      <w:r w:rsidRPr="00406624">
        <w:rPr>
          <w:rFonts w:cs="B Zar" w:hint="cs"/>
          <w:rtl/>
        </w:rPr>
        <w:t xml:space="preserve"> در كتاب اخير كل تئوري اينشتاين و نيز تازه‌ترين نظريات علوم تجربي راجع به خلقت كائنات را به فرازهائي از ودا ارجاع داده است. بنا به گفته او مقصود از اينديرا، آگني، وارونا، سوريه و سي و سه تن از خدايان در ودا، عناصر شيميائي، نظير: اكسيژن، هيدروژن و غيره و سلول‌هاي بدن انسان مي‌باشد. مقصود از همكاري اينديرا و آگني، آميزش گاز اكسيژن و هيدروژن است. از اين روست كه وقتي آريائيان آب يا باران مي‌خواستند، اينديرا و آگني را تمجيد مي كردند! اگر ما تفسير مفسران علم زده، نظير دكتر يادو را بپذيريم، در آن صورت بايد اذعان كرد كه ودا كتاب ديني نيست. منحصراً يك رساله بزرگ فيزيك و شيمي و بيولوژي است، و جاي آن در حجره‌هاي برهمنان نبايد باشد، بلكه آنرا بايد در لابراتوار فيزيكدانان جستجو كرد.</w:t>
      </w:r>
    </w:p>
    <w:p w:rsidR="0011420A" w:rsidRPr="00406624" w:rsidP="003C0EF5">
      <w:pPr>
        <w:widowControl w:val="0"/>
        <w:spacing w:line="420" w:lineRule="exact"/>
        <w:ind w:left="0" w:right="0"/>
        <w:jc w:val="both"/>
        <w:rPr>
          <w:rFonts w:cs="B Zar" w:hint="cs"/>
          <w:rtl/>
        </w:rPr>
      </w:pPr>
      <w:r w:rsidRPr="00406624">
        <w:rPr>
          <w:rFonts w:cs="B Zar" w:hint="cs"/>
          <w:rtl/>
        </w:rPr>
        <w:t>اينگونه روش تفسير يا تاويل كه بيش و كم در تمام جوامع و فرهنگ‌هاي ديني ديده مي‌شود، از نظر تحليل رواني مبتني بر دو «عقده» است؛ عقده حقارت يا خود باختگي در برابر علوم تجربي غربي و عقده عدم ايمان يا عدم اطمينان نسبت به جاذبيت متون مقدس خود. عقده حقارت يا علم زدگي، بدين معنا است كه مفسران به طور ناآگاهانه باور دارند كه والاترين سلسله «حقايق» را فيزيك و ساير علوم تجربي كشف مي‌كنند، و براي مترقي جلوه دادن «متون مقدس» لازم است كه هر طوري شده اين «حقائق» را در آن پيدا كنند، ناگاه از اين نكته كه اكثر يافته‌هاي علم به خصوص در زمينه چگونگي تشكيل و آفرينش جهان و خلقت منظومه هاي شمسي و كوه و دريا، و نيز چگونگي آغاز زندگي نباتي، حيواني و انساني بر كره زمين كه هنوز بيش از يك فرضيه نيستند، علم چيزي را حقيقت تام نمي‌پندارد، بلكه هميشه مي‌گويد: تا حال چنين ثابت شده است و اگر چيز ديگري ثابت شود، نظريه پيشين نفي مي‌شود. مفسراني كه امروزه با هزار مشكل،با كش دادن كلمات و عدول آنان از معاني ظاهري، و بدون هيچ قرينه، متون ديني را با تئوري‌ها و فرضيه‌ها منطبق مي‌كنند، فردا اگر خود علوم تجربي، فرضيه‌ها و تئوريها را رها كردند و نادرست بودن آنرا ثابت نمودند، چه وضعي خواهند يافت؟ آيا با اين عمل خود، متون مقدسي را كه مبتني بر «وحي الهي» و اصول ثابت است، خدشه دار نكرده‌اند؟</w:t>
      </w:r>
    </w:p>
    <w:p w:rsidR="0011420A" w:rsidRPr="00406624" w:rsidP="003C0EF5">
      <w:pPr>
        <w:widowControl w:val="0"/>
        <w:spacing w:line="420" w:lineRule="exact"/>
        <w:ind w:left="0" w:right="0"/>
        <w:jc w:val="both"/>
        <w:rPr>
          <w:rFonts w:cs="B Zar" w:hint="cs"/>
          <w:rtl/>
        </w:rPr>
      </w:pPr>
      <w:r w:rsidRPr="00406624">
        <w:rPr>
          <w:rFonts w:cs="B Zar" w:hint="cs"/>
          <w:rtl/>
        </w:rPr>
        <w:t>عقده دوم كه مبناي اينگونه تلاش‌هاي تفسيري است، عدم اطمينان نسبت به اين مسئله است كه آيا «حقائق ديني» در قرن بيستم مي توانند در برابر «حقائق علمي» قد علم كنند؟ و آيا مطالب متون مقدس براي انسان علمزده امروز مي‌تواند جاذبه‌اي داشته باشد؟ دغدغه اينان بي مورد بوده است؛ چرا كه «حقائق ديني» از سنخ ديگرند؛ آنان حقائق ماوراي آزمون و حس مي‌باشند؛ اعتبار آن هيچگاه كمتر از حقائق آزمودني علمی نيست. تازه انسان عصر علم، بيش از هر زمان و هر دوره، تشنه معرفت ديني و ايمان مذهبي است. رواج مكاتب عرفاني هندو چين، تصوف و ذن در بوديسم و جنبشهاي هندوئي در آمريكا و اروپا كه كانون فعاليتهاي علوم تجربي مي باشند، به خاطر تفسيرهاي علم زده اينان نيست، بلكه به خاطر جوهر ديني و عرفاني اين مكاتب است. كساني كه به نام تفسير به پرده پوشي مفاهيم داخلي متون مقدس و انكار ماهيت ديني و مفاهيم صريح آن مي‌پردازند، به خيال خام خود از متون خود «خرافه زدايي» كرده و آن را با زيور علم مي‌آرايند، تا براي ذهن و انديشه امروزي قابل قبول شود، ولي در واقع با ماوراء‌الطبيعه زدائي، به دين‌زدايي مي‌پردازند. آنان كه از مجله‌هاي روز، و كتابهاي پراكنده و كتب درسي فيزيك و شيمي و بيولوژي، مباحث سطحي علوم تجربي و يا فرضيه‌هاي اين علوم را به زور بر «متن مقدس» خود تحميل مي‌كنند، در واقع با اين شيوه متون مقدس خود را سبك كرده، آن متون را تا سطح كتب درسي آموزش متوسطه كاهش مي‌دهند.</w:t>
      </w:r>
      <w:r>
        <w:rPr>
          <w:rStyle w:val="FootnoteReference"/>
          <w:rFonts w:cs="B Zar"/>
          <w:rtl/>
        </w:rPr>
        <w:footnoteReference w:id="213"/>
      </w:r>
    </w:p>
    <w:p w:rsidR="008841E6" w:rsidRPr="00406624" w:rsidP="003C0EF5">
      <w:pPr>
        <w:widowControl w:val="0"/>
        <w:spacing w:line="420" w:lineRule="exact"/>
        <w:ind w:left="0" w:right="0"/>
        <w:jc w:val="both"/>
        <w:rPr>
          <w:rFonts w:cs="B Zar" w:hint="cs"/>
          <w:rtl/>
        </w:rPr>
      </w:pPr>
    </w:p>
    <w:p w:rsidR="0011420A" w:rsidRPr="00EC7B02" w:rsidP="003C0EF5">
      <w:pPr>
        <w:pStyle w:val="Heading2"/>
        <w:keepNext w:val="0"/>
        <w:widowControl w:val="0"/>
        <w:spacing w:line="420" w:lineRule="exact"/>
        <w:ind w:left="0" w:right="0"/>
        <w:jc w:val="center"/>
        <w:rPr>
          <w:rFonts w:cs="B Zar"/>
          <w:sz w:val="28"/>
          <w:szCs w:val="28"/>
        </w:rPr>
      </w:pPr>
      <w:r w:rsidRPr="00EC7B02">
        <w:rPr>
          <w:rFonts w:cs="B Zar" w:hint="eastAsia"/>
          <w:sz w:val="28"/>
          <w:szCs w:val="28"/>
          <w:rtl/>
        </w:rPr>
        <w:t>مآخذ</w:t>
      </w:r>
      <w:r w:rsidRPr="00EC7B02">
        <w:rPr>
          <w:rFonts w:cs="B Zar"/>
          <w:sz w:val="28"/>
          <w:szCs w:val="28"/>
          <w:rtl/>
        </w:rPr>
        <w:t xml:space="preserve"> </w:t>
      </w:r>
      <w:r w:rsidRPr="00EC7B02">
        <w:rPr>
          <w:rFonts w:cs="B Zar" w:hint="eastAsia"/>
          <w:sz w:val="28"/>
          <w:szCs w:val="28"/>
          <w:rtl/>
        </w:rPr>
        <w:t>بخش</w:t>
      </w:r>
    </w:p>
    <w:p w:rsidR="0011420A" w:rsidRPr="00406624" w:rsidP="003C0EF5">
      <w:pPr>
        <w:widowControl w:val="0"/>
        <w:spacing w:line="420" w:lineRule="exact"/>
        <w:ind w:left="0" w:right="0"/>
        <w:jc w:val="both"/>
        <w:rPr>
          <w:rFonts w:cs="B Zar"/>
        </w:rPr>
      </w:pPr>
    </w:p>
    <w:tbl>
      <w:tblPr>
        <w:tblStyle w:val="TableNormal"/>
        <w:tblW w:w="5000" w:type="pct"/>
        <w:tblLook w:val="0000"/>
      </w:tblPr>
      <w:tblGrid>
        <w:gridCol w:w="6453"/>
      </w:tblGrid>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VEDAS:</w:t>
            </w:r>
          </w:p>
          <w:p w:rsidR="0011420A" w:rsidRPr="00406624" w:rsidP="003C0EF5">
            <w:pPr>
              <w:widowControl w:val="0"/>
              <w:numPr>
                <w:ilvl w:val="1"/>
                <w:numId w:val="20"/>
              </w:numPr>
              <w:tabs>
                <w:tab w:val="clear" w:pos="1440"/>
              </w:tabs>
              <w:bidi w:val="0"/>
              <w:spacing w:line="420" w:lineRule="exact"/>
              <w:ind w:left="720" w:right="0"/>
              <w:rPr>
                <w:rFonts w:cs="B Zar"/>
              </w:rPr>
            </w:pPr>
            <w:r w:rsidRPr="00406624">
              <w:rPr>
                <w:rFonts w:cs="B Zar"/>
              </w:rPr>
              <w:t xml:space="preserve">Rigveda Samhitta with </w:t>
            </w:r>
            <w:r w:rsidRPr="00406624">
              <w:rPr>
                <w:rFonts w:cs="B Zar"/>
              </w:rPr>
              <w:t>Pada Text, with Sayana’s Commentary,  4. vol, 1933, Poone</w:t>
            </w:r>
          </w:p>
          <w:p w:rsidR="0011420A" w:rsidRPr="00406624" w:rsidP="003C0EF5">
            <w:pPr>
              <w:widowControl w:val="0"/>
              <w:numPr>
                <w:ilvl w:val="1"/>
                <w:numId w:val="20"/>
              </w:numPr>
              <w:tabs>
                <w:tab w:val="clear" w:pos="1440"/>
              </w:tabs>
              <w:bidi w:val="0"/>
              <w:spacing w:line="420" w:lineRule="exact"/>
              <w:ind w:left="720" w:right="0"/>
              <w:rPr>
                <w:rFonts w:cs="B Zar"/>
              </w:rPr>
            </w:pPr>
            <w:r w:rsidRPr="00406624">
              <w:rPr>
                <w:rFonts w:cs="B Zar"/>
              </w:rPr>
              <w:t>Rig Veda ed by Max Muller, 2</w:t>
            </w:r>
            <w:r w:rsidRPr="00406624">
              <w:rPr>
                <w:rFonts w:cs="B Zar"/>
                <w:vertAlign w:val="superscript"/>
              </w:rPr>
              <w:t>nd</w:t>
            </w:r>
            <w:r w:rsidRPr="00406624">
              <w:rPr>
                <w:rFonts w:cs="B Zar"/>
              </w:rPr>
              <w:t xml:space="preserve"> ed 1890</w:t>
            </w:r>
          </w:p>
          <w:p w:rsidR="0011420A" w:rsidRPr="00406624" w:rsidP="003C0EF5">
            <w:pPr>
              <w:widowControl w:val="0"/>
              <w:numPr>
                <w:ilvl w:val="1"/>
                <w:numId w:val="20"/>
              </w:numPr>
              <w:tabs>
                <w:tab w:val="clear" w:pos="1440"/>
              </w:tabs>
              <w:bidi w:val="0"/>
              <w:spacing w:line="420" w:lineRule="exact"/>
              <w:ind w:left="720" w:right="0"/>
              <w:rPr>
                <w:rFonts w:cs="B Zar"/>
              </w:rPr>
            </w:pPr>
            <w:r w:rsidRPr="00406624">
              <w:rPr>
                <w:rFonts w:cs="B Zar"/>
              </w:rPr>
              <w:t xml:space="preserve">Rigveda Tr by H. Grassman, </w:t>
            </w:r>
            <w:smartTag w:uri="urn:schemas-microsoft-com:office:smarttags" w:element="place">
              <w:smartTag w:uri="urn:schemas-microsoft-com:office:smarttags" w:element="City">
                <w:r w:rsidRPr="00406624">
                  <w:rPr>
                    <w:rFonts w:cs="B Zar"/>
                  </w:rPr>
                  <w:t>Leipzig</w:t>
                </w:r>
              </w:smartTag>
            </w:smartTag>
            <w:r w:rsidRPr="00406624">
              <w:rPr>
                <w:rFonts w:cs="B Zar"/>
              </w:rPr>
              <w:t>, 1876</w:t>
            </w:r>
          </w:p>
          <w:p w:rsidR="0011420A" w:rsidRPr="00406624" w:rsidP="003C0EF5">
            <w:pPr>
              <w:widowControl w:val="0"/>
              <w:bidi w:val="0"/>
              <w:spacing w:line="420" w:lineRule="exact"/>
              <w:ind w:left="360"/>
              <w:rPr>
                <w:rFonts w:cs="B Zar"/>
              </w:rPr>
            </w:pPr>
            <w:r w:rsidRPr="00406624">
              <w:rPr>
                <w:rFonts w:cs="B Zar"/>
              </w:rPr>
              <w:t xml:space="preserve">-  Rigveda for the Layman Tr and selected by Shyam Ghosh, </w:t>
            </w:r>
            <w:r w:rsidR="00A623E5">
              <w:rPr>
                <w:rFonts w:cs="B Zar"/>
              </w:rPr>
              <w:t xml:space="preserve">    </w:t>
            </w:r>
            <w:smartTag w:uri="urn:schemas-microsoft-com:office:smarttags" w:element="place">
              <w:smartTag w:uri="urn:schemas-microsoft-com:office:smarttags" w:element="City">
                <w:r w:rsidRPr="00406624">
                  <w:rPr>
                    <w:rFonts w:cs="B Zar"/>
                  </w:rPr>
                  <w:t>Ca</w:t>
                </w:r>
                <w:r w:rsidR="00A623E5">
                  <w:rPr>
                    <w:rFonts w:cs="B Zar"/>
                  </w:rPr>
                  <w:t>l</w:t>
                </w:r>
                <w:r w:rsidRPr="00406624">
                  <w:rPr>
                    <w:rFonts w:cs="B Zar"/>
                  </w:rPr>
                  <w:t>cutta</w:t>
                </w:r>
              </w:smartTag>
            </w:smartTag>
            <w:r w:rsidRPr="00406624">
              <w:rPr>
                <w:rFonts w:cs="B Zar"/>
              </w:rPr>
              <w:t>, 1952</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Hymns of the Rigveda Tr by  R.T.H. Griffith, Benarus, 1896</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Rig-Veda Samhita, Tr by H.H. Wilson, </w:t>
            </w:r>
            <w:smartTag w:uri="urn:schemas-microsoft-com:office:smarttags" w:element="place">
              <w:smartTag w:uri="urn:schemas-microsoft-com:office:smarttags" w:element="City">
                <w:r w:rsidRPr="00406624">
                  <w:rPr>
                    <w:rFonts w:cs="B Zar"/>
                  </w:rPr>
                  <w:t>New Delhi</w:t>
                </w:r>
              </w:smartTag>
            </w:smartTag>
            <w:r w:rsidRPr="00406624">
              <w:rPr>
                <w:rFonts w:cs="B Zar"/>
              </w:rPr>
              <w:t>, 1965</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w:t>
            </w:r>
            <w:r w:rsidR="00A623E5">
              <w:rPr>
                <w:rFonts w:cs="B Zar"/>
              </w:rPr>
              <w:t xml:space="preserve"> </w:t>
            </w:r>
            <w:r w:rsidRPr="00406624">
              <w:rPr>
                <w:rFonts w:cs="B Zar"/>
              </w:rPr>
              <w:t>Sama Veda Tr</w:t>
            </w:r>
            <w:r w:rsidR="00D81737">
              <w:rPr>
                <w:rFonts w:cs="B Zar"/>
              </w:rPr>
              <w:t>.</w:t>
            </w:r>
            <w:r w:rsidRPr="00406624">
              <w:rPr>
                <w:rFonts w:cs="B Zar"/>
              </w:rPr>
              <w:t xml:space="preserve"> by T.H. Benfey, </w:t>
            </w:r>
            <w:smartTag w:uri="urn:schemas-microsoft-com:office:smarttags" w:element="place">
              <w:smartTag w:uri="urn:schemas-microsoft-com:office:smarttags" w:element="City">
                <w:r w:rsidRPr="00406624">
                  <w:rPr>
                    <w:rFonts w:cs="B Zar"/>
                  </w:rPr>
                  <w:t>Leipzig</w:t>
                </w:r>
              </w:smartTag>
            </w:smartTag>
            <w:r w:rsidRPr="00406624">
              <w:rPr>
                <w:rFonts w:cs="B Zar"/>
              </w:rPr>
              <w:t>, 1848</w:t>
            </w:r>
          </w:p>
          <w:p w:rsidR="0011420A" w:rsidRPr="00406624" w:rsidP="003C0EF5">
            <w:pPr>
              <w:widowControl w:val="0"/>
              <w:bidi w:val="0"/>
              <w:spacing w:line="420" w:lineRule="exact"/>
              <w:ind w:left="360"/>
              <w:rPr>
                <w:rFonts w:cs="B Zar"/>
              </w:rPr>
            </w:pPr>
            <w:r w:rsidRPr="00406624">
              <w:rPr>
                <w:rFonts w:cs="B Zar"/>
              </w:rPr>
              <w:t xml:space="preserve">- Sama Veda with Text, </w:t>
            </w:r>
            <w:smartTag w:uri="urn:schemas-microsoft-com:office:smarttags" w:element="place">
              <w:smartTag w:uri="urn:schemas-microsoft-com:office:smarttags" w:element="City">
                <w:r w:rsidRPr="00406624">
                  <w:rPr>
                    <w:rFonts w:cs="B Zar"/>
                  </w:rPr>
                  <w:t>Calcutta</w:t>
                </w:r>
              </w:smartTag>
            </w:smartTag>
            <w:r w:rsidRPr="00406624">
              <w:rPr>
                <w:rFonts w:cs="B Zar"/>
              </w:rPr>
              <w:t>, 1872</w:t>
            </w:r>
          </w:p>
          <w:p w:rsidR="0011420A" w:rsidRPr="00406624" w:rsidP="003C0EF5">
            <w:pPr>
              <w:widowControl w:val="0"/>
              <w:bidi w:val="0"/>
              <w:spacing w:line="420" w:lineRule="exact"/>
              <w:ind w:left="360"/>
              <w:rPr>
                <w:rFonts w:cs="B Zar"/>
              </w:rPr>
            </w:pPr>
            <w:r w:rsidRPr="00406624">
              <w:rPr>
                <w:rFonts w:cs="B Zar"/>
              </w:rPr>
              <w:t xml:space="preserve">- Sama-Veda  Tr by S.V. Ganapati, Benarsi Das, </w:t>
            </w:r>
            <w:smartTag w:uri="urn:schemas-microsoft-com:office:smarttags" w:element="place">
              <w:smartTag w:uri="urn:schemas-microsoft-com:office:smarttags" w:element="City">
                <w:r w:rsidRPr="00406624">
                  <w:rPr>
                    <w:rFonts w:cs="B Zar"/>
                  </w:rPr>
                  <w:t>New Delhi</w:t>
                </w:r>
              </w:smartTag>
            </w:smartTag>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Samaveda Samhita Tr by Ravi Prakash, Munshiram, </w:t>
            </w:r>
            <w:smartTag w:uri="urn:schemas-microsoft-com:office:smarttags" w:element="place">
              <w:smartTag w:uri="urn:schemas-microsoft-com:office:smarttags" w:element="City">
                <w:r w:rsidRPr="00406624">
                  <w:rPr>
                    <w:rFonts w:cs="B Zar"/>
                  </w:rPr>
                  <w:t>New Delhi</w:t>
                </w:r>
              </w:smartTag>
            </w:smartTag>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Atharva-Veda Samhita, with Sayana’s Commentary, ed S. P. Pandit, </w:t>
            </w:r>
            <w:smartTag w:uri="urn:schemas-microsoft-com:office:smarttags" w:element="place">
              <w:smartTag w:uri="urn:schemas-microsoft-com:office:smarttags" w:element="City">
                <w:r w:rsidRPr="00406624">
                  <w:rPr>
                    <w:rFonts w:cs="B Zar"/>
                  </w:rPr>
                  <w:t>Bombay</w:t>
                </w:r>
              </w:smartTag>
            </w:smartTag>
            <w:r w:rsidRPr="00406624">
              <w:rPr>
                <w:rFonts w:cs="B Zar"/>
              </w:rPr>
              <w:t>, 1898</w:t>
            </w:r>
          </w:p>
          <w:p w:rsidR="0011420A" w:rsidRPr="00406624" w:rsidP="003C0EF5">
            <w:pPr>
              <w:widowControl w:val="0"/>
              <w:bidi w:val="0"/>
              <w:spacing w:line="420" w:lineRule="exact"/>
              <w:ind w:left="360"/>
              <w:rPr>
                <w:rFonts w:cs="B Zar"/>
              </w:rPr>
            </w:pPr>
            <w:r w:rsidRPr="00406624">
              <w:rPr>
                <w:rFonts w:cs="B Zar"/>
              </w:rPr>
              <w:t xml:space="preserve">Atharva-Veda Samhita, Tr by William Dwight, </w:t>
            </w:r>
            <w:smartTag w:uri="urn:schemas-microsoft-com:office:smarttags" w:element="place">
              <w:smartTag w:uri="urn:schemas-microsoft-com:office:smarttags" w:element="City">
                <w:r w:rsidRPr="00406624">
                  <w:rPr>
                    <w:rFonts w:cs="B Zar"/>
                  </w:rPr>
                  <w:t>London</w:t>
                </w:r>
              </w:smartTag>
            </w:smartTag>
            <w:r w:rsidRPr="00406624">
              <w:rPr>
                <w:rFonts w:cs="B Zar"/>
              </w:rPr>
              <w:t>, 1952</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Hymns of the Atharva-Veda, Tr by M. Bloomfield, </w:t>
            </w:r>
            <w:smartTag w:uri="urn:schemas-microsoft-com:office:smarttags" w:element="place">
              <w:smartTag w:uri="urn:schemas-microsoft-com:office:smarttags" w:element="City">
                <w:r w:rsidRPr="00406624">
                  <w:rPr>
                    <w:rFonts w:cs="B Zar"/>
                  </w:rPr>
                  <w:t>Oxford</w:t>
                </w:r>
              </w:smartTag>
            </w:smartTag>
            <w:r w:rsidRPr="00406624">
              <w:rPr>
                <w:rFonts w:cs="B Zar"/>
              </w:rPr>
              <w:t>, 1897</w:t>
            </w:r>
          </w:p>
          <w:p w:rsidR="0011420A" w:rsidRPr="00406624" w:rsidP="003C0EF5">
            <w:pPr>
              <w:widowControl w:val="0"/>
              <w:bidi w:val="0"/>
              <w:spacing w:line="420" w:lineRule="exact"/>
              <w:ind w:left="360"/>
              <w:rPr>
                <w:rFonts w:cs="B Zar"/>
                <w:sz w:val="28"/>
                <w:szCs w:val="28"/>
              </w:rPr>
            </w:pPr>
            <w:r w:rsidRPr="00406624">
              <w:rPr>
                <w:rFonts w:cs="B Zar"/>
              </w:rPr>
              <w:t xml:space="preserve">Atharvaveda, ed by R.Roth and W.D. </w:t>
            </w:r>
            <w:smartTag w:uri="urn:schemas-microsoft-com:office:smarttags" w:element="place">
              <w:smartTag w:uri="urn:schemas-microsoft-com:office:smarttags" w:element="City">
                <w:r w:rsidRPr="00406624">
                  <w:rPr>
                    <w:rFonts w:cs="B Zar"/>
                  </w:rPr>
                  <w:t>Whitney</w:t>
                </w:r>
              </w:smartTag>
              <w:r w:rsidRPr="00406624">
                <w:rPr>
                  <w:rFonts w:cs="B Zar"/>
                </w:rPr>
                <w:t xml:space="preserve">, </w:t>
              </w:r>
              <w:smartTag w:uri="urn:schemas-microsoft-com:office:smarttags" w:element="State">
                <w:r w:rsidRPr="00406624">
                  <w:rPr>
                    <w:rFonts w:cs="B Zar"/>
                  </w:rPr>
                  <w:t>Berlin</w:t>
                </w:r>
              </w:smartTag>
            </w:smartTag>
            <w:r w:rsidRPr="00406624">
              <w:rPr>
                <w:rFonts w:cs="B Zar"/>
              </w:rPr>
              <w:t>, 1856</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Bruce: Seer of the Fifth Veda, </w:t>
            </w:r>
            <w:smartTag w:uri="urn:schemas-microsoft-com:office:smarttags" w:element="place">
              <w:smartTag w:uri="urn:schemas-microsoft-com:office:smarttags" w:element="City">
                <w:r w:rsidRPr="00406624">
                  <w:rPr>
                    <w:rFonts w:cs="B Zar"/>
                  </w:rPr>
                  <w:t>Bombay</w:t>
                </w:r>
              </w:smartTag>
            </w:smartTag>
            <w:r w:rsidRPr="00406624">
              <w:rPr>
                <w:rFonts w:cs="B Zar"/>
              </w:rPr>
              <w:t>, 1996</w:t>
            </w:r>
          </w:p>
        </w:tc>
      </w:tr>
      <w:tr>
        <w:tblPrEx>
          <w:tblW w:w="5000" w:type="pct"/>
          <w:tblLook w:val="0000"/>
        </w:tblPrEx>
        <w:tc>
          <w:tcPr>
            <w:tcW w:w="5000" w:type="pct"/>
          </w:tcPr>
          <w:p w:rsidR="0011420A" w:rsidRPr="00406624" w:rsidP="003C0EF5">
            <w:pPr>
              <w:widowControl w:val="0"/>
              <w:bidi w:val="0"/>
              <w:spacing w:line="420" w:lineRule="exact"/>
              <w:ind w:left="360"/>
              <w:rPr>
                <w:rFonts w:cs="B Zar"/>
                <w:b/>
                <w:bCs/>
              </w:rPr>
            </w:pPr>
            <w:r w:rsidRPr="00406624">
              <w:rPr>
                <w:rFonts w:cs="B Zar"/>
                <w:b/>
                <w:bCs/>
              </w:rPr>
              <w:t>BRAHMANAS:</w:t>
            </w:r>
          </w:p>
          <w:p w:rsidR="0011420A" w:rsidRPr="00406624" w:rsidP="003C0EF5">
            <w:pPr>
              <w:widowControl w:val="0"/>
              <w:bidi w:val="0"/>
              <w:spacing w:line="420" w:lineRule="exact"/>
              <w:ind w:left="360"/>
              <w:rPr>
                <w:rFonts w:cs="B Zar"/>
                <w:sz w:val="28"/>
                <w:szCs w:val="28"/>
              </w:rPr>
            </w:pPr>
            <w:r w:rsidRPr="00406624">
              <w:rPr>
                <w:rFonts w:cs="B Zar"/>
              </w:rPr>
              <w:t xml:space="preserve">- Satapatha Brahmana, ed A. Weber, </w:t>
            </w:r>
            <w:smartTag w:uri="urn:schemas-microsoft-com:office:smarttags" w:element="place">
              <w:smartTag w:uri="urn:schemas-microsoft-com:office:smarttags" w:element="City">
                <w:r w:rsidRPr="00406624">
                  <w:rPr>
                    <w:rFonts w:cs="B Zar"/>
                  </w:rPr>
                  <w:t>London</w:t>
                </w:r>
              </w:smartTag>
            </w:smartTag>
            <w:r w:rsidRPr="00406624">
              <w:rPr>
                <w:rFonts w:cs="B Zar"/>
              </w:rPr>
              <w:t>, 1885</w:t>
            </w:r>
          </w:p>
          <w:p w:rsidR="0011420A" w:rsidRPr="00406624" w:rsidP="003C0EF5">
            <w:pPr>
              <w:widowControl w:val="0"/>
              <w:bidi w:val="0"/>
              <w:spacing w:line="420" w:lineRule="exact"/>
              <w:ind w:left="360"/>
              <w:rPr>
                <w:rFonts w:cs="B Zar"/>
              </w:rPr>
            </w:pPr>
            <w:r w:rsidRPr="00406624">
              <w:rPr>
                <w:rFonts w:cs="B Zar"/>
              </w:rPr>
              <w:t xml:space="preserve">- Satapatha Brahmana in the Kanviya Recension, Tr by Caland, </w:t>
            </w:r>
            <w:smartTag w:uri="urn:schemas-microsoft-com:office:smarttags" w:element="place">
              <w:smartTag w:uri="urn:schemas-microsoft-com:office:smarttags" w:element="City">
                <w:r w:rsidRPr="00406624">
                  <w:rPr>
                    <w:rFonts w:cs="B Zar"/>
                  </w:rPr>
                  <w:t>New Delhi</w:t>
                </w:r>
              </w:smartTag>
            </w:smartTag>
            <w:r w:rsidRPr="00406624">
              <w:rPr>
                <w:rFonts w:cs="B Zar"/>
              </w:rPr>
              <w:t xml:space="preserve">, </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Satapatha Brahmana, Tr by J. Eggeling, Leipzig, 1895 S.B.E., No. 12, 22, 41. 43</w:t>
            </w:r>
          </w:p>
          <w:p w:rsidR="0011420A" w:rsidRPr="00406624" w:rsidP="003C0EF5">
            <w:pPr>
              <w:widowControl w:val="0"/>
              <w:bidi w:val="0"/>
              <w:spacing w:line="420" w:lineRule="exact"/>
              <w:ind w:left="360"/>
              <w:rPr>
                <w:rFonts w:cs="B Zar"/>
              </w:rPr>
            </w:pPr>
            <w:r w:rsidRPr="00406624">
              <w:rPr>
                <w:rFonts w:cs="B Zar"/>
              </w:rPr>
              <w:t xml:space="preserve">- Artareya Brahmana, ed. T.H. Aufrecht, </w:t>
            </w:r>
            <w:smartTag w:uri="urn:schemas-microsoft-com:office:smarttags" w:element="place">
              <w:smartTag w:uri="urn:schemas-microsoft-com:office:smarttags" w:element="City">
                <w:r w:rsidRPr="00406624">
                  <w:rPr>
                    <w:rFonts w:cs="B Zar"/>
                  </w:rPr>
                  <w:t>Bonn</w:t>
                </w:r>
              </w:smartTag>
            </w:smartTag>
            <w:r w:rsidRPr="00406624">
              <w:rPr>
                <w:rFonts w:cs="B Zar"/>
              </w:rPr>
              <w:t>, 1879</w:t>
            </w:r>
          </w:p>
          <w:p w:rsidR="0011420A" w:rsidRPr="00406624" w:rsidP="003C0EF5">
            <w:pPr>
              <w:widowControl w:val="0"/>
              <w:bidi w:val="0"/>
              <w:spacing w:line="420" w:lineRule="exact"/>
              <w:ind w:left="360"/>
              <w:rPr>
                <w:rFonts w:cs="B Zar"/>
              </w:rPr>
            </w:pPr>
            <w:r w:rsidRPr="00406624">
              <w:rPr>
                <w:rFonts w:cs="B Zar"/>
              </w:rPr>
              <w:t>- Arsheya Brahmana, ed. A. C. Burnell, , Manglore, 1876</w:t>
            </w:r>
          </w:p>
          <w:p w:rsidR="0011420A" w:rsidRPr="00406624" w:rsidP="003C0EF5">
            <w:pPr>
              <w:widowControl w:val="0"/>
              <w:bidi w:val="0"/>
              <w:spacing w:line="420" w:lineRule="exact"/>
              <w:ind w:left="360"/>
              <w:rPr>
                <w:rFonts w:cs="B Zar"/>
              </w:rPr>
            </w:pPr>
            <w:r w:rsidRPr="00406624">
              <w:rPr>
                <w:rFonts w:cs="B Zar"/>
              </w:rPr>
              <w:t xml:space="preserve">- Gopatha Brahmana, ed. Rajendra Lal Mitra, </w:t>
            </w:r>
            <w:smartTag w:uri="urn:schemas-microsoft-com:office:smarttags" w:element="place">
              <w:smartTag w:uri="urn:schemas-microsoft-com:office:smarttags" w:element="City">
                <w:r w:rsidRPr="00406624">
                  <w:rPr>
                    <w:rFonts w:cs="B Zar"/>
                  </w:rPr>
                  <w:t>Calcutta</w:t>
                </w:r>
              </w:smartTag>
            </w:smartTag>
            <w:r w:rsidRPr="00406624">
              <w:rPr>
                <w:rFonts w:cs="B Zar"/>
              </w:rPr>
              <w:t>, 1872</w:t>
            </w:r>
          </w:p>
          <w:p w:rsidR="0011420A" w:rsidRPr="00406624" w:rsidP="003C0EF5">
            <w:pPr>
              <w:widowControl w:val="0"/>
              <w:bidi w:val="0"/>
              <w:spacing w:line="420" w:lineRule="exact"/>
              <w:ind w:left="360"/>
              <w:rPr>
                <w:rFonts w:cs="B Zar"/>
              </w:rPr>
            </w:pPr>
            <w:r w:rsidRPr="00406624">
              <w:rPr>
                <w:rFonts w:cs="B Zar"/>
              </w:rPr>
              <w:t xml:space="preserve">- Kaushitaki Brahmana, ed. E. B. Cowell, </w:t>
            </w:r>
            <w:smartTag w:uri="urn:schemas-microsoft-com:office:smarttags" w:element="place">
              <w:smartTag w:uri="urn:schemas-microsoft-com:office:smarttags" w:element="City">
                <w:r w:rsidRPr="00406624">
                  <w:rPr>
                    <w:rFonts w:cs="B Zar"/>
                  </w:rPr>
                  <w:t>Calcutta</w:t>
                </w:r>
              </w:smartTag>
            </w:smartTag>
            <w:r w:rsidRPr="00406624">
              <w:rPr>
                <w:rFonts w:cs="B Zar"/>
              </w:rPr>
              <w:t>, 1861</w:t>
            </w:r>
          </w:p>
          <w:p w:rsidR="0011420A" w:rsidRPr="00406624" w:rsidP="003C0EF5">
            <w:pPr>
              <w:widowControl w:val="0"/>
              <w:bidi w:val="0"/>
              <w:spacing w:line="420" w:lineRule="exact"/>
              <w:ind w:left="360"/>
              <w:rPr>
                <w:rFonts w:cs="B Zar"/>
              </w:rPr>
            </w:pPr>
            <w:r w:rsidRPr="00406624">
              <w:rPr>
                <w:rFonts w:cs="B Zar"/>
              </w:rPr>
              <w:t xml:space="preserve">- Panchavimsa Brahmana, </w:t>
            </w:r>
            <w:smartTag w:uri="urn:schemas-microsoft-com:office:smarttags" w:element="place">
              <w:smartTag w:uri="urn:schemas-microsoft-com:office:smarttags" w:element="City">
                <w:r w:rsidRPr="00406624">
                  <w:rPr>
                    <w:rFonts w:cs="B Zar"/>
                  </w:rPr>
                  <w:t>Calcutta</w:t>
                </w:r>
              </w:smartTag>
            </w:smartTag>
            <w:r w:rsidRPr="00406624">
              <w:rPr>
                <w:rFonts w:cs="B Zar"/>
              </w:rPr>
              <w:t>, 1869</w:t>
            </w:r>
          </w:p>
          <w:p w:rsidR="0011420A" w:rsidRPr="00406624" w:rsidP="003C0EF5">
            <w:pPr>
              <w:widowControl w:val="0"/>
              <w:bidi w:val="0"/>
              <w:spacing w:line="420" w:lineRule="exact"/>
              <w:ind w:left="360"/>
              <w:rPr>
                <w:rFonts w:cs="B Zar"/>
              </w:rPr>
            </w:pPr>
            <w:r w:rsidRPr="00406624">
              <w:rPr>
                <w:rFonts w:cs="B Zar"/>
              </w:rPr>
              <w:t xml:space="preserve">- Samavidhana Brahmana, ed. A. C. Burnell, </w:t>
            </w:r>
            <w:smartTag w:uri="urn:schemas-microsoft-com:office:smarttags" w:element="place">
              <w:smartTag w:uri="urn:schemas-microsoft-com:office:smarttags" w:element="City">
                <w:r w:rsidRPr="00406624">
                  <w:rPr>
                    <w:rFonts w:cs="B Zar"/>
                  </w:rPr>
                  <w:t>London</w:t>
                </w:r>
              </w:smartTag>
            </w:smartTag>
            <w:r w:rsidRPr="00406624">
              <w:rPr>
                <w:rFonts w:cs="B Zar"/>
              </w:rPr>
              <w:t xml:space="preserve"> 1873</w:t>
            </w:r>
          </w:p>
          <w:p w:rsidR="0011420A" w:rsidRPr="00406624" w:rsidP="003C0EF5">
            <w:pPr>
              <w:widowControl w:val="0"/>
              <w:bidi w:val="0"/>
              <w:spacing w:line="420" w:lineRule="exact"/>
              <w:ind w:left="360"/>
              <w:rPr>
                <w:rFonts w:cs="B Zar"/>
              </w:rPr>
            </w:pPr>
            <w:r w:rsidRPr="00406624">
              <w:rPr>
                <w:rFonts w:cs="B Zar"/>
              </w:rPr>
              <w:t xml:space="preserve">- Taitirya Brahmana, ed. R. Mitra, </w:t>
            </w:r>
            <w:smartTag w:uri="urn:schemas-microsoft-com:office:smarttags" w:element="place">
              <w:smartTag w:uri="urn:schemas-microsoft-com:office:smarttags" w:element="City">
                <w:r w:rsidRPr="00406624">
                  <w:rPr>
                    <w:rFonts w:cs="B Zar"/>
                  </w:rPr>
                  <w:t>Calcutta</w:t>
                </w:r>
              </w:smartTag>
            </w:smartTag>
            <w:r w:rsidRPr="00406624">
              <w:rPr>
                <w:rFonts w:cs="B Zar"/>
              </w:rPr>
              <w:t>, 1855</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Rigveda Brahmanas, Tr. by A.B. Keith, </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Jaiminiya Brahmana of the Samaveda, Tr by Raghuvira</w:t>
            </w:r>
          </w:p>
        </w:tc>
      </w:tr>
      <w:tr>
        <w:tblPrEx>
          <w:tblW w:w="5000" w:type="pct"/>
          <w:tblLook w:val="0000"/>
        </w:tblPrEx>
        <w:tc>
          <w:tcPr>
            <w:tcW w:w="5000" w:type="pct"/>
          </w:tcPr>
          <w:p w:rsidR="0011420A" w:rsidRPr="00406624" w:rsidP="003C0EF5">
            <w:pPr>
              <w:widowControl w:val="0"/>
              <w:bidi w:val="0"/>
              <w:spacing w:line="420" w:lineRule="exact"/>
              <w:ind w:left="360"/>
              <w:rPr>
                <w:rFonts w:cs="B Zar"/>
                <w:b/>
                <w:bCs/>
              </w:rPr>
            </w:pPr>
            <w:r w:rsidRPr="00406624">
              <w:rPr>
                <w:rFonts w:cs="B Zar"/>
                <w:b/>
                <w:bCs/>
              </w:rPr>
              <w:t>UPANISHADS:</w:t>
            </w:r>
          </w:p>
          <w:p w:rsidR="0011420A" w:rsidRPr="00406624" w:rsidP="003C0EF5">
            <w:pPr>
              <w:widowControl w:val="0"/>
              <w:bidi w:val="0"/>
              <w:spacing w:line="420" w:lineRule="exact"/>
              <w:ind w:left="360"/>
              <w:rPr>
                <w:rFonts w:cs="B Zar"/>
              </w:rPr>
            </w:pPr>
            <w:r w:rsidRPr="00406624">
              <w:rPr>
                <w:rFonts w:cs="B Zar"/>
              </w:rPr>
              <w:t xml:space="preserve">- Brihadaranyaka Upanishad, ed. O. Bohtink, </w:t>
            </w:r>
            <w:smartTag w:uri="urn:schemas-microsoft-com:office:smarttags" w:element="place">
              <w:smartTag w:uri="urn:schemas-microsoft-com:office:smarttags" w:element="City">
                <w:r w:rsidRPr="00406624">
                  <w:rPr>
                    <w:rFonts w:cs="B Zar"/>
                  </w:rPr>
                  <w:t>Leipzig</w:t>
                </w:r>
              </w:smartTag>
            </w:smartTag>
            <w:r w:rsidRPr="00406624">
              <w:rPr>
                <w:rFonts w:cs="B Zar"/>
              </w:rPr>
              <w:t>, 1889</w:t>
            </w:r>
          </w:p>
          <w:p w:rsidR="0011420A" w:rsidRPr="00406624" w:rsidP="003C0EF5">
            <w:pPr>
              <w:widowControl w:val="0"/>
              <w:bidi w:val="0"/>
              <w:spacing w:line="420" w:lineRule="exact"/>
              <w:ind w:left="360"/>
              <w:rPr>
                <w:rFonts w:cs="B Zar"/>
              </w:rPr>
            </w:pPr>
            <w:r w:rsidRPr="00406624">
              <w:rPr>
                <w:rFonts w:cs="B Zar"/>
              </w:rPr>
              <w:t xml:space="preserve">- Chandogya Upanishad, ed. O. Bohtink, </w:t>
            </w:r>
            <w:smartTag w:uri="urn:schemas-microsoft-com:office:smarttags" w:element="place">
              <w:smartTag w:uri="urn:schemas-microsoft-com:office:smarttags" w:element="City">
                <w:r w:rsidRPr="00406624">
                  <w:rPr>
                    <w:rFonts w:cs="B Zar"/>
                  </w:rPr>
                  <w:t>Leipzig</w:t>
                </w:r>
              </w:smartTag>
            </w:smartTag>
            <w:r w:rsidRPr="00406624">
              <w:rPr>
                <w:rFonts w:cs="B Zar"/>
              </w:rPr>
              <w:t>,  1889</w:t>
            </w:r>
          </w:p>
          <w:p w:rsidR="0011420A" w:rsidRPr="00406624" w:rsidP="003C0EF5">
            <w:pPr>
              <w:widowControl w:val="0"/>
              <w:bidi w:val="0"/>
              <w:spacing w:line="420" w:lineRule="exact"/>
              <w:ind w:left="360"/>
              <w:rPr>
                <w:rFonts w:cs="B Zar"/>
              </w:rPr>
            </w:pPr>
            <w:r w:rsidRPr="00406624">
              <w:rPr>
                <w:rFonts w:cs="B Zar"/>
              </w:rPr>
              <w:t xml:space="preserve">- The Principle Upanishads, ed. and tr. by Dr Radhakrishnan, </w:t>
            </w:r>
            <w:smartTag w:uri="urn:schemas-microsoft-com:office:smarttags" w:element="place">
              <w:smartTag w:uri="urn:schemas-microsoft-com:office:smarttags" w:element="City">
                <w:r w:rsidRPr="00406624">
                  <w:rPr>
                    <w:rFonts w:cs="B Zar"/>
                  </w:rPr>
                  <w:t>New Delhi</w:t>
                </w:r>
              </w:smartTag>
            </w:smartTag>
            <w:r w:rsidRPr="00406624">
              <w:rPr>
                <w:rFonts w:cs="B Zar"/>
              </w:rPr>
              <w:t>, 1982</w:t>
            </w:r>
          </w:p>
          <w:p w:rsidR="0011420A" w:rsidRPr="00406624" w:rsidP="003C0EF5">
            <w:pPr>
              <w:widowControl w:val="0"/>
              <w:bidi w:val="0"/>
              <w:spacing w:line="420" w:lineRule="exact"/>
              <w:ind w:left="360"/>
              <w:rPr>
                <w:rFonts w:cs="B Zar"/>
              </w:rPr>
            </w:pPr>
            <w:r w:rsidRPr="00406624">
              <w:rPr>
                <w:rFonts w:cs="B Zar"/>
              </w:rPr>
              <w:t xml:space="preserve">- Sixty Upanishads of Veda, ed. and Tr. by Paul Deusson, Benarsi Das. </w:t>
            </w:r>
            <w:smartTag w:uri="urn:schemas-microsoft-com:office:smarttags" w:element="place">
              <w:smartTag w:uri="urn:schemas-microsoft-com:office:smarttags" w:element="City">
                <w:r w:rsidRPr="00406624">
                  <w:rPr>
                    <w:rFonts w:cs="B Zar"/>
                  </w:rPr>
                  <w:t>New Delhi</w:t>
                </w:r>
              </w:smartTag>
            </w:smartTag>
            <w:r w:rsidRPr="00406624">
              <w:rPr>
                <w:rFonts w:cs="B Zar"/>
              </w:rPr>
              <w:t>. 1984</w:t>
            </w:r>
          </w:p>
          <w:p w:rsidR="0011420A" w:rsidRPr="00406624" w:rsidP="003C0EF5">
            <w:pPr>
              <w:widowControl w:val="0"/>
              <w:bidi w:val="0"/>
              <w:spacing w:line="420" w:lineRule="exact"/>
              <w:ind w:left="360"/>
              <w:rPr>
                <w:rFonts w:cs="B Zar"/>
              </w:rPr>
            </w:pPr>
            <w:r w:rsidRPr="00406624">
              <w:rPr>
                <w:rFonts w:cs="B Zar"/>
              </w:rPr>
              <w:t xml:space="preserve">- Brahdaranyaka Upanishad, Banarsidas, </w:t>
            </w:r>
            <w:smartTag w:uri="urn:schemas-microsoft-com:office:smarttags" w:element="place">
              <w:smartTag w:uri="urn:schemas-microsoft-com:office:smarttags" w:element="City">
                <w:r w:rsidRPr="00406624">
                  <w:rPr>
                    <w:rFonts w:cs="B Zar"/>
                  </w:rPr>
                  <w:t>New Delhi</w:t>
                </w:r>
              </w:smartTag>
            </w:smartTag>
            <w:r w:rsidRPr="00406624">
              <w:rPr>
                <w:rFonts w:cs="B Zar"/>
              </w:rPr>
              <w:t>, 1975, Ramakrishna Mission, 1992</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Isa Upanishad,  </w:t>
            </w:r>
            <w:smartTag w:uri="urn:schemas-microsoft-com:office:smarttags" w:element="City">
              <w:r w:rsidRPr="00406624">
                <w:rPr>
                  <w:rFonts w:cs="B Zar"/>
                </w:rPr>
                <w:t>New Delhi</w:t>
              </w:r>
            </w:smartTag>
            <w:r w:rsidRPr="00406624">
              <w:rPr>
                <w:rFonts w:cs="B Zar"/>
              </w:rPr>
              <w:t xml:space="preserve"> , RM </w:t>
            </w:r>
            <w:smartTag w:uri="urn:schemas-microsoft-com:office:smarttags" w:element="City">
              <w:r w:rsidRPr="00406624">
                <w:rPr>
                  <w:rFonts w:cs="B Zar"/>
                </w:rPr>
                <w:t>Mission</w:t>
              </w:r>
            </w:smartTag>
            <w:r w:rsidRPr="00406624">
              <w:rPr>
                <w:rFonts w:cs="B Zar"/>
              </w:rPr>
              <w:t xml:space="preserve">, </w:t>
            </w:r>
            <w:smartTag w:uri="urn:schemas-microsoft-com:office:smarttags" w:element="place">
              <w:smartTag w:uri="urn:schemas-microsoft-com:office:smarttags" w:element="City">
                <w:r w:rsidRPr="00406624">
                  <w:rPr>
                    <w:rFonts w:cs="B Zar"/>
                  </w:rPr>
                  <w:t>New Delhi</w:t>
                </w:r>
              </w:smartTag>
            </w:smartTag>
            <w:r w:rsidRPr="00406624">
              <w:rPr>
                <w:rFonts w:cs="B Zar"/>
              </w:rPr>
              <w:t>, 1998</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Katha Upanishad, in Sixty Upanishads of Veda, ed. and Tr. by Paul Deusson</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Mundaka Upanishad, in The Principle Upanishads, ed. and tr. by Dr Radhakrishnan</w:t>
            </w:r>
          </w:p>
        </w:tc>
      </w:tr>
      <w:tr>
        <w:tblPrEx>
          <w:tblW w:w="5000" w:type="pct"/>
          <w:tblLook w:val="0000"/>
        </w:tblPrEx>
        <w:tc>
          <w:tcPr>
            <w:tcW w:w="5000" w:type="pct"/>
          </w:tcPr>
          <w:p w:rsidR="0011420A" w:rsidRPr="00406624" w:rsidP="003C0EF5">
            <w:pPr>
              <w:widowControl w:val="0"/>
              <w:bidi w:val="0"/>
              <w:spacing w:line="420" w:lineRule="exact"/>
              <w:ind w:left="360"/>
              <w:rPr>
                <w:rFonts w:cs="B Zar"/>
                <w:b/>
                <w:bCs/>
              </w:rPr>
            </w:pPr>
            <w:r w:rsidRPr="00406624">
              <w:rPr>
                <w:rFonts w:cs="B Zar"/>
                <w:b/>
                <w:bCs/>
              </w:rPr>
              <w:t>PURANAS:</w:t>
            </w:r>
          </w:p>
          <w:p w:rsidR="0011420A" w:rsidRPr="00406624" w:rsidP="003C0EF5">
            <w:pPr>
              <w:widowControl w:val="0"/>
              <w:bidi w:val="0"/>
              <w:spacing w:line="420" w:lineRule="exact"/>
              <w:ind w:left="360"/>
              <w:rPr>
                <w:rFonts w:cs="B Zar"/>
              </w:rPr>
            </w:pPr>
            <w:r w:rsidRPr="00406624">
              <w:rPr>
                <w:rFonts w:cs="B Zar"/>
              </w:rPr>
              <w:t>Mahabharata:</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Bhagvata Gita, </w:t>
            </w:r>
            <w:smartTag w:uri="urn:schemas-microsoft-com:office:smarttags" w:element="place">
              <w:smartTag w:uri="urn:schemas-microsoft-com:office:smarttags" w:element="City">
                <w:r w:rsidRPr="00406624">
                  <w:rPr>
                    <w:rFonts w:cs="B Zar"/>
                  </w:rPr>
                  <w:t>New Delhi</w:t>
                </w:r>
              </w:smartTag>
            </w:smartTag>
            <w:r w:rsidRPr="00406624">
              <w:rPr>
                <w:rFonts w:cs="B Zar"/>
              </w:rPr>
              <w:t>, 1980</w:t>
            </w:r>
          </w:p>
        </w:tc>
      </w:tr>
      <w:tr>
        <w:tblPrEx>
          <w:tblW w:w="5000" w:type="pct"/>
          <w:tblLook w:val="0000"/>
        </w:tblPrEx>
        <w:tc>
          <w:tcPr>
            <w:tcW w:w="5000" w:type="pct"/>
          </w:tcPr>
          <w:p w:rsidR="0011420A" w:rsidRPr="00406624" w:rsidP="003C0EF5">
            <w:pPr>
              <w:widowControl w:val="0"/>
              <w:bidi w:val="0"/>
              <w:spacing w:line="420" w:lineRule="exact"/>
              <w:ind w:left="360"/>
              <w:rPr>
                <w:rFonts w:cs="B Zar"/>
                <w:sz w:val="28"/>
                <w:szCs w:val="28"/>
              </w:rPr>
            </w:pPr>
            <w:r w:rsidRPr="00406624">
              <w:rPr>
                <w:rFonts w:cs="B Zar"/>
              </w:rPr>
              <w:t>OTHER SOURCSE:</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Comans, Michael:  Extracting the Essence of the Sruti</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Das Gupta, S: Histoy of the Indian Philososphy, </w:t>
            </w:r>
            <w:smartTag w:uri="urn:schemas-microsoft-com:office:smarttags" w:element="PlaceName">
              <w:r w:rsidRPr="00406624">
                <w:rPr>
                  <w:rFonts w:cs="B Zar"/>
                </w:rPr>
                <w:t>Cambridge</w:t>
              </w:r>
            </w:smartTag>
            <w:r w:rsidRPr="00406624">
              <w:rPr>
                <w:rFonts w:cs="B Zar"/>
              </w:rPr>
              <w:t xml:space="preserve"> </w:t>
            </w:r>
            <w:smartTag w:uri="urn:schemas-microsoft-com:office:smarttags" w:element="PlaceType">
              <w:r w:rsidRPr="00406624">
                <w:rPr>
                  <w:rFonts w:cs="B Zar"/>
                </w:rPr>
                <w:t>University</w:t>
              </w:r>
            </w:smartTag>
            <w:r w:rsidRPr="00406624">
              <w:rPr>
                <w:rFonts w:cs="B Zar"/>
              </w:rPr>
              <w:t xml:space="preserve"> Press, </w:t>
            </w:r>
            <w:smartTag w:uri="urn:schemas-microsoft-com:office:smarttags" w:element="place">
              <w:smartTag w:uri="urn:schemas-microsoft-com:office:smarttags" w:element="City">
                <w:r w:rsidRPr="00406624">
                  <w:rPr>
                    <w:rFonts w:cs="B Zar"/>
                  </w:rPr>
                  <w:t>London</w:t>
                </w:r>
              </w:smartTag>
            </w:smartTag>
            <w:r w:rsidRPr="00406624">
              <w:rPr>
                <w:rFonts w:cs="B Zar"/>
              </w:rPr>
              <w:t>, 1969</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Dayananda Sarswati, Swami: Rig Veda Bhasiya, Aya Parastandi Sabha, </w:t>
            </w:r>
            <w:smartTag w:uri="urn:schemas-microsoft-com:office:smarttags" w:element="place">
              <w:smartTag w:uri="urn:schemas-microsoft-com:office:smarttags" w:element="City">
                <w:r w:rsidRPr="00406624">
                  <w:rPr>
                    <w:rFonts w:cs="B Zar"/>
                  </w:rPr>
                  <w:t>New Delhi</w:t>
                </w:r>
              </w:smartTag>
            </w:smartTag>
            <w:r w:rsidRPr="00406624">
              <w:rPr>
                <w:rFonts w:cs="B Zar"/>
              </w:rPr>
              <w:t>, 1978</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Hermann: The Religion of the Veda</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Keith, A.B.: Religion and Philosophy of the Veda</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Max Muller: What We Learn From </w:t>
            </w:r>
            <w:smartTag w:uri="urn:schemas-microsoft-com:office:smarttags" w:element="country-region">
              <w:r w:rsidRPr="00406624">
                <w:rPr>
                  <w:rFonts w:cs="B Zar"/>
                </w:rPr>
                <w:t>India</w:t>
              </w:r>
            </w:smartTag>
            <w:r w:rsidRPr="00406624">
              <w:rPr>
                <w:rFonts w:cs="B Zar"/>
              </w:rPr>
              <w:t xml:space="preserve">, </w:t>
            </w:r>
            <w:smartTag w:uri="urn:schemas-microsoft-com:office:smarttags" w:element="place">
              <w:smartTag w:uri="urn:schemas-microsoft-com:office:smarttags" w:element="City">
                <w:r w:rsidRPr="00406624">
                  <w:rPr>
                    <w:rFonts w:cs="B Zar"/>
                  </w:rPr>
                  <w:t>New Delhi</w:t>
                </w:r>
              </w:smartTag>
            </w:smartTag>
            <w:r w:rsidRPr="00406624">
              <w:rPr>
                <w:rFonts w:cs="B Zar"/>
              </w:rPr>
              <w:t>. 1962</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Mujumdar,</w:t>
            </w:r>
            <w:r w:rsidR="008841E6">
              <w:rPr>
                <w:rFonts w:cs="B Zar"/>
              </w:rPr>
              <w:t xml:space="preserve"> </w:t>
            </w:r>
            <w:r w:rsidRPr="00406624">
              <w:rPr>
                <w:rFonts w:cs="B Zar"/>
              </w:rPr>
              <w:t xml:space="preserve">A.Kumar: Early Hindu </w:t>
            </w:r>
            <w:smartTag w:uri="urn:schemas-microsoft-com:office:smarttags" w:element="country-region">
              <w:r w:rsidRPr="00406624">
                <w:rPr>
                  <w:rFonts w:cs="B Zar"/>
                </w:rPr>
                <w:t>India</w:t>
              </w:r>
            </w:smartTag>
            <w:r w:rsidRPr="00406624">
              <w:rPr>
                <w:rFonts w:cs="B Zar"/>
              </w:rPr>
              <w:t>,</w:t>
            </w:r>
            <w:r w:rsidR="00930817">
              <w:rPr>
                <w:rFonts w:cs="B Zar"/>
              </w:rPr>
              <w:t xml:space="preserve"> </w:t>
            </w:r>
            <w:r w:rsidRPr="00406624">
              <w:rPr>
                <w:rFonts w:cs="B Zar"/>
              </w:rPr>
              <w:t xml:space="preserve">Cosmo Publishers, </w:t>
            </w:r>
            <w:smartTag w:uri="urn:schemas-microsoft-com:office:smarttags" w:element="place">
              <w:smartTag w:uri="urn:schemas-microsoft-com:office:smarttags" w:element="City">
                <w:r w:rsidRPr="00406624">
                  <w:rPr>
                    <w:rFonts w:cs="B Zar"/>
                  </w:rPr>
                  <w:t>Delhi</w:t>
                </w:r>
              </w:smartTag>
            </w:smartTag>
            <w:r w:rsidRPr="00406624">
              <w:rPr>
                <w:rFonts w:cs="B Zar"/>
              </w:rPr>
              <w:t>, 1981</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Radhakrishnan, Dr S:  The Indian Philosophy, </w:t>
            </w:r>
            <w:smartTag w:uri="urn:schemas-microsoft-com:office:smarttags" w:element="place">
              <w:smartTag w:uri="urn:schemas-microsoft-com:office:smarttags" w:element="City">
                <w:r w:rsidRPr="00406624">
                  <w:rPr>
                    <w:rFonts w:cs="B Zar"/>
                  </w:rPr>
                  <w:t>New Delhi</w:t>
                </w:r>
              </w:smartTag>
            </w:smartTag>
            <w:r w:rsidRPr="00406624">
              <w:rPr>
                <w:rFonts w:cs="B Zar"/>
              </w:rPr>
              <w:t xml:space="preserve">, 1989   </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Razogin, Zenaid A.: History of Vedic </w:t>
            </w:r>
            <w:smartTag w:uri="urn:schemas-microsoft-com:office:smarttags" w:element="country-region">
              <w:r w:rsidRPr="00406624">
                <w:rPr>
                  <w:rFonts w:cs="B Zar"/>
                </w:rPr>
                <w:t>India</w:t>
              </w:r>
            </w:smartTag>
            <w:r w:rsidRPr="00406624">
              <w:rPr>
                <w:rFonts w:cs="B Zar"/>
              </w:rPr>
              <w:t xml:space="preserve">, Mittal Publication, </w:t>
            </w:r>
            <w:smartTag w:uri="urn:schemas-microsoft-com:office:smarttags" w:element="place">
              <w:smartTag w:uri="urn:schemas-microsoft-com:office:smarttags" w:element="City">
                <w:r w:rsidRPr="00406624">
                  <w:rPr>
                    <w:rFonts w:cs="B Zar"/>
                  </w:rPr>
                  <w:t>Delhi</w:t>
                </w:r>
              </w:smartTag>
            </w:smartTag>
            <w:r w:rsidRPr="00406624">
              <w:rPr>
                <w:rFonts w:cs="B Zar"/>
              </w:rPr>
              <w:t>, 1984</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Sri Auribindo: The Secret of the Vedas, Sri Auribindo Ashram, Pondichery, 1990</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The Vedic Religion</w:t>
            </w:r>
          </w:p>
        </w:tc>
      </w:tr>
      <w:tr>
        <w:tblPrEx>
          <w:tblW w:w="5000" w:type="pct"/>
          <w:tblLook w:val="0000"/>
        </w:tblPrEx>
        <w:tc>
          <w:tcPr>
            <w:tcW w:w="5000" w:type="pct"/>
          </w:tcPr>
          <w:p w:rsidR="0011420A" w:rsidRPr="00406624" w:rsidP="003C0EF5">
            <w:pPr>
              <w:widowControl w:val="0"/>
              <w:bidi w:val="0"/>
              <w:spacing w:line="420" w:lineRule="exact"/>
              <w:ind w:left="360"/>
              <w:rPr>
                <w:rFonts w:cs="B Zar"/>
              </w:rPr>
            </w:pPr>
            <w:r w:rsidRPr="00406624">
              <w:rPr>
                <w:rFonts w:cs="B Zar"/>
              </w:rPr>
              <w:t xml:space="preserve">- Tilak, B.G.: Th Arctic Home in the Vedas, </w:t>
            </w:r>
            <w:smartTag w:uri="urn:schemas-microsoft-com:office:smarttags" w:element="place">
              <w:smartTag w:uri="urn:schemas-microsoft-com:office:smarttags" w:element="City">
                <w:r w:rsidRPr="00406624">
                  <w:rPr>
                    <w:rFonts w:cs="B Zar"/>
                  </w:rPr>
                  <w:t>Bo</w:t>
                </w:r>
                <w:r w:rsidR="00D81737">
                  <w:rPr>
                    <w:rFonts w:cs="B Zar"/>
                  </w:rPr>
                  <w:t>m</w:t>
                </w:r>
                <w:r w:rsidRPr="00406624">
                  <w:rPr>
                    <w:rFonts w:cs="B Zar"/>
                  </w:rPr>
                  <w:t>bay</w:t>
                </w:r>
              </w:smartTag>
            </w:smartTag>
            <w:r w:rsidRPr="00406624">
              <w:rPr>
                <w:rFonts w:cs="B Zar"/>
              </w:rPr>
              <w:t>, 1927</w:t>
            </w:r>
          </w:p>
          <w:p w:rsidR="0011420A" w:rsidRPr="00406624" w:rsidP="003C0EF5">
            <w:pPr>
              <w:widowControl w:val="0"/>
              <w:bidi w:val="0"/>
              <w:spacing w:line="420" w:lineRule="exact"/>
              <w:ind w:left="360"/>
              <w:rPr>
                <w:rFonts w:cs="B Zar"/>
              </w:rPr>
            </w:pPr>
            <w:r w:rsidRPr="00406624">
              <w:rPr>
                <w:rFonts w:cs="B Zar"/>
              </w:rPr>
              <w:t>- Trikha, Dr.J.K.: Rig Veda: A Scientific &amp; Intellectual Analysis, Somaya Publication, 1976</w:t>
            </w:r>
          </w:p>
        </w:tc>
      </w:tr>
      <w:tr>
        <w:tblPrEx>
          <w:tblW w:w="5000" w:type="pct"/>
          <w:tblLook w:val="0000"/>
        </w:tblPrEx>
        <w:tc>
          <w:tcPr>
            <w:tcW w:w="5000" w:type="pct"/>
          </w:tcPr>
          <w:p w:rsidR="0011420A" w:rsidP="003C0EF5">
            <w:pPr>
              <w:widowControl w:val="0"/>
              <w:bidi w:val="0"/>
              <w:spacing w:line="420" w:lineRule="exact"/>
              <w:ind w:left="360"/>
              <w:rPr>
                <w:rFonts w:cs="B Zar" w:hint="cs"/>
                <w:rtl/>
              </w:rPr>
            </w:pPr>
            <w:r w:rsidRPr="00406624">
              <w:rPr>
                <w:rFonts w:cs="B Zar"/>
              </w:rPr>
              <w:t>- Yadava, Dr. B.R.: Vedic Cosmogony,</w:t>
            </w:r>
            <w:r w:rsidRPr="00406624">
              <w:rPr>
                <w:rFonts w:cs="B Zar"/>
              </w:rPr>
              <w:t xml:space="preserve"> Viznana Prakashan, </w:t>
            </w:r>
            <w:smartTag w:uri="urn:schemas-microsoft-com:office:smarttags" w:element="place">
              <w:smartTag w:uri="urn:schemas-microsoft-com:office:smarttags" w:element="City">
                <w:r w:rsidRPr="00406624">
                  <w:rPr>
                    <w:rFonts w:cs="B Zar"/>
                  </w:rPr>
                  <w:t>Aligarh</w:t>
                </w:r>
              </w:smartTag>
            </w:smartTag>
            <w:r w:rsidRPr="00406624">
              <w:rPr>
                <w:rFonts w:cs="B Zar"/>
              </w:rPr>
              <w:t>, 1987</w:t>
            </w:r>
          </w:p>
          <w:p w:rsidR="00210EF9" w:rsidRPr="00406624" w:rsidP="00210EF9">
            <w:pPr>
              <w:widowControl w:val="0"/>
              <w:bidi w:val="0"/>
              <w:spacing w:line="420" w:lineRule="exact"/>
              <w:ind w:left="360"/>
              <w:rPr>
                <w:rFonts w:cs="B Zar"/>
              </w:rPr>
            </w:pPr>
          </w:p>
        </w:tc>
      </w:tr>
      <w:tr>
        <w:tblPrEx>
          <w:tblW w:w="5000" w:type="pct"/>
          <w:tblLook w:val="0000"/>
        </w:tblPrEx>
        <w:tc>
          <w:tcPr>
            <w:tcW w:w="5000" w:type="pct"/>
          </w:tcPr>
          <w:p w:rsidR="0011420A" w:rsidRPr="00406624" w:rsidP="003C0EF5">
            <w:pPr>
              <w:widowControl w:val="0"/>
              <w:spacing w:line="420" w:lineRule="exact"/>
              <w:ind w:left="0" w:right="0"/>
              <w:jc w:val="both"/>
              <w:rPr>
                <w:rFonts w:cs="B Zar" w:hint="cs"/>
                <w:b/>
                <w:bCs/>
                <w:rtl/>
                <w:lang w:bidi="fa-IR"/>
              </w:rPr>
            </w:pPr>
            <w:r w:rsidRPr="00406624">
              <w:rPr>
                <w:rFonts w:cs="B Zar" w:hint="cs"/>
                <w:b/>
                <w:bCs/>
                <w:rtl/>
              </w:rPr>
              <w:t>منابع فارسي</w:t>
            </w:r>
          </w:p>
          <w:p w:rsidR="0011420A" w:rsidRPr="00406624" w:rsidP="003C0EF5">
            <w:pPr>
              <w:widowControl w:val="0"/>
              <w:spacing w:line="420" w:lineRule="exact"/>
              <w:ind w:left="0" w:right="0"/>
              <w:jc w:val="both"/>
              <w:rPr>
                <w:rFonts w:cs="B Zar"/>
              </w:rPr>
            </w:pPr>
            <w:r w:rsidRPr="00406624">
              <w:rPr>
                <w:rFonts w:cs="B Zar" w:hint="cs"/>
                <w:rtl/>
              </w:rPr>
              <w:t>سهروردي شهاب الدين: «حكمه الاشراق»، ترجمه و شرح دكتر سيد جعفر سجادي، انتشارات دانشگاه تهران، 1366، چاپ پنجم</w:t>
            </w:r>
          </w:p>
        </w:tc>
      </w:tr>
      <w:tr>
        <w:tblPrEx>
          <w:tblW w:w="5000" w:type="pct"/>
          <w:tblLook w:val="0000"/>
        </w:tblPrEx>
        <w:tc>
          <w:tcPr>
            <w:tcW w:w="5000" w:type="pct"/>
          </w:tcPr>
          <w:p w:rsidR="0011420A" w:rsidRPr="00406624" w:rsidP="003C0EF5">
            <w:pPr>
              <w:widowControl w:val="0"/>
              <w:spacing w:line="420" w:lineRule="exact"/>
              <w:ind w:left="0" w:right="0"/>
              <w:jc w:val="both"/>
              <w:rPr>
                <w:rFonts w:ascii="IPT.Lotus" w:hAnsi="IPT.Lotus" w:cs="B Zar"/>
                <w:sz w:val="26"/>
              </w:rPr>
            </w:pPr>
            <w:r w:rsidRPr="00406624">
              <w:rPr>
                <w:rFonts w:ascii="IPT.Lotus" w:hAnsi="IPT.Lotus" w:cs="B Zar" w:hint="cs"/>
                <w:sz w:val="26"/>
                <w:rtl/>
              </w:rPr>
              <w:t>مطهري</w:t>
            </w:r>
            <w:r w:rsidRPr="00406624">
              <w:rPr>
                <w:rFonts w:ascii="IPT.Lotus" w:hAnsi="IPT.Lotus" w:cs="B Zar"/>
                <w:sz w:val="26"/>
              </w:rPr>
              <w:sym w:font="IPT.Lotus" w:char="F020"/>
            </w:r>
            <w:r w:rsidRPr="00406624">
              <w:rPr>
                <w:rFonts w:ascii="IPT.Lotus" w:hAnsi="IPT.Lotus" w:cs="B Zar" w:hint="cs"/>
                <w:sz w:val="26"/>
                <w:rtl/>
              </w:rPr>
              <w:t>مرتضي: مقدمه‌اي بر جهان بيني اسلامي (رساله جهان بيني)، دفتر انتشارات اسلامي، قم ، زمستان 1362</w:t>
            </w:r>
          </w:p>
        </w:tc>
      </w:tr>
      <w:tr>
        <w:tblPrEx>
          <w:tblW w:w="5000" w:type="pct"/>
          <w:tblLook w:val="0000"/>
        </w:tblPrEx>
        <w:tc>
          <w:tcPr>
            <w:tcW w:w="5000" w:type="pct"/>
          </w:tcPr>
          <w:p w:rsidR="0011420A" w:rsidRPr="00406624" w:rsidP="003C0EF5">
            <w:pPr>
              <w:widowControl w:val="0"/>
              <w:spacing w:line="420" w:lineRule="exact"/>
              <w:ind w:left="0" w:right="0"/>
              <w:jc w:val="both"/>
              <w:rPr>
                <w:rFonts w:ascii="IPT.Lotus" w:hAnsi="IPT.Lotus" w:cs="B Zar"/>
                <w:sz w:val="26"/>
              </w:rPr>
            </w:pPr>
            <w:r w:rsidRPr="00406624">
              <w:rPr>
                <w:rFonts w:ascii="IPT.Lotus" w:hAnsi="IPT.Lotus" w:cs="B Zar" w:hint="cs"/>
                <w:sz w:val="26"/>
                <w:rtl/>
              </w:rPr>
              <w:t>ملا صدرا: «كتاب المشاعر»، ويرايش هنري كوربن، كتابخانه طهوري، 1363</w:t>
            </w:r>
          </w:p>
        </w:tc>
      </w:tr>
      <w:tr>
        <w:tblPrEx>
          <w:tblW w:w="5000" w:type="pct"/>
          <w:tblLook w:val="0000"/>
        </w:tblPrEx>
        <w:tc>
          <w:tcPr>
            <w:tcW w:w="5000" w:type="pct"/>
          </w:tcPr>
          <w:p w:rsidR="0011420A" w:rsidRPr="00406624" w:rsidP="003C0EF5">
            <w:pPr>
              <w:widowControl w:val="0"/>
              <w:spacing w:line="420" w:lineRule="exact"/>
              <w:ind w:left="0" w:right="0"/>
              <w:jc w:val="both"/>
              <w:rPr>
                <w:rFonts w:ascii="IPT.Lotus" w:hAnsi="IPT.Lotus" w:cs="B Zar"/>
                <w:sz w:val="26"/>
              </w:rPr>
            </w:pPr>
            <w:r w:rsidRPr="00406624">
              <w:rPr>
                <w:rFonts w:ascii="IPT.Lotus" w:hAnsi="IPT.Lotus" w:cs="B Zar" w:hint="cs"/>
                <w:sz w:val="26"/>
                <w:rtl/>
              </w:rPr>
              <w:t>ملا صدرا: الشواهدالربوبيه، ترجمه و تفسير دكتر جواد مصلح، چاپ سروش تهران، 1336</w:t>
            </w:r>
          </w:p>
        </w:tc>
      </w:tr>
      <w:tr>
        <w:tblPrEx>
          <w:tblW w:w="5000" w:type="pct"/>
          <w:tblLook w:val="0000"/>
        </w:tblPrEx>
        <w:tc>
          <w:tcPr>
            <w:tcW w:w="5000" w:type="pct"/>
          </w:tcPr>
          <w:p w:rsidR="0011420A" w:rsidRPr="00406624" w:rsidP="003C0EF5">
            <w:pPr>
              <w:widowControl w:val="0"/>
              <w:spacing w:line="420" w:lineRule="exact"/>
              <w:ind w:left="0" w:right="0"/>
              <w:jc w:val="both"/>
              <w:rPr>
                <w:rFonts w:cs="B Zar"/>
                <w:sz w:val="26"/>
              </w:rPr>
            </w:pPr>
            <w:r w:rsidRPr="00406624">
              <w:rPr>
                <w:rFonts w:ascii="IPT.Lotus" w:hAnsi="IPT.Lotus" w:cs="B Zar" w:hint="cs"/>
                <w:sz w:val="26"/>
                <w:rtl/>
              </w:rPr>
              <w:t>داراشكوه: مجمع البحرين،</w:t>
            </w:r>
            <w:r w:rsidRPr="00406624">
              <w:rPr>
                <w:rFonts w:ascii="IPT.Lotus" w:hAnsi="IPT.Lotus" w:cs="B Zar"/>
                <w:sz w:val="26"/>
              </w:rPr>
              <w:sym w:font="IPT.Lotus" w:char="F020"/>
            </w:r>
            <w:r w:rsidRPr="00406624">
              <w:rPr>
                <w:rFonts w:ascii="IPT.Lotus" w:hAnsi="IPT.Lotus" w:cs="B Zar"/>
                <w:sz w:val="26"/>
              </w:rPr>
              <w:sym w:font="IPT.Lotus" w:char="F020"/>
            </w:r>
            <w:r w:rsidRPr="00406624">
              <w:rPr>
                <w:rFonts w:ascii="IPT.Lotus" w:hAnsi="IPT.Lotus" w:cs="B Zar" w:hint="cs"/>
                <w:sz w:val="26"/>
                <w:rtl/>
              </w:rPr>
              <w:t>نولكشور پريس، لكهنؤ. 1325</w:t>
            </w:r>
          </w:p>
        </w:tc>
      </w:tr>
    </w:tbl>
    <w:p w:rsidR="0011420A" w:rsidRPr="00406624" w:rsidP="003C0EF5">
      <w:pPr>
        <w:widowControl w:val="0"/>
        <w:spacing w:line="420" w:lineRule="exact"/>
        <w:ind w:left="0" w:right="0"/>
        <w:jc w:val="both"/>
        <w:rPr>
          <w:rFonts w:cs="B Zar"/>
        </w:rPr>
      </w:pPr>
    </w:p>
    <w:p w:rsidR="0011420A" w:rsidP="003C0EF5">
      <w:pPr>
        <w:pStyle w:val="BodyTextIndent2"/>
        <w:widowControl w:val="0"/>
        <w:spacing w:line="420" w:lineRule="exact"/>
        <w:ind w:left="40" w:right="0" w:hanging="40"/>
        <w:jc w:val="center"/>
        <w:rPr>
          <w:rFonts w:cs="B Zar" w:hint="cs"/>
          <w:b/>
          <w:bCs/>
          <w:rtl/>
          <w:lang w:bidi="fa-IR"/>
        </w:rPr>
      </w:pPr>
    </w:p>
    <w:p w:rsidR="008841E6" w:rsidP="003C0EF5">
      <w:pPr>
        <w:pStyle w:val="BodyTextIndent2"/>
        <w:widowControl w:val="0"/>
        <w:spacing w:line="420" w:lineRule="exact"/>
        <w:ind w:left="40" w:right="0" w:hanging="40"/>
        <w:jc w:val="center"/>
        <w:rPr>
          <w:rFonts w:cs="B Zar" w:hint="cs"/>
          <w:b/>
          <w:bCs/>
          <w:rtl/>
          <w:lang w:bidi="fa-IR"/>
        </w:rPr>
      </w:pPr>
    </w:p>
    <w:p w:rsidR="008841E6" w:rsidRPr="00175A44" w:rsidP="003C0EF5">
      <w:pPr>
        <w:pStyle w:val="BodyTextIndent2"/>
        <w:widowControl w:val="0"/>
        <w:spacing w:line="420" w:lineRule="exact"/>
        <w:ind w:left="40" w:right="0" w:hanging="40"/>
        <w:jc w:val="center"/>
        <w:rPr>
          <w:rFonts w:cs="B Zar" w:hint="cs"/>
          <w:b/>
          <w:bCs/>
          <w:rtl/>
          <w:lang w:bidi="fa-IR"/>
        </w:rPr>
      </w:pPr>
    </w:p>
    <w:p w:rsidR="0011420A" w:rsidRPr="00175A44" w:rsidP="003C0EF5">
      <w:pPr>
        <w:pStyle w:val="BodyTextIndent2"/>
        <w:widowControl w:val="0"/>
        <w:spacing w:line="420" w:lineRule="exact"/>
        <w:ind w:left="40" w:right="0" w:hanging="40"/>
        <w:jc w:val="center"/>
        <w:rPr>
          <w:rFonts w:cs="B Zar" w:hint="cs"/>
          <w:b/>
          <w:bCs/>
          <w:rtl/>
        </w:rPr>
      </w:pPr>
      <w:r w:rsidR="00210EF9">
        <w:rPr>
          <w:rFonts w:cs="B Zar"/>
          <w:b/>
          <w:bCs/>
          <w:rtl/>
        </w:rPr>
        <w:br w:type="page"/>
      </w:r>
    </w:p>
    <w:p w:rsidR="0011420A" w:rsidP="003C0EF5">
      <w:pPr>
        <w:pStyle w:val="BodyTextIndent2"/>
        <w:widowControl w:val="0"/>
        <w:spacing w:line="420" w:lineRule="exact"/>
        <w:ind w:left="40" w:right="0" w:hanging="40"/>
        <w:jc w:val="center"/>
        <w:rPr>
          <w:rFonts w:cs="B Zar" w:hint="cs"/>
          <w:b/>
          <w:bCs/>
          <w:rtl/>
        </w:rPr>
      </w:pPr>
    </w:p>
    <w:p w:rsidR="00210EF9" w:rsidRPr="00175A44" w:rsidP="003C0EF5">
      <w:pPr>
        <w:pStyle w:val="BodyTextIndent2"/>
        <w:widowControl w:val="0"/>
        <w:spacing w:line="420" w:lineRule="exact"/>
        <w:ind w:left="40" w:right="0" w:hanging="40"/>
        <w:jc w:val="center"/>
        <w:rPr>
          <w:rFonts w:cs="B Zar" w:hint="cs"/>
          <w:b/>
          <w:bCs/>
          <w:rtl/>
        </w:rPr>
      </w:pPr>
    </w:p>
    <w:p w:rsidR="0011420A" w:rsidRPr="00175A44" w:rsidP="003C0EF5">
      <w:pPr>
        <w:pStyle w:val="BodyTextIndent2"/>
        <w:widowControl w:val="0"/>
        <w:spacing w:line="420" w:lineRule="exact"/>
        <w:ind w:left="40" w:right="0" w:hanging="40"/>
        <w:jc w:val="center"/>
        <w:rPr>
          <w:rFonts w:cs="B Zar" w:hint="cs"/>
          <w:b/>
          <w:bCs/>
          <w:rtl/>
        </w:rPr>
      </w:pPr>
      <w:r w:rsidRPr="00175A44">
        <w:rPr>
          <w:rFonts w:cs="B Zar" w:hint="cs"/>
          <w:b/>
          <w:bCs/>
          <w:rtl/>
        </w:rPr>
        <w:t>بخش سوم</w:t>
      </w:r>
    </w:p>
    <w:p w:rsidR="0011420A" w:rsidRPr="00175A44" w:rsidP="003C0EF5">
      <w:pPr>
        <w:pStyle w:val="BodyTextIndent2"/>
        <w:widowControl w:val="0"/>
        <w:spacing w:line="420" w:lineRule="exact"/>
        <w:ind w:left="40" w:right="0" w:hanging="40"/>
        <w:jc w:val="center"/>
        <w:rPr>
          <w:rFonts w:cs="B Zar" w:hint="cs"/>
          <w:b/>
          <w:bCs/>
          <w:rtl/>
        </w:rPr>
      </w:pPr>
    </w:p>
    <w:p w:rsidR="0011420A" w:rsidRPr="00175A44" w:rsidP="003C0EF5">
      <w:pPr>
        <w:pStyle w:val="BodyTextIndent2"/>
        <w:widowControl w:val="0"/>
        <w:spacing w:line="420" w:lineRule="exact"/>
        <w:ind w:left="40" w:right="0" w:hanging="40"/>
        <w:jc w:val="center"/>
        <w:rPr>
          <w:rFonts w:cs="B Zar" w:hint="cs"/>
          <w:b/>
          <w:bCs/>
          <w:rtl/>
        </w:rPr>
      </w:pPr>
    </w:p>
    <w:p w:rsidR="0011420A" w:rsidRPr="00175A44" w:rsidP="003C0EF5">
      <w:pPr>
        <w:pStyle w:val="BodyTextIndent2"/>
        <w:widowControl w:val="0"/>
        <w:spacing w:line="420" w:lineRule="exact"/>
        <w:ind w:left="40" w:right="0" w:hanging="40"/>
        <w:jc w:val="center"/>
        <w:rPr>
          <w:rFonts w:cs="B Zar" w:hint="cs"/>
          <w:b/>
          <w:bCs/>
          <w:sz w:val="36"/>
          <w:szCs w:val="36"/>
          <w:rtl/>
        </w:rPr>
      </w:pPr>
      <w:r w:rsidRPr="00175A44">
        <w:rPr>
          <w:rFonts w:cs="B Zar" w:hint="cs"/>
          <w:b/>
          <w:bCs/>
          <w:sz w:val="36"/>
          <w:szCs w:val="36"/>
          <w:rtl/>
        </w:rPr>
        <w:t>سير انديشه ديني آريائيها</w:t>
      </w:r>
    </w:p>
    <w:p w:rsidR="0011420A" w:rsidRPr="00175A44" w:rsidP="003C0EF5">
      <w:pPr>
        <w:pStyle w:val="BodyTextIndent2"/>
        <w:widowControl w:val="0"/>
        <w:spacing w:line="420" w:lineRule="exact"/>
        <w:ind w:left="40" w:right="0" w:hanging="40"/>
        <w:jc w:val="center"/>
        <w:rPr>
          <w:rFonts w:cs="B Zar" w:hint="cs"/>
          <w:b/>
          <w:bCs/>
          <w:rtl/>
        </w:rPr>
      </w:pPr>
    </w:p>
    <w:p w:rsidR="0011420A" w:rsidRPr="00175A44" w:rsidP="003C0EF5">
      <w:pPr>
        <w:pStyle w:val="BodyTextIndent2"/>
        <w:widowControl w:val="0"/>
        <w:spacing w:line="420" w:lineRule="exact"/>
        <w:ind w:left="40" w:right="0" w:hanging="40"/>
        <w:jc w:val="center"/>
        <w:rPr>
          <w:rFonts w:cs="B Zar" w:hint="cs"/>
          <w:b/>
          <w:bCs/>
          <w:rtl/>
        </w:rPr>
      </w:pPr>
      <w:r w:rsidRPr="00175A44">
        <w:rPr>
          <w:rFonts w:cs="B Zar" w:hint="cs"/>
          <w:b/>
          <w:bCs/>
          <w:rtl/>
        </w:rPr>
        <w:t>نظريه مراحل پنجگانه</w:t>
      </w:r>
    </w:p>
    <w:p w:rsidR="0011420A" w:rsidRPr="00175A44" w:rsidP="003C0EF5">
      <w:pPr>
        <w:pStyle w:val="BodyTextIndent2"/>
        <w:widowControl w:val="0"/>
        <w:spacing w:line="420" w:lineRule="exact"/>
        <w:ind w:left="40" w:right="0" w:hanging="40"/>
        <w:jc w:val="both"/>
        <w:rPr>
          <w:rFonts w:cs="B Zar" w:hint="cs"/>
          <w:b/>
          <w:bCs/>
          <w:rtl/>
        </w:rPr>
      </w:pPr>
    </w:p>
    <w:p w:rsidR="0011420A" w:rsidRPr="00175A44" w:rsidP="003C0EF5">
      <w:pPr>
        <w:pStyle w:val="BodyTextIndent2"/>
        <w:widowControl w:val="0"/>
        <w:spacing w:line="420" w:lineRule="exact"/>
        <w:ind w:left="40" w:right="0" w:hanging="40"/>
        <w:jc w:val="center"/>
        <w:rPr>
          <w:rFonts w:cs="B Zar" w:hint="cs"/>
          <w:b/>
          <w:bCs/>
          <w:rtl/>
        </w:rPr>
      </w:pPr>
    </w:p>
    <w:p w:rsidR="0011420A" w:rsidRPr="00175A44" w:rsidP="003C0EF5">
      <w:pPr>
        <w:widowControl w:val="0"/>
        <w:spacing w:line="420" w:lineRule="exact"/>
        <w:ind w:left="0" w:right="0"/>
        <w:jc w:val="both"/>
        <w:rPr>
          <w:rFonts w:cs="B Zar" w:hint="cs"/>
          <w:b/>
          <w:bCs/>
          <w:rtl/>
        </w:rPr>
      </w:pPr>
      <w:r w:rsidR="00423383">
        <w:rPr>
          <w:rFonts w:cs="B Zar"/>
          <w:b/>
          <w:bCs/>
          <w:rtl/>
        </w:rPr>
        <w:br w:type="page"/>
      </w:r>
      <w:r w:rsidRPr="00175A44">
        <w:rPr>
          <w:rFonts w:cs="B Zar" w:hint="cs"/>
          <w:b/>
          <w:bCs/>
          <w:rtl/>
        </w:rPr>
        <w:t>طرح نظريه مرحله‌اي: مراحل پنجگانة سير انديشه ديني آريائي:</w:t>
      </w:r>
    </w:p>
    <w:p w:rsidR="0011420A" w:rsidRPr="00175A44" w:rsidP="003C0EF5">
      <w:pPr>
        <w:widowControl w:val="0"/>
        <w:spacing w:line="420" w:lineRule="exact"/>
        <w:ind w:left="0" w:right="0"/>
        <w:jc w:val="both"/>
        <w:rPr>
          <w:rFonts w:cs="B Zar" w:hint="cs"/>
          <w:rtl/>
        </w:rPr>
      </w:pPr>
      <w:r w:rsidRPr="00175A44">
        <w:rPr>
          <w:rFonts w:cs="B Zar" w:hint="cs"/>
          <w:rtl/>
        </w:rPr>
        <w:t xml:space="preserve"> به درستي بسياري از انديشمندان بزرگ هند، نظير اس.داس گوپتا</w:t>
      </w:r>
      <w:r w:rsidRPr="00175A44">
        <w:rPr>
          <w:rFonts w:cs="B Zar"/>
        </w:rPr>
        <w:t>(Das Gupta)</w:t>
      </w:r>
      <w:r w:rsidRPr="00175A44">
        <w:rPr>
          <w:rFonts w:cs="B Zar" w:hint="cs"/>
          <w:rtl/>
        </w:rPr>
        <w:t xml:space="preserve"> و دكتر رادا كريشنان</w:t>
      </w:r>
      <w:r w:rsidRPr="00175A44">
        <w:rPr>
          <w:rFonts w:cs="B Zar"/>
        </w:rPr>
        <w:t>(Radhakrishnan)</w:t>
      </w:r>
      <w:r w:rsidRPr="00175A44">
        <w:rPr>
          <w:rFonts w:cs="B Zar" w:hint="cs"/>
          <w:rtl/>
        </w:rPr>
        <w:t>، ودا را كتاب فيزيك و كتاب شيمي نمي‌دانند، بلكه از نظر آنان يك متن ديني است كه نمايانگر احساسات عميق ديني و مذهبي انسان‌هاي اوليه بوده است. اينك تنها پرسشي كه بايد مطرح شود، اين است كه پس نگرش ديني ودا چيست؟ آيا طبيعت‌پرستانه است، شرك‌گرا است، توحيدي است يا وحدت وجودي؟</w:t>
      </w:r>
    </w:p>
    <w:p w:rsidR="0011420A" w:rsidRPr="00175A44" w:rsidP="003C0EF5">
      <w:pPr>
        <w:widowControl w:val="0"/>
        <w:spacing w:line="420" w:lineRule="exact"/>
        <w:ind w:left="0" w:right="0"/>
        <w:jc w:val="both"/>
        <w:rPr>
          <w:rFonts w:cs="B Zar" w:hint="cs"/>
          <w:rtl/>
        </w:rPr>
      </w:pPr>
      <w:r w:rsidRPr="00175A44">
        <w:rPr>
          <w:rFonts w:cs="B Zar" w:hint="cs"/>
          <w:rtl/>
        </w:rPr>
        <w:t>ديديم كه طي قرون متمادي انديشمندان و مفسران پيرامون ماهيت دين ودا اتفاق نظر نداشته‌اند. برخي آنرا مبتني بر شرك دانسته‌اند؛ برخي مبتني بر توحيد و برخي ديگر مبتني بر وحدت‌وجود. عده‌اي معتقدند كه دين ودا مناسك گرا است و عده ديگري معتقدند كه عرفان‌گرا است. به تعبير ديگر برخي دين ودا را دين شريعت و عوامانه مي‌دانند؛ و برخي ديگر «طريقت محور» و براي خواص.</w:t>
      </w:r>
    </w:p>
    <w:p w:rsidR="0011420A" w:rsidRPr="00175A44" w:rsidP="003C0EF5">
      <w:pPr>
        <w:widowControl w:val="0"/>
        <w:spacing w:line="420" w:lineRule="exact"/>
        <w:ind w:left="0" w:right="0"/>
        <w:jc w:val="both"/>
        <w:rPr>
          <w:rFonts w:cs="B Zar" w:hint="cs"/>
          <w:rtl/>
        </w:rPr>
      </w:pPr>
      <w:r w:rsidRPr="00175A44">
        <w:rPr>
          <w:rFonts w:cs="B Zar" w:hint="cs"/>
          <w:rtl/>
        </w:rPr>
        <w:t>علت اصلي گوناگوني تفسير ودا اين است كه در متون چهارگانه، انواع مختلف عناصر انديشه مذهبي ديده مي‌شود و در آنها جريانات فكري گاه نه تنها مكمل هم نيستند، بلكه متناقص‌ هم به نظر مي آيند. اين امر به مفسران مختلف فرصت داده است تا بنا به ذوق و سليقه خود عناصر خاصي از انديشه ودا را مورد تاكيد قرار دهند و از سرودها و آيات، شواهد كافي براي اثبات نظريه خود پيدا كنند. باز مفسر ديگر از ديدگاه ديگري ودا را مورد بررسي قرار مي دهد و او نيز شواهد لازم را براي اثبات نظريه متقابل به دست مي‌آورد. تفاسير ودا نيز وضع آشفته حدسيات كورها درباره ماهيت فيل را در داستان معروف مولاناي روم پيدا كرده است.</w:t>
      </w:r>
    </w:p>
    <w:p w:rsidR="0011420A" w:rsidRPr="00175A44" w:rsidP="003C0EF5">
      <w:pPr>
        <w:widowControl w:val="0"/>
        <w:spacing w:line="420" w:lineRule="exact"/>
        <w:ind w:left="0" w:right="0"/>
        <w:jc w:val="both"/>
        <w:rPr>
          <w:rFonts w:cs="B Zar" w:hint="cs"/>
          <w:rtl/>
        </w:rPr>
      </w:pPr>
      <w:r w:rsidRPr="00175A44">
        <w:rPr>
          <w:rFonts w:cs="B Zar" w:hint="cs"/>
          <w:rtl/>
        </w:rPr>
        <w:t>علت اصلي اين اغتشاش اعتقادي و گوناگوني انديشه در ريگ ودا و وداهاي ديگر آن است كه متون مزبور مشتمل بر سرودها، اذكار، ادعيه و طلسم‌هايي هستند كه طي لااقل هزار سال نگاشته شده اند. دانشمندان اينك به طور حتم به اين نظريه رسيده اند كه برخي سرودهاي ريگ ودا حتي پيش از ورود آريائي‌ها در هند شاخته شده بود. برخي سرودها در طريق مهاجرت به هند در سرزمين ايران و افغانستان و سرودهاي ديگر پس از استقرار آريائي ها در مناطق پنجاب و راجپوتانه سروده شده است. تمام سرودها و مطالب ودا منعكس كننده انديشه يك طبقه نيز هست؛ چرا كه سرودهاي ريگ ودا را شاعران عارف سرودند</w:t>
      </w:r>
      <w:r w:rsidRPr="00175A44">
        <w:rPr>
          <w:rFonts w:cs="B Zar" w:hint="cs"/>
          <w:rtl/>
          <w:lang w:bidi="fa-IR"/>
        </w:rPr>
        <w:t>؛</w:t>
      </w:r>
      <w:r w:rsidRPr="00175A44">
        <w:rPr>
          <w:rFonts w:cs="B Zar" w:hint="cs"/>
          <w:rtl/>
        </w:rPr>
        <w:t xml:space="preserve"> در حاليكه قرائت وداهاي چهارگانه را دسته‌هاي متفاوت روحانيون، نظير: هوترا،</w:t>
      </w:r>
      <w:r w:rsidRPr="00175A44">
        <w:rPr>
          <w:rFonts w:cs="B Zar"/>
        </w:rPr>
        <w:t>(Hotra)</w:t>
      </w:r>
      <w:r w:rsidRPr="00175A44">
        <w:rPr>
          <w:rFonts w:cs="B Zar" w:hint="cs"/>
          <w:rtl/>
        </w:rPr>
        <w:t xml:space="preserve"> ادهرو</w:t>
      </w:r>
      <w:r w:rsidRPr="00175A44">
        <w:rPr>
          <w:rFonts w:cs="B Zar"/>
        </w:rPr>
        <w:t>(Adharo)</w:t>
      </w:r>
      <w:r w:rsidRPr="00175A44">
        <w:rPr>
          <w:rFonts w:cs="B Zar" w:hint="cs"/>
          <w:rtl/>
        </w:rPr>
        <w:t xml:space="preserve"> و برهمنان و غيره به عهده داشتند. اتهاروا ودا</w:t>
      </w:r>
      <w:r w:rsidRPr="00175A44">
        <w:rPr>
          <w:rFonts w:cs="B Zar"/>
        </w:rPr>
        <w:t>(Atharvaveda)</w:t>
      </w:r>
      <w:r w:rsidRPr="00175A44">
        <w:rPr>
          <w:rFonts w:cs="B Zar" w:hint="cs"/>
          <w:rtl/>
        </w:rPr>
        <w:t xml:space="preserve"> عمدتاً منعكس كننده باورها و سنن ديني جاودگراي مردم عامي است. تحقيقات سبك شناسانه نشان مي دهد كه حتي سرود واحدي را نيز ممكن است افراد مختلف طي يك دوره طولاني ساخته باشند. هوترها، ادهرو و برهمنان كه قرائت سرودها را به عهده داشتند بنا به ذوق و سليقه و ضروت‌هاي زمان، كلماتي را رد و بدل و ابياتي را اضافه مي‌‌كرده‌اند.</w:t>
      </w:r>
      <w:r w:rsidRPr="00175A44">
        <w:rPr>
          <w:rStyle w:val="FootnoteReference"/>
          <w:rFonts w:cs="B Zar"/>
        </w:rPr>
        <w:t xml:space="preserve"> </w:t>
      </w:r>
      <w:r>
        <w:rPr>
          <w:rStyle w:val="FootnoteReference"/>
          <w:rFonts w:cs="B Zar"/>
        </w:rPr>
        <w:footnoteReference w:id="214"/>
      </w:r>
    </w:p>
    <w:p w:rsidR="0011420A" w:rsidRPr="00175A44" w:rsidP="003C0EF5">
      <w:pPr>
        <w:widowControl w:val="0"/>
        <w:spacing w:line="420" w:lineRule="exact"/>
        <w:ind w:left="0" w:right="0"/>
        <w:jc w:val="both"/>
        <w:rPr>
          <w:rFonts w:cs="B Zar" w:hint="cs"/>
          <w:rtl/>
        </w:rPr>
      </w:pPr>
      <w:r w:rsidRPr="00175A44">
        <w:rPr>
          <w:rFonts w:cs="B Zar" w:hint="cs"/>
          <w:rtl/>
        </w:rPr>
        <w:t>از اين رو تلاش براي تفسير تمام سرودها در مقولات متعين واحد، كار بيهوده‌اي است؛ حتي سرود واحد نيز ممكن است منعكس كننده اعتقادات و نگرش‌هاي مختلف باشد؛ چرا كه ممكن است آيت دوم آن صدها سال پس از ساخته شدن بيت اول درست شده باشد. دكتر رادا كريشنان مي‌گويد:</w:t>
      </w:r>
    </w:p>
    <w:p w:rsidR="0011420A" w:rsidRPr="00175A44" w:rsidP="003C0EF5">
      <w:pPr>
        <w:widowControl w:val="0"/>
        <w:spacing w:line="420" w:lineRule="exact"/>
        <w:ind w:left="0" w:right="0"/>
        <w:jc w:val="both"/>
        <w:rPr>
          <w:rFonts w:cs="B Zar" w:hint="cs"/>
          <w:i/>
          <w:iCs/>
          <w:rtl/>
        </w:rPr>
      </w:pPr>
      <w:r w:rsidRPr="00175A44">
        <w:rPr>
          <w:rFonts w:cs="B Zar" w:hint="cs"/>
          <w:i/>
          <w:iCs/>
          <w:rtl/>
        </w:rPr>
        <w:t>«ريگ ودا</w:t>
      </w:r>
      <w:r w:rsidRPr="00175A44">
        <w:rPr>
          <w:rFonts w:cs="B Zar"/>
          <w:i/>
          <w:iCs/>
        </w:rPr>
        <w:t>(Rig Veda)</w:t>
      </w:r>
      <w:r w:rsidRPr="00175A44">
        <w:rPr>
          <w:rFonts w:cs="B Zar" w:hint="cs"/>
          <w:i/>
          <w:iCs/>
          <w:rtl/>
        </w:rPr>
        <w:t xml:space="preserve"> مشتمل بر سرودهائي است كه به وسيله ده‌ها و شايد صدها شاعر عارف در طي چندين قرن سروده شده است.</w:t>
      </w:r>
      <w:r>
        <w:rPr>
          <w:rStyle w:val="FootnoteReference"/>
          <w:rFonts w:cs="B Zar"/>
          <w:i/>
          <w:iCs/>
          <w:rtl/>
        </w:rPr>
        <w:footnoteReference w:id="215"/>
      </w:r>
      <w:r w:rsidRPr="00175A44" w:rsidR="000224DC">
        <w:rPr>
          <w:rFonts w:cs="B Zar" w:hint="cs"/>
          <w:i/>
          <w:iCs/>
          <w:rtl/>
        </w:rPr>
        <w:t xml:space="preserve"> </w:t>
      </w:r>
      <w:r w:rsidRPr="00175A44">
        <w:rPr>
          <w:rFonts w:cs="B Zar" w:hint="cs"/>
          <w:i/>
          <w:iCs/>
          <w:rtl/>
        </w:rPr>
        <w:t>»</w:t>
      </w:r>
      <w:r w:rsidRPr="00175A44">
        <w:rPr>
          <w:rFonts w:cs="B Zar" w:hint="cs"/>
          <w:rtl/>
        </w:rPr>
        <w:t xml:space="preserve"> طبيعي است كه در آن جريانات مختلف وجود دارند. تلاش انديشمنداني نظير رام موهن راي</w:t>
      </w:r>
      <w:r w:rsidRPr="00175A44">
        <w:rPr>
          <w:rFonts w:cs="B Zar"/>
        </w:rPr>
        <w:t>(Ram Moha</w:t>
      </w:r>
      <w:r w:rsidR="00930817">
        <w:rPr>
          <w:rFonts w:cs="B Zar"/>
        </w:rPr>
        <w:t>n</w:t>
      </w:r>
      <w:r w:rsidRPr="00175A44">
        <w:rPr>
          <w:rFonts w:cs="B Zar"/>
        </w:rPr>
        <w:t xml:space="preserve"> Roy)</w:t>
      </w:r>
      <w:r w:rsidRPr="00175A44">
        <w:rPr>
          <w:rFonts w:cs="B Zar" w:hint="cs"/>
          <w:rtl/>
        </w:rPr>
        <w:t>، سري اربيندو</w:t>
      </w:r>
      <w:r w:rsidRPr="00175A44">
        <w:rPr>
          <w:rFonts w:cs="B Zar"/>
        </w:rPr>
        <w:t>(Sri Auribindo)</w:t>
      </w:r>
      <w:r w:rsidRPr="00175A44">
        <w:rPr>
          <w:rFonts w:cs="B Zar" w:hint="cs"/>
          <w:rtl/>
        </w:rPr>
        <w:t xml:space="preserve"> و دياناند سارسواتي</w:t>
      </w:r>
      <w:r w:rsidRPr="00175A44">
        <w:rPr>
          <w:rFonts w:cs="B Zar"/>
        </w:rPr>
        <w:t>(Swami Dayananda Sarswati)</w:t>
      </w:r>
      <w:r w:rsidRPr="00175A44">
        <w:rPr>
          <w:rFonts w:cs="B Zar" w:hint="cs"/>
          <w:rtl/>
        </w:rPr>
        <w:t xml:space="preserve"> كه درصدداند يك نوع نگرش را بر تمام سرودهاي ودا تحميل كنند، تلاش نابجائي است كه طبيعتاً مبتني بر تاويلات دور و دراز و «تفسير به رأي» است. نه كل ودا را مي‌توان در مقولات توحيدي تفسير كرد، نه در مقولات وحدت‌وجودي و نه حتي در مقولات شرك يا طبيعت‌پرستي؛ چرا كه در ودا تمام اين عناصر، در كنار هم قرار دارند؛ رادا كريشنان مي‌گويد: </w:t>
      </w:r>
      <w:r w:rsidRPr="00175A44">
        <w:rPr>
          <w:rFonts w:cs="B Zar" w:hint="cs"/>
          <w:i/>
          <w:iCs/>
          <w:rtl/>
        </w:rPr>
        <w:t>«در ودا سه جريان انديشه در كنار هم قرار دارند، شرك طبيعت‌پرستانه، توحيد و وحدت‌الوجوديت.»</w:t>
      </w:r>
      <w:r>
        <w:rPr>
          <w:rStyle w:val="FootnoteReference"/>
          <w:rFonts w:cs="B Zar"/>
          <w:rtl/>
        </w:rPr>
        <w:footnoteReference w:id="216"/>
      </w:r>
      <w:r w:rsidRPr="00175A44">
        <w:rPr>
          <w:rFonts w:cs="B Zar" w:hint="cs"/>
          <w:rtl/>
        </w:rPr>
        <w:t xml:space="preserve"> علت اصلي آن است كه چون كل ريگ ودا و حتي هر سرود آن در طي چندين قرن ساخته شده است، اگر وداهاي چهارگانه را به صورت مجموعه در نظر بگيريم مي‌توانيم بگوئيم كه منعكس كننده تحولات فكري و اعتقادي بشر در يك دوره طولاني هزار ساله است. از اين رو انديشه ديني ودا نمايانگر مراحل مختلف تكامل فكر ديني‌ است. وجود عناصر مختلف اعتقادي ـ فكري را در ودا بايد با توجه به اصل تكامل انديشه، تحول افكار، و با توجه به نظريه مرحله‌بندي اعتقادات ديني توجيه كرد. ودا در واقع ضبط اسناد تحول فكري بشر و به تعبير ديگر، آرشيو اعتقادات هزار يا هزار و پانصد ساله انسان اوليه است. راها كريشنان مي‌گويد: </w:t>
      </w:r>
      <w:r w:rsidRPr="00175A44">
        <w:rPr>
          <w:rFonts w:cs="B Zar" w:hint="cs"/>
          <w:i/>
          <w:iCs/>
          <w:rtl/>
        </w:rPr>
        <w:t>«جريان فلسفه بافي، دين‌سازي و معبود تراشي در كارخانه ذهن آدمي هيچ جا به  اندازه ريگ ودا روشن و آشكار نيست.»</w:t>
      </w:r>
    </w:p>
    <w:p w:rsidR="0011420A" w:rsidRPr="00175A44" w:rsidP="003C0EF5">
      <w:pPr>
        <w:widowControl w:val="0"/>
        <w:spacing w:line="420" w:lineRule="exact"/>
        <w:ind w:left="0" w:right="0"/>
        <w:jc w:val="both"/>
        <w:rPr>
          <w:rFonts w:cs="B Zar" w:hint="cs"/>
          <w:rtl/>
        </w:rPr>
      </w:pPr>
      <w:r w:rsidRPr="00175A44">
        <w:rPr>
          <w:rFonts w:cs="B Zar" w:hint="cs"/>
          <w:rtl/>
        </w:rPr>
        <w:t>البته بايد خاطر نشان سازيم كه اين جريان دين سازي يا خداتراشي به خاطر فراموش كردن تعاليم پيامبران بوده است. انسان از يك جهت به طور غريزي و فطري احساس مي‌كرده است كه زندگي و هستي او بيهوده نيست و داستان زندگي با مرگ به پايان نمي‌رسد، و وراي اين پديده‌هاي «ناقص» كه ما با آن روبرو مي‌شويم يك حقيقت و ذات كامل وجود دارد. فراسوي عالم مشاهدات، يك عالم غيب نيز هست، ولي جوامعي كه رهنمودهاي پيامبران را فراموش كرده بودند، تصور روشن و دقيقي از ماهيت درست عالم غيب و دين حق و معبود واقعي نداشتند، ناگزير در حدسيات و ظنيات دست و پا زده و با سير زمان تصورات آنان دگرگون مي شده و به مراحل تازه‌اي دست مي‌يافته‌اند.</w:t>
      </w:r>
    </w:p>
    <w:p w:rsidR="0011420A" w:rsidRPr="00175A44" w:rsidP="003C0EF5">
      <w:pPr>
        <w:widowControl w:val="0"/>
        <w:spacing w:line="420" w:lineRule="exact"/>
        <w:ind w:left="0" w:right="0"/>
        <w:jc w:val="both"/>
        <w:rPr>
          <w:rFonts w:cs="B Zar" w:hint="cs"/>
          <w:rtl/>
        </w:rPr>
      </w:pPr>
      <w:r w:rsidRPr="00175A44">
        <w:rPr>
          <w:rFonts w:cs="B Zar" w:hint="cs"/>
          <w:rtl/>
        </w:rPr>
        <w:t>اكثر سرودها و ابيات ريگ ودا و سام ودا حكايت از يك مرحله ابتدائي و بدوي انديشه و اعتقادات ديني مي‌كند كه هنوز نظريه شرك، توحيد و يا وحدت‌الوجود به طور مدون و منظم شكل نگرفته بود. انسان ابتدائي با حالت شگفت زدگي، تحير و يا حالت ترس، دلهره و دغدغه، يا با حالت طمع، پديده‌هاي طبيعت را نگريسته و آنان را «ذوات فوق انساني» محسوب مي‌كرده و ساده لوحانه به پرستش آن و تقديم نذور و قرباني در پيشگاه آن مي‌پرداخته است. اين مرحله «طبيعت‌پرستي» بود. در اين مرحله مناسك عبادي عبارت بود از تمجيد و تجليل زيبائي، عطوفت، بخشندگي و قدرت و «همه جا حضوري» طبيعت. در اين مرحله رهبري مراسم نيايش را «شاعران» به عهده داشتند و عموم سرودهاي ريگ ودا و سام ودا حكايت از اين مرحله دارد</w:t>
      </w:r>
      <w:r>
        <w:rPr>
          <w:rStyle w:val="FootnoteReference"/>
          <w:rFonts w:cs="B Zar"/>
          <w:rtl/>
        </w:rPr>
        <w:footnoteReference w:id="217"/>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در مرحله اول دين آدمي و تصور او از خدا صرفاً مبتني بر «مشاهده مستقيم» بود و تصور، تخيل، عقل يا اشراق در آن دخالتي نداشت. انسان پديده‌ها، اشياء و موجودات را مي‌نگريسته و هر چيزي را اسرارآميز، تحسين‌برانگيز،‌ هراسناك يا مفيد مي‌ديده، مي‌پرستيده است. ولي به تدريج انسان از مرحله «شير خوارگي» تمدن به حالت طفوليت رسيد. قوه تخيل خود را در اين امر دخالت داد، و بدين نتيجه رسيد كه آنچه پديده‌ها نظير: خورشيد، ماه، ابر و باران، صاعقه و آتش و يا اشجار و كوه‌ها و حيوانات را به حركت مي‌آورد و يا از شكوه برخوردار می سازد، «ارواحي» هستند كه ماوراي اين پديده و اشياء و موجودات قرار دارند. پديده‌ها عروسك‌هائي هستند كه نخ حركت دهنده آنرا «روح همزاد» هر پديده به دست دارد. در اين زمان جريان قوه متخليه و جريان تفكر بدوي انسان براه افتاد. او بدين نتيجه رسيد كه براي كسب سود و دفع ضرر ستايش خود پديده‌ها فايده‌اي ندارد، بلكه بايد هر طوري شده ارواح حاكم بر آنان را تسخير كند و تحت تسلط خود درآورد. از اينجاست كه تمجيد شاعرانه مرحله اول، جاي خود را به انجام اوراد و اذكار و طلسم‌هاي جادوئي مي‌دهد. به جاي «شاعر»، رهبري ديني را «كاهن» به دست مي‌گيرد و مرحله انيميسم (جان پرستي) و توتميسم (توتم يا مظهرپرستي) آغاز مي‌شود. اين مرحله دوم تحول انديشه ديني است كه به طور عمده اتهارو ودا منعكس كننده آن است.</w:t>
      </w:r>
    </w:p>
    <w:p w:rsidR="0011420A" w:rsidRPr="00175A44" w:rsidP="003C0EF5">
      <w:pPr>
        <w:widowControl w:val="0"/>
        <w:spacing w:line="420" w:lineRule="exact"/>
        <w:ind w:left="0" w:right="0"/>
        <w:jc w:val="both"/>
        <w:rPr>
          <w:rFonts w:cs="B Zar" w:hint="cs"/>
          <w:rtl/>
        </w:rPr>
      </w:pPr>
      <w:r w:rsidRPr="00175A44">
        <w:rPr>
          <w:rFonts w:cs="B Zar" w:hint="cs"/>
          <w:rtl/>
        </w:rPr>
        <w:t>در مرحله سوم تحول، انديشه در كنار قوه متخيله و قوه عقل بدوي نيز به كار مي‌افتد. «عقل» در مرحله اول، با روش «قياس» و «استقراء» يا استباط كار خود را آغاز مي‌كند. اينك انسان از طريق استدلال عقلي بدين نتيجه مي رسد كه كسي كه او مي پرستد، بايد قوي‌تر، نيرومندتر، عظيم‌الجثه‌تر و حكيم‌تر از خود او باشد. در عين حال روش قياس به نفس منجر به آن مي‌شود كه چنان گمان كند كه خدايان داراي تمام مشخصات و ويژگي‌هاي زندگي فردي و اجتماعي انسان‌ها هستند، تنها تفاوتشان اين است كه آنان داراي عظمت و حكمت و قدرت و دوام بيشتري هستند. پس چون انسان‌ها داراي كثرت نفوس‌اند، خدايان نيز انبوه اند؛ نظير انسان‌ها، آنان نيز متولد مي شوند، دوره كودكي، جواني و پيري را طي مي‌كنند. تنها دوره تولد آنان پيچيده‌تر است، و به تعبير ديگر تفاوت خدايان با انسان‌ها تفاوت كمّي است نه تفاوت كيفي.</w:t>
      </w:r>
    </w:p>
    <w:p w:rsidR="0011420A" w:rsidRPr="00175A44" w:rsidP="003C0EF5">
      <w:pPr>
        <w:widowControl w:val="0"/>
        <w:spacing w:line="420" w:lineRule="exact"/>
        <w:ind w:left="0" w:right="0"/>
        <w:jc w:val="both"/>
        <w:rPr>
          <w:rFonts w:cs="B Zar" w:hint="cs"/>
          <w:rtl/>
        </w:rPr>
      </w:pPr>
      <w:r w:rsidRPr="00175A44">
        <w:rPr>
          <w:rFonts w:cs="B Zar" w:hint="cs"/>
          <w:rtl/>
        </w:rPr>
        <w:t>در اين مرحله «ارواح» آئين انيميسم جاي خود را به «خدايان» و «رب النوع»‌ها مي‌دهد. در اين مرحله به جاي انجام مراسم جادوئي، مراسم پرستش خدايان و بت پرستي و «پوجا» رواج پيدا مي كند؛ چرا كه عقل انسان او را بدين نتيجه مي‌رساند كه موجودات غيبي «لابد بايد به مراتب بزرگتر و قوي‌‌تر از انسان‌ها باشند. پس تلاش براي «تسخير» آنان از طريق مراسم جادوئي كار بيهوده‌اي است و در نتيجه بايد به تقديم نذور و قرباني‌ها و انجام مراسم پرستش آنان پرداخت. در اين مرحله جاي «كاهن» را به عنوان رهبر ديني، «برهمن» يا روحاني هندو مي گيرد. مرحله سوم مرحله «شرك» است و ياجور ودا و سپس رسائل براهمانا، منعكس كننده اين مرحله از سير انديشه ديني است.</w:t>
      </w:r>
    </w:p>
    <w:p w:rsidR="0011420A" w:rsidRPr="00175A44" w:rsidP="003C0EF5">
      <w:pPr>
        <w:widowControl w:val="0"/>
        <w:spacing w:line="420" w:lineRule="exact"/>
        <w:ind w:left="0" w:right="0"/>
        <w:jc w:val="both"/>
        <w:rPr>
          <w:rFonts w:cs="B Zar" w:hint="cs"/>
          <w:rtl/>
        </w:rPr>
      </w:pPr>
      <w:r w:rsidRPr="00175A44">
        <w:rPr>
          <w:rFonts w:cs="B Zar" w:hint="cs"/>
          <w:rtl/>
        </w:rPr>
        <w:t>مرحله چهارم مرحله توحيد است. وقتي «عقل» به كار افتد، بي رحمانه به قطع و بريدن اعتقادات مي‌پردازد و آنچه را كه غير منطقي باشد كنار مي‌زند. گفتيم كه در مرحله اول طبيعت‌پرستي، تنها «مشاهده» اساس اعتقادات بود. در مرحله دوم انيميسم قوه متخليه و واهمه دست به كار مي‌شود. از مرحله سوم دخالت «عقل» آغاز گرديد، ولي هنوز عقل در مرحله ظنيات و عالم طفوليت بوده، با بلوغ فكري، مردان فكور جامعه به اين نكته پي ‌بردند كه از نظر عقلي و منطقي امكان ندارد كه از يكسو انسان معتقد به ذات لاينتاهي، كمال مطلق آفريننده كل، قدرت و علم و زيبائي مطلق باشد و از سوي ديگر اين ذات را بيش از يكي بداند. هرگاه ذات خداوند بيش از يكي باشد، هر دو موجود متناهي خواهند بود. اگر «ذات اكمل» بيش از يكي باشد، لااقل يكي از آنان اكمل نيست، و آنچه «اكمل» نيست، خدا نمي‌تواند باشد؛ پس خداوند تنها يكي است. همچنين اگر آفريننده كل را بيش از يكي بدانيم، يا اين است كه يكي از اينان ديگري را آفريده، در اينصورت آنان كه آفريده شده‌اند، نمي‌توانند «خدا» محسوب شوند. اگر هيچ كدام، همدگر را نيافريده است، در اينصورت نمي‌تواند خالق كل و آفريننده كل موجودات باشند. ذاتي را كه كمال مطلق يا داراي علم و قدرت مطلق بدانيم، نمي‌تواند بيش از يكي باشد. اساساً محال است خداوند مثل و نظيري داشته باشد و باز هم خدا باشد. در ذات واجب، تعدد و كثرت اصلاً معنائي ندارد.</w:t>
      </w:r>
    </w:p>
    <w:p w:rsidR="0011420A" w:rsidRPr="00175A44" w:rsidP="003C0EF5">
      <w:pPr>
        <w:widowControl w:val="0"/>
        <w:spacing w:line="420" w:lineRule="exact"/>
        <w:ind w:left="0" w:right="0"/>
        <w:jc w:val="both"/>
        <w:rPr>
          <w:rFonts w:cs="B Zar" w:hint="cs"/>
          <w:rtl/>
        </w:rPr>
      </w:pPr>
      <w:r w:rsidRPr="00175A44">
        <w:rPr>
          <w:rFonts w:cs="B Zar" w:hint="cs"/>
          <w:rtl/>
        </w:rPr>
        <w:t>عقل كه در فرهنگ اسلامي «پيامبر باطن» ناميده شده است؛ بدينسان انسان را در نيل به مرحله بلوغ انديشه ديني و درك اصل توحيد كمك كرد. در عين حال پيامبران الهي نيز كه براي هدايت انسان‌‌ها در تمام جوامع مبعوث مي‌شده‌اند، انسان را به سوي عقيده توحيد رهنمون گرديدند. البته بنابه بينش اسلامي، نخستين عقيده اي كه انسان در نتيجه راهنمائي وحي بدان راه يافت، همين عقيده توحيد است و علت آن كه جوامع، از مراحل گوناگون طبيعت پرستي، انيميسم و شرك رد شدند، فراموش كردن تعاليم اصيل پيامبران بوده است.</w:t>
      </w:r>
    </w:p>
    <w:p w:rsidR="0011420A" w:rsidRPr="00175A44" w:rsidP="003C0EF5">
      <w:pPr>
        <w:widowControl w:val="0"/>
        <w:spacing w:line="420" w:lineRule="exact"/>
        <w:ind w:left="0" w:right="0"/>
        <w:jc w:val="both"/>
        <w:rPr>
          <w:rFonts w:cs="B Zar" w:hint="cs"/>
          <w:rtl/>
        </w:rPr>
      </w:pPr>
      <w:r w:rsidRPr="00175A44">
        <w:rPr>
          <w:rFonts w:cs="B Zar" w:hint="cs"/>
          <w:rtl/>
        </w:rPr>
        <w:t>در بسياري از ابيات و سرودهاي وداهاي چهارگانه و نيز اوپانيشاد و گيتا عقيده توحيد منعكس شده است. همين امر موجب شد، دياناند سارسواتي</w:t>
      </w:r>
      <w:r w:rsidRPr="00175A44">
        <w:rPr>
          <w:rFonts w:cs="B Zar"/>
        </w:rPr>
        <w:t xml:space="preserve"> (Dayananda Sarswati)</w:t>
      </w:r>
      <w:r w:rsidRPr="00175A44">
        <w:rPr>
          <w:rFonts w:cs="B Zar" w:hint="cs"/>
          <w:rtl/>
        </w:rPr>
        <w:t xml:space="preserve"> بدين نتيجه برسد كه تعليم اصيل ودا ترويج اصل توحيد است و ماكس مولر نظريه «هنوتيسم»</w:t>
      </w:r>
      <w:r>
        <w:rPr>
          <w:rStyle w:val="FootnoteReference"/>
          <w:rFonts w:cs="B Zar"/>
        </w:rPr>
        <w:footnoteReference w:id="218"/>
      </w:r>
      <w:r w:rsidRPr="00175A44">
        <w:rPr>
          <w:rFonts w:cs="B Zar" w:hint="cs"/>
          <w:rtl/>
        </w:rPr>
        <w:t xml:space="preserve"> را عنوان كند. در صفحات بعدي ما شواهدي را كه در وداهاي چهارگانه راجع به اعتقاد توحيد ديده مي‌شود، مورد بررسي قرار خواهيم داد.</w:t>
      </w:r>
      <w:r>
        <w:rPr>
          <w:rStyle w:val="FootnoteReference"/>
          <w:rFonts w:cs="B Zar"/>
        </w:rPr>
        <w:footnoteReference w:id="219"/>
      </w:r>
    </w:p>
    <w:p w:rsidR="0011420A" w:rsidRPr="00175A44" w:rsidP="003C0EF5">
      <w:pPr>
        <w:widowControl w:val="0"/>
        <w:spacing w:line="420" w:lineRule="exact"/>
        <w:ind w:left="0" w:right="0"/>
        <w:jc w:val="both"/>
        <w:rPr>
          <w:rFonts w:cs="B Zar" w:hint="cs"/>
          <w:rtl/>
        </w:rPr>
      </w:pPr>
      <w:r w:rsidRPr="00175A44">
        <w:rPr>
          <w:rFonts w:cs="B Zar" w:hint="cs"/>
          <w:rtl/>
        </w:rPr>
        <w:t>سرانجام در مرحله پنجم، برخي از  افراد عارف مسلك جامعه معتقد بدين نظريه مي‌شوند كه نه تنها در جهان هيچ خدائي غير از يك خدا نيست، بلكه در واقع هيچ موجودي غير از ذات واحد وجود ندارد. اصل لا اله الا الله گسترش داده شده، منتهي به اعتقاد «لا موجود الا الله» مي‌شود. اينان معتقد مي شوند در كائنات و «آفاق» و «انفس» هرچه هست، از تجليات ذات احديت است. هدف هستي ما كشف گوهر ملكوتي در «آفاق» و «انفس» است. اين مرحله، وحدت‌الوجود است. برخي از ابيات ودا چنانكه خواهيد ديد كنايتاً به اين فلسفه اشاره دارد. در دوره بعدي فلسفه وحدت‌الوجود به صورت نگرش ويژه مكتب اوپانيشاد و گيتا در آمد، ولي آثار اوليه آنرا مي‌توان در وداها نيز سراغ گرفت.</w:t>
      </w:r>
    </w:p>
    <w:p w:rsidR="0011420A" w:rsidRPr="00175A44" w:rsidP="003C0EF5">
      <w:pPr>
        <w:widowControl w:val="0"/>
        <w:spacing w:line="420" w:lineRule="exact"/>
        <w:ind w:left="0" w:right="0"/>
        <w:jc w:val="both"/>
        <w:rPr>
          <w:rFonts w:cs="B Zar" w:hint="cs"/>
          <w:rtl/>
        </w:rPr>
      </w:pPr>
      <w:r w:rsidRPr="00175A44">
        <w:rPr>
          <w:rFonts w:cs="B Zar" w:hint="cs"/>
          <w:rtl/>
        </w:rPr>
        <w:t>در مرحله اول طبيعت‌پرستي، نگرش ديني مبتني بر مشاهده است. در مرحله دوم انيميسم، مبتني بر متخليه و واهمه است. در مرحله سوم شرك، مبتني بر عقل ناقص و ظن است و در مرحله چهارم و پنجم، مبتني بر عقل و اشراق يا علم و عرفان است. در مرحله اول، طريق عبادت و نجات، مبتني بر سرودن اشعار تمجيدي و آواز خواني است. در مرحله دوم، مبتني بر طلسم، اذكار و اوراد جادوئي. در مرحله سوم، مبتني بر تقديم نذور و قرباني، بت پرستي و مراسم «پوجا». در مرحله چهارم، مبتني بر تنزيه، تسبيح و تقديس و انجام شعائر عبادي و در مرحله پنجم، مبتني بر ذكر و فكر و «مراقبه» و مكاشفه است. در مرحله اول رهبري ديني و مراسم مذهبي را «شاعر» به عهده دارد؛ در مرحله دوم كاهن و جادوگر؛ در مرحله سوم برهمن، كشيش يا روحاني؛ در مرحله چهارم عالم و فقيه و در مرحله پنجم عارف و مرشد.</w:t>
      </w:r>
    </w:p>
    <w:p w:rsidR="0011420A" w:rsidRPr="00175A44" w:rsidP="003C0EF5">
      <w:pPr>
        <w:widowControl w:val="0"/>
        <w:spacing w:line="420" w:lineRule="exact"/>
        <w:ind w:left="0" w:right="0"/>
        <w:jc w:val="both"/>
        <w:rPr>
          <w:rFonts w:cs="B Zar" w:hint="cs"/>
          <w:rtl/>
        </w:rPr>
      </w:pPr>
      <w:r w:rsidRPr="00175A44">
        <w:rPr>
          <w:rFonts w:cs="B Zar" w:hint="cs"/>
          <w:rtl/>
        </w:rPr>
        <w:t>البته جريانات فكري ـ ديني پنجگانه در ودا به آن شدت در هم آميخته شده‌اند، كه حتي يك سرود ممكن است در ابيات مختلفي كه ساخته شده‌، منعكس كننده جريانات فكري مختلف باشد، ولي به طور عمده مي‌توان گفت كه در ادبيات ودائي و متون مقدس هندوها، سرودهاي ريگ ودا و سام ودا منعكس كننده مرحله اول سير انديشه، اوراد و طلسم‌هاي اتهارو ودا منعكس كننده مرحله دوم، احكام و اذكار ياجور ودا و «برهمانا» منعكس كننده مرحله سوم مي‌باشد. برخي سرودهاي متاخر ريگ وداهاي ديگر، مرحله چهارم و پنجم را منعكس مي‌سازد، ولي انديشه آريائي در هند به طور كلي در اين مرحله با فراگرفتن دوره اوپانيشاد و گيتا به دست آمد. رسائل پورانا، و حماسه مهابهارات و رامايانا كه اعتقادات و سنن عوام را ضبط كرده‌اند، به طور عمده منعكس كننده مرحله شرك و بت‌پرستي هستند.</w:t>
      </w:r>
    </w:p>
    <w:p w:rsidR="00423383"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رابطه ميان نظريه مرحله‌اي  مذكور و نظريه سطوحي گيتا</w:t>
      </w:r>
    </w:p>
    <w:p w:rsidR="0011420A" w:rsidRPr="00175A44" w:rsidP="003C0EF5">
      <w:pPr>
        <w:widowControl w:val="0"/>
        <w:spacing w:line="420" w:lineRule="exact"/>
        <w:ind w:left="0" w:right="0"/>
        <w:jc w:val="both"/>
        <w:rPr>
          <w:rFonts w:cs="B Zar" w:hint="cs"/>
          <w:rtl/>
        </w:rPr>
      </w:pPr>
      <w:r w:rsidRPr="00175A44">
        <w:rPr>
          <w:rFonts w:cs="B Zar" w:hint="cs"/>
          <w:rtl/>
        </w:rPr>
        <w:t>مقصود ما از مرحله‌بندي سير انديشه ديني آريائي‌هاي هند اين نيست كه پس از آنكه جامعه به مرحله دوم مي‌رسيد، انديشد ديني مرحله اول كاملاً منسوخ مي گرديد و يا پس از آنكه جامعه به مرحله توحيد رسيد، ديگر خبري از انديشه شرك در جامعه نبود. توالي تاريخي مراحل از نظر «وجود» است، نه از نظر «بود»، از نظر منشأ و ايجاد است، نه از نظر تداوم. اين نگرش‌هاي پنجگانه از نظر آغاز و ظهور (آن هم در جوامعي كه از تعاليم پيامبران بي بهره بودند) در رابطه عمودي قرار دارند، ولي از نظر ادامه موجوديت رابطه افقي دارند و در اكثر جوامع، تمام گرايش هاي ياد شده (باستثناي مرحله اول طبيعت‌پرستي كه تقريباً ملغي شده است) در كنار هم ديده مي‌شوند. در جامعه هند، در زماني كه تفكر عرفاني و وحدت‌ وجودي به صورت اوپانيشادها به اوج خود رسيده بود، هنوز عامه مردم در مرحله سوم شرك قرار داشتند و از همين‌رو مي‌بينيم پس از اوپانيشادها، مجموعه سنن پورانا و كتاب مهابهارات و رامايان، بت‌پرستي و نگرش شرك را مجدداً منعكس كردند. در همان زمان، برخي عرفا به والاترين انديشه وحدت‌الوجودي دست يافته بودند و سمبل آن اين است كه در قلب كتاب «مهابهارات»،</w:t>
      </w:r>
      <w:r w:rsidRPr="00175A44">
        <w:rPr>
          <w:rFonts w:cs="B Zar"/>
        </w:rPr>
        <w:t>(Mahabharata)</w:t>
      </w:r>
      <w:r w:rsidRPr="00175A44">
        <w:rPr>
          <w:rFonts w:cs="B Zar" w:hint="cs"/>
          <w:rtl/>
        </w:rPr>
        <w:t xml:space="preserve"> كه متن مقدس دين عاميانه شرك‌آلود است، اساساً «گيتا»</w:t>
      </w:r>
      <w:r w:rsidRPr="00175A44">
        <w:rPr>
          <w:rFonts w:cs="B Zar"/>
        </w:rPr>
        <w:t>(Gita)</w:t>
      </w:r>
      <w:r w:rsidRPr="00175A44">
        <w:rPr>
          <w:rFonts w:cs="B Zar" w:hint="cs"/>
          <w:rtl/>
        </w:rPr>
        <w:t xml:space="preserve"> قرار دارد كه معكس كننده والاترين انديشه عرفاني است.</w:t>
      </w:r>
      <w:r>
        <w:rPr>
          <w:rStyle w:val="FootnoteReference"/>
          <w:rFonts w:cs="B Zar"/>
          <w:rtl/>
        </w:rPr>
        <w:footnoteReference w:id="220"/>
      </w:r>
    </w:p>
    <w:p w:rsidR="0011420A" w:rsidRPr="00175A44" w:rsidP="003C0EF5">
      <w:pPr>
        <w:widowControl w:val="0"/>
        <w:spacing w:line="420" w:lineRule="exact"/>
        <w:ind w:left="0" w:right="0"/>
        <w:jc w:val="both"/>
        <w:rPr>
          <w:rFonts w:cs="B Zar" w:hint="cs"/>
          <w:rtl/>
        </w:rPr>
      </w:pPr>
      <w:r w:rsidRPr="00175A44">
        <w:rPr>
          <w:rFonts w:cs="B Zar" w:hint="cs"/>
          <w:rtl/>
        </w:rPr>
        <w:t>اين پديده را كه در هر جامعه، جريان تفكر انيميستي</w:t>
      </w:r>
      <w:r w:rsidRPr="00175A44">
        <w:rPr>
          <w:rFonts w:cs="B Zar"/>
        </w:rPr>
        <w:t xml:space="preserve"> (Animism)</w:t>
      </w:r>
      <w:r w:rsidRPr="00175A44">
        <w:rPr>
          <w:rFonts w:cs="B Zar" w:hint="cs"/>
          <w:rtl/>
        </w:rPr>
        <w:t xml:space="preserve"> خرافاتي و جادوگرا، تفكر شرك‌آلود و تفكر والاي توحيدي و عرفاني در كنارهم قرار دارد، خود گيتا توجيه كرده است. گيتا معتقد به «چند سطحي» بودن جامعه است. در جامعه اقشار مختلفي قرار دارند، كه از نظر تكامل عقلي و تزكيه روحيه در يك سطح نيستند. در نتيجه، بنا به نظريه «گيتا» بايد روش‌ها و نگرش‌هاي مختلف ديني وجود داشته باشند، تا هر سطحي از مردم، بنا به درجه تكامل خود، بتواند در زندگي ديني سهمي داشته باشد.</w:t>
      </w:r>
    </w:p>
    <w:p w:rsidR="0011420A" w:rsidRPr="00175A44" w:rsidP="003C0EF5">
      <w:pPr>
        <w:widowControl w:val="0"/>
        <w:spacing w:line="420" w:lineRule="exact"/>
        <w:ind w:left="0" w:right="0"/>
        <w:jc w:val="both"/>
        <w:rPr>
          <w:rFonts w:cs="B Zar" w:hint="cs"/>
          <w:rtl/>
        </w:rPr>
      </w:pPr>
      <w:r w:rsidRPr="00175A44">
        <w:rPr>
          <w:rFonts w:cs="B Zar" w:hint="cs"/>
          <w:rtl/>
        </w:rPr>
        <w:t>گيتا نيز نظير اوپانيشاد و برهماسوترا</w:t>
      </w:r>
      <w:r w:rsidRPr="00175A44">
        <w:rPr>
          <w:rFonts w:cs="B Zar"/>
        </w:rPr>
        <w:t>(Brahma Sutra)</w:t>
      </w:r>
      <w:r w:rsidRPr="00175A44">
        <w:rPr>
          <w:rFonts w:cs="B Zar" w:hint="cs"/>
          <w:rtl/>
        </w:rPr>
        <w:t>، نگرش وحدت‌الوجود و دين عرفاني را والاترين نوع نگرش ديني محسوب مي‌كند، در عين حال، نگرش‌هاي ديني ديگر را نيز اصالت مي‌دهد. گيتا زندگي آدمي را در مراحل مختلف و افراد جوامع را در سطوح گوناگون تقسيم مي‌كند و معتقد است كه براي هر مرحله و هر سطح نوع خاصي از اعتقادات و مناسك عبادي لازم است. عامه مردم حس‌گرا، لذت طلب و منفعت محورند. در نتيجه ديني كه بايد براي آنان تجويز شود ديني است كه حقيقت ازلي و ذات مطلق را به صورت تجسم در خدايان و بت‌ها منعكس می كند. آنان صلاحيت ندارند كه حجابات ظواهر را بشكنند و به كنه حقيقت برسند، به جاي «حقيقت نهائي » «حجابات» و مظاهر آنرا مي پرستند.</w:t>
      </w:r>
    </w:p>
    <w:p w:rsidR="0011420A" w:rsidRPr="00175A44" w:rsidP="003C0EF5">
      <w:pPr>
        <w:widowControl w:val="0"/>
        <w:spacing w:line="420" w:lineRule="exact"/>
        <w:ind w:left="0" w:right="0"/>
        <w:jc w:val="both"/>
        <w:rPr>
          <w:rFonts w:cs="B Zar" w:hint="cs"/>
          <w:rtl/>
        </w:rPr>
      </w:pPr>
      <w:r w:rsidRPr="00175A44">
        <w:rPr>
          <w:rFonts w:cs="B Zar" w:hint="cs"/>
          <w:rtl/>
        </w:rPr>
        <w:t>همچنين در حدي نيستند كه از طريق سير و سلوك عرفاني آنان و روش مراقبه و مكاشفه، به سوي نيل به سعادت گام بردارند؛ بلكه بايد با انجام مناسك، تقديم نذور و قرباني به پيشگاه خدايان، غريزه ديني خويش را تسكين دهند.</w:t>
      </w:r>
    </w:p>
    <w:p w:rsidR="0011420A" w:rsidRPr="00175A44" w:rsidP="003C0EF5">
      <w:pPr>
        <w:widowControl w:val="0"/>
        <w:spacing w:line="420" w:lineRule="exact"/>
        <w:ind w:left="0" w:right="0"/>
        <w:jc w:val="both"/>
        <w:rPr>
          <w:rFonts w:cs="B Zar" w:hint="cs"/>
          <w:iCs/>
          <w:rtl/>
        </w:rPr>
      </w:pPr>
      <w:r w:rsidRPr="00175A44">
        <w:rPr>
          <w:rFonts w:cs="B Zar" w:hint="cs"/>
          <w:rtl/>
        </w:rPr>
        <w:t>گيتا در عين آنكه اصالت ودا را قبول مي كند و آنرا وحي آسماني و كلام الهي مي‌داند، به طور تلويحي خاطر نشان مي‌سازد كه دين ودا كه مبتني بر پرستش تجسم‌هاي حقيقت است و نه خود حقيقت، و مبتني بر روش مناسك عبادي است، براي مردم عوام مناسب است، نه براي خواص، عرفا و انديشمندان. در فصل دوم گيتا، سري كريشنا</w:t>
      </w:r>
      <w:r w:rsidRPr="00175A44">
        <w:rPr>
          <w:rFonts w:cs="B Zar"/>
        </w:rPr>
        <w:t>(Sri Krishna)</w:t>
      </w:r>
      <w:r w:rsidRPr="00175A44">
        <w:rPr>
          <w:rFonts w:cs="B Zar" w:hint="cs"/>
          <w:rtl/>
        </w:rPr>
        <w:t xml:space="preserve">  خطاب به آرجونا</w:t>
      </w:r>
      <w:r w:rsidRPr="00175A44">
        <w:rPr>
          <w:rFonts w:cs="B Zar"/>
        </w:rPr>
        <w:t>(Arjuna)</w:t>
      </w:r>
      <w:r w:rsidRPr="00175A44">
        <w:rPr>
          <w:rFonts w:cs="B Zar" w:hint="cs"/>
          <w:rtl/>
        </w:rPr>
        <w:t xml:space="preserve"> مي‌گويد: </w:t>
      </w:r>
      <w:r w:rsidRPr="00175A44">
        <w:rPr>
          <w:rFonts w:cs="B Zar" w:hint="cs"/>
          <w:iCs/>
          <w:rtl/>
        </w:rPr>
        <w:t>«اي آرجون (پرته</w:t>
      </w:r>
      <w:r w:rsidRPr="00175A44">
        <w:rPr>
          <w:rFonts w:cs="B Zar"/>
          <w:iCs/>
        </w:rPr>
        <w:t>Partha=</w:t>
      </w:r>
      <w:r w:rsidRPr="00175A44">
        <w:rPr>
          <w:rFonts w:cs="B Zar" w:hint="cs"/>
          <w:iCs/>
          <w:rtl/>
        </w:rPr>
        <w:t>) سست انديشگان به بخش‌هاي مناسكي ودا ارج تمام مي نهند گوئي دين غير از مناسك قرباني چيزي ندارد. هواهاي نفس بر آنان چيره گرديده، رسيدن به بهشت و لذت‌هاي حور و غلمان والاترين هدف آنان است. تمام هم و غم آنان متوجه انجام دقيق مناسك است.</w:t>
      </w:r>
      <w:r>
        <w:rPr>
          <w:rStyle w:val="FootnoteReference"/>
          <w:rFonts w:cs="B Zar"/>
          <w:iCs/>
          <w:rtl/>
        </w:rPr>
        <w:footnoteReference w:id="221"/>
      </w:r>
      <w:r w:rsidRPr="00175A44">
        <w:rPr>
          <w:rStyle w:val="FootnoteReference"/>
          <w:rFonts w:cs="B Zar"/>
          <w:iCs/>
        </w:rPr>
        <w:t xml:space="preserve"> </w:t>
      </w:r>
      <w:r w:rsidRPr="00175A44">
        <w:rPr>
          <w:rFonts w:cs="B Zar" w:hint="cs"/>
          <w:iCs/>
          <w:rtl/>
        </w:rPr>
        <w:t>»</w:t>
      </w:r>
    </w:p>
    <w:p w:rsidR="0011420A" w:rsidRPr="00175A44" w:rsidP="003C0EF5">
      <w:pPr>
        <w:widowControl w:val="0"/>
        <w:spacing w:line="420" w:lineRule="exact"/>
        <w:ind w:left="0" w:right="0"/>
        <w:jc w:val="both"/>
        <w:rPr>
          <w:rFonts w:cs="B Zar" w:hint="cs"/>
          <w:rtl/>
        </w:rPr>
      </w:pPr>
      <w:r w:rsidRPr="00175A44">
        <w:rPr>
          <w:rFonts w:cs="B Zar" w:hint="cs"/>
          <w:rtl/>
        </w:rPr>
        <w:t>در جاي ديگر مي‌گويد: «اي ارجون! بخش مناسكي ودا براي كساني است كه خود را از زندان گون‌ها (صفات عارضي و هواها) نرهانيده‌اند. ولي آنان كه قفس صفات عارضي را در هم شكسته‌اند و در فضاي فراسوي آن به پرواز درآمده اند، بخش مناسكي ودا، براي آنان آبشاري كوچك و تنگ است. آنان اقيانوس را نظاره مي كنند و بدان راه يافته‌اند.</w:t>
      </w:r>
      <w:r>
        <w:rPr>
          <w:rStyle w:val="FootnoteReference"/>
          <w:rFonts w:cs="B Zar"/>
          <w:iCs/>
          <w:rtl/>
        </w:rPr>
        <w:footnoteReference w:id="222"/>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گيتا به طور تلويحي خاطرنشان مي‌سازد كه در جامعه، جريانات مختلفي از نگرش‌هاي  ديني وجود دارند. مردم عوام با ظواهر ودا و بخش مناسكي آن كار دارند، در حاليكه عرفا و خواص با پوسته‌كاري ندارند و به هسته اصلي دين مي‌رسند. همچنين گيتا در قطعات و آيات مختلف خاطر نشان ساخته است كه نظام عبادي نيز داراي سطوح مختلف است، عموم مردم كه از سه گون (هواها) تزكيه نشده‌اند، به انجام مناسك ظاهري مي‌پردازند؛ در حاليكه عرفا به سير و سلوك عرفاني و معرفت ذات احديت همت مي‌گمارند.</w:t>
      </w:r>
      <w:r>
        <w:rPr>
          <w:rStyle w:val="FootnoteReference"/>
          <w:rFonts w:cs="B Zar"/>
          <w:rtl/>
        </w:rPr>
        <w:footnoteReference w:id="223"/>
      </w:r>
    </w:p>
    <w:p w:rsidR="0011420A" w:rsidRPr="00175A44" w:rsidP="003C0EF5">
      <w:pPr>
        <w:widowControl w:val="0"/>
        <w:spacing w:line="420" w:lineRule="exact"/>
        <w:ind w:left="0" w:right="0"/>
        <w:jc w:val="both"/>
        <w:rPr>
          <w:rFonts w:cs="B Zar" w:hint="cs"/>
          <w:rtl/>
        </w:rPr>
      </w:pPr>
      <w:r w:rsidRPr="00175A44">
        <w:rPr>
          <w:rFonts w:cs="B Zar" w:hint="cs"/>
          <w:rtl/>
        </w:rPr>
        <w:t>بدينسان، اظهارات گيتا نيز ناظر بر آن است كه نگرش‌هاي مختلف ديني كه ما به آنان اشاره كرده‌ايم، در جامعه در كنار هم قرار دارند. اين نگرش‌هاي پنجگانه از نظر ظهور و منشا «مرحله‌اي» اند و از نظر تداوم و رواج «سطحي»، يعني تنها از نظر تاريخ در توالي با هم و يكي پس از ديگري به ظهور رسيده، ولي از نظر واقعيت موجود، جوامع در كنار هم به موجوديت خود ادامه مي دهند و طبقات مختلف مردم به نگرش‌ها و روش‌هاي مختلف پايبند هستند.</w:t>
      </w:r>
    </w:p>
    <w:p w:rsidR="0011420A" w:rsidRPr="00175A44" w:rsidP="003C0EF5">
      <w:pPr>
        <w:widowControl w:val="0"/>
        <w:spacing w:line="420" w:lineRule="exact"/>
        <w:ind w:left="0" w:right="0"/>
        <w:jc w:val="both"/>
        <w:rPr>
          <w:rFonts w:cs="B Zar"/>
          <w:rtl/>
        </w:rPr>
      </w:pPr>
      <w:r w:rsidRPr="00175A44">
        <w:rPr>
          <w:rFonts w:cs="B Zar" w:hint="cs"/>
          <w:rtl/>
        </w:rPr>
        <w:t>در صفحات بعد به تفصيل، ماهيت دين ودا را از ديدگاه «نگرش‌هاي مرحله‌اي» مورد بررسي قرار مي دهيم تا ملاحظه شود كه در مرحله اول دين آريائي‌هاي اوليه چگونه بوده و آنان پديده‌ها را به چه نحوه مورد پرستش قرار مي‌داده‌اند. سپس در مراحل دوم و سوم، دين آنان چگونه شد و چه دگرگوني‌هايي در آن صورت گرفت و سرانجام به اين مساله كه مراحل چهارم و پنجم در ودا چگونه منعكس شده است خواهيم پرداخت.</w:t>
      </w:r>
    </w:p>
    <w:p w:rsidR="0011420A" w:rsidP="003C0EF5">
      <w:pPr>
        <w:pStyle w:val="BodyTextIndent2"/>
        <w:widowControl w:val="0"/>
        <w:spacing w:line="420" w:lineRule="exact"/>
        <w:ind w:left="0" w:right="0" w:firstLine="567"/>
        <w:jc w:val="center"/>
        <w:rPr>
          <w:rFonts w:cs="B Zar" w:hint="cs"/>
          <w:b/>
          <w:bCs/>
          <w:rtl/>
        </w:rPr>
      </w:pPr>
      <w:r w:rsidR="00C91F15">
        <w:rPr>
          <w:rFonts w:cs="B Zar"/>
          <w:b/>
          <w:bCs/>
          <w:rtl/>
        </w:rPr>
        <w:br w:type="page"/>
      </w:r>
    </w:p>
    <w:p w:rsidR="00C91F15" w:rsidRPr="00175A44" w:rsidP="003C0EF5">
      <w:pPr>
        <w:pStyle w:val="BodyTextIndent2"/>
        <w:widowControl w:val="0"/>
        <w:spacing w:line="420" w:lineRule="exact"/>
        <w:ind w:left="0" w:right="0" w:firstLine="567"/>
        <w:jc w:val="center"/>
        <w:rPr>
          <w:rFonts w:cs="B Zar" w:hint="cs"/>
          <w:b/>
          <w:bCs/>
          <w:rtl/>
        </w:rPr>
      </w:pPr>
    </w:p>
    <w:p w:rsidR="0011420A" w:rsidRPr="00175A44" w:rsidP="003C0EF5">
      <w:pPr>
        <w:pStyle w:val="BodyTextIndent2"/>
        <w:widowControl w:val="0"/>
        <w:spacing w:line="420" w:lineRule="exact"/>
        <w:ind w:left="0" w:right="0" w:firstLine="567"/>
        <w:jc w:val="center"/>
        <w:rPr>
          <w:rFonts w:cs="B Zar" w:hint="cs"/>
          <w:b/>
          <w:bCs/>
          <w:rtl/>
        </w:rPr>
      </w:pPr>
      <w:r w:rsidRPr="00175A44">
        <w:rPr>
          <w:rFonts w:cs="B Zar" w:hint="cs"/>
          <w:b/>
          <w:bCs/>
          <w:rtl/>
        </w:rPr>
        <w:t>آئين طبيعت‌پرستي</w:t>
      </w:r>
    </w:p>
    <w:p w:rsidR="0011420A" w:rsidRPr="00175A44" w:rsidP="003C0EF5">
      <w:pPr>
        <w:pStyle w:val="BodyTextIndent2"/>
        <w:widowControl w:val="0"/>
        <w:spacing w:line="420" w:lineRule="exact"/>
        <w:ind w:left="0" w:right="0" w:firstLine="567"/>
        <w:jc w:val="both"/>
        <w:rPr>
          <w:rFonts w:cs="B Zar" w:hint="cs"/>
          <w:b/>
          <w:bCs/>
          <w:rtl/>
        </w:rPr>
      </w:pPr>
    </w:p>
    <w:p w:rsidR="0011420A" w:rsidRPr="00175A44" w:rsidP="003C0EF5">
      <w:pPr>
        <w:widowControl w:val="0"/>
        <w:spacing w:line="420" w:lineRule="exact"/>
        <w:ind w:left="0" w:right="0"/>
        <w:jc w:val="both"/>
        <w:rPr>
          <w:rFonts w:cs="B Zar" w:hint="cs"/>
          <w:rtl/>
        </w:rPr>
      </w:pPr>
      <w:r w:rsidRPr="00175A44">
        <w:rPr>
          <w:rFonts w:cs="B Zar" w:hint="cs"/>
          <w:rtl/>
        </w:rPr>
        <w:t>در آستانة تكوين تمدّن، انسان بدوي در مهد طبيعت قرار داشت ، در جنگل‌ها، بر فراز كوه‌ها، در آغوش وادي‌ها و جلگه‌ها و در پهنه صحراها زير گنبد آبي آسمان زندگي مي‌كرد. انسان در اين مرحله ابتدائي داراي احساسات نيرومند شاعرانه بود و زيبائي پرستي شاخص اصلي او. هنوز به بلوغ عقلي و فكري نرسيده و ادراك او سطحي، خالي و ظاهربينانه بود.</w:t>
      </w:r>
      <w:r>
        <w:rPr>
          <w:rStyle w:val="FootnoteReference"/>
          <w:rFonts w:cs="B Zar"/>
          <w:rtl/>
        </w:rPr>
        <w:footnoteReference w:id="224"/>
      </w:r>
    </w:p>
    <w:p w:rsidR="0011420A" w:rsidRPr="00175A44" w:rsidP="003C0EF5">
      <w:pPr>
        <w:widowControl w:val="0"/>
        <w:spacing w:line="420" w:lineRule="exact"/>
        <w:ind w:left="0" w:right="0"/>
        <w:jc w:val="both"/>
        <w:rPr>
          <w:rFonts w:cs="B Zar" w:hint="cs"/>
          <w:rtl/>
        </w:rPr>
      </w:pPr>
      <w:r w:rsidRPr="00175A44">
        <w:rPr>
          <w:rFonts w:cs="B Zar" w:hint="cs"/>
          <w:rtl/>
        </w:rPr>
        <w:t>ترديدي نيست كه انسان در طي هزاران هزار سال تاريخ خود، رو به تكامل رفته است. اكثر اديان، فلسفه ها و مكاتب عرفاني اذعان دارند كه انسان موجودي است در حال «شدن». جامعه و تمدّن بشري و به طور كلّي بني نوع بشر، يك كالاي ساخته شده نيست. انسان يك بودن نيست، بلكه يك «شدن» است و در طي سير تكامل خود از مراحل مختلف رد شده است. البته اين درست است كه انسان داراي يك فطرت ثابت است و بسياري از گرايشها و ملكه‌هاي او جنبه ثابت دارند، ولي نظريه‌هاي تكاملي كه فطرت و جوهر انسان را نفي مي‌كنند، براي ما قابل قبول نيستند؛ در عين حال ردّ نظريه‌هاي تكامل به طور مطلق نبايد منتهي به نوعي بينش «مكانيستي» شود و ما هرگونه سير تكاملي مادي، فكري، عقيدتي و روحاني بني نوع بشر را انكار كنيم؛ چرا كه اينگونه انكار نه با بينش ديني ما سازگار است و نه با انبوهي از يافته‌هاي علوم تجربي و اجتماعي از جمله علم باستان شناسي، مردم شناسي و جامعه شناسي دين. انكار تكامل انسان در طي هزاران هزار سال تاريخ خود، انكار ماهيت پوياي انسان است. اين نه تنها تحقيري براي انسان است؛ بلكه انكار اختيار و قوه «انتخاب» انسان نيز هست، كه جوهر انسانيت آدمي را تشكيل مي‌دهد و او را برحسب جهان بيني ديني «مسجود ملائكه» ساخته است و به طور غير مستقيم انكار اصل اساسي عدل الهي است؛ چرا كه اگر انسان از آغاز «راه‌هاي» خود را انتخاب نكرده، پس عقاب و ثواب بي‌مورد است و اگر اين «كودك» خودش سوال و پرسش‌هاي امتحان را حلّ نكرده، پس دادن نمره به چه معناست. انكار سير تكاملي انسان و مراحل تدريجي انديشه بشر با فلسفه نبوت در اسلام و بعثت انبياء، و رسيدن نبوت  به كمال خاتميت نيز مطابقت ندارد.</w:t>
      </w:r>
    </w:p>
    <w:p w:rsidR="0011420A" w:rsidRPr="00175A44" w:rsidP="003C0EF5">
      <w:pPr>
        <w:widowControl w:val="0"/>
        <w:spacing w:line="420" w:lineRule="exact"/>
        <w:ind w:left="0" w:right="0"/>
        <w:jc w:val="both"/>
        <w:rPr>
          <w:rFonts w:cs="B Zar" w:hint="cs"/>
          <w:rtl/>
        </w:rPr>
      </w:pPr>
      <w:r w:rsidRPr="00175A44">
        <w:rPr>
          <w:rFonts w:cs="B Zar" w:hint="cs"/>
          <w:rtl/>
        </w:rPr>
        <w:t xml:space="preserve">همچنانكه آدمي پس از گذر از مرحله شيرخوارگي و طفوليت به مراحل بلوغ، جواني و رشد كامل مي‌رسد، اجتماعات بشري نيز از مراحل شيرخوارگي، طفوليت و نوجواني ردّ شده و سپس به مرحله بلوغ و رشد مي‌رسند. ماهيت ادراك و نيز كيفيت خواسته‌هاي آدمي در مرحله شيرخوارگي، طفوليت ، جواني و بلوغ يكي نيست. آگاهي طفل، آگاهي در مرحله اول يا القايي است و يا مبتني بر حواس و ظاهر؛ ادراك او از حقائق مبتني بر حواس ظاهره است، محدود به محيط زيست و موجودات و اشيائي است كه او آنرا مي‌بيند، مي‌چشد يا لمس مي‌كند؛ ادراك او به كنه و ماهيت اشياء نفوذ نمي كند و از كليت و عموميت برخوردار نيست؛ آگاهي بشر محدود به چارچوب ادراكات حسي است، و عمدتاً به وسيله حواس ظاهره بوده ادراكات او از ظواهر اشياء و پديده‌ها عبور نمي كرد تا به درون ذات و ماهيت آنها و نيروي حاكم بر آنها برسد. همچنين اين ادراك فردي و جزئي بوده </w:t>
      </w:r>
      <w:r w:rsidRPr="00175A44">
        <w:rPr>
          <w:rFonts w:cs="B Zar" w:hint="cs"/>
          <w:rtl/>
          <w:lang w:bidi="fa-IR"/>
        </w:rPr>
        <w:t xml:space="preserve">و </w:t>
      </w:r>
      <w:r w:rsidRPr="00175A44">
        <w:rPr>
          <w:rFonts w:cs="B Zar" w:hint="cs"/>
          <w:rtl/>
        </w:rPr>
        <w:t>از كلّيّت و عموميت برخوردار نبوده است، محدود به محيط زيست بوده، به خارج از محيط زيست راه پيدا نمي‌كرد.</w:t>
      </w:r>
      <w:r>
        <w:rPr>
          <w:rStyle w:val="FootnoteReference"/>
          <w:rFonts w:cs="B Zar"/>
          <w:rtl/>
        </w:rPr>
        <w:footnoteReference w:id="225"/>
      </w:r>
    </w:p>
    <w:p w:rsidR="0011420A" w:rsidRPr="00175A44" w:rsidP="003C0EF5">
      <w:pPr>
        <w:widowControl w:val="0"/>
        <w:spacing w:line="420" w:lineRule="exact"/>
        <w:ind w:left="0" w:right="0"/>
        <w:jc w:val="both"/>
        <w:rPr>
          <w:rFonts w:cs="B Zar" w:hint="cs"/>
          <w:rtl/>
        </w:rPr>
      </w:pPr>
      <w:r w:rsidRPr="00175A44">
        <w:rPr>
          <w:rFonts w:cs="B Zar" w:hint="cs"/>
          <w:rtl/>
        </w:rPr>
        <w:t xml:space="preserve">در عين حال انسان از سپيده دم تاريخ خود، داراي برخي گرايشها، اميال و زمينه‌هائي بوده است. اين گرايشها همانند گرايش به زيبائي، ميل به حق و صدق و كمال، گرايش به دانستن مجهولات، جنبه اكتسابي ندارد؛ بلكه به طور غريزي و وهبي در نهاد انسان بوده است و همين گرايشها و ميل‌ها، تفاوت انسان را با حيوانات ديگر نشان مي‌داده است. از جمله اين گرايش‌هاي فطري انسان، ميل او به پرستش معبودي است كه مظهر كمال، قدرت، حكمت و جاودانگي است. منشاء اصلي مذهب در تاريخ، همين نياز فطري بشر بوده است. انسان خود را از بسياري جهات ناقص احساس مي كند و اين احساس را در درون خود دارد كه در آفاق كسي است كه كمال مطلق است. او خود را در برابر بسياري چيزها،  به خصوص پديده‌هاي طبيعت و حيوانات درنده و خزنده، زار و زبون و ناتوان مي‌بيند و حس مي كند كه كسي هست كه قادر متعال است. او خود را دستخوش فناء مي‌بيند و حس مي‌كند كه كسي هست كه جاودانه است. اين گرايش از آغاز انسان را وادار كرد، معبودي را كه مظهر كمال، قدرت، زيبائي، پويايي و حركت باشد پيدا كند. چون در مراحل طفوليت آدمي، آگاهي انسان تنها به وسيله حواس ظاهري بوده و از ظواهر اشياء و پديده ها عبور نمي‌كرد. او اين صفات را به شگفت‌آورترين پديده‌هايي كه از طريق حواس درك مي شدند، نسبت داده و در آن مرحله زندگي طبيعي انسان هيچ چيز شگفت‌آورتر از پديده‌هاي طبيعت، به خصوص آسمان پرستاره، خورشيد نيمروز، ماه خنك و رعد و صاعقه و توفان نبوده است. او در مقابل عظمت، نور، قدرت، زيبائي  و پويائي طبيعت مات و مبهوت مي‌ماند. براي او گوناگوني پديده‌هاي طبيعت نيز بسيار اعجاب انگيز بود. برخي كه داراي نور و حرارت فوق‌العاده‌اي بودند، از جمله: خورشيد، صاعقه و آتش فشان براي او بسيار جالب توجه بودند. برخي نامنتاهي بودن را تداعي مي‌كردند كه نظير: آسمان و دريا. برخي باروري، رزّاقيت و آفرينندگي را به خاطر مي‌آورند، نظير: ابر و باران و «زمين». برخي حركت را تداعي مي كردند، خورشيد، ماه، امواج دريا و وزيدن باد، نمونه آن بودند. برخي صفت حاضر و ناظر و «همه جا حضوري» </w:t>
      </w:r>
      <w:r w:rsidRPr="00175A44">
        <w:rPr>
          <w:rFonts w:cs="B Zar"/>
        </w:rPr>
        <w:t>(Omn</w:t>
      </w:r>
      <w:r w:rsidRPr="00175A44">
        <w:rPr>
          <w:rFonts w:cs="B Zar"/>
        </w:rPr>
        <w:t>i-Presence)</w:t>
      </w:r>
      <w:r w:rsidRPr="00175A44">
        <w:rPr>
          <w:rFonts w:cs="B Zar" w:hint="cs"/>
          <w:rtl/>
        </w:rPr>
        <w:t xml:space="preserve"> را تداعي مي كردند؛ گوئي بر تمام كارهاي او ناظر بودند، نظير: درختان و كوه‌ها. برخي صداهاي عجيب و غريبي را ايجاد مي كردند، همانند: رعد و صاعقه و وزيدن توفان و طغيان امواج خروشان دريا. بدينسان در مرحلة اوّل انديشه ديني، اجتماعات اوليه بشري كه يا در آن برهه، از تعاليم پيامبران برخوردار نبوده و يا اين تعاليم را فراموش كرده بودند، در ورطه «طبيعت پرستي» افتادند. بشري كه از نظر اميال فطري خود تشنه يافتن معبودي بود كه مظهر كمال، نور، عظمت، قدرت و زيبائي باشد، وقتي در ظلمت شب منظره زيباي آسمان پرستاره را مشاهده مي‌كرد و ستارگان را مي‌ديد كه چشمك مي‌زنند، فكر مي‌كرد اينان معبودند:</w:t>
      </w:r>
      <w:r>
        <w:rPr>
          <w:rStyle w:val="FootnoteReference"/>
          <w:rFonts w:cs="B Zar"/>
          <w:rtl/>
        </w:rPr>
        <w:footnoteReference w:id="226"/>
      </w:r>
    </w:p>
    <w:p w:rsidR="0011420A" w:rsidRPr="00175A44" w:rsidP="003C0EF5">
      <w:pPr>
        <w:widowControl w:val="0"/>
        <w:spacing w:line="420" w:lineRule="exact"/>
        <w:ind w:left="0" w:right="0"/>
        <w:jc w:val="both"/>
        <w:rPr>
          <w:rFonts w:cs="B Zar" w:hint="cs"/>
          <w:rtl/>
        </w:rPr>
      </w:pPr>
      <w:r w:rsidRPr="00175A44">
        <w:rPr>
          <w:rFonts w:cs="B Zar" w:hint="cs"/>
          <w:rtl/>
        </w:rPr>
        <w:t>«چون شب برآمد و خداي خود را از بالا مي جست، ستاره‌اي ديد، گفت لاجرم اين معبود من است» ماه را مشاهده مي كرد روشن برآمده، مي گفت اين است خداي من.</w:t>
      </w:r>
      <w:r>
        <w:rPr>
          <w:rStyle w:val="FootnoteReference"/>
          <w:rFonts w:cs="B Zar"/>
          <w:rtl/>
        </w:rPr>
        <w:footnoteReference w:id="227"/>
      </w:r>
    </w:p>
    <w:p w:rsidR="0011420A" w:rsidRPr="00175A44" w:rsidP="003C0EF5">
      <w:pPr>
        <w:widowControl w:val="0"/>
        <w:spacing w:line="420" w:lineRule="exact"/>
        <w:ind w:left="0" w:right="0"/>
        <w:jc w:val="both"/>
        <w:rPr>
          <w:rFonts w:cs="B Zar" w:hint="cs"/>
          <w:rtl/>
        </w:rPr>
      </w:pPr>
      <w:r w:rsidRPr="00175A44">
        <w:rPr>
          <w:rFonts w:cs="B Zar" w:hint="cs"/>
          <w:rtl/>
        </w:rPr>
        <w:t>چون خورشيد برآمده را تابان مي‌بيند، مي‌گويد: «حتماً اين خداي من است، اين از همه بزرگتر است»:</w:t>
      </w:r>
      <w:r>
        <w:rPr>
          <w:rStyle w:val="FootnoteReference"/>
          <w:rFonts w:cs="B Zar"/>
          <w:rtl/>
        </w:rPr>
        <w:footnoteReference w:id="228"/>
      </w:r>
    </w:p>
    <w:p w:rsidR="0011420A" w:rsidRPr="00175A44" w:rsidP="003C0EF5">
      <w:pPr>
        <w:widowControl w:val="0"/>
        <w:spacing w:line="420" w:lineRule="exact"/>
        <w:ind w:left="0" w:right="0"/>
        <w:jc w:val="both"/>
        <w:rPr>
          <w:rFonts w:cs="B Zar" w:hint="cs"/>
          <w:rtl/>
        </w:rPr>
      </w:pPr>
      <w:r w:rsidRPr="00175A44">
        <w:rPr>
          <w:rFonts w:cs="B Zar" w:hint="cs"/>
          <w:rtl/>
        </w:rPr>
        <w:t>تنها در مرحله بعدي كه شناخت انسان از ظواهر اشياء و پديده‌ها عبور مي‌كند و از شناخت فرديت و جزئيت و حس‌گرائي پا فراتر مي‌نهد و عقل خود را به كار مي‌اندازد، بدين نتيجه مي‌رسد كه اين پديده‌ها آفريدگار نيستند، آفريده‌اند؛ قديم نيستند، حادث‌اند؛ جاوداني نيستند، فاني‌‌اند‌:</w:t>
      </w:r>
    </w:p>
    <w:p w:rsidR="0011420A" w:rsidRPr="00175A44" w:rsidP="003C0EF5">
      <w:pPr>
        <w:widowControl w:val="0"/>
        <w:spacing w:line="420" w:lineRule="exact"/>
        <w:ind w:left="0" w:right="0"/>
        <w:jc w:val="both"/>
        <w:rPr>
          <w:rFonts w:cs="B Zar" w:hint="cs"/>
          <w:rtl/>
        </w:rPr>
      </w:pPr>
      <w:r w:rsidRPr="00175A44">
        <w:rPr>
          <w:rFonts w:cs="B Zar" w:hint="cs"/>
          <w:rtl/>
        </w:rPr>
        <w:t>«فلّمّا افل قال لا احب‌الافلين» = (همينكه غروب كرد گفت من غروب كنندگان را دوست ندارم) «فلمّا افلت قال يا قوم انّيٌ بري ممّا تشركون»</w:t>
      </w:r>
      <w:r>
        <w:rPr>
          <w:rStyle w:val="FootnoteReference"/>
          <w:rFonts w:cs="B Zar"/>
          <w:rtl/>
        </w:rPr>
        <w:footnoteReference w:id="229"/>
      </w:r>
      <w:r w:rsidRPr="00175A44">
        <w:rPr>
          <w:rFonts w:cs="B Zar" w:hint="cs"/>
          <w:rtl/>
        </w:rPr>
        <w:t>، وقتي (خورشيد) غروب كرد، گفت: «اي گروه من! از آنچه با خدا شريك و انباز مي‌گيرند، بيزارم».</w:t>
      </w:r>
    </w:p>
    <w:p w:rsidR="0011420A" w:rsidRPr="00175A44" w:rsidP="003C0EF5">
      <w:pPr>
        <w:widowControl w:val="0"/>
        <w:spacing w:line="420" w:lineRule="exact"/>
        <w:ind w:left="0" w:right="0"/>
        <w:jc w:val="both"/>
        <w:rPr>
          <w:rFonts w:cs="B Zar" w:hint="cs"/>
          <w:rtl/>
        </w:rPr>
      </w:pPr>
      <w:r w:rsidRPr="00175A44">
        <w:rPr>
          <w:rFonts w:cs="B Zar" w:hint="cs"/>
          <w:rtl/>
        </w:rPr>
        <w:t>قرآن كريم آنچه از زبان حضرت ابراهيم در آيات بالا نقل كرده است، مي‌تواند استعاره‌اي از مراحل معبود شناسي آدمي نيز تلقي شود.</w:t>
      </w:r>
    </w:p>
    <w:p w:rsidR="0011420A" w:rsidRPr="00175A44" w:rsidP="003C0EF5">
      <w:pPr>
        <w:widowControl w:val="0"/>
        <w:spacing w:line="420" w:lineRule="exact"/>
        <w:ind w:left="0" w:right="0"/>
        <w:jc w:val="both"/>
        <w:rPr>
          <w:rFonts w:cs="B Zar" w:hint="cs"/>
          <w:rtl/>
        </w:rPr>
      </w:pPr>
      <w:r w:rsidRPr="00175A44">
        <w:rPr>
          <w:rFonts w:cs="B Zar" w:hint="cs"/>
          <w:rtl/>
        </w:rPr>
        <w:t xml:space="preserve">از جمله دين شناسان به نام </w:t>
      </w:r>
      <w:r w:rsidRPr="00175A44">
        <w:rPr>
          <w:rFonts w:cs="B Zar" w:hint="cs"/>
          <w:iCs/>
          <w:rtl/>
        </w:rPr>
        <w:t>ماكس مولر</w:t>
      </w:r>
      <w:r w:rsidRPr="00175A44">
        <w:rPr>
          <w:rFonts w:cs="B Zar" w:hint="cs"/>
          <w:rtl/>
        </w:rPr>
        <w:t xml:space="preserve"> بر اين نكته تأكيد دارد، كه نخستين مرحله سير انديشه ديني بشر را طبيعت پرستي تشكيل مي‌داده است. مولر در كتاب، «درس‌هائي پيرامون منشأ و عوامل توسعه مذهب»، با تحليل اديان گوناگون شرق، نتيجه مي‌گيرد كه قديمي‌ترين نوع مذهب در تاريخ بشر آئين پرستش طبيعت است.</w:t>
      </w:r>
      <w:r>
        <w:rPr>
          <w:rStyle w:val="FootnoteReference"/>
          <w:rFonts w:cs="B Zar"/>
          <w:rtl/>
        </w:rPr>
        <w:footnoteReference w:id="230"/>
      </w:r>
      <w:r w:rsidRPr="00175A44">
        <w:rPr>
          <w:rFonts w:cs="B Zar"/>
        </w:rPr>
        <w:t xml:space="preserve"> </w:t>
      </w:r>
      <w:r w:rsidRPr="00175A44">
        <w:rPr>
          <w:rFonts w:cs="B Zar" w:hint="cs"/>
          <w:rtl/>
        </w:rPr>
        <w:t xml:space="preserve"> هارتمان نيز بر اين نظريه تأكيد كرده است.</w:t>
      </w:r>
    </w:p>
    <w:p w:rsidR="0011420A" w:rsidP="003C0EF5">
      <w:pPr>
        <w:widowControl w:val="0"/>
        <w:spacing w:line="420" w:lineRule="exact"/>
        <w:ind w:left="0" w:right="0"/>
        <w:jc w:val="both"/>
        <w:rPr>
          <w:rFonts w:cs="B Zar" w:hint="cs"/>
          <w:i/>
          <w:iCs/>
          <w:rtl/>
        </w:rPr>
      </w:pPr>
      <w:r w:rsidRPr="00175A44">
        <w:rPr>
          <w:rFonts w:cs="B Zar" w:hint="cs"/>
          <w:rtl/>
        </w:rPr>
        <w:t xml:space="preserve">البته دسته ديگري از جامعه شناسان دين، از جمله اِ. لانگ </w:t>
      </w:r>
      <w:r w:rsidRPr="00175A44">
        <w:rPr>
          <w:rFonts w:cs="B Zar"/>
        </w:rPr>
        <w:t>(A.Lang)</w:t>
      </w:r>
      <w:r w:rsidRPr="00175A44">
        <w:rPr>
          <w:rFonts w:cs="B Zar" w:hint="cs"/>
          <w:rtl/>
        </w:rPr>
        <w:t xml:space="preserve">، اين نظريه را زير سوال برده‌اند و به عقيده آنان نوع اول اعتقاد ديني آدمي، آئين انيميسم يا شرك بوده است. لانگ مي‌گويد: </w:t>
      </w:r>
      <w:r w:rsidRPr="00175A44">
        <w:rPr>
          <w:rFonts w:cs="B Zar" w:hint="cs"/>
          <w:i/>
          <w:iCs/>
          <w:rtl/>
        </w:rPr>
        <w:t>«معبود بسياري از قبائل و اقوام ابتدائي اقتباس شده از حوزه طبيعت نمي‌باشد، بلكه مستقل از آن است».</w:t>
      </w:r>
      <w:r w:rsidRPr="00175A44">
        <w:rPr>
          <w:rFonts w:cs="B Zar" w:hint="cs"/>
          <w:rtl/>
        </w:rPr>
        <w:t xml:space="preserve"> اچ.مان. </w:t>
      </w:r>
      <w:r w:rsidRPr="00175A44">
        <w:rPr>
          <w:rFonts w:cs="B Zar"/>
        </w:rPr>
        <w:t>(H.Mann)</w:t>
      </w:r>
      <w:r w:rsidRPr="00175A44">
        <w:rPr>
          <w:rFonts w:cs="B Zar" w:hint="cs"/>
          <w:rtl/>
        </w:rPr>
        <w:t xml:space="preserve"> مي‌گويد: «معبودان جزائر اندمان هرچند در آسمان و زمين قرار دارند، ولي مظهر اين پديده‌ها نيستند»</w:t>
      </w:r>
      <w:r>
        <w:rPr>
          <w:rStyle w:val="FootnoteReference"/>
          <w:rFonts w:cs="B Zar"/>
          <w:rtl/>
        </w:rPr>
        <w:footnoteReference w:id="231"/>
      </w:r>
      <w:r w:rsidRPr="00175A44">
        <w:rPr>
          <w:rFonts w:cs="B Zar" w:hint="cs"/>
          <w:rtl/>
        </w:rPr>
        <w:t xml:space="preserve">، ولي چنانكه صاحب نظر ديگري به نام </w:t>
      </w:r>
      <w:r w:rsidRPr="00175A44">
        <w:rPr>
          <w:rFonts w:cs="B Zar" w:hint="cs"/>
          <w:iCs/>
          <w:rtl/>
        </w:rPr>
        <w:t>مك لوچ</w:t>
      </w:r>
      <w:r w:rsidRPr="00175A44">
        <w:rPr>
          <w:rFonts w:cs="B Zar" w:hint="cs"/>
          <w:rtl/>
        </w:rPr>
        <w:t xml:space="preserve"> خاطر نشان ساخته است، شايد اديان و مذاهب اقوام بدوي در هنگامي كه تدوين گرديدند و يا در حال حاضر داراي ماهيت انيميستي يا شرك‌آميز باشند. اين امر نمي‌تواند ثابت كننده آن باشد كه در يك مرحله گذشته، آنان آئين پرستش طبيعت نداشته‌اند</w:t>
      </w:r>
      <w:r>
        <w:rPr>
          <w:rStyle w:val="FootnoteReference"/>
          <w:rFonts w:cs="B Zar"/>
          <w:rtl/>
        </w:rPr>
        <w:footnoteReference w:id="232"/>
      </w:r>
      <w:r w:rsidRPr="00175A44">
        <w:rPr>
          <w:rFonts w:cs="B Zar" w:hint="cs"/>
          <w:rtl/>
        </w:rPr>
        <w:t xml:space="preserve">. مانزيس مي‌گويد: </w:t>
      </w:r>
      <w:r w:rsidRPr="00175A44">
        <w:rPr>
          <w:rFonts w:cs="B Zar" w:hint="cs"/>
          <w:i/>
          <w:iCs/>
          <w:rtl/>
        </w:rPr>
        <w:t>«اساطير اقوام ابتدائي، به ويژه اساطيري كه راجع به خورشيد و ماه مي‌باشند، نمايانگر اين نكته اند كه در يك برهه گذشته، اين ملّت‌ها به پرستش اشتغال داشته‌اند. اساطير منعكس كننده اعتقادات بدوي‌تر ملّت‌ها هستند».</w:t>
      </w:r>
      <w:r>
        <w:rPr>
          <w:rStyle w:val="FootnoteReference"/>
          <w:rFonts w:cs="B Zar"/>
          <w:i/>
          <w:iCs/>
          <w:rtl/>
        </w:rPr>
        <w:footnoteReference w:id="233"/>
      </w:r>
    </w:p>
    <w:p w:rsidR="00F916B0" w:rsidRPr="00175A44" w:rsidP="003C0EF5">
      <w:pPr>
        <w:widowControl w:val="0"/>
        <w:spacing w:line="420" w:lineRule="exact"/>
        <w:ind w:left="0" w:right="0"/>
        <w:jc w:val="both"/>
        <w:rPr>
          <w:rFonts w:cs="B Zar" w:hint="cs"/>
          <w:i/>
          <w:i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عموميت طبيعت پرستي در ميان اقوام كهن:</w:t>
      </w:r>
    </w:p>
    <w:p w:rsidR="0011420A" w:rsidRPr="00175A44" w:rsidP="003C0EF5">
      <w:pPr>
        <w:widowControl w:val="0"/>
        <w:spacing w:line="420" w:lineRule="exact"/>
        <w:ind w:left="0" w:right="0"/>
        <w:jc w:val="both"/>
        <w:rPr>
          <w:rFonts w:cs="B Zar" w:hint="cs"/>
          <w:rtl/>
        </w:rPr>
      </w:pPr>
      <w:r w:rsidRPr="00175A44">
        <w:rPr>
          <w:rFonts w:cs="B Zar" w:hint="cs"/>
          <w:rtl/>
        </w:rPr>
        <w:t xml:space="preserve">كند‌ و‌ كاو در تاريخ انديشه ديني ملل كهن و اقوام ابتدائي، نشان مي‌دهد كه طبيعت‌پرستي ميان آنان رواج داشته است. در مصر باستان، نخستين مرحله از انديشه ديني عبارت از پرستش طبيعت بوده است. جيمز بائيكي صاحب نظر اديان مصر باستان مي‌نويسد: </w:t>
      </w:r>
      <w:r w:rsidRPr="00175A44">
        <w:rPr>
          <w:rFonts w:cs="B Zar" w:hint="cs"/>
          <w:i/>
          <w:iCs/>
          <w:rtl/>
        </w:rPr>
        <w:t>«دانش پژوهان معبودان مصر باستان را در دو دسته تقسيم كرده‌اند: معبوداني كه «ذوات قدسي» مستقل از طبيعت‌اند و معبوداني كه در حوزه طبيعت قرار دارند. به نظر مي‌رسد دسته دوم از معبودان متعلق به يك دوره كهن‌تراند و تصور معبودان مجرد از طبيعت در ادوار بعدي ظهور كرده است.»</w:t>
      </w:r>
      <w:r>
        <w:rPr>
          <w:rStyle w:val="FootnoteReference"/>
          <w:rFonts w:cs="B Zar"/>
          <w:i/>
          <w:iCs/>
          <w:rtl/>
        </w:rPr>
        <w:footnoteReference w:id="234"/>
      </w:r>
      <w:r w:rsidRPr="00175A44">
        <w:rPr>
          <w:rFonts w:cs="B Zar" w:hint="cs"/>
          <w:rtl/>
        </w:rPr>
        <w:t xml:space="preserve"> </w:t>
      </w:r>
    </w:p>
    <w:p w:rsidR="0011420A" w:rsidRPr="00175A44" w:rsidP="003C0EF5">
      <w:pPr>
        <w:widowControl w:val="0"/>
        <w:spacing w:line="420" w:lineRule="exact"/>
        <w:ind w:left="0" w:right="0"/>
        <w:jc w:val="both"/>
        <w:rPr>
          <w:rFonts w:cs="B Zar" w:hint="cs"/>
          <w:rtl/>
        </w:rPr>
      </w:pPr>
      <w:r w:rsidRPr="00175A44">
        <w:rPr>
          <w:rFonts w:cs="B Zar" w:hint="cs"/>
          <w:rtl/>
        </w:rPr>
        <w:t xml:space="preserve">برستيد نيز خاطر نشان ساخته است كه </w:t>
      </w:r>
      <w:r w:rsidRPr="00175A44">
        <w:rPr>
          <w:rFonts w:cs="B Zar" w:hint="cs"/>
          <w:i/>
          <w:iCs/>
          <w:rtl/>
        </w:rPr>
        <w:t>«نخستين معبودان مصريان، عبارت اند از پديده هاي طبيعت، بدانسان كه در كرانه‌هاي درياي نيل ديده مي شد. او مي‌نگارد: «نخستين بار مصريان در محيط طبيعي كرانه رود نيل خدايان خود را نظاره كردند. خورشيد برآمده از رودخانه، درختان، جويبارها، سنگ‌ها، كوه‌ها، پرندگان و حيوانات دريائي، شگفتي انسان اوليه را برانگيخت و آنها به پرستش اين پديده‌ها پرداختند. در اين مرحله خدايان هر منطقه از هم جدا بودند؛ چرا كه منظره‌هاي طبيعت در همه جا مشابه بهم نبود.»</w:t>
      </w:r>
      <w:r>
        <w:rPr>
          <w:rStyle w:val="FootnoteReference"/>
          <w:rFonts w:cs="B Zar"/>
          <w:i/>
          <w:iCs/>
          <w:rtl/>
        </w:rPr>
        <w:footnoteReference w:id="235"/>
      </w:r>
      <w:r w:rsidRPr="00175A44">
        <w:rPr>
          <w:rFonts w:cs="B Zar" w:hint="cs"/>
          <w:rtl/>
        </w:rPr>
        <w:t xml:space="preserve"> اكثر خدايان اين دوره مظهر آسمان و خورشيد (هوروسرا، كهپير) يا مظهر زمين (اُسيريس، اسيس) درياي نيل (هايي) و غيره مي باشند.</w:t>
      </w:r>
      <w:r>
        <w:rPr>
          <w:rStyle w:val="FootnoteReference"/>
          <w:rFonts w:cs="B Zar"/>
          <w:rtl/>
        </w:rPr>
        <w:footnoteReference w:id="236"/>
      </w:r>
    </w:p>
    <w:p w:rsidR="0011420A" w:rsidRPr="00175A44" w:rsidP="003C0EF5">
      <w:pPr>
        <w:widowControl w:val="0"/>
        <w:spacing w:line="420" w:lineRule="exact"/>
        <w:ind w:left="0" w:right="0"/>
        <w:jc w:val="both"/>
        <w:rPr>
          <w:rFonts w:cs="B Zar"/>
        </w:rPr>
      </w:pPr>
      <w:r w:rsidRPr="00175A44">
        <w:rPr>
          <w:rFonts w:cs="B Zar" w:hint="cs"/>
          <w:rtl/>
        </w:rPr>
        <w:t xml:space="preserve">نصوصي كه ما از يوناني‌ها در دست داريم،  متأخر از متون سمير و مصر و يا وداها، است و قدمت آن به بيش از 800 ق م نمي‌رسد، در اين زمان دين يوناني‌ها به طور كلّي به مرحلة سوم؛ مرحلة شرك رسيده بود. پانتئون يا جرگه خدائي يوناني‌ها يكي از نمونه‌هاي كلاسيك فرهنگ ديني شرك است؛ در عين حال در شعرهاي هومرتا هوسيد شواهدي به چشم مي‌خورد كه نمايانگر اين نكته است كه در يك دوره قديمي‌تر يونانيان نيز كيش طبيعت‌پرستي داشته‌اند. از اين شواهد چنان بر‌مي‌آيد كه خداي بزرگ يونانيان، زئوس، در آغاز «آسمان» يا «خورشيد» بوده است؛ دميتر </w:t>
      </w:r>
      <w:r w:rsidRPr="00175A44">
        <w:rPr>
          <w:rFonts w:cs="B Zar"/>
        </w:rPr>
        <w:t>(Demeter)</w:t>
      </w:r>
      <w:r w:rsidRPr="00175A44">
        <w:rPr>
          <w:rFonts w:cs="B Zar" w:hint="cs"/>
          <w:rtl/>
        </w:rPr>
        <w:t xml:space="preserve"> زمين بوده، همين طور «آپولو» </w:t>
      </w:r>
      <w:r w:rsidRPr="00175A44">
        <w:rPr>
          <w:rFonts w:cs="B Zar"/>
        </w:rPr>
        <w:t>(Appoll</w:t>
      </w:r>
      <w:r w:rsidRPr="00175A44">
        <w:rPr>
          <w:rFonts w:cs="B Zar"/>
        </w:rPr>
        <w:t>o)</w:t>
      </w:r>
      <w:r w:rsidRPr="00175A44">
        <w:rPr>
          <w:rFonts w:cs="B Zar" w:hint="cs"/>
          <w:rtl/>
        </w:rPr>
        <w:t xml:space="preserve"> در آغاز خورشيد و ارتميس </w:t>
      </w:r>
      <w:r w:rsidRPr="00175A44">
        <w:rPr>
          <w:rFonts w:cs="B Zar"/>
        </w:rPr>
        <w:t>(Artemis)</w:t>
      </w:r>
      <w:r w:rsidRPr="00175A44">
        <w:rPr>
          <w:rFonts w:cs="B Zar" w:hint="cs"/>
          <w:rtl/>
        </w:rPr>
        <w:t xml:space="preserve"> ماه بوده است. فارنل</w:t>
      </w:r>
      <w:r w:rsidRPr="00175A44">
        <w:rPr>
          <w:rFonts w:cs="B Zar"/>
        </w:rPr>
        <w:t xml:space="preserve"> (L.R.Farnell)</w:t>
      </w:r>
      <w:r w:rsidRPr="00175A44">
        <w:rPr>
          <w:rFonts w:cs="B Zar" w:hint="cs"/>
          <w:rtl/>
        </w:rPr>
        <w:t xml:space="preserve"> خاطرنشان ساخته است كه حتي در دوره حاكميت شرك، باورهاي عاميانه مردم عادي «طبيعت‌پرستانه» بوده است. مثلاً در شعرهاي هومر چندين جا به «مادر زمين» سوگند ياد شده است. اين امر نيز نمايانگر آن است كه در يك دورة قديمي تر يونانيان پديده‌هاي طبيعت را مستقيماً مورد پرستش قرار مي‌داده‌اند، سپس روحانيون، كيش ديني را اصلاح كرده، آنرا به صورت يك مذهب شرك درآوردند، ولي هنوز در سطح عوام ماهيتاًً آثاري از آئين پرستش طبيعت باقي مانده بود</w:t>
      </w:r>
      <w:r>
        <w:rPr>
          <w:rStyle w:val="FootnoteReference"/>
          <w:rFonts w:cs="B Zar"/>
          <w:rtl/>
        </w:rPr>
        <w:footnoteReference w:id="237"/>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در خاور دور، برجسته‌ترين نمونه پرستش، طبيعت ژاپن است. ژاپن را «مهد طبيعت‌پرستي» ناميده‌اند و عناصري از اين آئين حتّي تا دوره معاصر در دين شينتو باقي مانده است. به خاطر منزوي بودن ژاپن و فقدان تبادل فرهنگي، دين ژاپن تا اين اواخر در مرحله اوليه طبيعت‌پرستي و انيميسم و نياكان‌پرستي قرار داشته است.</w:t>
      </w:r>
    </w:p>
    <w:p w:rsidR="0011420A" w:rsidRPr="00175A44" w:rsidP="003C0EF5">
      <w:pPr>
        <w:widowControl w:val="0"/>
        <w:spacing w:line="420" w:lineRule="exact"/>
        <w:ind w:left="0" w:right="0"/>
        <w:jc w:val="both"/>
        <w:rPr>
          <w:rFonts w:cs="B Zar"/>
          <w:i/>
          <w:iCs/>
        </w:rPr>
      </w:pPr>
      <w:r w:rsidRPr="00175A44">
        <w:rPr>
          <w:rFonts w:cs="B Zar" w:hint="cs"/>
          <w:rtl/>
        </w:rPr>
        <w:t xml:space="preserve">ژاپن كشوري بس زيبا و داراي منظره‌هاي جذاب طبيعي مي‌باشد. ژاپني‌ها كه داراي احساسات قوي هستند، از ديرباز تحت تأثير اين زيبائي‌ها قرار گرفته و به تجليل و تقديس آن پرداخته‌اند. گفته مي‌شود ويژگي اصلي شعر و ادبيات ژاپني نيز دلبستگي به طبيعت و ترسيم شاعرانه منظره‌هاي آن است. اگر در زبان انگليسي يك شاعر طبيعت به نام وردس وَرث </w:t>
      </w:r>
      <w:r w:rsidRPr="00175A44">
        <w:rPr>
          <w:rFonts w:cs="B Zar"/>
        </w:rPr>
        <w:t>(Wordsworth)</w:t>
      </w:r>
      <w:r w:rsidRPr="00175A44">
        <w:rPr>
          <w:rFonts w:cs="B Zar" w:hint="cs"/>
          <w:rtl/>
        </w:rPr>
        <w:t xml:space="preserve"> داريم، در ادبيات ژاپني اكثر شاعران داراي اين ماهيت هستند. دين ژاپن نيز اساساً مبتني بر طبيعت پرستي است. ريوون </w:t>
      </w:r>
      <w:r w:rsidRPr="00175A44">
        <w:rPr>
          <w:rFonts w:cs="B Zar"/>
        </w:rPr>
        <w:t>(M.Revon)</w:t>
      </w:r>
      <w:r w:rsidRPr="00175A44">
        <w:rPr>
          <w:rFonts w:cs="B Zar" w:hint="cs"/>
          <w:rtl/>
        </w:rPr>
        <w:t xml:space="preserve"> مي‌نويسد: </w:t>
      </w:r>
      <w:r w:rsidRPr="00175A44">
        <w:rPr>
          <w:rFonts w:cs="B Zar" w:hint="cs"/>
          <w:i/>
          <w:iCs/>
          <w:rtl/>
        </w:rPr>
        <w:t>«برخلاف آنچه پنداشته مي‌شود، دين ژاپن مبتني بر نياكان‌پرستي، به طور يك امر فرعي و ثانوي وارد دين شينتو گرديده است.»</w:t>
      </w:r>
      <w:r>
        <w:rPr>
          <w:rStyle w:val="FootnoteReference"/>
          <w:rFonts w:cs="B Zar"/>
          <w:i/>
          <w:iCs/>
          <w:rtl/>
        </w:rPr>
        <w:footnoteReference w:id="238"/>
      </w:r>
    </w:p>
    <w:p w:rsidR="0011420A" w:rsidP="003C0EF5">
      <w:pPr>
        <w:widowControl w:val="0"/>
        <w:spacing w:line="420" w:lineRule="exact"/>
        <w:ind w:left="0" w:right="0"/>
        <w:jc w:val="both"/>
        <w:rPr>
          <w:rFonts w:cs="B Zar" w:hint="cs"/>
          <w:rtl/>
        </w:rPr>
      </w:pPr>
      <w:r w:rsidRPr="00175A44">
        <w:rPr>
          <w:rFonts w:cs="B Zar" w:hint="cs"/>
          <w:rtl/>
        </w:rPr>
        <w:t>بدين ترتيب مي بينيم كه كيش طبيعت‌پرستي،عموميت دارد و در اكثر جوامع، سير انديشه ديني بشر از «طبيعت‌پرستي» آغاز شده است. اين امر درباره تاريخ آريائي‌هاي هند و ايران نيز صدق مي‌كند و نخستين مرحله انديشه ديني آريائي مرحله پرستش طبيعت بوده كه رِيگ ودا گوياترين سند آن است، اينك ما به تفصيل عناصر طبيعت پرستي را در آئين ودا بررسي مي كنيم.</w:t>
      </w:r>
    </w:p>
    <w:p w:rsidR="00E87560"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طبيعت پرستي در ودا: پرستش ارض و سماء:</w:t>
      </w:r>
    </w:p>
    <w:p w:rsidR="0011420A" w:rsidRPr="00175A44" w:rsidP="003C0EF5">
      <w:pPr>
        <w:widowControl w:val="0"/>
        <w:spacing w:line="420" w:lineRule="exact"/>
        <w:ind w:left="0" w:right="0"/>
        <w:jc w:val="both"/>
        <w:rPr>
          <w:rFonts w:cs="B Zar" w:hint="cs"/>
          <w:rtl/>
        </w:rPr>
      </w:pPr>
      <w:r w:rsidRPr="00175A44">
        <w:rPr>
          <w:rFonts w:cs="B Zar" w:hint="cs"/>
          <w:rtl/>
        </w:rPr>
        <w:t>كانت گفته است: يكي از شگفت‌آورترين پديده‌ها، آسمان پرستاره است. آسمان براي بشر اوليه نيز بسيار شگفت انگيز بوده و او را به اعجاب و انديشه وا مي‌داشته است. براي انسان بدوي «آسمان»، صفات نامنتاهي بودن، تعالي، نورانيت و درخشندگي، قهاريت و جلال (رعد و صاعقه)، زيبائي و جمال (قوس قزح و ستارگان)، رزّاقيت و بخشندگي (باران و نور و حرارت) و نيز حاضر و ناظر بودن بر اعمال بندگان را تداعي مي‌كرد. اين امر كافي بوده است كه بشر اوليه چنين فكر كند كه معبود اكبر، متعالي، الباقي، النور، القهار، الجلال، الجميل، الرزاق، والعليم كه او درصدد شناسائي و پرستش آن است، همين آسمان لامنتاهي است كه پيش روي او قرار دارد. او با احترام و محبت آنرا به لقب «پدر آسمان» خطاب مي‌كرد.</w:t>
      </w:r>
    </w:p>
    <w:p w:rsidR="0011420A" w:rsidRPr="00175A44" w:rsidP="003C0EF5">
      <w:pPr>
        <w:widowControl w:val="0"/>
        <w:spacing w:line="420" w:lineRule="exact"/>
        <w:ind w:left="0" w:right="0"/>
        <w:jc w:val="both"/>
        <w:rPr>
          <w:rFonts w:cs="B Zar" w:hint="cs"/>
          <w:rtl/>
        </w:rPr>
      </w:pPr>
      <w:r w:rsidRPr="00175A44">
        <w:rPr>
          <w:rFonts w:cs="B Zar" w:hint="cs"/>
          <w:rtl/>
        </w:rPr>
        <w:t>دكتر رادا كريشنان معتقد است كه نخستين معبود آريائي‌ها «آسمان» بوده است.</w:t>
      </w:r>
      <w:r>
        <w:rPr>
          <w:rStyle w:val="FootnoteReference"/>
          <w:rFonts w:cs="B Zar"/>
          <w:rtl/>
        </w:rPr>
        <w:footnoteReference w:id="239"/>
      </w:r>
      <w:r w:rsidRPr="00175A44">
        <w:rPr>
          <w:rFonts w:cs="B Zar" w:hint="cs"/>
          <w:rtl/>
        </w:rPr>
        <w:t xml:space="preserve"> آريائي‌هاي هند و ايران او را «ديائوس»، آريائي‌هاي يونان زئوس، آريائي‌هاي ايتاليا، ژوپيتر </w:t>
      </w:r>
      <w:r w:rsidRPr="00175A44">
        <w:rPr>
          <w:rFonts w:cs="B Zar"/>
        </w:rPr>
        <w:t>(Jupitor)</w:t>
      </w:r>
      <w:r w:rsidRPr="00175A44">
        <w:rPr>
          <w:rFonts w:cs="B Zar" w:hint="cs"/>
          <w:rtl/>
        </w:rPr>
        <w:t xml:space="preserve">، و قبائل تئوتونك </w:t>
      </w:r>
      <w:r w:rsidRPr="00175A44">
        <w:rPr>
          <w:rFonts w:cs="B Zar"/>
        </w:rPr>
        <w:t>(Teotonic)</w:t>
      </w:r>
      <w:r w:rsidRPr="00175A44">
        <w:rPr>
          <w:rFonts w:cs="B Zar" w:hint="cs"/>
          <w:rtl/>
        </w:rPr>
        <w:t xml:space="preserve"> تائر </w:t>
      </w:r>
      <w:r w:rsidRPr="00175A44">
        <w:rPr>
          <w:rFonts w:cs="B Zar"/>
        </w:rPr>
        <w:t>(Tyre)</w:t>
      </w:r>
      <w:r w:rsidRPr="00175A44">
        <w:rPr>
          <w:rFonts w:cs="B Zar" w:hint="cs"/>
          <w:rtl/>
        </w:rPr>
        <w:t xml:space="preserve"> و تائي </w:t>
      </w:r>
      <w:r w:rsidRPr="00175A44">
        <w:rPr>
          <w:rFonts w:cs="B Zar"/>
        </w:rPr>
        <w:t>(Tye)</w:t>
      </w:r>
      <w:r w:rsidRPr="00175A44">
        <w:rPr>
          <w:rFonts w:cs="B Zar" w:hint="cs"/>
          <w:rtl/>
        </w:rPr>
        <w:t xml:space="preserve"> مي ناميدند.</w:t>
      </w:r>
    </w:p>
    <w:p w:rsidR="0011420A" w:rsidRPr="00175A44" w:rsidP="003C0EF5">
      <w:pPr>
        <w:widowControl w:val="0"/>
        <w:spacing w:line="420" w:lineRule="exact"/>
        <w:ind w:left="0" w:right="0"/>
        <w:jc w:val="both"/>
        <w:rPr>
          <w:rFonts w:cs="B Zar" w:hint="cs"/>
          <w:rtl/>
        </w:rPr>
      </w:pPr>
      <w:r w:rsidRPr="00175A44">
        <w:rPr>
          <w:rFonts w:cs="B Zar" w:hint="cs"/>
          <w:rtl/>
        </w:rPr>
        <w:t xml:space="preserve">البته پرستش آسمان منحصر به اقوام آريائي نيست؛ بلكه در جهان عموميت دارد. در مصر بزرگترين معبود كه «را» </w:t>
      </w:r>
      <w:r w:rsidRPr="00175A44">
        <w:rPr>
          <w:rFonts w:cs="B Zar"/>
        </w:rPr>
        <w:t>(Ra)</w:t>
      </w:r>
      <w:r w:rsidRPr="00175A44">
        <w:rPr>
          <w:rFonts w:cs="B Zar" w:hint="cs"/>
          <w:rtl/>
        </w:rPr>
        <w:t xml:space="preserve"> نام دارد، كنايه‌اي از آسمان است. در ميان يوناني‌ها زئوس، در جامعه باستاني بابل «انو» </w:t>
      </w:r>
      <w:r w:rsidRPr="00175A44">
        <w:rPr>
          <w:rFonts w:cs="B Zar"/>
        </w:rPr>
        <w:t>(Anu)</w:t>
      </w:r>
      <w:r w:rsidRPr="00175A44">
        <w:rPr>
          <w:rFonts w:cs="B Zar" w:hint="cs"/>
          <w:rtl/>
        </w:rPr>
        <w:t xml:space="preserve"> و «زولو»، در ميان فنلندي‌ها «اُكّو» </w:t>
      </w:r>
      <w:r w:rsidRPr="00175A44">
        <w:rPr>
          <w:rFonts w:cs="B Zar"/>
        </w:rPr>
        <w:t>(Ukko)</w:t>
      </w:r>
      <w:r w:rsidRPr="00175A44">
        <w:rPr>
          <w:rFonts w:cs="B Zar" w:hint="cs"/>
          <w:rtl/>
        </w:rPr>
        <w:t xml:space="preserve">، در چين </w:t>
      </w:r>
      <w:r w:rsidRPr="00175A44">
        <w:rPr>
          <w:rFonts w:cs="B Zar"/>
        </w:rPr>
        <w:t>(Tien)</w:t>
      </w:r>
      <w:r w:rsidRPr="00175A44">
        <w:rPr>
          <w:rFonts w:cs="B Zar" w:hint="cs"/>
          <w:rtl/>
        </w:rPr>
        <w:t xml:space="preserve">، در ميان اهالي كنعان «شمش» نيز كنايه‌هائي از آسمان بودند، كه البته در مراحل بعدي به صورت خدايان مستقل آئين شرك در آمدند. شواهد نشان مي‌دهد كه «شانگ‌تي» كه در چين به عنوان رب‌النوع آسمان مطرح شد، در ابتدا خود آسمان را مي‌گفته‌اند. در يونان «اورانوس» نيز به احتمال قوي اشاره‌اي به آسمان بوده است. پلوگا </w:t>
      </w:r>
      <w:r w:rsidRPr="00175A44">
        <w:rPr>
          <w:rFonts w:cs="B Zar"/>
        </w:rPr>
        <w:t>(Puluga)</w:t>
      </w:r>
      <w:r w:rsidRPr="00175A44">
        <w:rPr>
          <w:rFonts w:cs="B Zar" w:hint="cs"/>
          <w:rtl/>
        </w:rPr>
        <w:t xml:space="preserve"> معبود برتر جزائراندمان نيز كنايه‌اي از آسمان است. او با لقب «پدر» شناخته مي‌شود؛ رعد صداي او و برق شمشير او است.</w:t>
      </w:r>
      <w:r>
        <w:rPr>
          <w:rStyle w:val="FootnoteReference"/>
          <w:rFonts w:cs="B Zar"/>
          <w:rtl/>
        </w:rPr>
        <w:footnoteReference w:id="240"/>
      </w:r>
      <w:r w:rsidRPr="00175A44">
        <w:rPr>
          <w:rFonts w:cs="B Zar" w:hint="cs"/>
          <w:rtl/>
        </w:rPr>
        <w:t xml:space="preserve"> قبائل اندونزي آسمان را «پدر» و زمين را «مادر» خورشيد و ماه و ستارگان تلقي مي كند. طفل خورشيد شامگاهان پس از سير و تفريح در كنار پدر، بسوي مادرش مي شتابد و ماه، بچه ديگر در آسمان شب با پدرش به گشت و گذار مشغول مي شود.</w:t>
      </w:r>
      <w:r>
        <w:rPr>
          <w:rStyle w:val="FootnoteReference"/>
          <w:rFonts w:cs="B Zar"/>
          <w:rtl/>
        </w:rPr>
        <w:footnoteReference w:id="241"/>
      </w:r>
    </w:p>
    <w:p w:rsidR="0011420A" w:rsidRPr="00175A44" w:rsidP="003C0EF5">
      <w:pPr>
        <w:widowControl w:val="0"/>
        <w:spacing w:line="420" w:lineRule="exact"/>
        <w:ind w:left="0" w:right="0"/>
        <w:jc w:val="both"/>
        <w:rPr>
          <w:rFonts w:cs="B Zar" w:hint="cs"/>
          <w:rtl/>
        </w:rPr>
      </w:pPr>
      <w:r w:rsidRPr="00175A44">
        <w:rPr>
          <w:rFonts w:cs="B Zar" w:hint="cs"/>
          <w:rtl/>
        </w:rPr>
        <w:t>آريائي‌ها نيز آسمان را پدر اجرام سماوي تلقي مي كرده اند. برخي صاحب نظران گفته‌اند كه «اَدَتي»</w:t>
      </w:r>
      <w:r w:rsidRPr="00175A44">
        <w:rPr>
          <w:rFonts w:cs="B Zar"/>
        </w:rPr>
        <w:t>(Aditi)</w:t>
      </w:r>
      <w:r w:rsidRPr="00175A44">
        <w:rPr>
          <w:rFonts w:cs="B Zar" w:hint="cs"/>
          <w:rtl/>
        </w:rPr>
        <w:t xml:space="preserve"> كه مادر يا پدر دوازده تن از معبودان است، احتمالاً كنايه‌اي از «آسمان» است. دوزاده پسر وي</w:t>
      </w:r>
      <w:r w:rsidRPr="00175A44">
        <w:rPr>
          <w:rFonts w:cs="B Zar" w:hint="cs"/>
          <w:rtl/>
          <w:lang w:bidi="fa-IR"/>
        </w:rPr>
        <w:t>،</w:t>
      </w:r>
      <w:r w:rsidRPr="00175A44">
        <w:rPr>
          <w:rFonts w:cs="B Zar" w:hint="cs"/>
          <w:rtl/>
        </w:rPr>
        <w:t xml:space="preserve"> اجرام سماوي، نظير: خورشيد و ماه و ستارگان، فجر نور و غيره‌اند. البته دكتر رادا كريشنان معتقد است كه «ادتي» به معناي كلي «طبيعت» است. در طبيعت هرچه ديده مي‌شود مجموعه آنرا آريائي ها «ادتي» مي‌ناميدند. فرزندان ادتي، نظير: خورشيد و ماه و شفق را «ادتيه»</w:t>
      </w:r>
      <w:r w:rsidRPr="00175A44">
        <w:rPr>
          <w:rFonts w:cs="B Zar"/>
        </w:rPr>
        <w:t>Aditya)</w:t>
      </w:r>
      <w:r w:rsidRPr="00175A44">
        <w:rPr>
          <w:rFonts w:cs="B Zar" w:hint="cs"/>
          <w:rtl/>
        </w:rPr>
        <w:t xml:space="preserve"> مي‌ناميده‌اند. تعداد آنان در آغاز هفت تن، از جمله:  سوريه</w:t>
      </w:r>
      <w:r w:rsidRPr="00175A44">
        <w:rPr>
          <w:rFonts w:cs="B Zar"/>
        </w:rPr>
        <w:t xml:space="preserve">(Surya) </w:t>
      </w:r>
      <w:r w:rsidRPr="00175A44">
        <w:rPr>
          <w:rFonts w:cs="B Zar" w:hint="cs"/>
          <w:rtl/>
        </w:rPr>
        <w:t>، ورُن</w:t>
      </w:r>
      <w:r w:rsidRPr="00175A44">
        <w:rPr>
          <w:rFonts w:cs="B Zar"/>
        </w:rPr>
        <w:t>(Varuna)</w:t>
      </w:r>
      <w:r w:rsidRPr="00175A44">
        <w:rPr>
          <w:rFonts w:cs="B Zar" w:hint="cs"/>
          <w:rtl/>
        </w:rPr>
        <w:t xml:space="preserve"> و سوتري</w:t>
      </w:r>
      <w:r w:rsidRPr="00175A44">
        <w:rPr>
          <w:rFonts w:cs="B Zar"/>
        </w:rPr>
        <w:t xml:space="preserve"> (Savitri)</w:t>
      </w:r>
      <w:r w:rsidRPr="00175A44">
        <w:rPr>
          <w:rFonts w:cs="B Zar" w:hint="cs"/>
          <w:rtl/>
        </w:rPr>
        <w:t xml:space="preserve"> بودند كه اینها، اسامي خورشيد در حالات مختلف‌اند. «ويشنو» نيز يكي از اَدَتيه‌ها بوده است. با گذشت زمان اَدَتي به جاي آنكه كنايه‌اي از آسمان يا سماء تلقي ‌شود، به عنوان يكي از عناوين خورشيد درآمد.</w:t>
      </w:r>
      <w:r>
        <w:rPr>
          <w:rStyle w:val="FootnoteReference"/>
          <w:rFonts w:cs="B Zar"/>
          <w:rtl/>
        </w:rPr>
        <w:footnoteReference w:id="242"/>
      </w:r>
    </w:p>
    <w:p w:rsidR="0011420A" w:rsidRPr="00175A44" w:rsidP="003C0EF5">
      <w:pPr>
        <w:widowControl w:val="0"/>
        <w:spacing w:line="420" w:lineRule="exact"/>
        <w:ind w:left="0" w:right="0"/>
        <w:jc w:val="both"/>
        <w:rPr>
          <w:rFonts w:cs="B Zar" w:hint="cs"/>
          <w:rtl/>
        </w:rPr>
      </w:pPr>
      <w:r w:rsidRPr="00175A44">
        <w:rPr>
          <w:rFonts w:cs="B Zar" w:hint="cs"/>
          <w:rtl/>
        </w:rPr>
        <w:t xml:space="preserve">در ودا معبودي به نام پرجنيه </w:t>
      </w:r>
      <w:r w:rsidRPr="00175A44">
        <w:rPr>
          <w:rFonts w:cs="B Zar"/>
        </w:rPr>
        <w:t>(Parjaniya)</w:t>
      </w:r>
      <w:r w:rsidRPr="00175A44">
        <w:rPr>
          <w:rFonts w:cs="B Zar" w:hint="cs"/>
          <w:rtl/>
        </w:rPr>
        <w:t xml:space="preserve"> عنوان شده است. در اَتَهاروَ ودا </w:t>
      </w:r>
      <w:r w:rsidRPr="00175A44">
        <w:rPr>
          <w:rFonts w:cs="B Zar"/>
        </w:rPr>
        <w:t>(At</w:t>
      </w:r>
      <w:r w:rsidRPr="00175A44">
        <w:rPr>
          <w:rFonts w:cs="B Zar"/>
        </w:rPr>
        <w:t>harvaveda)</w:t>
      </w:r>
      <w:r w:rsidRPr="00175A44">
        <w:rPr>
          <w:rFonts w:cs="B Zar" w:hint="cs"/>
          <w:rtl/>
        </w:rPr>
        <w:t xml:space="preserve">گفته شده است: </w:t>
      </w:r>
      <w:r w:rsidRPr="00175A44">
        <w:rPr>
          <w:rFonts w:cs="B Zar" w:hint="cs"/>
          <w:i/>
          <w:iCs/>
          <w:rtl/>
        </w:rPr>
        <w:t>«زمين مادر ما و پرجنيه پدر ما است</w:t>
      </w:r>
      <w:r w:rsidRPr="00175A44">
        <w:rPr>
          <w:rFonts w:cs="B Zar" w:hint="cs"/>
          <w:rtl/>
        </w:rPr>
        <w:t>»، كه او به ما ياري دهد.</w:t>
      </w:r>
      <w:r>
        <w:rPr>
          <w:rStyle w:val="FootnoteReference"/>
          <w:rFonts w:cs="B Zar"/>
          <w:rtl/>
        </w:rPr>
        <w:footnoteReference w:id="243"/>
      </w:r>
    </w:p>
    <w:p w:rsidR="0011420A" w:rsidRPr="00175A44" w:rsidP="003C0EF5">
      <w:pPr>
        <w:widowControl w:val="0"/>
        <w:spacing w:line="420" w:lineRule="exact"/>
        <w:ind w:left="0" w:right="0"/>
        <w:jc w:val="both"/>
        <w:rPr>
          <w:rFonts w:cs="B Zar" w:hint="cs"/>
          <w:rtl/>
        </w:rPr>
      </w:pPr>
      <w:r w:rsidRPr="00175A44">
        <w:rPr>
          <w:rFonts w:cs="B Zar" w:hint="cs"/>
          <w:rtl/>
        </w:rPr>
        <w:t>پيدا است كه مقصود از پرجنيه</w:t>
      </w:r>
      <w:r w:rsidRPr="00175A44">
        <w:rPr>
          <w:rFonts w:cs="B Zar"/>
        </w:rPr>
        <w:t>(Parjaniya)</w:t>
      </w:r>
      <w:r w:rsidRPr="00175A44">
        <w:rPr>
          <w:rFonts w:cs="B Zar" w:hint="cs"/>
          <w:rtl/>
        </w:rPr>
        <w:t xml:space="preserve"> «آسمان» است؛ چرا كه در مقابل زمين عنوان شده است. ولي معروفترين عنوان براي پدر آسمان «ديائوس پتا»</w:t>
      </w:r>
      <w:r w:rsidRPr="00175A44">
        <w:rPr>
          <w:rFonts w:cs="B Zar"/>
        </w:rPr>
        <w:t>(Diaus Pita)</w:t>
      </w:r>
      <w:r w:rsidRPr="00175A44">
        <w:rPr>
          <w:rFonts w:cs="B Zar" w:hint="cs"/>
          <w:rtl/>
        </w:rPr>
        <w:t xml:space="preserve"> است كه در ادبيات ودا و ساير متون آريائي كراراً از او اسم برده شده است. همه جا او با لقب «پدر» خطاب مي‌شود.</w:t>
      </w:r>
    </w:p>
    <w:p w:rsidR="0011420A" w:rsidRPr="00175A44" w:rsidP="003C0EF5">
      <w:pPr>
        <w:widowControl w:val="0"/>
        <w:spacing w:line="420" w:lineRule="exact"/>
        <w:ind w:left="0" w:right="0"/>
        <w:jc w:val="both"/>
        <w:rPr>
          <w:rFonts w:cs="B Zar" w:hint="cs"/>
          <w:rtl/>
        </w:rPr>
      </w:pPr>
      <w:r w:rsidRPr="00175A44">
        <w:rPr>
          <w:rFonts w:cs="B Zar" w:hint="cs"/>
          <w:rtl/>
        </w:rPr>
        <w:t xml:space="preserve">بسيار بديهي است كه در مقابل «پدر»، بايد تصوري از يك مادر نيز وجود داشته باشد. مردم ابتدائي، از جمله آريائي‌ها در مقابل پدر آسمان، «زمين» را مادر ناميدند و به پرستش آن مشغول شدند. در مصر سِب </w:t>
      </w:r>
      <w:r w:rsidRPr="00175A44">
        <w:rPr>
          <w:rFonts w:cs="B Zar"/>
        </w:rPr>
        <w:t>(Seb)</w:t>
      </w:r>
      <w:r w:rsidRPr="00175A44">
        <w:rPr>
          <w:rFonts w:cs="B Zar" w:hint="cs"/>
          <w:rtl/>
        </w:rPr>
        <w:t xml:space="preserve"> و اُسيريس و اسيز، كنايه از زمين است. در يونان مادر زمين دِميتر </w:t>
      </w:r>
      <w:r w:rsidRPr="00175A44">
        <w:rPr>
          <w:rFonts w:cs="B Zar"/>
        </w:rPr>
        <w:t>(Demeter)</w:t>
      </w:r>
      <w:r w:rsidRPr="00175A44">
        <w:rPr>
          <w:rFonts w:cs="B Zar" w:hint="cs"/>
          <w:rtl/>
        </w:rPr>
        <w:t xml:space="preserve"> ناميده مي‌شود. در اقوام مديترانه‌اي، او را هِرسا </w:t>
      </w:r>
      <w:r w:rsidRPr="00175A44">
        <w:rPr>
          <w:rFonts w:cs="B Zar"/>
        </w:rPr>
        <w:t>(Hertha)</w:t>
      </w:r>
      <w:r w:rsidRPr="00175A44">
        <w:rPr>
          <w:rFonts w:cs="B Zar" w:hint="cs"/>
          <w:rtl/>
        </w:rPr>
        <w:t xml:space="preserve"> مي‌نامند.</w:t>
      </w:r>
      <w:r>
        <w:rPr>
          <w:rStyle w:val="FootnoteReference"/>
          <w:rFonts w:cs="B Zar"/>
          <w:rtl/>
        </w:rPr>
        <w:footnoteReference w:id="244"/>
      </w:r>
    </w:p>
    <w:p w:rsidR="0011420A" w:rsidRPr="00175A44" w:rsidP="003C0EF5">
      <w:pPr>
        <w:widowControl w:val="0"/>
        <w:spacing w:line="420" w:lineRule="exact"/>
        <w:ind w:left="0" w:right="0"/>
        <w:jc w:val="both"/>
        <w:rPr>
          <w:rFonts w:cs="B Zar"/>
        </w:rPr>
      </w:pPr>
      <w:r w:rsidRPr="00175A44">
        <w:rPr>
          <w:rFonts w:cs="B Zar" w:hint="cs"/>
          <w:rtl/>
        </w:rPr>
        <w:t>جامعه‌شناسان دين، معبودان مصري را در دو دسته تقسيم كرده‌اند: خداي آسمان و حواريون او، و معبود زمين و حواريون او. «را»</w:t>
      </w:r>
      <w:r w:rsidRPr="00175A44">
        <w:rPr>
          <w:rFonts w:cs="B Zar"/>
        </w:rPr>
        <w:t>(Rah)</w:t>
      </w:r>
      <w:r w:rsidRPr="00175A44">
        <w:rPr>
          <w:rFonts w:cs="B Zar" w:hint="cs"/>
          <w:rtl/>
        </w:rPr>
        <w:t xml:space="preserve"> خداي آسمان است و اوسيريس </w:t>
      </w:r>
      <w:r w:rsidRPr="00175A44">
        <w:rPr>
          <w:rFonts w:cs="B Zar"/>
        </w:rPr>
        <w:t>(Osiris)</w:t>
      </w:r>
      <w:r w:rsidRPr="00175A44">
        <w:rPr>
          <w:rFonts w:cs="B Zar" w:hint="cs"/>
          <w:rtl/>
        </w:rPr>
        <w:t xml:space="preserve"> خداي زمين. در ميان طايفه‌هاي مصر، نوعي دو دستگي و حتي ستيزه جوئي مذهبي وجود داشته است. برخي به «پدر آسمان» گرويده بودند و برخي به «مادر زمين». اوسيريس معبود زمين، رب النوع كشت و زراعت و محصول نيز محسوب مي شود. او همه ساله مي ميرد و دوباره احياء مي‌شود. مصريان، هنگام برآمدن شكوفه ها، احيا شدن و تولد ديگر اوسيريس را جشن مي‌گرفته‌اند. اوسيريس را مي توان زمين حاصل‌خيز ناميد. در اساطير مصري، او با برادر بدكار خود سِت كه كنايه‌اي از زمين لم يزرع و شوره زار است دائماً در حال جنگ است؛ گاه يكي پيروز مي‌شود و گاه ديگري. اين كشاكش استعاره و بيان تمثيلي دگرگوني طبيعت و وضع زمين در طي سال است. در آن دوره كه وسائل آبياري فراهم نبود، در فصلي كه باران نمي‌باريد زمين حاصل خيزي‌اش را از دست مي‌داد. اوسيريس داراي همسري است به نام اسيس</w:t>
      </w:r>
      <w:r w:rsidRPr="00175A44">
        <w:rPr>
          <w:rFonts w:cs="B Zar"/>
        </w:rPr>
        <w:t>(Isis)</w:t>
      </w:r>
      <w:r w:rsidRPr="00175A44">
        <w:rPr>
          <w:rFonts w:cs="B Zar" w:hint="cs"/>
          <w:rtl/>
        </w:rPr>
        <w:t xml:space="preserve"> كه او را در انجام امور ياري مي‌دهد. ماسپرو</w:t>
      </w:r>
      <w:r w:rsidRPr="00175A44">
        <w:rPr>
          <w:rFonts w:cs="B Zar"/>
        </w:rPr>
        <w:t>(Maspero)</w:t>
      </w:r>
      <w:r w:rsidRPr="00175A44">
        <w:rPr>
          <w:rFonts w:cs="B Zar" w:hint="cs"/>
          <w:rtl/>
        </w:rPr>
        <w:t xml:space="preserve"> كه در زمينه دين مصريان باستاني تحقيقات مفصلي انجام داده ، بدين نتيجه رسيده است كه اسيس </w:t>
      </w:r>
      <w:r w:rsidRPr="00175A44">
        <w:rPr>
          <w:rFonts w:cs="B Zar"/>
        </w:rPr>
        <w:t>(Isis)</w:t>
      </w:r>
      <w:r w:rsidRPr="00175A44">
        <w:rPr>
          <w:rFonts w:cs="B Zar" w:hint="cs"/>
          <w:rtl/>
        </w:rPr>
        <w:t xml:space="preserve"> نيز عنواني براي «مادر زمين» است كه يكي از قبائل اقليتي به نام بوتو </w:t>
      </w:r>
      <w:r w:rsidRPr="00175A44">
        <w:rPr>
          <w:rFonts w:cs="B Zar"/>
        </w:rPr>
        <w:t>(Buto)</w:t>
      </w:r>
      <w:r w:rsidRPr="00175A44">
        <w:rPr>
          <w:rFonts w:cs="B Zar" w:hint="cs"/>
          <w:rtl/>
        </w:rPr>
        <w:t xml:space="preserve"> آنرا به كار مي‌برد. وقتي اين قبيله در اجتماع بزرگتري جذب شد، معبود آنان نيز در جرگه خدائي مصريان گنجانده شد و به صورت همسر معبود زمين درآمد.</w:t>
      </w:r>
      <w:r>
        <w:rPr>
          <w:rStyle w:val="FootnoteReference"/>
          <w:rFonts w:cs="B Zar"/>
          <w:rtl/>
        </w:rPr>
        <w:footnoteReference w:id="245"/>
      </w:r>
    </w:p>
    <w:p w:rsidR="0011420A" w:rsidRPr="00175A44" w:rsidP="003C0EF5">
      <w:pPr>
        <w:widowControl w:val="0"/>
        <w:spacing w:line="420" w:lineRule="exact"/>
        <w:ind w:left="0" w:right="0"/>
        <w:jc w:val="both"/>
        <w:rPr>
          <w:rFonts w:cs="B Zar" w:hint="cs"/>
          <w:rtl/>
        </w:rPr>
      </w:pPr>
      <w:r w:rsidRPr="00175A44">
        <w:rPr>
          <w:rFonts w:cs="B Zar" w:hint="cs"/>
          <w:rtl/>
        </w:rPr>
        <w:t xml:space="preserve">در ميان يونانيان نيز زمين پرستي بسيار رواج داشته است. آنان مادر زمين را «گي» </w:t>
      </w:r>
      <w:r w:rsidRPr="00175A44">
        <w:rPr>
          <w:rFonts w:cs="B Zar"/>
        </w:rPr>
        <w:t>(Ge)</w:t>
      </w:r>
      <w:r w:rsidRPr="00175A44">
        <w:rPr>
          <w:rFonts w:cs="B Zar" w:hint="cs"/>
          <w:rtl/>
        </w:rPr>
        <w:t xml:space="preserve"> مي‌ناميدند و اين از مقبول‌ترين آلهه‌هاي يونان بوده است.</w:t>
      </w:r>
    </w:p>
    <w:p w:rsidR="0011420A" w:rsidRPr="00175A44" w:rsidP="003C0EF5">
      <w:pPr>
        <w:widowControl w:val="0"/>
        <w:spacing w:line="420" w:lineRule="exact"/>
        <w:ind w:left="0" w:right="0"/>
        <w:jc w:val="both"/>
        <w:rPr>
          <w:rFonts w:cs="B Zar" w:hint="cs"/>
          <w:rtl/>
        </w:rPr>
      </w:pPr>
      <w:r w:rsidRPr="00175A44">
        <w:rPr>
          <w:rFonts w:cs="B Zar" w:hint="cs"/>
          <w:rtl/>
        </w:rPr>
        <w:t>ادبيات يوناني‌ها از هومر تا هوسيد</w:t>
      </w:r>
      <w:r w:rsidRPr="00175A44">
        <w:rPr>
          <w:rFonts w:cs="B Zar"/>
        </w:rPr>
        <w:t>(Hosiad)</w:t>
      </w:r>
      <w:r w:rsidRPr="00175A44">
        <w:rPr>
          <w:rFonts w:cs="B Zar" w:hint="cs"/>
          <w:rtl/>
        </w:rPr>
        <w:t xml:space="preserve"> و نيز آثاري كه باستان شناسان كشف كرده‌اند، نمايانگر رواج گسترده زمين‌پرستي در ميان يوناني‌ها است. گي </w:t>
      </w:r>
      <w:r w:rsidRPr="00175A44">
        <w:rPr>
          <w:rFonts w:cs="B Zar"/>
        </w:rPr>
        <w:t>(Ge)</w:t>
      </w:r>
      <w:r w:rsidRPr="00175A44">
        <w:rPr>
          <w:rFonts w:cs="B Zar" w:hint="cs"/>
          <w:rtl/>
        </w:rPr>
        <w:t xml:space="preserve"> يا گائيا</w:t>
      </w:r>
      <w:r w:rsidRPr="00175A44">
        <w:rPr>
          <w:rFonts w:cs="B Zar"/>
        </w:rPr>
        <w:t>(Gaia)</w:t>
      </w:r>
      <w:r w:rsidRPr="00175A44">
        <w:rPr>
          <w:rFonts w:cs="B Zar" w:hint="cs"/>
          <w:rtl/>
        </w:rPr>
        <w:t xml:space="preserve">، در اشعار زيادی از هومر، مورد تجليل و تقديس و يا مورد اشاره قرار گرفته است. در شهرهاي دودونا </w:t>
      </w:r>
      <w:r w:rsidRPr="00175A44">
        <w:rPr>
          <w:rFonts w:cs="B Zar"/>
        </w:rPr>
        <w:t>(Dodona)</w:t>
      </w:r>
      <w:r w:rsidRPr="00175A44">
        <w:rPr>
          <w:rFonts w:cs="B Zar" w:hint="cs"/>
          <w:rtl/>
        </w:rPr>
        <w:t xml:space="preserve">، دلفي </w:t>
      </w:r>
      <w:r w:rsidRPr="00175A44">
        <w:rPr>
          <w:rFonts w:cs="B Zar"/>
        </w:rPr>
        <w:t>(Delphi)</w:t>
      </w:r>
      <w:r w:rsidRPr="00175A44">
        <w:rPr>
          <w:rFonts w:cs="B Zar" w:hint="cs"/>
          <w:rtl/>
        </w:rPr>
        <w:t xml:space="preserve"> ، ثيب </w:t>
      </w:r>
      <w:r w:rsidRPr="00175A44">
        <w:rPr>
          <w:rFonts w:cs="B Zar"/>
        </w:rPr>
        <w:t>(Thebes)</w:t>
      </w:r>
      <w:r w:rsidRPr="00175A44">
        <w:rPr>
          <w:rFonts w:cs="B Zar" w:hint="cs"/>
          <w:rtl/>
        </w:rPr>
        <w:t xml:space="preserve">، اتن </w:t>
      </w:r>
      <w:r w:rsidRPr="00175A44">
        <w:rPr>
          <w:rFonts w:cs="B Zar"/>
        </w:rPr>
        <w:t>(Athens)</w:t>
      </w:r>
      <w:r w:rsidRPr="00175A44">
        <w:rPr>
          <w:rFonts w:cs="B Zar" w:hint="cs"/>
          <w:rtl/>
        </w:rPr>
        <w:t xml:space="preserve">، اسپارت </w:t>
      </w:r>
      <w:r w:rsidRPr="00175A44">
        <w:rPr>
          <w:rFonts w:cs="B Zar"/>
        </w:rPr>
        <w:t>(Sparta)</w:t>
      </w:r>
      <w:r w:rsidRPr="00175A44">
        <w:rPr>
          <w:rFonts w:cs="B Zar" w:hint="cs"/>
          <w:rtl/>
        </w:rPr>
        <w:t xml:space="preserve">، اولمپس </w:t>
      </w:r>
      <w:r w:rsidRPr="00175A44">
        <w:rPr>
          <w:rFonts w:cs="B Zar"/>
        </w:rPr>
        <w:t>(Olympia)</w:t>
      </w:r>
      <w:r w:rsidRPr="00175A44">
        <w:rPr>
          <w:rFonts w:cs="B Zar" w:hint="cs"/>
          <w:rtl/>
        </w:rPr>
        <w:t xml:space="preserve">، و بيزانتيم </w:t>
      </w:r>
      <w:r w:rsidRPr="00175A44">
        <w:rPr>
          <w:rFonts w:cs="B Zar"/>
        </w:rPr>
        <w:t>(Byzantium)</w:t>
      </w:r>
      <w:r w:rsidRPr="00175A44">
        <w:rPr>
          <w:rFonts w:cs="B Zar" w:hint="cs"/>
          <w:rtl/>
        </w:rPr>
        <w:t>، معبدها و پرستش‌گاه‌هايي براي «گي» وجود داشته است.</w:t>
      </w:r>
      <w:r>
        <w:rPr>
          <w:rStyle w:val="FootnoteReference"/>
          <w:rFonts w:cs="B Zar"/>
          <w:rtl/>
        </w:rPr>
        <w:footnoteReference w:id="246"/>
      </w:r>
    </w:p>
    <w:p w:rsidR="0011420A" w:rsidP="003C0EF5">
      <w:pPr>
        <w:widowControl w:val="0"/>
        <w:spacing w:line="420" w:lineRule="exact"/>
        <w:ind w:left="0" w:right="0"/>
        <w:jc w:val="both"/>
        <w:rPr>
          <w:rFonts w:cs="B Zar" w:hint="cs"/>
          <w:rtl/>
        </w:rPr>
      </w:pPr>
      <w:r w:rsidRPr="00175A44">
        <w:rPr>
          <w:rFonts w:cs="B Zar" w:hint="cs"/>
          <w:rtl/>
        </w:rPr>
        <w:t>برخي جامعه شناسان دين، اين فرضيه را عنوان كرده‌اند كه پرستش آسمان مربوط به دوره بيابانگردي و شكار، و پرستش زمين مربوطه به دورة ايجاد كشاورزي است . براي انسان ابتدائي چشم گيرترين پديده در رابطه با زمين به بارآمدن محصول ازآن بوده است. اين امر موجب مي شد او چنان تصور كند كه گوئي زمين مادري است كه ساليانه محصولش را مي زايد. اين كار با «تخم ريزي» آسمان از طريق قطره هاي باران صورت مي‌گيرد. انسان بدوي باران را نوعي همبستري با زمين تلقي مي كرد. از همين جا تعبير «پدر آسمان» و «مادر زمين» در دورة باستاني بر سر زبانها افتاد. انسان بدوي معتقد است كه منشأ تمام مظاهر حيات و پديده‌ها و موجودات جهاني، آسمان و زمين است. در ودا، زمين به عنوان پرتوي ماتا عنوان شده و در بسياري از سرودها مورد استعاره و تقديس قرار گرفته است.</w:t>
      </w:r>
      <w:r>
        <w:rPr>
          <w:rStyle w:val="FootnoteReference"/>
          <w:rFonts w:cs="B Zar"/>
          <w:sz w:val="28"/>
          <w:szCs w:val="28"/>
          <w:rtl/>
        </w:rPr>
        <w:footnoteReference w:id="247"/>
      </w:r>
    </w:p>
    <w:p w:rsidR="0079761C" w:rsidP="003C0EF5">
      <w:pPr>
        <w:widowControl w:val="0"/>
        <w:spacing w:line="420" w:lineRule="exact"/>
        <w:ind w:left="0" w:right="0"/>
        <w:jc w:val="both"/>
        <w:rPr>
          <w:rFonts w:cs="B Zar" w:hint="cs"/>
          <w:rtl/>
        </w:rPr>
      </w:pPr>
    </w:p>
    <w:p w:rsidR="0011420A" w:rsidRPr="00175A44" w:rsidP="003C0EF5">
      <w:pPr>
        <w:pStyle w:val="Heading3"/>
        <w:keepNext w:val="0"/>
        <w:widowControl w:val="0"/>
        <w:spacing w:before="0" w:after="0" w:line="420" w:lineRule="exact"/>
        <w:ind w:left="0" w:right="0"/>
        <w:jc w:val="left"/>
        <w:rPr>
          <w:rFonts w:cs="B Zar" w:hint="cs"/>
          <w:rtl/>
        </w:rPr>
      </w:pPr>
      <w:r w:rsidRPr="00175A44">
        <w:rPr>
          <w:rFonts w:cs="B Zar" w:hint="cs"/>
          <w:rtl/>
        </w:rPr>
        <w:t>پرستش خورشيد، ماه و ستارگان</w:t>
      </w:r>
    </w:p>
    <w:p w:rsidR="0011420A" w:rsidRPr="00175A44" w:rsidP="003C0EF5">
      <w:pPr>
        <w:widowControl w:val="0"/>
        <w:spacing w:line="420" w:lineRule="exact"/>
        <w:ind w:left="0" w:right="0"/>
        <w:jc w:val="both"/>
        <w:rPr>
          <w:rFonts w:cs="B Zar" w:hint="cs"/>
          <w:rtl/>
        </w:rPr>
      </w:pPr>
      <w:r w:rsidRPr="00175A44">
        <w:rPr>
          <w:rFonts w:cs="B Zar" w:hint="cs"/>
          <w:rtl/>
        </w:rPr>
        <w:t>پس از  پرستش آسمان و زمين، آنچه از همه بيشتر توجه مردم بدوي را جلب كرد، خورشيد بود و خورشيد پرستي در ميان تمام اقوام و ملل بدوي رواج داشته است.</w:t>
      </w:r>
      <w:r>
        <w:rPr>
          <w:rStyle w:val="FootnoteReference"/>
          <w:rFonts w:cs="B Zar"/>
          <w:rtl/>
        </w:rPr>
        <w:footnoteReference w:id="248"/>
      </w:r>
    </w:p>
    <w:p w:rsidR="0011420A" w:rsidRPr="00175A44" w:rsidP="003C0EF5">
      <w:pPr>
        <w:widowControl w:val="0"/>
        <w:spacing w:line="420" w:lineRule="exact"/>
        <w:ind w:left="0" w:right="0"/>
        <w:jc w:val="both"/>
        <w:rPr>
          <w:rFonts w:cs="B Zar" w:hint="cs"/>
          <w:rtl/>
        </w:rPr>
      </w:pPr>
      <w:r w:rsidRPr="00175A44">
        <w:rPr>
          <w:rFonts w:cs="B Zar" w:hint="cs"/>
          <w:rtl/>
        </w:rPr>
        <w:t>پرستش خورشيد براي انسان ابتدائي بسيار طبيعي بوده است؛ چرا كه خورشيد نه تنها مظهر بزرگ قدرت، زيبايي، نور، حرارت و حركت و پويائي بود، بلكه براي بشر كه در بستر طبيعت زندگي مي‌كرده است، داراي منافع بزرگ و ضررهاي احتمالي شديد بوده و اين‌ احساس را جامعه شناسان، دين زمينه اصلي گرايش بشر به دين دانسته اند</w:t>
      </w:r>
      <w:r>
        <w:rPr>
          <w:rStyle w:val="FootnoteReference"/>
          <w:rFonts w:cs="B Zar"/>
          <w:rtl/>
        </w:rPr>
        <w:footnoteReference w:id="249"/>
      </w:r>
      <w:r w:rsidRPr="00175A44">
        <w:rPr>
          <w:rFonts w:cs="B Zar" w:hint="cs"/>
          <w:rtl/>
        </w:rPr>
        <w:t>. ولي صفات نور، جلال و جمال، جاودانگي و حركت و حركت آفريني، رزاقيت و آفرينندگي خورشيد عالمتاب، انسان ساده‌انديش ابتدائي را در اين گمان مبتلا كرده است كه «معبود» مورد جستجوي فطرت او همين خورشيد آسمان است.</w:t>
      </w:r>
    </w:p>
    <w:p w:rsidR="0011420A" w:rsidRPr="00175A44" w:rsidP="003C0EF5">
      <w:pPr>
        <w:widowControl w:val="0"/>
        <w:spacing w:line="420" w:lineRule="exact"/>
        <w:ind w:left="0" w:right="0"/>
        <w:jc w:val="both"/>
        <w:rPr>
          <w:rFonts w:cs="B Zar" w:hint="cs"/>
          <w:rtl/>
        </w:rPr>
      </w:pPr>
      <w:r w:rsidRPr="00175A44">
        <w:rPr>
          <w:rFonts w:cs="B Zar" w:hint="cs"/>
          <w:rtl/>
        </w:rPr>
        <w:t>خورشيد براي مردم بدوي، به خصوص آنان كه در مناطق يخ بسته سردسير زندگي مي‌كردند، تجسّم رحيميت و رحمانيت بود. در شب‌هاي سرد زمستاني و در روزهاي ابري و يا برفي كه از آسمان برف مي باريد و او وسائلي براي ايجاد حرارت و گرمي نداشت، طلوع خورشيد نعمت بزرگي بود، گوئي منجي موعود او از سراپرده آسمان نيلگون به كمك او شتافته است. همچنان در نخستين مراحل زندگي بشر، به خصوص زماني كه هنوز انسان آتش را كشف نكرده بود، تاريكي شب براي او بسيار هراس‌آور بود. در شب كه بشر اوليه كه بر فرش خاك يا در غارها و دره‌ها و جنگل‌ها، زير درختان انبوه مي‌خوابيد، دچار آفات گوناگوني مي شد. هرلحظه او دلهره داشت مبادا مورد حمله گرگ و پلنگ و خرس قرار گيرد، يا مار و عقرب او را نيش بزند. در ظلمت مطلق شب از فرا رسيدن توفان‌ها، ريشه كن شدن درختان، جابه‌جا شدن توده‌هاي شن نيز در امان نبود. كودكان شيرخوار اگر در تاريكي ناله و فرياد مي كردند، مادران مهربان جز انتظار فرارسيدن روز كار ديگري نمي‌توانستند انجام دهند. در اين لحظات سخت و صبر آزما، طلوع خورشيد و فرا رسيدن فجر براي انسان ابتدائي بسيار خوشگوار بود، با احساسات شگفت زده، اعجاب، امتنان و مسرت مي‌ديد كه امپراطور مقتدر آسمان، خورشيد عالمتاب، با دبدبه و كبكبه قدم زنان بالا آمده، او را از دلهره‌ها نجات مي داد. او در مقابل اين منجي بزرگ سر به سجود مي آورد، به نيايش و كرنش و تقديم نذور و قرباني مي پرداخت و رقص مي كرد؛ سرود مي خواند و به تجليل و تمجيد اين قهرمان بزرگ مشغول مي‌شد، كه با پرتاب تيرهاي بي امان و زدن پياپي شعاعها، لشكر انبوه تاريكي را عقب رانده است.</w:t>
      </w:r>
    </w:p>
    <w:p w:rsidR="0011420A" w:rsidRPr="00175A44" w:rsidP="003C0EF5">
      <w:pPr>
        <w:widowControl w:val="0"/>
        <w:spacing w:line="420" w:lineRule="exact"/>
        <w:ind w:left="0" w:right="0"/>
        <w:jc w:val="both"/>
        <w:rPr>
          <w:rFonts w:cs="B Zar" w:hint="cs"/>
          <w:rtl/>
        </w:rPr>
      </w:pPr>
      <w:r w:rsidRPr="00175A44">
        <w:rPr>
          <w:rFonts w:cs="B Zar" w:hint="cs"/>
          <w:rtl/>
        </w:rPr>
        <w:t>در عين حال خورشيد در نيمه روز، به خصوص در موسم گرما و در مناطق گرم سير، ترس را نيز ميان انسان بدوي ايجاد مي كرد. بشر اوليه شايد احساس مي كرد كه همين خورشيد كه در سحرگا‌هان چنان خنك و مهربان بود، در نيمه روز، به علل مجهول و نامعلوم بسيار خشمگين مي‌شد؛ چهره‌اش از شدت غضب سرخ مي شد؛ كسي  جرأت نداشت بر او خيره شود</w:t>
      </w:r>
      <w:r w:rsidRPr="00175A44">
        <w:rPr>
          <w:rFonts w:cs="B Zar" w:hint="cs"/>
          <w:rtl/>
          <w:lang w:bidi="fa-IR"/>
        </w:rPr>
        <w:t>؛</w:t>
      </w:r>
      <w:r w:rsidRPr="00175A44">
        <w:rPr>
          <w:rFonts w:cs="B Zar" w:hint="cs"/>
          <w:rtl/>
        </w:rPr>
        <w:t xml:space="preserve"> نفس او چنان آتشين و سوزاننده است كه انسان از ترس مجدداً به درون غارها فرار مي‌كند. او نمي‌تواند به شكار بپردازد. مجدداً كودكان او از شدت گرما، شايد از تشنگي و گرسنگي گريه مي‌كنند. ممكن است برخي از آنان تلف شوند. هر لحظه خطر آن مي رود كه مبادا اين «رب قهار» جهنّم سوزانده‌اي را بر سر آنان خالي كند. او مجدداً بسيار عاجزانه به تمكين و ستايش و آرام كردن او مي پردازد.</w:t>
      </w:r>
    </w:p>
    <w:p w:rsidR="0011420A" w:rsidRPr="00175A44" w:rsidP="003C0EF5">
      <w:pPr>
        <w:widowControl w:val="0"/>
        <w:spacing w:line="420" w:lineRule="exact"/>
        <w:ind w:left="0" w:right="0"/>
        <w:jc w:val="both"/>
        <w:rPr>
          <w:rFonts w:cs="B Zar" w:hint="cs"/>
          <w:rtl/>
        </w:rPr>
      </w:pPr>
      <w:r w:rsidRPr="00175A44">
        <w:rPr>
          <w:rFonts w:cs="B Zar" w:hint="cs"/>
          <w:rtl/>
        </w:rPr>
        <w:t>بدينسان مي‌بينيم انسان بدوي دور</w:t>
      </w:r>
      <w:r w:rsidRPr="00175A44">
        <w:rPr>
          <w:rFonts w:ascii="Tahoma" w:hAnsi="Tahoma" w:cs="B Zar" w:hint="cs"/>
          <w:rtl/>
        </w:rPr>
        <w:t>ۀ</w:t>
      </w:r>
      <w:r w:rsidRPr="00175A44">
        <w:rPr>
          <w:rFonts w:cs="B Zar" w:hint="cs"/>
          <w:rtl/>
        </w:rPr>
        <w:t xml:space="preserve"> جاهلي هم با انگيزه طمع و هم با انگيزه ترس به پرستش خورشيد مي‌پردازد. اين اضافه بر انگيزه و مشاهده صفات كمال، جمال، و جاودانگي است كه او در صدد يافتن آن بوده است. به همين سبب است كه ما در طي مطالعات در تاريخ انديشه ديني آدمي، متوجه مي شويم كه خورشيد پرستي در اكثر اقوام و ملل پارينه و ابتدائي رواج دارد.</w:t>
      </w:r>
    </w:p>
    <w:p w:rsidR="0011420A" w:rsidRPr="00175A44" w:rsidP="003C0EF5">
      <w:pPr>
        <w:widowControl w:val="0"/>
        <w:spacing w:line="420" w:lineRule="exact"/>
        <w:ind w:left="0" w:right="0"/>
        <w:jc w:val="both"/>
        <w:rPr>
          <w:rFonts w:cs="B Zar" w:hint="cs"/>
          <w:rtl/>
        </w:rPr>
      </w:pPr>
      <w:r w:rsidRPr="00175A44">
        <w:rPr>
          <w:rFonts w:cs="B Zar" w:hint="cs"/>
          <w:rtl/>
        </w:rPr>
        <w:t>در مورد دين مصريان باستاني، جيمزبائيكي مي نويسد: «ابتدائي‌ترين مرحلة انديشة ديني مصريان خورشيد پرستي است. در مصر خدايان آسمان عموماً با خورشيد ارتباط دارند.»</w:t>
      </w:r>
      <w:r>
        <w:rPr>
          <w:rStyle w:val="FootnoteReference"/>
          <w:rFonts w:cs="B Zar"/>
          <w:rtl/>
        </w:rPr>
        <w:footnoteReference w:id="250"/>
      </w:r>
    </w:p>
    <w:p w:rsidR="0011420A" w:rsidRPr="00175A44" w:rsidP="003C0EF5">
      <w:pPr>
        <w:widowControl w:val="0"/>
        <w:spacing w:line="420" w:lineRule="exact"/>
        <w:ind w:left="0" w:right="0"/>
        <w:jc w:val="both"/>
        <w:rPr>
          <w:rFonts w:cs="B Zar" w:hint="cs"/>
          <w:rtl/>
        </w:rPr>
      </w:pPr>
      <w:r w:rsidRPr="00175A44">
        <w:rPr>
          <w:rFonts w:cs="B Zar" w:hint="cs"/>
          <w:rtl/>
        </w:rPr>
        <w:t>برستيد مي نويسد: «در كناره هاي نيل جاذب ترين منظره، منظره برآمدن خورشيد از بطن امواج دريا است. جلال و جمال خورشيد هيچ جا آشكارتر از كرانه هاي رود نيل نيست.»</w:t>
      </w:r>
      <w:r>
        <w:rPr>
          <w:rStyle w:val="FootnoteReference"/>
          <w:rFonts w:cs="B Zar"/>
          <w:rtl/>
        </w:rPr>
        <w:footnoteReference w:id="251"/>
      </w:r>
    </w:p>
    <w:p w:rsidR="0011420A" w:rsidRPr="00175A44" w:rsidP="003C0EF5">
      <w:pPr>
        <w:widowControl w:val="0"/>
        <w:spacing w:line="420" w:lineRule="exact"/>
        <w:ind w:left="0" w:right="0"/>
        <w:jc w:val="both"/>
        <w:rPr>
          <w:rFonts w:cs="B Zar" w:hint="cs"/>
          <w:rtl/>
        </w:rPr>
      </w:pPr>
      <w:r w:rsidRPr="00175A44">
        <w:rPr>
          <w:rFonts w:cs="B Zar" w:hint="cs"/>
          <w:rtl/>
        </w:rPr>
        <w:t xml:space="preserve">در ادبيات ديني مصر باستان قرائني در دست هست، كه حتي پيش از آغاز دوره فراعنه، مصريان به خورشيدپرستي مي‌پرداخته‌اند. خداي اصل مصريان پارينه «هوروس» </w:t>
      </w:r>
      <w:r w:rsidRPr="00175A44">
        <w:rPr>
          <w:rFonts w:cs="B Zar"/>
        </w:rPr>
        <w:t>(Horus)</w:t>
      </w:r>
      <w:r w:rsidRPr="00175A44">
        <w:rPr>
          <w:rFonts w:cs="B Zar" w:hint="cs"/>
          <w:rtl/>
        </w:rPr>
        <w:t xml:space="preserve"> بود كه كنايه‌اي از خورشيد است، كهپيرا </w:t>
      </w:r>
      <w:r w:rsidRPr="00175A44">
        <w:rPr>
          <w:rFonts w:cs="B Zar"/>
        </w:rPr>
        <w:t>(Khepera)</w:t>
      </w:r>
      <w:r w:rsidRPr="00175A44">
        <w:rPr>
          <w:rFonts w:cs="B Zar" w:hint="cs"/>
          <w:rtl/>
        </w:rPr>
        <w:t>، يكي از معبودان ديگر مصر، خورشيد هنگام طلوع است، «را»</w:t>
      </w:r>
      <w:r w:rsidRPr="00175A44">
        <w:rPr>
          <w:rFonts w:cs="B Zar"/>
        </w:rPr>
        <w:t>(Raw)</w:t>
      </w:r>
      <w:r w:rsidRPr="00175A44">
        <w:rPr>
          <w:rFonts w:cs="B Zar" w:hint="cs"/>
          <w:rtl/>
        </w:rPr>
        <w:t xml:space="preserve"> كه در آغاز كنايه‌اي از «آسمان» بود، در دوره بعدي عنواني براي خورشيد نيمروز است. او را به صورت موجودی عقاب چهره و با بدنة انسان ترسيم مي‌كرده‌اند.</w:t>
      </w:r>
      <w:r>
        <w:rPr>
          <w:rStyle w:val="FootnoteReference"/>
          <w:rFonts w:cs="B Zar"/>
          <w:sz w:val="28"/>
          <w:szCs w:val="28"/>
          <w:rtl/>
        </w:rPr>
        <w:footnoteReference w:id="252"/>
      </w:r>
    </w:p>
    <w:p w:rsidR="0011420A" w:rsidRPr="00175A44" w:rsidP="003C0EF5">
      <w:pPr>
        <w:widowControl w:val="0"/>
        <w:spacing w:line="420" w:lineRule="exact"/>
        <w:ind w:left="0" w:right="0"/>
        <w:jc w:val="both"/>
        <w:rPr>
          <w:rFonts w:cs="B Zar" w:hint="cs"/>
          <w:rtl/>
        </w:rPr>
      </w:pPr>
      <w:r w:rsidRPr="00175A44">
        <w:rPr>
          <w:rFonts w:cs="B Zar" w:hint="cs"/>
          <w:rtl/>
        </w:rPr>
        <w:t xml:space="preserve">در يونان باستان نيز خورشيد پرستي رواج داشت. در نخستين مرحله سير ديني در يونان، پرستش هيليوس </w:t>
      </w:r>
      <w:r w:rsidRPr="00175A44">
        <w:rPr>
          <w:rFonts w:cs="B Zar"/>
        </w:rPr>
        <w:t>(Helios)</w:t>
      </w:r>
      <w:r w:rsidRPr="00175A44">
        <w:rPr>
          <w:rFonts w:cs="B Zar" w:hint="cs"/>
          <w:rtl/>
        </w:rPr>
        <w:t xml:space="preserve"> رواج داشته است. البته در مرحله بعدي پرستش هيليوس از مُد افتاد و معبدهاي زيادي به وي اختصاص نداشت. تنها در جزيره رهودس </w:t>
      </w:r>
      <w:r w:rsidRPr="00175A44">
        <w:rPr>
          <w:rFonts w:cs="B Zar"/>
        </w:rPr>
        <w:t>(Rhodus)</w:t>
      </w:r>
      <w:r w:rsidRPr="00175A44">
        <w:rPr>
          <w:rFonts w:cs="B Zar" w:hint="cs"/>
          <w:rtl/>
        </w:rPr>
        <w:t xml:space="preserve"> يك معبد داشت.</w:t>
      </w:r>
      <w:r>
        <w:rPr>
          <w:rStyle w:val="FootnoteReference"/>
          <w:rFonts w:cs="B Zar"/>
          <w:sz w:val="28"/>
          <w:szCs w:val="28"/>
          <w:rtl/>
        </w:rPr>
        <w:footnoteReference w:id="253"/>
      </w:r>
      <w:r w:rsidRPr="00175A44">
        <w:rPr>
          <w:rFonts w:cs="B Zar" w:hint="cs"/>
          <w:rtl/>
        </w:rPr>
        <w:t xml:space="preserve"> موقعيت او در هودس نظير موقعيت ششمس در بابل است. پس از، كساد شدن پرستش هيليوس، يوناني ها «آپولو» را به عنوان مظهر خورشيد مورد پرستش قرار دادند، البته تا زماني كه آثار ادبي فلسفي يونان تدوين گرديده، انديشة ديني يوناني ها از مرحله پرستش طبيعت رد شده و به مرحله شرك رسيده بود. اينك آپولو به صورت خداي خدايان در كنار زئوس درآمده و ديگر مظهري از خورشيد نبود. ولي حتي در اين دوره، مي‌توان شواهد زيادي را در آثار انديشمندان و اديان يوناني پيدا كرد كه بيان گر بقاياي كيش خورشيد پرستي است. افلاطون در كتاب «قوانين» ‌مي‌گويد كه يوناني‌ها و بربرها (غير يوناني‌هاي آن ديار)، هر دو، هنگام طلوع و غروب خورشيد به نيايش و پرستش آن مي‌پردازند.</w:t>
      </w:r>
      <w:r>
        <w:rPr>
          <w:rStyle w:val="FootnoteReference"/>
          <w:rFonts w:cs="B Zar"/>
          <w:sz w:val="28"/>
          <w:szCs w:val="28"/>
          <w:rtl/>
        </w:rPr>
        <w:footnoteReference w:id="254"/>
      </w:r>
      <w:r w:rsidRPr="00175A44">
        <w:rPr>
          <w:rFonts w:cs="B Zar" w:hint="cs"/>
          <w:rtl/>
        </w:rPr>
        <w:t xml:space="preserve"> او در كتاب ديگر خود، «جمهوري»،آئين پرستش خورشيد را ارج مي نهد. براي افلاطون خورشيد سمبل خير و نيكي است، و بر افراد و رفتار آنان نظارت دارد. نويسندگان ديگر يونان باستان از جمله لوسيان </w:t>
      </w:r>
      <w:r w:rsidRPr="00175A44">
        <w:rPr>
          <w:rFonts w:cs="B Zar"/>
        </w:rPr>
        <w:t>(Lucian)</w:t>
      </w:r>
      <w:r w:rsidRPr="00175A44">
        <w:rPr>
          <w:rFonts w:cs="B Zar" w:hint="cs"/>
          <w:rtl/>
        </w:rPr>
        <w:t xml:space="preserve"> و پلوتارك </w:t>
      </w:r>
      <w:r w:rsidRPr="00175A44">
        <w:rPr>
          <w:rFonts w:cs="B Zar"/>
        </w:rPr>
        <w:t>(Plutarch)</w:t>
      </w:r>
      <w:r w:rsidRPr="00175A44">
        <w:rPr>
          <w:rFonts w:cs="B Zar" w:hint="cs"/>
          <w:rtl/>
        </w:rPr>
        <w:t xml:space="preserve"> نيز تأييد مي‌كنند كه يوناني‌ها بامدادان و شامگاهان مراسم احترام و نيايش براي خورشيد برپا مي‌كرده‌اند.</w:t>
      </w:r>
      <w:r>
        <w:rPr>
          <w:rStyle w:val="FootnoteReference"/>
          <w:rFonts w:cs="B Zar"/>
          <w:sz w:val="28"/>
          <w:szCs w:val="28"/>
          <w:rtl/>
        </w:rPr>
        <w:footnoteReference w:id="255"/>
      </w:r>
    </w:p>
    <w:p w:rsidR="0011420A" w:rsidRPr="00175A44" w:rsidP="003C0EF5">
      <w:pPr>
        <w:widowControl w:val="0"/>
        <w:spacing w:line="420" w:lineRule="exact"/>
        <w:ind w:left="0" w:right="0"/>
        <w:jc w:val="both"/>
        <w:rPr>
          <w:rFonts w:cs="B Zar" w:hint="cs"/>
          <w:rtl/>
        </w:rPr>
      </w:pPr>
      <w:r w:rsidRPr="00175A44">
        <w:rPr>
          <w:rFonts w:cs="B Zar" w:hint="cs"/>
          <w:rtl/>
        </w:rPr>
        <w:t>ايرانيان باستان نيز براي خورشيد ارج زيادي مي نهادند و در اوستا بقايايي از آئين خورشيدپرستي سابق به چشم مي خورد. در اوستا خورشيد منبع نور و سمبل پيروزي حق بر باطل و خير بر شر است، خورشيد جاسوسي است كه همواره مواظب است كسي از رفتار نيك منحرف نشود.</w:t>
      </w:r>
    </w:p>
    <w:p w:rsidR="0011420A" w:rsidRPr="00175A44" w:rsidP="003C0EF5">
      <w:pPr>
        <w:widowControl w:val="0"/>
        <w:spacing w:line="420" w:lineRule="exact"/>
        <w:ind w:left="0" w:right="0"/>
        <w:jc w:val="both"/>
        <w:rPr>
          <w:rFonts w:cs="B Zar" w:hint="cs"/>
          <w:rtl/>
        </w:rPr>
      </w:pPr>
      <w:r w:rsidRPr="00175A44">
        <w:rPr>
          <w:rFonts w:cs="B Zar" w:hint="cs"/>
          <w:rtl/>
        </w:rPr>
        <w:t xml:space="preserve">در خاور دور، در ميان ژاپني‌ها، خورشيدپرستي بسيار رواج داشت. والاترين خداي دين شينتو، خورشيد است كه «اماتراسوـ اوهوـ مي ـ كامي» </w:t>
      </w:r>
      <w:r w:rsidRPr="00175A44">
        <w:rPr>
          <w:rFonts w:cs="B Zar"/>
        </w:rPr>
        <w:t>(Amaterasu-Ohu-Me-Kami)</w:t>
      </w:r>
      <w:r w:rsidRPr="00175A44">
        <w:rPr>
          <w:rFonts w:cs="B Zar" w:hint="cs"/>
          <w:rtl/>
        </w:rPr>
        <w:t xml:space="preserve"> ناميده مي شود. ترجمه اين لقب چنين است:</w:t>
      </w:r>
    </w:p>
    <w:p w:rsidR="0011420A" w:rsidRPr="00175A44" w:rsidP="003C0EF5">
      <w:pPr>
        <w:widowControl w:val="0"/>
        <w:spacing w:line="420" w:lineRule="exact"/>
        <w:ind w:left="0" w:right="0"/>
        <w:jc w:val="both"/>
        <w:rPr>
          <w:rFonts w:cs="B Zar" w:hint="cs"/>
          <w:rtl/>
        </w:rPr>
      </w:pPr>
      <w:r w:rsidRPr="00175A44">
        <w:rPr>
          <w:rFonts w:cs="B Zar" w:hint="cs"/>
          <w:rtl/>
        </w:rPr>
        <w:t>«معبود عظيم و اكبر در آسمان درخشش مي‌كند». «اماتراسو»</w:t>
      </w:r>
      <w:r w:rsidRPr="00175A44">
        <w:rPr>
          <w:rFonts w:cs="B Zar"/>
        </w:rPr>
        <w:t xml:space="preserve">( Amaterasu) </w:t>
      </w:r>
      <w:r w:rsidRPr="00175A44">
        <w:rPr>
          <w:rFonts w:cs="B Zar" w:hint="cs"/>
          <w:rtl/>
        </w:rPr>
        <w:t xml:space="preserve"> خداي خدايان است، ولي عجيب اين است كه برخلاف اقوام ديگر كه خورشيد را معبود نرينه و ماه را معبود مادينه مي دانند، ژاپني‌ها معبود خورشيد را مادينه تلقي مي كنند. اساطير زيادي راجع به مبارزه و نبرد شديد اين معبود با معبود مقتدر رعد و برق  و توفان وجود دارد كه به وضوح بيانگر منظره قرار گرفتن خورشيد زير حجاب ابرها در لحظه‌هاي توفاني و باراني و سپس برآمدن آن از وراي ابرها و يا شكافتن سينه آن و يا خاموش كردن آتش بارهاي رعد و صاعقه است.</w:t>
      </w:r>
      <w:r>
        <w:rPr>
          <w:rStyle w:val="FootnoteReference"/>
          <w:rFonts w:cs="B Zar"/>
          <w:sz w:val="28"/>
          <w:szCs w:val="28"/>
          <w:rtl/>
        </w:rPr>
        <w:footnoteReference w:id="256"/>
      </w:r>
      <w:r w:rsidRPr="00175A44">
        <w:rPr>
          <w:rFonts w:cs="B Zar" w:hint="cs"/>
          <w:rtl/>
        </w:rPr>
        <w:t xml:space="preserve"> تا اين اواخر ژاپني‌ها امپراطور خود را فرزند خورشيد مي‌دانسته به همين سبب، حتي به پرستش امپراطور و اداي احترام به او مي پرداخته‌اند. تنها با شكست ژاپن در جنگ جهاني دوم، زير فشار آمريكا و متحدانش، اين آئين ملغي گرديد.</w:t>
      </w:r>
    </w:p>
    <w:p w:rsidR="0011420A" w:rsidRPr="00175A44" w:rsidP="003C0EF5">
      <w:pPr>
        <w:widowControl w:val="0"/>
        <w:spacing w:line="420" w:lineRule="exact"/>
        <w:ind w:left="0" w:right="0"/>
        <w:jc w:val="both"/>
        <w:rPr>
          <w:rFonts w:cs="B Zar" w:hint="cs"/>
          <w:rtl/>
        </w:rPr>
      </w:pPr>
      <w:r w:rsidRPr="00175A44">
        <w:rPr>
          <w:rFonts w:cs="B Zar" w:hint="cs"/>
          <w:rtl/>
        </w:rPr>
        <w:t>خورشيد پرستي  ميان اقوام ابتدائي هنوز هم رواج دارد. بليك مي گويد: «قبيله بُش من خورشيد و ماه را مي پرستند، مردم جزايراندمان و نكوبار و نيز قبائل بدوي استراليا و پولنزي</w:t>
      </w:r>
      <w:r w:rsidRPr="00175A44">
        <w:rPr>
          <w:rFonts w:cs="B Zar"/>
        </w:rPr>
        <w:t xml:space="preserve"> (Polynesian)</w:t>
      </w:r>
      <w:r w:rsidRPr="00175A44">
        <w:rPr>
          <w:rFonts w:cs="B Zar" w:hint="cs"/>
          <w:rtl/>
        </w:rPr>
        <w:t xml:space="preserve"> و ملانزي نيز به پرستش خورشيد پرداخته اند.</w:t>
      </w:r>
      <w:r>
        <w:rPr>
          <w:rStyle w:val="FootnoteReference"/>
          <w:rFonts w:cs="B Zar"/>
          <w:i/>
          <w:iCs/>
          <w:sz w:val="28"/>
          <w:szCs w:val="28"/>
          <w:rtl/>
        </w:rPr>
        <w:footnoteReference w:id="257"/>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«خورشيدپرستي» در آئين ديني آريائي‌هاي هند نيز داراي موقعيت برجسته بود. برخي هند شناسان معتقدند كه اكثر معبودان ريگ ودا، عناوين مختلف براي خورشيد در حالات مختلف مي باشند. در ودا معبود را «ديو» يا «ديوتا» مي‌گويند و «ديو»، به معناي «موجود روشن» و «درخشنده» و يا «اعطاكننده» است. از اين امر صاحب‌نظران نتيجه‌گيري كرده اند كه آريائي در واقع در آغاز خورشيد و اجرام سماوي نوراني ديگر را «ديو» و «ديوتا» ناميده و به پرستش آن همت گمارده‌اند؛ سپس اين كلمه به معناي معبود يا خدا درآمده است.</w:t>
      </w:r>
      <w:r>
        <w:rPr>
          <w:rStyle w:val="FootnoteReference"/>
          <w:rFonts w:cs="B Zar"/>
          <w:rtl/>
        </w:rPr>
        <w:footnoteReference w:id="258"/>
      </w:r>
    </w:p>
    <w:p w:rsidR="0011420A" w:rsidRPr="00175A44" w:rsidP="003C0EF5">
      <w:pPr>
        <w:widowControl w:val="0"/>
        <w:spacing w:line="420" w:lineRule="exact"/>
        <w:ind w:left="0" w:right="0"/>
        <w:jc w:val="both"/>
        <w:rPr>
          <w:rFonts w:cs="B Zar" w:hint="cs"/>
          <w:rtl/>
        </w:rPr>
      </w:pPr>
      <w:r w:rsidRPr="00175A44">
        <w:rPr>
          <w:rFonts w:cs="B Zar" w:hint="cs"/>
          <w:rtl/>
        </w:rPr>
        <w:t xml:space="preserve">نخستين كلمه‌اي كه آريائي‌ها براي خورشيد به كار بردند، «سوريه» </w:t>
      </w:r>
      <w:r w:rsidRPr="00175A44">
        <w:rPr>
          <w:rFonts w:cs="B Zar"/>
        </w:rPr>
        <w:t>(Surya)</w:t>
      </w:r>
      <w:r w:rsidRPr="00175A44">
        <w:rPr>
          <w:rFonts w:cs="B Zar" w:hint="cs"/>
          <w:rtl/>
        </w:rPr>
        <w:t xml:space="preserve"> است. «سوريه» در ودا به عنوان معبودي معرفي شده است كه ده سرود در ريگ ودا به او اختصاص دارد. در ساَمَ ودا</w:t>
      </w:r>
      <w:r w:rsidRPr="00175A44">
        <w:rPr>
          <w:rFonts w:cs="B Zar"/>
        </w:rPr>
        <w:t>(Sama Veda)</w:t>
      </w:r>
      <w:r w:rsidRPr="00175A44">
        <w:rPr>
          <w:rFonts w:cs="B Zar" w:hint="cs"/>
          <w:rtl/>
        </w:rPr>
        <w:t xml:space="preserve"> و اَتَهاروَ ودا</w:t>
      </w:r>
      <w:r w:rsidRPr="00175A44">
        <w:rPr>
          <w:rFonts w:cs="B Zar"/>
        </w:rPr>
        <w:t xml:space="preserve"> (Atharvaveda)</w:t>
      </w:r>
      <w:r w:rsidRPr="00175A44">
        <w:rPr>
          <w:rFonts w:cs="B Zar" w:hint="cs"/>
          <w:rtl/>
        </w:rPr>
        <w:t xml:space="preserve"> نيز سرودها و اذكاري در رابطه با سوريا وارد شده‌است. «سوريه»، خورشيد روز را مي‌گويند و از نظر ريشه لغوي معناي كلمه «سوريه»، تابنده و درخشان است. در سانسكريت تعبير «سُوركَلَش</w:t>
      </w:r>
      <w:r w:rsidRPr="00175A44">
        <w:rPr>
          <w:rFonts w:cs="B Zar"/>
        </w:rPr>
        <w:t>(Surkalash)</w:t>
      </w:r>
      <w:r w:rsidRPr="00175A44">
        <w:rPr>
          <w:rFonts w:cs="B Zar" w:hint="cs"/>
          <w:rtl/>
        </w:rPr>
        <w:t>، نظير خورشيد به معناي تابنده به كار مي رود. سوري</w:t>
      </w:r>
      <w:r w:rsidRPr="00175A44">
        <w:rPr>
          <w:rFonts w:cs="B Zar"/>
        </w:rPr>
        <w:t>(Suri)</w:t>
      </w:r>
      <w:r w:rsidRPr="00175A44">
        <w:rPr>
          <w:rFonts w:cs="B Zar" w:hint="cs"/>
          <w:rtl/>
        </w:rPr>
        <w:t xml:space="preserve"> يك فرد حكيم و فرزانه را نيز مي گويند.</w:t>
      </w:r>
    </w:p>
    <w:p w:rsidR="0011420A" w:rsidRPr="00175A44" w:rsidP="003C0EF5">
      <w:pPr>
        <w:widowControl w:val="0"/>
        <w:spacing w:line="420" w:lineRule="exact"/>
        <w:ind w:left="0" w:right="0"/>
        <w:jc w:val="both"/>
        <w:rPr>
          <w:rFonts w:cs="B Zar" w:hint="cs"/>
          <w:rtl/>
        </w:rPr>
      </w:pPr>
      <w:r w:rsidRPr="00175A44">
        <w:rPr>
          <w:rFonts w:cs="B Zar" w:hint="cs"/>
          <w:rtl/>
        </w:rPr>
        <w:t xml:space="preserve">در ودا خورشيد «سَويتَر» يا «سويتري» </w:t>
      </w:r>
      <w:r w:rsidRPr="00175A44">
        <w:rPr>
          <w:rFonts w:cs="B Zar"/>
        </w:rPr>
        <w:t>(Savitri)</w:t>
      </w:r>
      <w:r w:rsidRPr="00175A44">
        <w:rPr>
          <w:rFonts w:cs="B Zar" w:hint="cs"/>
          <w:rtl/>
        </w:rPr>
        <w:t xml:space="preserve"> نيز ناميده شده است و سويتر</w:t>
      </w:r>
      <w:r w:rsidRPr="00175A44">
        <w:rPr>
          <w:rFonts w:cs="B Zar"/>
        </w:rPr>
        <w:t xml:space="preserve"> (Savitra)</w:t>
      </w:r>
      <w:r w:rsidRPr="00175A44">
        <w:rPr>
          <w:rFonts w:cs="B Zar" w:hint="cs"/>
          <w:rtl/>
        </w:rPr>
        <w:t xml:space="preserve"> نيز از جمله معبودان ريگ ودا است. كلمه سويتر از ريشه سَوَ </w:t>
      </w:r>
      <w:r w:rsidRPr="00175A44">
        <w:rPr>
          <w:rFonts w:cs="B Zar"/>
        </w:rPr>
        <w:t>Sawa)</w:t>
      </w:r>
      <w:r w:rsidRPr="00175A44">
        <w:rPr>
          <w:rFonts w:cs="B Zar" w:hint="cs"/>
          <w:rtl/>
        </w:rPr>
        <w:t>)، به معناي حركت دهنده، حركت كننده، الهام بخش و انگيزنده مي باشد. سايانا</w:t>
      </w:r>
      <w:r w:rsidRPr="00175A44">
        <w:rPr>
          <w:rFonts w:cs="B Zar"/>
        </w:rPr>
        <w:t>(Sayana)</w:t>
      </w:r>
      <w:r w:rsidRPr="00175A44">
        <w:rPr>
          <w:rFonts w:cs="B Zar" w:hint="cs"/>
          <w:rtl/>
        </w:rPr>
        <w:t xml:space="preserve"> مفسّرِ معروف ودا ميگويد: «خورشيد» در پردة شب و هنگام طلوع، «سَوَيتر» ناميده مي‌شود. در ريگ ودا در برخي جاها به نظر مي‌رسد كه كلمات «سوريه» و سويتر به عنوان معادل هم به كار رفته‌اند و در برخي جاها ميان آنان تفاوت گذاشته شده است</w:t>
      </w:r>
      <w:r>
        <w:rPr>
          <w:rStyle w:val="FootnoteReference"/>
          <w:rFonts w:cs="B Zar"/>
          <w:rtl/>
        </w:rPr>
        <w:footnoteReference w:id="259"/>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يازده سرودِ ريگِ ودا به سَوَيتر (خورشيد صبحگاهان) اختصاص داده شده است. ويشنو</w:t>
      </w:r>
      <w:r w:rsidRPr="00175A44">
        <w:rPr>
          <w:rFonts w:cs="B Zar"/>
        </w:rPr>
        <w:t>(Vishnu)</w:t>
      </w:r>
      <w:r w:rsidRPr="00175A44">
        <w:rPr>
          <w:rFonts w:cs="B Zar" w:hint="cs"/>
          <w:rtl/>
        </w:rPr>
        <w:t>، يكي ديگر از اسامي خورشيد است. برخي گفته‌اند كه تفاوت ميان سوريه</w:t>
      </w:r>
      <w:r w:rsidRPr="00175A44">
        <w:rPr>
          <w:rFonts w:cs="B Zar"/>
        </w:rPr>
        <w:t>(Surya)</w:t>
      </w:r>
      <w:r w:rsidRPr="00175A44">
        <w:rPr>
          <w:rFonts w:cs="B Zar" w:hint="cs"/>
          <w:rtl/>
        </w:rPr>
        <w:t>، سويتر</w:t>
      </w:r>
      <w:r w:rsidRPr="00175A44">
        <w:rPr>
          <w:rFonts w:cs="B Zar"/>
        </w:rPr>
        <w:t>(Sawitra)</w:t>
      </w:r>
      <w:r w:rsidRPr="00175A44">
        <w:rPr>
          <w:rFonts w:cs="B Zar" w:hint="cs"/>
          <w:rtl/>
        </w:rPr>
        <w:t xml:space="preserve"> و ويشنوُ، اين است كه سوريا خورشيد تابان روز است؛ سويتر خورشيد در پرده غضب (يعني در شب) و يا خورشيد فجر و وشنُو آفتاب يا نور و حرارت و تابش خورشيد مي باشد.</w:t>
      </w:r>
      <w:r>
        <w:rPr>
          <w:rStyle w:val="FootnoteReference"/>
          <w:rFonts w:cs="B Zar"/>
          <w:rtl/>
        </w:rPr>
        <w:footnoteReference w:id="260"/>
      </w:r>
      <w:r w:rsidRPr="00175A44">
        <w:rPr>
          <w:rFonts w:cs="B Zar" w:hint="cs"/>
          <w:rtl/>
        </w:rPr>
        <w:t xml:space="preserve"> آريائي‌ها، خورشيد و هر يك از مظاهر آنرا مورد پرستش قرار مي‌داده‌اند. البته برخلاف سوريا و سويتر، وشنُو بيشتر به مرحله سوم و چهارم تكامل انديشة ديني هندوان تعلق دارد و به صورت رب النوع خورشيد و حتي صفتي از نورانيت خداوند مطرح شده است. از همين‌روي وِشنو در سرودهاي آخر ريگ ودا مطرح است، در حالي كه در ساير سرودها اسمي از او درميان نيست.</w:t>
      </w:r>
      <w:r>
        <w:rPr>
          <w:rStyle w:val="FootnoteReference"/>
          <w:rFonts w:cs="B Zar"/>
          <w:rtl/>
        </w:rPr>
        <w:footnoteReference w:id="261"/>
      </w:r>
    </w:p>
    <w:p w:rsidR="0011420A" w:rsidRPr="00175A44" w:rsidP="003C0EF5">
      <w:pPr>
        <w:widowControl w:val="0"/>
        <w:spacing w:line="420" w:lineRule="exact"/>
        <w:ind w:left="0" w:right="0"/>
        <w:jc w:val="both"/>
        <w:rPr>
          <w:rFonts w:cs="B Zar" w:hint="cs"/>
          <w:rtl/>
        </w:rPr>
      </w:pPr>
      <w:r w:rsidRPr="00175A44">
        <w:rPr>
          <w:rFonts w:cs="B Zar" w:hint="cs"/>
          <w:rtl/>
        </w:rPr>
        <w:t xml:space="preserve">ميِترا كه همان ميتراي </w:t>
      </w:r>
      <w:r w:rsidRPr="00175A44">
        <w:rPr>
          <w:rFonts w:cs="B Zar"/>
        </w:rPr>
        <w:t>(Mithra)</w:t>
      </w:r>
      <w:r w:rsidRPr="00175A44">
        <w:rPr>
          <w:rFonts w:cs="B Zar" w:hint="cs"/>
          <w:rtl/>
        </w:rPr>
        <w:t xml:space="preserve"> مطرح در اوستا است، نيز كنايه اي از خورشيد است. به نظر مي رسد كه مترا خورشيدي است با توجه به حركت آن و بالاخره پوُشان </w:t>
      </w:r>
      <w:r w:rsidRPr="00175A44">
        <w:rPr>
          <w:rFonts w:cs="B Zar"/>
        </w:rPr>
        <w:t>(Pushan)</w:t>
      </w:r>
      <w:r w:rsidRPr="00175A44">
        <w:rPr>
          <w:rFonts w:cs="B Zar" w:hint="cs"/>
          <w:rtl/>
        </w:rPr>
        <w:t xml:space="preserve"> نيز كه به طور عموم در ريگ ودا به عنوان معبود دام‌داران و مسافران صحرا معرفي شده است، عنوان ديگري براي خورشيد است. «پوشان» از ريشة «پُوش»(</w:t>
      </w:r>
      <w:r w:rsidRPr="00175A44">
        <w:rPr>
          <w:rFonts w:cs="B Zar"/>
        </w:rPr>
        <w:t>Push</w:t>
      </w:r>
      <w:r w:rsidRPr="00175A44">
        <w:rPr>
          <w:rFonts w:cs="B Zar" w:hint="cs"/>
          <w:rtl/>
        </w:rPr>
        <w:t>) است كه معناي آن افزودن و پروردن است؛ بدين ترتيب معناي «پوشان»، پرورش كننده و افزايش دهنده مي‌باشد. دام‌داران براي ادامة موجوديت خود و براي افزايش درآمد به شدّت متكي به خورشيد بودند. در شب دام آنان طمعه درندگان مي‌گرديد و سرما نيز براي دام آنان مناسب نبود؛ از اين‌رو آنان براي خورشيد ارج خاصّي قائل بودند و آنرا «پوشان» مي‌ناميدند. به تدريج «پوشان» به صورت معبودِ صحرا درآمد و مسافراني كه از صحرا عبور مي‌كردند، پوشان را راهنماي خود و محافظ خود مي‌دانستند. اين امر نيز نشان مي‌دهد در مرحله اول چگونه كاركردهاي پديده‌هاي طبيعت را به صورت صفاتِ معبودان عنوان مي‌كردند. پيدا است كه پهنة صحرا تنها وسيلة جهت‌يابي براي مسافران خورشيد بوده است.</w:t>
      </w:r>
    </w:p>
    <w:p w:rsidR="0011420A" w:rsidRPr="00175A44" w:rsidP="003C0EF5">
      <w:pPr>
        <w:widowControl w:val="0"/>
        <w:spacing w:line="420" w:lineRule="exact"/>
        <w:ind w:left="0" w:right="0"/>
        <w:jc w:val="both"/>
        <w:rPr>
          <w:rFonts w:cs="B Zar" w:hint="cs"/>
          <w:rtl/>
        </w:rPr>
      </w:pPr>
      <w:r w:rsidRPr="00175A44">
        <w:rPr>
          <w:rFonts w:cs="B Zar" w:hint="cs"/>
          <w:rtl/>
        </w:rPr>
        <w:t>برخي صاحب نظران معتقدند كه وارونا</w:t>
      </w:r>
      <w:r w:rsidRPr="00175A44">
        <w:rPr>
          <w:rFonts w:cs="B Zar"/>
        </w:rPr>
        <w:t>(Varuna)</w:t>
      </w:r>
      <w:r w:rsidRPr="00175A44">
        <w:rPr>
          <w:rFonts w:cs="B Zar" w:hint="cs"/>
          <w:rtl/>
        </w:rPr>
        <w:t xml:space="preserve"> و «اَتِتِي</w:t>
      </w:r>
      <w:r w:rsidRPr="00175A44">
        <w:rPr>
          <w:rFonts w:cs="B Zar"/>
        </w:rPr>
        <w:t>(Atiti)</w:t>
      </w:r>
      <w:r w:rsidRPr="00175A44">
        <w:rPr>
          <w:rFonts w:cs="B Zar" w:hint="cs"/>
          <w:rtl/>
        </w:rPr>
        <w:t xml:space="preserve"> را آريائي‌هاي قديم براي آسمان و خورشيد، هر دو، به كار مي‌برده‌اند. در زبان سانسكريت ودائي و تعبيرات پورانا</w:t>
      </w:r>
      <w:r w:rsidRPr="00175A44">
        <w:rPr>
          <w:rFonts w:cs="B Zar"/>
        </w:rPr>
        <w:t xml:space="preserve"> (Purana)</w:t>
      </w:r>
      <w:r w:rsidRPr="00175A44">
        <w:rPr>
          <w:rFonts w:cs="B Zar" w:hint="cs"/>
          <w:rtl/>
        </w:rPr>
        <w:t xml:space="preserve">، مجموعه سنن هندو «آدتِ جيوتس» نور خورشيد را مي‌گويند. آدِتَ دَرشانَ </w:t>
      </w:r>
      <w:r w:rsidRPr="00175A44">
        <w:rPr>
          <w:rFonts w:cs="B Zar"/>
        </w:rPr>
        <w:t>(Aditi Darsana)</w:t>
      </w:r>
      <w:r w:rsidRPr="00175A44">
        <w:rPr>
          <w:rFonts w:cs="B Zar" w:hint="cs"/>
          <w:rtl/>
        </w:rPr>
        <w:t>، يكي از مراسم ودائي است كه در طي آن نوزاد چهار ماهه را طي تشريفاتي زير آسمان مي آورند تا نخستين بار «خورشيد» را ديد بزند. بدينسان پرستش وارونا و آدِتي</w:t>
      </w:r>
      <w:r w:rsidRPr="00175A44">
        <w:rPr>
          <w:rFonts w:cs="B Zar"/>
        </w:rPr>
        <w:t>(Aditi)</w:t>
      </w:r>
      <w:r w:rsidRPr="00175A44">
        <w:rPr>
          <w:rFonts w:cs="B Zar" w:hint="cs"/>
          <w:rtl/>
        </w:rPr>
        <w:t xml:space="preserve"> و فرزندان او نيز به نحوي جلوه‌اي از خورشيدپرستي آريائي‌ها است.</w:t>
      </w:r>
      <w:r>
        <w:rPr>
          <w:rStyle w:val="FootnoteReference"/>
          <w:rFonts w:cs="B Zar"/>
          <w:rtl/>
        </w:rPr>
        <w:footnoteReference w:id="262"/>
      </w:r>
    </w:p>
    <w:p w:rsidR="0011420A" w:rsidRPr="00175A44" w:rsidP="003C0EF5">
      <w:pPr>
        <w:pStyle w:val="Heading4"/>
        <w:keepNext w:val="0"/>
        <w:widowControl w:val="0"/>
        <w:spacing w:line="420" w:lineRule="exact"/>
        <w:ind w:left="0" w:right="0"/>
        <w:jc w:val="left"/>
        <w:rPr>
          <w:rFonts w:cs="B Zar" w:hint="cs"/>
          <w:rtl/>
        </w:rPr>
      </w:pPr>
      <w:r w:rsidRPr="00175A44">
        <w:rPr>
          <w:rFonts w:cs="B Zar" w:hint="cs"/>
          <w:rtl/>
        </w:rPr>
        <w:t>فجر و شفق‌پرستي</w:t>
      </w:r>
    </w:p>
    <w:p w:rsidR="0011420A" w:rsidRPr="00175A44" w:rsidP="003C0EF5">
      <w:pPr>
        <w:widowControl w:val="0"/>
        <w:spacing w:line="420" w:lineRule="exact"/>
        <w:ind w:left="0" w:right="0"/>
        <w:jc w:val="both"/>
        <w:rPr>
          <w:rFonts w:cs="B Zar" w:hint="cs"/>
          <w:rtl/>
        </w:rPr>
      </w:pPr>
      <w:r w:rsidRPr="00175A44">
        <w:rPr>
          <w:rFonts w:cs="B Zar" w:hint="cs"/>
          <w:rtl/>
        </w:rPr>
        <w:t>آريائي‌ها خورشيد را در حالات مختلف با عناوين گوناگون مورد پرستش قرار مي‌داده‌اند و منظره‌هايي را كه با طلوع و غروب خورشيد ارتباط داشت نيز مي‌پرستيده‌اند. آريائي‌هاي هند، ايران و يونان «فجر» و «شفق» را نيز به صورت معبود درآورده بودند.</w:t>
      </w:r>
    </w:p>
    <w:p w:rsidR="0011420A" w:rsidRPr="00175A44" w:rsidP="003C0EF5">
      <w:pPr>
        <w:widowControl w:val="0"/>
        <w:spacing w:line="420" w:lineRule="exact"/>
        <w:ind w:left="0" w:right="0"/>
        <w:jc w:val="both"/>
        <w:rPr>
          <w:rFonts w:cs="B Zar" w:hint="cs"/>
          <w:rtl/>
        </w:rPr>
      </w:pPr>
      <w:r w:rsidRPr="00175A44">
        <w:rPr>
          <w:rFonts w:cs="B Zar" w:hint="cs"/>
          <w:rtl/>
        </w:rPr>
        <w:t xml:space="preserve">راسكين </w:t>
      </w:r>
      <w:r w:rsidRPr="00175A44">
        <w:rPr>
          <w:rFonts w:cs="B Zar"/>
        </w:rPr>
        <w:t>(Ruskin)</w:t>
      </w:r>
      <w:r w:rsidRPr="00175A44">
        <w:rPr>
          <w:rFonts w:cs="B Zar" w:hint="cs"/>
          <w:rtl/>
        </w:rPr>
        <w:t xml:space="preserve"> گفته است: «</w:t>
      </w:r>
      <w:r w:rsidRPr="00175A44">
        <w:rPr>
          <w:rFonts w:cs="B Zar" w:hint="cs"/>
          <w:i/>
          <w:iCs/>
          <w:rtl/>
        </w:rPr>
        <w:t>هيچ زيبائي، براي افراد انديشمند، فكربرانگيزتر و پروقارتر از سپيده دم و هنگام فجر نيست</w:t>
      </w:r>
      <w:r w:rsidRPr="00175A44">
        <w:rPr>
          <w:rFonts w:cs="B Zar" w:hint="cs"/>
          <w:rtl/>
        </w:rPr>
        <w:t xml:space="preserve">». آريائي‌ها كه داراي ديدگاهي نافذ و قلبي لطيف بودند به پيروي از طبيعت خويش به پرستش سپيده سحري پرداختند. يوناني ها آنرا اِئوس </w:t>
      </w:r>
      <w:r w:rsidRPr="00175A44">
        <w:rPr>
          <w:rFonts w:cs="B Zar"/>
        </w:rPr>
        <w:t>(Eos</w:t>
      </w:r>
      <w:r w:rsidRPr="00175A44">
        <w:rPr>
          <w:rFonts w:cs="B Zar"/>
        </w:rPr>
        <w:t>)</w:t>
      </w:r>
      <w:r w:rsidRPr="00175A44">
        <w:rPr>
          <w:rFonts w:cs="B Zar" w:hint="cs"/>
          <w:rtl/>
        </w:rPr>
        <w:t xml:space="preserve"> ناميدند. اين مادينه از جمله محبوب‌ترين معبودان يوناني‌ها بوده كه در اشعار هومر و ديگران كراراً از او نام برده مي‌شود و او را مورد تقديس قرار مي دهند. آريائي‌هاي هند آن را اوشاش</w:t>
      </w:r>
      <w:r w:rsidRPr="00175A44">
        <w:rPr>
          <w:rFonts w:cs="B Zar"/>
        </w:rPr>
        <w:t xml:space="preserve"> (Ushash)</w:t>
      </w:r>
      <w:r w:rsidRPr="00175A44">
        <w:rPr>
          <w:rFonts w:cs="B Zar" w:hint="cs"/>
          <w:rtl/>
        </w:rPr>
        <w:t xml:space="preserve"> يا «اوشا»</w:t>
      </w:r>
      <w:r w:rsidRPr="00175A44">
        <w:rPr>
          <w:rFonts w:cs="B Zar"/>
        </w:rPr>
        <w:t>(Usha)</w:t>
      </w:r>
      <w:r w:rsidRPr="00175A44">
        <w:rPr>
          <w:rFonts w:cs="B Zar" w:hint="cs"/>
          <w:rtl/>
        </w:rPr>
        <w:t xml:space="preserve"> مي‌ناميدند و به عنوان دختري زيبا تصور مي‌كردند. فجر (اوشس)، دختر زيبا و با حيايي است كه خورشيد (سوريا</w:t>
      </w:r>
      <w:r w:rsidRPr="00175A44">
        <w:rPr>
          <w:rFonts w:cs="B Zar"/>
        </w:rPr>
        <w:t>Surya=</w:t>
      </w:r>
      <w:r w:rsidRPr="00175A44">
        <w:rPr>
          <w:rFonts w:cs="B Zar" w:hint="cs"/>
          <w:rtl/>
        </w:rPr>
        <w:t>) دلداده ‌او است، ولي وقتي سوريا با دراز كردن دست‌هاي طلائي اشعة خود، مي خواهد اوشا را به آغوش بكشد، او خنده زنان فرار مي‌كند. آريائي‌هاي دوره پارينه زير آسمان كبود منظره و معاشقه اجرام نوراني را نظاره مي‌كرده‌اند.</w:t>
      </w:r>
    </w:p>
    <w:p w:rsidR="0011420A" w:rsidRPr="00175A44" w:rsidP="003C0EF5">
      <w:pPr>
        <w:widowControl w:val="0"/>
        <w:spacing w:line="420" w:lineRule="exact"/>
        <w:ind w:left="0" w:right="0"/>
        <w:jc w:val="both"/>
        <w:rPr>
          <w:rFonts w:cs="B Zar" w:hint="cs"/>
          <w:rtl/>
        </w:rPr>
      </w:pPr>
      <w:r w:rsidRPr="00175A44">
        <w:rPr>
          <w:rFonts w:cs="B Zar" w:hint="cs"/>
          <w:rtl/>
        </w:rPr>
        <w:t>ريشه لغوي «اوشش» يا «اش»</w:t>
      </w:r>
      <w:r w:rsidRPr="00175A44">
        <w:rPr>
          <w:rFonts w:cs="B Zar"/>
        </w:rPr>
        <w:t>(Ash)</w:t>
      </w:r>
      <w:r w:rsidRPr="00175A44">
        <w:rPr>
          <w:rFonts w:cs="B Zar" w:hint="cs"/>
          <w:rtl/>
        </w:rPr>
        <w:t xml:space="preserve"> است كه معنايش شي‌ء پرنور و سوزان و پرتابش است. البته اين كلمه به معناي مجازات كردن و عقوبت دادن نيز مي باشد.</w:t>
      </w:r>
    </w:p>
    <w:p w:rsidR="0011420A" w:rsidRPr="00175A44" w:rsidP="003C0EF5">
      <w:pPr>
        <w:widowControl w:val="0"/>
        <w:spacing w:line="420" w:lineRule="exact"/>
        <w:ind w:left="0" w:right="0"/>
        <w:jc w:val="both"/>
        <w:rPr>
          <w:rFonts w:cs="B Zar" w:hint="cs"/>
          <w:rtl/>
        </w:rPr>
      </w:pPr>
      <w:r w:rsidRPr="00175A44">
        <w:rPr>
          <w:rFonts w:cs="B Zar" w:hint="cs"/>
          <w:rtl/>
        </w:rPr>
        <w:t>آريائي‌هايي كه زيبائي منظره سپيده دم را درك مي كرده اند، بسيار بعيد بوده كه از آرامش شامگاهان لذت نبرند، وقتي خورشيد پس از جانفشاني روز، خسته و كوفته به آشيانه‌اش فرود مي‌رود، اشجار، كوه، صحرا و امواج دريا، گوئي در حال تفكر و انديشه عميق فرو مي روند. چنان احساس مي‌شود، كه گوئي لب‌هاي طبيعت آهسته آهسته حمد باري تعالي را زمزمه مي كنند. وقتي خورشيد به درياي شب نزديك مي شود، دو تن از سواركاران زيبا و چابك، در پيراهن سرخ براي استقبال اين شاه افلاك بر صحنه آسمان ظاهر مي شوند. آريائي‌ها اين دو سواركار را «اشوين» مي ناميدند و اين كنايه‌اي از شفق بوده است.</w:t>
      </w:r>
    </w:p>
    <w:p w:rsidR="0011420A" w:rsidRPr="00175A44" w:rsidP="003C0EF5">
      <w:pPr>
        <w:widowControl w:val="0"/>
        <w:spacing w:line="420" w:lineRule="exact"/>
        <w:ind w:left="0" w:right="0"/>
        <w:jc w:val="both"/>
        <w:rPr>
          <w:rFonts w:cs="B Zar" w:hint="cs"/>
          <w:rtl/>
        </w:rPr>
      </w:pPr>
      <w:r w:rsidRPr="00175A44">
        <w:rPr>
          <w:rFonts w:cs="B Zar" w:hint="cs"/>
          <w:rtl/>
        </w:rPr>
        <w:t>از نظر لغوي «اشوين»</w:t>
      </w:r>
      <w:r w:rsidRPr="00175A44">
        <w:rPr>
          <w:rFonts w:cs="B Zar"/>
        </w:rPr>
        <w:t>(Aswin)</w:t>
      </w:r>
      <w:r w:rsidRPr="00175A44">
        <w:rPr>
          <w:rFonts w:cs="B Zar" w:hint="cs"/>
          <w:rtl/>
        </w:rPr>
        <w:t>، كسي است كه داراي اسب باشد. اين كلمه از ريشه «اشو» به معني اسب مي‌باشد؛ البته اشو مرشد و استاد را نيز مي گويند. برخي گفته اند مقصود از دو «اشوين»، سپيده صبح و شفق شامگاهان است. هر دو منظره بهم شبيه اند، از اين‌رو آريائي‌ها آنان را دو سوار ناميده اند.</w:t>
      </w:r>
    </w:p>
    <w:p w:rsidR="0011420A" w:rsidRPr="00175A44" w:rsidP="003C0EF5">
      <w:pPr>
        <w:widowControl w:val="0"/>
        <w:spacing w:line="420" w:lineRule="exact"/>
        <w:ind w:left="0" w:right="0"/>
        <w:jc w:val="both"/>
        <w:rPr>
          <w:rFonts w:cs="B Zar" w:hint="cs"/>
          <w:rtl/>
        </w:rPr>
      </w:pPr>
      <w:r w:rsidRPr="00175A44">
        <w:rPr>
          <w:rFonts w:cs="B Zar" w:hint="cs"/>
          <w:rtl/>
        </w:rPr>
        <w:t>تقريباً پنجاه سرود ريگ ودا به اشوين ها اختصاص دارند ودر بسياري از سرودهاي ديگر نيز به اشوين‌ها اشاره شده است. اينان دو قلوي جدا نشدني‌اند، نوراني بودن و تابان بودن از صفات آنان است؛ آنها سواركاران بسيار چابك و چالاك و نيرومندي هستند كه از عاشقان اوشا</w:t>
      </w:r>
      <w:r w:rsidRPr="00175A44">
        <w:rPr>
          <w:rFonts w:cs="B Zar"/>
        </w:rPr>
        <w:t>(Usha)</w:t>
      </w:r>
      <w:r w:rsidRPr="00175A44">
        <w:rPr>
          <w:rFonts w:cs="B Zar" w:hint="cs"/>
          <w:rtl/>
        </w:rPr>
        <w:t xml:space="preserve"> مي باشند.</w:t>
      </w:r>
    </w:p>
    <w:p w:rsidR="0011420A" w:rsidRPr="0079761C" w:rsidP="003C0EF5">
      <w:pPr>
        <w:pStyle w:val="Heading5"/>
        <w:keepNext w:val="0"/>
        <w:widowControl w:val="0"/>
        <w:spacing w:line="420" w:lineRule="exact"/>
        <w:ind w:left="0" w:right="0"/>
        <w:jc w:val="left"/>
        <w:rPr>
          <w:rFonts w:cs="B Zar" w:hint="cs"/>
          <w:sz w:val="28"/>
          <w:szCs w:val="28"/>
          <w:rtl/>
        </w:rPr>
      </w:pPr>
      <w:r w:rsidR="0079761C">
        <w:rPr>
          <w:rFonts w:cs="B Zar" w:hint="cs"/>
          <w:sz w:val="28"/>
          <w:szCs w:val="28"/>
          <w:rtl/>
        </w:rPr>
        <w:t>ستاره</w:t>
      </w:r>
      <w:r w:rsidRPr="0079761C">
        <w:rPr>
          <w:rFonts w:cs="B Zar" w:hint="cs"/>
          <w:sz w:val="28"/>
          <w:szCs w:val="28"/>
          <w:rtl/>
        </w:rPr>
        <w:t xml:space="preserve"> پرستي</w:t>
      </w:r>
    </w:p>
    <w:p w:rsidR="0011420A" w:rsidRPr="00175A44" w:rsidP="003C0EF5">
      <w:pPr>
        <w:widowControl w:val="0"/>
        <w:spacing w:line="420" w:lineRule="exact"/>
        <w:ind w:left="0" w:right="0"/>
        <w:jc w:val="both"/>
        <w:rPr>
          <w:rFonts w:cs="B Zar" w:hint="cs"/>
          <w:rtl/>
        </w:rPr>
      </w:pPr>
      <w:r w:rsidRPr="00175A44">
        <w:rPr>
          <w:rFonts w:cs="B Zar" w:hint="cs"/>
          <w:rtl/>
        </w:rPr>
        <w:t xml:space="preserve">اقوام ابتدائي، خورشيد، ماه و ستارگان را نيز مي‌پرستيده‌اند. با توجه به ذوق و محيط طبيعي، در ميان برخي اقوام، خورشيدپرستي و در ميان برخي قبائل و اقوام ماه‌پرستي رائج‌تر است. البته اقوام ماه‌پرست در اقليت بوده اند. در ميان اكثر اقوام و ملل، پرستش خورشيد و ماه هر دو رواج داشته، ولي ماه پرستي تحت الشعاع خورشيدپرستي بود. قبيله ابتدائي هوتن توز </w:t>
      </w:r>
      <w:r w:rsidRPr="00175A44">
        <w:rPr>
          <w:rFonts w:cs="B Zar"/>
        </w:rPr>
        <w:t>(Hottentoes)</w:t>
      </w:r>
      <w:r w:rsidRPr="00175A44">
        <w:rPr>
          <w:rFonts w:cs="B Zar" w:hint="cs"/>
          <w:rtl/>
        </w:rPr>
        <w:t xml:space="preserve"> در عين حال كه خورشيد را به نام «تسي گه آب» مي‌پرستيدند، ماه را نيز مورد پرستش قرار مي‌دادند. آنان در اولِ ماه و نيمه ماه، مراسمي براي ماه نو و ماه تمام برگزار مي‌كردند. قبائل دراويدي، ماه را</w:t>
      </w:r>
      <w:r w:rsidRPr="00175A44">
        <w:rPr>
          <w:rFonts w:cs="B Zar"/>
        </w:rPr>
        <w:t xml:space="preserve"> </w:t>
      </w:r>
      <w:r w:rsidRPr="00175A44">
        <w:rPr>
          <w:rFonts w:cs="B Zar" w:hint="cs"/>
          <w:rtl/>
        </w:rPr>
        <w:t xml:space="preserve">لاپس </w:t>
      </w:r>
      <w:r w:rsidRPr="00175A44">
        <w:rPr>
          <w:rFonts w:cs="B Zar"/>
        </w:rPr>
        <w:t>(Lapps)</w:t>
      </w:r>
      <w:r w:rsidRPr="00175A44">
        <w:rPr>
          <w:rFonts w:cs="B Zar" w:hint="cs"/>
          <w:rtl/>
        </w:rPr>
        <w:t xml:space="preserve"> ناميده، به پرستش آن همت مي‌گماردند. قبيله هوتن توز به پرستش ستارگان نيز پرداخته و آنرا چشمان عزيزان و نياكان تلقي مي‌كردند. آنان چنين احساس مي‌كردند كه گوئي نياكان آنان  دائماً ناظر رفتارشان هستند</w:t>
      </w:r>
      <w:r>
        <w:rPr>
          <w:rStyle w:val="FootnoteReference"/>
          <w:rFonts w:cs="B Zar"/>
          <w:rtl/>
        </w:rPr>
        <w:footnoteReference w:id="263"/>
      </w:r>
      <w:r w:rsidRPr="00175A44">
        <w:rPr>
          <w:rFonts w:cs="B Zar" w:hint="cs"/>
          <w:rtl/>
        </w:rPr>
        <w:t>. در ميان اديان بين‌النهرين، ماه پرستي رواج داشت. به خصوص در دين بابل در كنار شمس يا خداي خورشيد، ماه نيز مورد پرستش قرار مي گرفته است.</w:t>
      </w:r>
    </w:p>
    <w:p w:rsidR="0011420A" w:rsidRPr="00175A44" w:rsidP="003C0EF5">
      <w:pPr>
        <w:widowControl w:val="0"/>
        <w:spacing w:line="420" w:lineRule="exact"/>
        <w:ind w:left="0" w:right="0"/>
        <w:jc w:val="both"/>
        <w:rPr>
          <w:rFonts w:cs="B Zar" w:hint="cs"/>
          <w:rtl/>
        </w:rPr>
      </w:pPr>
      <w:r w:rsidRPr="00175A44">
        <w:rPr>
          <w:rFonts w:cs="B Zar" w:hint="cs"/>
          <w:rtl/>
        </w:rPr>
        <w:t xml:space="preserve">اقوام آريائي نيز عليرغم گرايش شديد به خورشيدپرستي، مهتاب را نيز از جمله معبودان خود تلقي مي‌كردند. در يونان ارتميس </w:t>
      </w:r>
      <w:r w:rsidRPr="00175A44">
        <w:rPr>
          <w:rFonts w:cs="B Zar"/>
        </w:rPr>
        <w:t>(Artemis)</w:t>
      </w:r>
      <w:r w:rsidRPr="00175A44">
        <w:rPr>
          <w:rFonts w:cs="B Zar" w:hint="cs"/>
          <w:rtl/>
        </w:rPr>
        <w:t xml:space="preserve">، كنايه‌اي از ماه است. سيلين </w:t>
      </w:r>
      <w:r w:rsidRPr="00175A44">
        <w:rPr>
          <w:rFonts w:cs="B Zar"/>
        </w:rPr>
        <w:t>(Selene)</w:t>
      </w:r>
      <w:r w:rsidRPr="00175A44">
        <w:rPr>
          <w:rFonts w:cs="B Zar" w:hint="cs"/>
          <w:rtl/>
        </w:rPr>
        <w:t>، معبود مادينه، ماه است. افلاطون مي‌گويد كه همه يونانيان ماه را داراي جنبه ‌الوهيت مي‌دانند. البته تا دوره افلاطون معبدهاي زيادي به معبود ماه اختصاص نداشته‌ است و ارتميس نيز به جاي آنكه مظهري از ماه تلقي شود به صورت يك معبود مجرد و مستقل درآمده بود و پرستش سيلين ديگر متروك شده بود، ولي شواهد نشان مي دهد كه در تمدن قديمي تر پرستش ماه داراي اهميت فوق‌العاده‌اي بوده است.</w:t>
      </w:r>
      <w:r>
        <w:rPr>
          <w:rStyle w:val="FootnoteReference"/>
          <w:rFonts w:cs="B Zar"/>
          <w:rtl/>
        </w:rPr>
        <w:footnoteReference w:id="264"/>
      </w:r>
    </w:p>
    <w:p w:rsidR="0011420A" w:rsidP="003C0EF5">
      <w:pPr>
        <w:widowControl w:val="0"/>
        <w:spacing w:line="420" w:lineRule="exact"/>
        <w:ind w:left="0" w:right="0"/>
        <w:jc w:val="both"/>
        <w:rPr>
          <w:rFonts w:cs="B Zar" w:hint="cs"/>
          <w:rtl/>
        </w:rPr>
      </w:pPr>
      <w:r w:rsidRPr="00175A44">
        <w:rPr>
          <w:rFonts w:cs="B Zar" w:hint="cs"/>
          <w:rtl/>
        </w:rPr>
        <w:t>در ميان معبودان سي و سه گانه ريگ ودا، اسمي از ماه نمي بينيم، ولي بسياري از هند شناسان و ودا شناسان معتقداند كه سوما كه بعداً به عنوان مشروب مقدس معرفي شده است، در آغاز كنايه‌اي از ماه بود. آريائي‌ها در شب‌هاي ماه تمام، مراسم خاصي برگزار مي كردند و طي آن شراب خاصي مي‌نوشيدند. در دورة بعدي اين مشروب جنبه تقدس پيدا كرد و عنوان سوما برآن نهاده شد، ولي در آغاز سوما كنايه از ماه بود و آريائي‌ها در نيمه ماه به ماهتاب‌پرستي مي‌پرداخته‌اند.</w:t>
      </w:r>
    </w:p>
    <w:p w:rsidR="0079761C" w:rsidRPr="00175A44" w:rsidP="003C0EF5">
      <w:pPr>
        <w:widowControl w:val="0"/>
        <w:spacing w:line="420" w:lineRule="exact"/>
        <w:ind w:left="0" w:right="0"/>
        <w:jc w:val="both"/>
        <w:rPr>
          <w:rFonts w:cs="B Zar" w:hint="cs"/>
          <w:rtl/>
        </w:rPr>
      </w:pPr>
    </w:p>
    <w:p w:rsidR="0011420A" w:rsidRPr="00175A44" w:rsidP="003C0EF5">
      <w:pPr>
        <w:pStyle w:val="Heading6"/>
        <w:keepNext w:val="0"/>
        <w:widowControl w:val="0"/>
        <w:spacing w:line="420" w:lineRule="exact"/>
        <w:ind w:left="0" w:right="0"/>
        <w:jc w:val="left"/>
        <w:rPr>
          <w:rFonts w:cs="B Zar" w:hint="cs"/>
          <w:rtl/>
        </w:rPr>
      </w:pPr>
      <w:r w:rsidRPr="00175A44">
        <w:rPr>
          <w:rFonts w:cs="B Zar" w:hint="cs"/>
          <w:rtl/>
        </w:rPr>
        <w:t>پرستش رعد، برق و توفان</w:t>
      </w:r>
    </w:p>
    <w:p w:rsidR="0011420A" w:rsidRPr="00175A44" w:rsidP="003C0EF5">
      <w:pPr>
        <w:widowControl w:val="0"/>
        <w:spacing w:line="420" w:lineRule="exact"/>
        <w:ind w:left="0" w:right="0"/>
        <w:jc w:val="both"/>
        <w:rPr>
          <w:rFonts w:cs="B Zar" w:hint="cs"/>
          <w:rtl/>
        </w:rPr>
      </w:pPr>
      <w:r w:rsidRPr="00175A44">
        <w:rPr>
          <w:rFonts w:cs="B Zar" w:hint="cs"/>
          <w:rtl/>
        </w:rPr>
        <w:t>براي انسان اوليه كه زير سقف آسمان زندگي مي كرد، شايد هيچ چيزي هول انگيز‌تر و در عين حال شكوهمندتر، رعب‌آورتر و حماسي‌تر از ديدن منظره غرش آسمان در حين توفان، و رعد و برق نبوده است و با چشم خيال مي توانيم وضع بشر اوليه را كه در غارها زندگي مي كرد، در شب‌هاي توفاني مشاهده كنيم. در شب‌هاي تيره و تاريك يكباره توفان آغاز مي شد، غريو عظيمي برپا مي‌گشت، آسمان به غرش مي‌آمد، مردم از غارها و چادرها بيرون مي آمدند و به آسمان مي نگريستند. گوئي در آسمان نبرد هولناكي برپا شده است. لشكر تاريكي حمله‌ور شده، سلطان آسمان نيز سلحشوران خود را فرا خوانده و با صداي مخوف و هراس‌انگيز، گوئي فرمان «آتش» را صادر مي كند. آتشبارها به صدا در مي‌آيند، برق شمشيرهاي آخته در آسمان محشر بپا مي كند، چكاچك شمشيرها و طنين تيرها غوغا مي كند، سواركاراني چابك به فرمان فرمانده بزرگ، پياپي نيزه مي زنند، سراسر طبيعت به لرزه در مي‌آيد، درختان گريه و زاري مي كنند و بادها پا به فرار مي‌گذارند. بشر اوليه آريائي با حالت ترس و دلهره و در عين حال اعجاب و شگفت زدگي مي‌ديد كه سرانجام پيروزي از آن فرمانده بزرگ قلمرو فضا است. او آتشبارهاي دشمن را خاموش مي‌كند، سپس باران را به زمين فرو مي‌فرستد تا گرد و خاك را بنشانند. نيروهاي انتظامي خداي فضا به سرعت امنيت را بر زمين برقرار مي‌كنند. بادها آرام مي‌گيرند، درختان نيز سكوت را مصلحت مي بينند و سپس آرام آرام حمد و تقديس اين خداي قهار را زمزمه مي‌كنند. مردم بدوي نيز هماهنگ با طبيعت به تقديس و تمجيد و نيايش فرمانده بزرگ فضا، معبود رعد، مشغول مي شوند.</w:t>
      </w:r>
    </w:p>
    <w:p w:rsidR="0011420A" w:rsidRPr="00175A44" w:rsidP="003C0EF5">
      <w:pPr>
        <w:widowControl w:val="0"/>
        <w:spacing w:line="420" w:lineRule="exact"/>
        <w:ind w:left="0" w:right="0"/>
        <w:jc w:val="both"/>
        <w:rPr>
          <w:rFonts w:cs="B Zar" w:hint="cs"/>
          <w:rtl/>
        </w:rPr>
      </w:pPr>
      <w:r w:rsidRPr="00175A44">
        <w:rPr>
          <w:rFonts w:cs="B Zar" w:hint="cs"/>
          <w:rtl/>
        </w:rPr>
        <w:t>دكتر رادا كريشنان مي گويد: «در ميان تمام پديده‌هاي طبيعت كه در انسان حالت رعب و شگفت زدگي ايجاد مي‌كند، هيچ چيزي با رعد و برق همسنگ نيست.</w:t>
      </w:r>
      <w:r>
        <w:rPr>
          <w:rStyle w:val="FootnoteReference"/>
          <w:rFonts w:cs="B Zar"/>
          <w:sz w:val="28"/>
          <w:szCs w:val="28"/>
          <w:rtl/>
        </w:rPr>
        <w:footnoteReference w:id="265"/>
      </w:r>
      <w:r w:rsidRPr="00175A44">
        <w:rPr>
          <w:rFonts w:cs="B Zar" w:hint="cs"/>
          <w:rtl/>
        </w:rPr>
        <w:t xml:space="preserve"> از همين روي اكثر اقوام و ملل رعد را به صورت معبود درآورده بودند. در ميان مصريان «شو» </w:t>
      </w:r>
      <w:r w:rsidRPr="00175A44">
        <w:rPr>
          <w:rFonts w:cs="B Zar"/>
        </w:rPr>
        <w:t>(Sho)</w:t>
      </w:r>
      <w:r w:rsidRPr="00175A44">
        <w:rPr>
          <w:rFonts w:cs="B Zar" w:hint="cs"/>
          <w:rtl/>
        </w:rPr>
        <w:t xml:space="preserve"> خداي رعد و فضا است</w:t>
      </w:r>
      <w:r>
        <w:rPr>
          <w:rStyle w:val="FootnoteReference"/>
          <w:rFonts w:cs="B Zar"/>
          <w:sz w:val="28"/>
          <w:szCs w:val="28"/>
          <w:rtl/>
        </w:rPr>
        <w:footnoteReference w:id="266"/>
      </w:r>
      <w:r w:rsidRPr="00175A44">
        <w:rPr>
          <w:rFonts w:cs="B Zar" w:hint="cs"/>
          <w:rtl/>
        </w:rPr>
        <w:t xml:space="preserve">. در يونان نيز در يك مرحله قديم رعدپرستي رواج داشته است. پوسانيوس </w:t>
      </w:r>
      <w:r w:rsidRPr="00175A44">
        <w:rPr>
          <w:rFonts w:cs="B Zar"/>
        </w:rPr>
        <w:t>(Pausanias)</w:t>
      </w:r>
      <w:r w:rsidRPr="00175A44">
        <w:rPr>
          <w:rFonts w:cs="B Zar" w:hint="cs"/>
          <w:rtl/>
        </w:rPr>
        <w:t xml:space="preserve"> درضمن شرح مراسم ديني مردم «اركاديا» </w:t>
      </w:r>
      <w:r w:rsidRPr="00175A44">
        <w:rPr>
          <w:rFonts w:cs="B Zar"/>
        </w:rPr>
        <w:t>(Arcadia)</w:t>
      </w:r>
      <w:r w:rsidRPr="00175A44">
        <w:rPr>
          <w:rFonts w:cs="B Zar" w:hint="cs"/>
          <w:rtl/>
        </w:rPr>
        <w:t xml:space="preserve"> نوشته است كه آنان به رعد و برق و توفان نذور و قرباني تقديم مي كنند.</w:t>
      </w:r>
      <w:r>
        <w:rPr>
          <w:rStyle w:val="FootnoteReference"/>
          <w:rFonts w:cs="B Zar"/>
          <w:rtl/>
        </w:rPr>
        <w:footnoteReference w:id="267"/>
      </w:r>
      <w:r w:rsidRPr="00175A44">
        <w:rPr>
          <w:rFonts w:cs="B Zar" w:hint="cs"/>
          <w:rtl/>
        </w:rPr>
        <w:t xml:space="preserve"> در ژاپن نيز «رعدپرستي» رواج داشت. يكي از معبودان اصلي جرگه خدايان دين شينتو «تكاـ هاياـ سوساـ نوـ وو‌ـ نو ـ مي ـ كيتو» نام دارد به معناي موجود شكوهمند نرينه، نرم گام، سبك سير و دلير است. اين لقب مختصر، عنواني براي رعد و برق و توفان است. برخلاف معبود خورشيد كه مادينه است، معبود توفان نرينه مي‌باشد. نظير اينديرا در هند، اين معبود ژاپني نيز مظهري از صفات جلال و قهاريت است. او مرگ را به ارمغان مي آورد. ژاپني در جزيزه كوچكي زندگي مي كرده كه همواره در معرض خشم امواج خروشان اقيانوس بوده و طبيعي است كه چنين تصوري از توفان داشته باشد. او از دستور پدر خود ازاناگي </w:t>
      </w:r>
      <w:r w:rsidRPr="00175A44">
        <w:rPr>
          <w:rFonts w:cs="B Zar"/>
        </w:rPr>
        <w:t>(Izanagi)</w:t>
      </w:r>
      <w:r w:rsidRPr="00175A44">
        <w:rPr>
          <w:rFonts w:cs="B Zar" w:hint="cs"/>
          <w:rtl/>
        </w:rPr>
        <w:t xml:space="preserve"> عدول كرده كه گفته بود با آرامش بر اقيانوس‌ها حكومت كن. ازاناگي وقتي او را عاق كرد، وي بر خداي خورشيد حمله كرد. خورشيد او را شكست داده و متواري ساخته است و هم اينك او به ديار اقيانوس‌ها رخنه كرده، آنرا به تلاطم در مي‌آورد. برخلاف </w:t>
      </w:r>
      <w:r w:rsidRPr="00175A44">
        <w:rPr>
          <w:rFonts w:cs="B Zar" w:hint="cs"/>
          <w:iCs/>
          <w:rtl/>
        </w:rPr>
        <w:t>ارندر</w:t>
      </w:r>
      <w:r w:rsidRPr="00175A44">
        <w:rPr>
          <w:rFonts w:cs="B Zar" w:hint="cs"/>
          <w:rtl/>
        </w:rPr>
        <w:t xml:space="preserve"> كه خداي قلمرو فضا است تكا ـ ها ـ ها معبود قلمرو سفلي است.</w:t>
      </w:r>
      <w:r>
        <w:rPr>
          <w:rStyle w:val="FootnoteReference"/>
          <w:rFonts w:cs="B Zar"/>
          <w:sz w:val="28"/>
          <w:szCs w:val="28"/>
          <w:rtl/>
        </w:rPr>
        <w:footnoteReference w:id="268"/>
      </w:r>
      <w:r w:rsidRPr="00175A44">
        <w:rPr>
          <w:rFonts w:cs="B Zar" w:hint="cs"/>
          <w:rtl/>
        </w:rPr>
        <w:t xml:space="preserve"> </w:t>
      </w:r>
    </w:p>
    <w:p w:rsidR="0011420A" w:rsidRPr="00175A44" w:rsidP="003C0EF5">
      <w:pPr>
        <w:widowControl w:val="0"/>
        <w:spacing w:line="420" w:lineRule="exact"/>
        <w:ind w:left="0" w:right="0"/>
        <w:jc w:val="both"/>
        <w:rPr>
          <w:rFonts w:cs="B Zar" w:hint="cs"/>
          <w:rtl/>
        </w:rPr>
      </w:pPr>
      <w:r w:rsidRPr="00175A44">
        <w:rPr>
          <w:rFonts w:cs="B Zar" w:hint="cs"/>
          <w:rtl/>
        </w:rPr>
        <w:t xml:space="preserve">علاوه بر آن، ژاپني‌ها برخي ديگر از پديده‌‌هاي فضا را نيز مي‌پرستيده‌اند. آنان خداي باران را كرا ـ اوهو ـ كامي </w:t>
      </w:r>
      <w:r w:rsidRPr="00175A44">
        <w:rPr>
          <w:rFonts w:cs="B Zar"/>
        </w:rPr>
        <w:t>(Kura, Oho, Kami)</w:t>
      </w:r>
      <w:r w:rsidRPr="00175A44">
        <w:rPr>
          <w:rFonts w:cs="B Zar" w:hint="cs"/>
          <w:rtl/>
        </w:rPr>
        <w:t xml:space="preserve"> و خداي صاعقه را اكادزوچي ـ نو ـ كامي </w:t>
      </w:r>
      <w:r w:rsidRPr="00175A44">
        <w:rPr>
          <w:rFonts w:cs="B Zar"/>
        </w:rPr>
        <w:t>(Ikadzuchi-no-kami)</w:t>
      </w:r>
      <w:r w:rsidRPr="00175A44">
        <w:rPr>
          <w:rFonts w:cs="B Zar" w:hint="cs"/>
          <w:rtl/>
        </w:rPr>
        <w:t xml:space="preserve"> مي ناميده اند. يك معبود ديگر ژاپني خداي زلزله است كه او را «ني هونگي» </w:t>
      </w:r>
      <w:r w:rsidRPr="00175A44">
        <w:rPr>
          <w:rFonts w:cs="B Zar"/>
        </w:rPr>
        <w:t xml:space="preserve">(Nihongi) </w:t>
      </w:r>
      <w:r w:rsidRPr="00175A44">
        <w:rPr>
          <w:rFonts w:cs="B Zar" w:hint="cs"/>
          <w:rtl/>
        </w:rPr>
        <w:t>مي ناميده اند. او نيز از منطقه سفلي است.</w:t>
      </w:r>
      <w:r>
        <w:rPr>
          <w:rStyle w:val="FootnoteReference"/>
          <w:rFonts w:cs="B Zar"/>
          <w:sz w:val="28"/>
          <w:szCs w:val="28"/>
          <w:rtl/>
        </w:rPr>
        <w:footnoteReference w:id="269"/>
      </w:r>
    </w:p>
    <w:p w:rsidR="0011420A" w:rsidRPr="00175A44" w:rsidP="003C0EF5">
      <w:pPr>
        <w:widowControl w:val="0"/>
        <w:spacing w:line="420" w:lineRule="exact"/>
        <w:ind w:left="0" w:right="0"/>
        <w:jc w:val="both"/>
        <w:rPr>
          <w:rFonts w:cs="B Zar" w:hint="cs"/>
          <w:rtl/>
        </w:rPr>
      </w:pPr>
      <w:r w:rsidRPr="00175A44">
        <w:rPr>
          <w:rFonts w:cs="B Zar" w:hint="cs"/>
          <w:rtl/>
        </w:rPr>
        <w:t>آريائي‌ها، به خصوص آريائيان هند، براي «رعد و برق» اهميت ويژه اي قائل بودند. برخي از صاحب نظران معتقدند كه چون آريائي ها در هند و ايران زندگي كشاورزي پيش گرفته بودند و رعد و برق عموماً با باران همراه است كه در كشاورزي نقش حياتي دارد، از اين‌رو معبود رعد و برق (اينديرا</w:t>
      </w:r>
      <w:r w:rsidRPr="00175A44">
        <w:rPr>
          <w:rFonts w:cs="B Zar"/>
        </w:rPr>
        <w:t>(Indra=</w:t>
      </w:r>
      <w:r w:rsidRPr="00175A44">
        <w:rPr>
          <w:rFonts w:cs="B Zar" w:hint="cs"/>
          <w:rtl/>
        </w:rPr>
        <w:t>)، به صورت معبود اصلي آريائي ها و خداي خدايان در آمده بود. چنين گفته شده كه در مرحله سابق تر كه آريائي ها هنوز به كشاورزي اشتغال پيدا نكرده و زندگي ثابتي نداشته‌اند، خداي اصلي آنان آسمان (وارونا) يا خورشيد (سوريا) بوده، وقتي زندگي ثابت كشاورزي را پيش گرفتند، معبود ابر و باران (ايندرا) به صورت خداي اصلي آنان درآمد. يك فرضيه ديگري نيز عنوان شده است كه برحسب آن، چون آريائي ها پس از كوچكيدن از موطن اوليه خود، دائماً با قبائل محلي درگير بودند و به صورت يك نژاد سلحشور و جنگي درآمده بودند؛ از اين‌رو براي آنان محبوب ترين معبود اينديرا بود، كه خداي جنگ پنداشته مي شد. آنان خداي جنگ قلمرو فضا (رعد و برق و توفان) را به نام اينديرا مي‌پرستيده‌اند تا آنان را در جنگ ها پيروز كند.</w:t>
      </w:r>
    </w:p>
    <w:p w:rsidR="0011420A" w:rsidP="003C0EF5">
      <w:pPr>
        <w:widowControl w:val="0"/>
        <w:spacing w:line="420" w:lineRule="exact"/>
        <w:ind w:left="0" w:right="0"/>
        <w:jc w:val="both"/>
        <w:rPr>
          <w:rFonts w:cs="B Zar" w:hint="cs"/>
          <w:rtl/>
        </w:rPr>
      </w:pPr>
      <w:r w:rsidRPr="00175A44">
        <w:rPr>
          <w:rFonts w:cs="B Zar" w:hint="cs"/>
          <w:rtl/>
        </w:rPr>
        <w:t>كلمه اينديرا</w:t>
      </w:r>
      <w:r w:rsidRPr="00175A44">
        <w:rPr>
          <w:rFonts w:cs="B Zar"/>
        </w:rPr>
        <w:t>(Indra)</w:t>
      </w:r>
      <w:r w:rsidRPr="00175A44">
        <w:rPr>
          <w:rFonts w:cs="B Zar" w:hint="cs"/>
          <w:rtl/>
        </w:rPr>
        <w:t xml:space="preserve"> از ريشه «ان»</w:t>
      </w:r>
      <w:r w:rsidRPr="00175A44">
        <w:rPr>
          <w:rFonts w:cs="B Zar"/>
        </w:rPr>
        <w:t>(in)</w:t>
      </w:r>
      <w:r w:rsidRPr="00175A44">
        <w:rPr>
          <w:rFonts w:cs="B Zar" w:hint="cs"/>
          <w:rtl/>
        </w:rPr>
        <w:t xml:space="preserve"> به معناي قدرت، نيرو، پويائي و عزم است.</w:t>
      </w:r>
      <w:r>
        <w:rPr>
          <w:rStyle w:val="FootnoteReference"/>
          <w:rFonts w:cs="B Zar"/>
          <w:sz w:val="28"/>
          <w:szCs w:val="28"/>
          <w:rtl/>
        </w:rPr>
        <w:footnoteReference w:id="270"/>
      </w:r>
      <w:r w:rsidRPr="00175A44">
        <w:rPr>
          <w:rFonts w:cs="B Zar" w:hint="cs"/>
          <w:rtl/>
        </w:rPr>
        <w:t xml:space="preserve"> در اين صورت كلمه اينديرا</w:t>
      </w:r>
      <w:r>
        <w:rPr>
          <w:rStyle w:val="FootnoteReference"/>
          <w:rFonts w:cs="B Zar"/>
          <w:sz w:val="28"/>
          <w:szCs w:val="28"/>
          <w:rtl/>
        </w:rPr>
        <w:footnoteReference w:id="271"/>
      </w:r>
      <w:r w:rsidRPr="00175A44">
        <w:rPr>
          <w:rFonts w:cs="B Zar" w:hint="cs"/>
          <w:rtl/>
        </w:rPr>
        <w:t xml:space="preserve"> به معناي قادر، نيرومند، پويا و صاحب عزم، به تعبير ديگر معادل «القادر»، «الجبار»، «القوي» و «الجلال است. برخي گفته اند ريشه كلمه مزبور «اند»</w:t>
      </w:r>
      <w:r w:rsidRPr="00175A44">
        <w:rPr>
          <w:rFonts w:cs="B Zar"/>
        </w:rPr>
        <w:t>(Ind)</w:t>
      </w:r>
      <w:r w:rsidRPr="00175A44">
        <w:rPr>
          <w:rFonts w:cs="B Zar" w:hint="cs"/>
          <w:rtl/>
        </w:rPr>
        <w:t xml:space="preserve"> به معناي فرود آمدن است. در اين صورت منشاء اين كلمه با صاعقه يا باران مربوط بوده است كه از بالا به پائين مي آيد و احتمالاً به توفان نيز اطلاق مي شده است. رعد، پديده‌هاي ديگري را نيز بدنبال دارد كه آريائيان آنان را از حواريون اينديرا ‌مي‌دانسته و مورد پرستش قرار مي‌داده‌اند. از آن جمله است باد كه آنرا «ماروت» مي ناميدند. كلمه ماروت ريشه جمع است و اين كلمه از نظر لغوي، به معناي اشياي تندرو است. باد تند «ماروت»</w:t>
      </w:r>
      <w:r w:rsidRPr="00175A44">
        <w:rPr>
          <w:rFonts w:cs="B Zar"/>
        </w:rPr>
        <w:t>(Marut)</w:t>
      </w:r>
      <w:r w:rsidRPr="00175A44">
        <w:rPr>
          <w:rFonts w:cs="B Zar" w:hint="cs"/>
          <w:rtl/>
        </w:rPr>
        <w:t xml:space="preserve"> ناميده مي شد و باد لطيف‌تر «وايو»</w:t>
      </w:r>
      <w:r w:rsidRPr="00175A44">
        <w:rPr>
          <w:rFonts w:cs="B Zar"/>
        </w:rPr>
        <w:t>(Vayu)</w:t>
      </w:r>
      <w:r w:rsidRPr="00175A44">
        <w:rPr>
          <w:rFonts w:cs="B Zar" w:hint="cs"/>
          <w:rtl/>
        </w:rPr>
        <w:t>. «وايو» را آريائي هاي ايران «واوشا» مي‌گفته اند و اين كلمه در اوستا نيز ذكر شده است</w:t>
      </w:r>
      <w:r>
        <w:rPr>
          <w:rStyle w:val="FootnoteReference"/>
          <w:rFonts w:cs="B Zar"/>
          <w:rtl/>
        </w:rPr>
        <w:footnoteReference w:id="272"/>
      </w:r>
      <w:r w:rsidRPr="00175A44">
        <w:rPr>
          <w:rFonts w:cs="B Zar" w:hint="cs"/>
          <w:rtl/>
        </w:rPr>
        <w:t>.</w:t>
      </w:r>
    </w:p>
    <w:p w:rsidR="00E63591" w:rsidRPr="00175A44" w:rsidP="003C0EF5">
      <w:pPr>
        <w:widowControl w:val="0"/>
        <w:spacing w:line="420" w:lineRule="exact"/>
        <w:ind w:left="0" w:right="0"/>
        <w:jc w:val="both"/>
        <w:rPr>
          <w:rFonts w:cs="B Zar" w:hint="cs"/>
          <w:rtl/>
        </w:rPr>
      </w:pPr>
    </w:p>
    <w:p w:rsidR="0011420A" w:rsidRPr="00380536" w:rsidP="003C0EF5">
      <w:pPr>
        <w:pStyle w:val="Heading7"/>
        <w:keepNext w:val="0"/>
        <w:widowControl w:val="0"/>
        <w:spacing w:before="0" w:line="420" w:lineRule="exact"/>
        <w:ind w:left="-62" w:right="0" w:firstLine="0"/>
        <w:jc w:val="left"/>
        <w:rPr>
          <w:rFonts w:cs="B Zar" w:hint="cs"/>
          <w:b/>
          <w:bCs/>
          <w:szCs w:val="28"/>
          <w:rtl/>
        </w:rPr>
      </w:pPr>
      <w:r w:rsidRPr="00380536">
        <w:rPr>
          <w:rFonts w:cs="B Zar" w:hint="cs"/>
          <w:b/>
          <w:bCs/>
          <w:szCs w:val="28"/>
          <w:rtl/>
        </w:rPr>
        <w:t>آتش پرستي</w:t>
      </w:r>
    </w:p>
    <w:p w:rsidR="0011420A" w:rsidRPr="00175A44" w:rsidP="003C0EF5">
      <w:pPr>
        <w:widowControl w:val="0"/>
        <w:spacing w:line="420" w:lineRule="exact"/>
        <w:ind w:left="0" w:right="0"/>
        <w:jc w:val="both"/>
        <w:rPr>
          <w:rFonts w:cs="B Zar" w:hint="cs"/>
          <w:rtl/>
        </w:rPr>
      </w:pPr>
      <w:r w:rsidRPr="00175A44">
        <w:rPr>
          <w:rFonts w:cs="B Zar" w:hint="cs"/>
          <w:rtl/>
        </w:rPr>
        <w:t>اقوام و ملل باستاني نه تنها پديده هاي طبيعت را در عالم آسمان (سوريا</w:t>
      </w:r>
      <w:r w:rsidRPr="00175A44">
        <w:rPr>
          <w:rFonts w:cs="B Zar"/>
        </w:rPr>
        <w:t>Surya=</w:t>
      </w:r>
      <w:r w:rsidRPr="00175A44">
        <w:rPr>
          <w:rFonts w:cs="B Zar" w:hint="cs"/>
          <w:rtl/>
        </w:rPr>
        <w:t>) و فضا (اينديرا) مورد پرستش قرار مي دادند، بلكه به پرستش پديده هاي زميني نيز مي پرداخته‌اند ؛ كه مهمترين آنان آگني (آتش يا كوه آتش فشان) بوده است.</w:t>
      </w:r>
    </w:p>
    <w:p w:rsidR="0011420A" w:rsidRPr="00175A44" w:rsidP="003C0EF5">
      <w:pPr>
        <w:widowControl w:val="0"/>
        <w:spacing w:line="420" w:lineRule="exact"/>
        <w:ind w:left="0" w:right="0"/>
        <w:jc w:val="both"/>
        <w:rPr>
          <w:rFonts w:cs="B Zar" w:hint="cs"/>
          <w:rtl/>
        </w:rPr>
      </w:pPr>
      <w:r w:rsidRPr="00175A44">
        <w:rPr>
          <w:rFonts w:cs="B Zar" w:hint="cs"/>
          <w:rtl/>
        </w:rPr>
        <w:t>بشر، در نخستين مراحل تاريخ خود بر كره زمين، تكنولوژي ايجاد آتش را كشف كرد و اين بزرگترين موهبت براي او محسوب مي شد. با آتش بود كه بشر اوليه در سرماي شديد بيابان و جنگل، حرارت را به دست مي آورد. با آتش بود كه از هول تاريكي در شب هاي ظلماني و از ناله هاي كودكان شيرخوار و حمله درندگان صحرائي تا اندازه اي نجات يافته بود. با كمك آتش بود كه بشر اوليه توانست از نظر غذائي از سطح حيوانات بالاتر رود و غذاهاي خوش مزه تر و سالم تر تهيه كند.</w:t>
      </w:r>
    </w:p>
    <w:p w:rsidR="0011420A" w:rsidRPr="00175A44" w:rsidP="003C0EF5">
      <w:pPr>
        <w:widowControl w:val="0"/>
        <w:spacing w:line="420" w:lineRule="exact"/>
        <w:ind w:left="0" w:right="0"/>
        <w:jc w:val="both"/>
        <w:rPr>
          <w:rFonts w:cs="B Zar" w:hint="cs"/>
          <w:rtl/>
        </w:rPr>
      </w:pPr>
      <w:r w:rsidRPr="00175A44">
        <w:rPr>
          <w:rFonts w:cs="B Zar" w:hint="cs"/>
          <w:rtl/>
        </w:rPr>
        <w:t xml:space="preserve">علاوه بر اين جنبه‌هاي دنيوي، انسان بدوي احساس مي كرد كه آتش موجبات نجات او را پس از مرگ نيز فراهم مي كند؛ چرا كه هنگامي كه بشر به پرستش خورشيد و رعد و برق پرداخت، در صدد برآمد طريقي براي به دست آوردن رضايت آنان به دست آورد. غير از تمجيد و تجليل شعري، تنها راهي كه در ذهن آدمي رسيد اين بود كه غذاهاي لذيذي را به خدايان تقديم دارد. براي اين هدف، او گاو و شتر، گوسفند و اسب و حتي انسان را قربان </w:t>
      </w:r>
      <w:r w:rsidRPr="00175A44">
        <w:rPr>
          <w:rFonts w:cs="B Zar" w:hint="cs"/>
          <w:rtl/>
          <w:lang w:bidi="fa-IR"/>
        </w:rPr>
        <w:t xml:space="preserve">می </w:t>
      </w:r>
      <w:r w:rsidRPr="00175A44">
        <w:rPr>
          <w:rFonts w:cs="B Zar" w:hint="cs"/>
          <w:rtl/>
        </w:rPr>
        <w:t>كرد و گوشت آنان را روي سفره مي گذاشت، ولي باز تهيه غذاهاي خوب بستگي به آتش داشت؛ پس جلب رضايت اين خدايان آسماني نيز بدون كمك اين فرشته زميني ميسر نبود. از اينجا بشر اوليه گمان كرد كه آتش سفيري است از عالم ملكوت، و شايد معبود خورشيد يكي از خويشان خويش را به زمين فرستاده است تا موجبات نجات پرستندگان خود را فراهم سازد، يا شايد يكي از خدايان مهربان، قبسي را از عناصر ملكوت دزديده و به اجتماع انسانها آورده است، تا انسان نيز به عالم خدايان راه پيدا كند. اسطوره يوناني دزديدن آتش خدائي به وسيله پرمتوس</w:t>
      </w:r>
      <w:r w:rsidRPr="00175A44">
        <w:rPr>
          <w:rFonts w:cs="B Zar"/>
        </w:rPr>
        <w:t xml:space="preserve"> (Prometheus)</w:t>
      </w:r>
      <w:r w:rsidRPr="00175A44">
        <w:rPr>
          <w:rFonts w:cs="B Zar" w:hint="cs"/>
          <w:rtl/>
        </w:rPr>
        <w:t>، با تصورات آريائي هند نيز تشابهاتي دارد. طبق اساطير هند ماتاراشيون از آسمان، جزئي از خورشيد را دزديد و آنرا در زمين به قبيله روحاني «بهرگاوس» (محافظان و نگهدارندگان آتش مقدس) سپرد. خورشيد و رعد و برق خداياني هستند در دوردستها، ولي آتش معبودي است كه با كمال انكسار و از خود گذشتگي از عالم ملكوت به عالم ناسوت آمده است تا با دستان نازك و طلائي خود مستضعفان روي زمين را نوازش دهد. وقتي اين تصور ايجاد شد، ديگر چيزي پرستيدني تر از آتش مقدس نبود. انسان در برابر آتش مقدس سراپا نياز بود، افراد طايفه‌ها جمع مي شدند و دورادور آتش مقدس حلقه مي زدند و براي تجليل و تمجيد از آن، به رقص و پايكوبي و آوازخواني مي پرداختند. انسان سپس گمان كرد: حالا كه سفير خدايان در ميان آنان آمده است، چه بهتر كه نذور و قرباني ها را كه مي خواهد تقديم خدايان كند، به آتش مقدس بسپارد تا با دستان آتشين بپذيرد و به صورت دود به بالا بفرستد. احتمالاً همين روند فكري به اينجا انجاميد كه انسان گمان كرد بهترين كاري كه مي‌تواند براي نجات ارواح مردگان خود بكند، اين است كه جسدهايشان را به آتش مقدس تحويل دهد تا روح آنان را به صورت دود، به ملكوت اعلي، در همان خدايان، يا در قلمرو مردگان، جائي كه ياما حكومت مي كند بفرستد.  شايد از همين جا رسم جسد سوزي مردگان آغاز گرديده باشد. (البته جاي تامل است؛ چرا که آريائي‌هاي ايران كه در آتش پرستي از آريائي‌هاي هند نيز فراتر رفته بودند، اين روش را پيش نگرفتند. ممكن است انديشه ثنوي زردشتي كه متاخرتر از ودا است و نيز در يك مرحله عالي‌تر قرار دارد، بدين نتيجه رسيده بود كه روح خود به خود به سوي عالم ملكوت پرواز مي كند و جسد، از ماده كثيف ساخته شده است و شايستگي آنرا ندارد كه با آن آتش مقدس آلوده شود و بهتر آن است كه طعمه لاش‌خورها شود).</w:t>
      </w:r>
    </w:p>
    <w:p w:rsidR="0011420A" w:rsidRPr="00175A44" w:rsidP="003C0EF5">
      <w:pPr>
        <w:widowControl w:val="0"/>
        <w:spacing w:line="420" w:lineRule="exact"/>
        <w:ind w:left="0" w:right="0"/>
        <w:jc w:val="both"/>
        <w:rPr>
          <w:rFonts w:cs="B Zar" w:hint="cs"/>
          <w:rtl/>
        </w:rPr>
      </w:pPr>
      <w:r w:rsidRPr="00175A44">
        <w:rPr>
          <w:rFonts w:cs="B Zar" w:hint="cs"/>
          <w:rtl/>
        </w:rPr>
        <w:t>چنانكه در صفحات پيش نيز اشاره شد، چهار انگيزه اصلي انسان در پرستش پديده‌ها و نيز معبودسازي و يا گرايش به دين؛  كمال پرستي، شكر، طمع و ترس بوده است. در مورد آتش هر چهار عامل دست به دست هم داده اند. انسان بيشتر به خاطر نورانيت، حرارت، زيبائي، قهاريت و پويائي در آتش، صفات كمال را مشاهده كرده است. مطالعه اديان نشان مي دهد كه تمام اديان نور را ويژگي خاص خداوند دانسته و هر شي‌ء نوراني را مي پرستيده اند. چنانكه گفتيم آريائي هاي هند اصلاً خداوند را «ديوتا» مي ناميدند كه معنايش موجود نوراني است. به اين ترتيب در مورد آتش، انگيزه حمد و ستايش فراهم بود. انگيزه شكر و انگيزه طمع نيز چنانكه قبلاً گفتيم كاملاً فراهم بوده است. در عين حال اين عنصر براي انسان داراي صفات جلال نيز بوده،  بدينسان انگيزه چهارم نيز براي پرستش آتش وجود داشت. او مي ديد كه وقتي آتش خشم مي‌گيرد، چگونه در يك چشم بهم زدن، چادرها و خيمه‌هاي او را با خاك يكسان مي كند و كودكان او را به ورطه هلاك مي‌اندازد. او ديده بود چگونه كساني كه گرفتار خشم آتش مي‌شوند، ضجه و فرياد مي كشند. اگر هم نجات پيدا كنند، لكه ننگ آنرا نمي توانند از سيما و بدن خود بزدايند. چهره‌هاي آنان مسخ و اعضاي بدنشان ذوب مي‌شود. او قهاري و قدرتمندي آتش را نيز به خوبي مشاهده مي كرد، چگونه درختان سر به فلك كشيده در دم به زمين مي غلتند، حتي آهن در مقابل نيرو و قدرت آتش ذوب مي‌شود؛ ولي بزرگترين مظهر قدرتمندي آتش كه واقعاً هراس شديدي در انسان ايجاد مي‌كند، منظره منفجر شدن يك كوه آتش فشان است؛ و بدينسان تمام موجبات پرستيدن آتش فراهم بود و انسان بدوي كه در تاريكي ظن و گمان، دور از هدايت روشنگر پيامبران، دست و پا مي‌زد، به آتش پرستي پرداخت. در تاريخ باستاني آتش‌پرستي پديده‌اي است همگاني و عمومي، هرجا پيامبران الهي برخاستند، با پرستش اين مظهر جاهليت مبارزه كردند، ولي با فراموش كردن تعاليم پيامبران، انسان دوباره در ورطه آتش‌پرستي مي‌افتاد. در ميان اقوام و تمدن‌هاي پارينه، كهنه‌ترين مداركي كه در دست داريم، از سمير و تمدن سميري‌ها است.</w:t>
      </w:r>
    </w:p>
    <w:p w:rsidR="0011420A" w:rsidRPr="00175A44" w:rsidP="003C0EF5">
      <w:pPr>
        <w:widowControl w:val="0"/>
        <w:spacing w:line="420" w:lineRule="exact"/>
        <w:ind w:left="0" w:right="0"/>
        <w:jc w:val="both"/>
        <w:rPr>
          <w:rFonts w:cs="B Zar" w:hint="cs"/>
          <w:rtl/>
        </w:rPr>
      </w:pPr>
      <w:r w:rsidRPr="00175A44">
        <w:rPr>
          <w:rFonts w:cs="B Zar" w:hint="cs"/>
          <w:rtl/>
        </w:rPr>
        <w:t xml:space="preserve">در جرگه خدايان ژاپني نيز خداي آتش وجود دارد، كه او را «كاگوـ تسوچي» </w:t>
      </w:r>
      <w:r w:rsidRPr="00175A44">
        <w:rPr>
          <w:rFonts w:cs="B Zar"/>
        </w:rPr>
        <w:t>(Kagu-Tsuchi)</w:t>
      </w:r>
      <w:r w:rsidRPr="00175A44">
        <w:rPr>
          <w:rFonts w:cs="B Zar" w:hint="cs"/>
          <w:rtl/>
        </w:rPr>
        <w:t xml:space="preserve"> مي‌ناميده‌اند كه ترجمه اين تعبير «موجود ارجمندي كه درخشش دارد» مي‌باشد. او نيز از فرزندان «ازاناگي»(احتمالاً خداي خورشيد) است. برخلاف مصر و هند، در ژاپن معبود آتش مورد دلبستگي نيست، بلكه مورد ترس است و بيش از آنكه داراي صفات جمال باشد، داراي صفات جلال است. اين امر، ممكن است به اين علت باشد كه بسياري از مناطق ژاپن‌ در دهانه‌هاي آتش فشان قرار دارند. ژاپني‌‌ها همچنانكه از طغيان دريا دائماً در هراس بودند، از منفجر شدن آتش فشان‌ها نيز بسيار دلهره داشتند.</w:t>
      </w:r>
      <w:r>
        <w:rPr>
          <w:rStyle w:val="FootnoteReference"/>
          <w:rFonts w:cs="B Zar"/>
          <w:sz w:val="28"/>
          <w:szCs w:val="28"/>
          <w:rtl/>
        </w:rPr>
        <w:footnoteReference w:id="273"/>
      </w:r>
    </w:p>
    <w:p w:rsidR="0011420A" w:rsidRPr="00175A44" w:rsidP="003C0EF5">
      <w:pPr>
        <w:widowControl w:val="0"/>
        <w:spacing w:line="420" w:lineRule="exact"/>
        <w:ind w:left="0" w:right="0"/>
        <w:jc w:val="both"/>
        <w:rPr>
          <w:rFonts w:cs="B Zar" w:hint="cs"/>
          <w:rtl/>
        </w:rPr>
      </w:pPr>
      <w:r w:rsidRPr="00175A44">
        <w:rPr>
          <w:rFonts w:cs="B Zar" w:hint="cs"/>
          <w:rtl/>
        </w:rPr>
        <w:t xml:space="preserve">آريائي ها بيش از ساير اقوام به آتش پرستي پرداخته‌اند. آريائي‌هاي يونان در مرحله اول آتش پرست بودند. هفااس تو </w:t>
      </w:r>
      <w:r w:rsidRPr="00175A44">
        <w:rPr>
          <w:rFonts w:cs="B Zar"/>
        </w:rPr>
        <w:t>(Hephaistos)</w:t>
      </w:r>
      <w:r w:rsidRPr="00175A44">
        <w:rPr>
          <w:rFonts w:cs="B Zar" w:hint="cs"/>
          <w:rtl/>
        </w:rPr>
        <w:t xml:space="preserve"> يكي از معبودان يوناني، مظهر آتش مقدس است. يونانيان آتش آشپزخانه و يا «آتش طاق حرارت» را مقدس مي شمرده و آنرا هستيا </w:t>
      </w:r>
      <w:r w:rsidRPr="00175A44">
        <w:rPr>
          <w:rFonts w:cs="B Zar"/>
        </w:rPr>
        <w:t xml:space="preserve">(Hestia) </w:t>
      </w:r>
      <w:r w:rsidRPr="00175A44">
        <w:rPr>
          <w:rFonts w:cs="B Zar" w:hint="cs"/>
          <w:rtl/>
        </w:rPr>
        <w:t xml:space="preserve"> مي ناميده اند. آريائي هاي ايران چنانكه معروف و شناخته شده است، در آتش‌پرستي از همه جلوتر رفتند. عليرغم اصلاح زردشت و تعديل پرستش ساير پديده هاي طبيعي آتش پرستي، البته با تغيير مختصري در شكل و ماهيت ادامه پيدا كرد.</w:t>
      </w:r>
    </w:p>
    <w:p w:rsidR="0011420A" w:rsidRPr="00175A44" w:rsidP="003C0EF5">
      <w:pPr>
        <w:widowControl w:val="0"/>
        <w:spacing w:line="420" w:lineRule="exact"/>
        <w:ind w:left="0" w:right="0"/>
        <w:jc w:val="both"/>
        <w:rPr>
          <w:rFonts w:cs="B Zar" w:hint="cs"/>
          <w:rtl/>
        </w:rPr>
      </w:pPr>
      <w:r w:rsidRPr="00175A44">
        <w:rPr>
          <w:rFonts w:cs="B Zar" w:hint="cs"/>
          <w:rtl/>
        </w:rPr>
        <w:t>آريائي هاي هند نيز كه دينشان قديمي تر از اوستا و دوره ادبيات يونان است، آتش را مي پرستيده و آنرا آگني</w:t>
      </w:r>
      <w:r w:rsidRPr="00175A44">
        <w:rPr>
          <w:rFonts w:cs="B Zar"/>
        </w:rPr>
        <w:t>)</w:t>
      </w:r>
      <w:r w:rsidRPr="00175A44">
        <w:rPr>
          <w:rFonts w:cs="B Zar" w:hint="cs"/>
          <w:rtl/>
        </w:rPr>
        <w:t xml:space="preserve"> (اگ ن) مي ناميده اند. اگني</w:t>
      </w:r>
      <w:r w:rsidRPr="00175A44">
        <w:rPr>
          <w:rFonts w:cs="B Zar"/>
        </w:rPr>
        <w:t>(Agni</w:t>
      </w:r>
      <w:r w:rsidRPr="00175A44">
        <w:rPr>
          <w:rFonts w:cs="B Zar" w:hint="cs"/>
          <w:rtl/>
        </w:rPr>
        <w:t xml:space="preserve"> در زبان سانسكريت به معناي آتش است. هنوز در زبان هندي آتش را آگني، و بزبان اردو «آگ» مي گويند. اين كلمه از ريشه «آگ» است. اگ، چيزي است كه به وسيله درختان بر كوه ايجاد مي شود. ممكن است آريائي‌ها منظره سوزاندن درختان را بر فراز كوه ها به خاطر برخورد صاعقه تماشا كرده و آنرا آگني ناميده اند.</w:t>
      </w:r>
      <w:r>
        <w:rPr>
          <w:rStyle w:val="FootnoteReference"/>
          <w:rFonts w:cs="B Zar"/>
          <w:sz w:val="28"/>
          <w:szCs w:val="28"/>
          <w:rtl/>
        </w:rPr>
        <w:footnoteReference w:id="274"/>
      </w:r>
      <w:r w:rsidRPr="00175A44">
        <w:rPr>
          <w:rFonts w:cs="B Zar" w:hint="cs"/>
          <w:rtl/>
        </w:rPr>
        <w:t xml:space="preserve"> البته «اگ»</w:t>
      </w:r>
      <w:r w:rsidRPr="00175A44">
        <w:rPr>
          <w:rFonts w:cs="B Zar"/>
        </w:rPr>
        <w:t>(Ag)</w:t>
      </w:r>
      <w:r w:rsidRPr="00175A44">
        <w:rPr>
          <w:rFonts w:cs="B Zar" w:hint="cs"/>
          <w:rtl/>
        </w:rPr>
        <w:t xml:space="preserve"> خورشيد را نيز مي‌گويند. ممكن است  آريائي ها آتش را پاره اي از نور خورشيد ـ كه بر زمين افتاده است ـ تصور كرده‌اند. كلمه «ان» به معناي مشتعل شونده و جاري شونده است. كلمه اگني چون از اگ و ان مركب است، از اين‌رو گمان مي‌رود كه معنايش نور خورشيدي باشد كه به صورت اشتعال سرازير شود. در اينصورت اگني</w:t>
      </w:r>
      <w:r w:rsidRPr="00175A44">
        <w:rPr>
          <w:rFonts w:cs="B Zar"/>
        </w:rPr>
        <w:t xml:space="preserve"> (Agni)</w:t>
      </w:r>
      <w:r w:rsidRPr="00175A44">
        <w:rPr>
          <w:rFonts w:cs="B Zar" w:hint="cs"/>
          <w:rtl/>
        </w:rPr>
        <w:t xml:space="preserve"> به وضوح اشاره اي به آتش فشان است كه ماده مشتعل آن از فراز كوه به صورت ذوب شده سرازير مي شود. هيچ ترديدي نيست كه منظره انفجار آتش فشان يكي از رعب آورترين، هراسناك ترين، مقتدرترين و در عين حال زيباترين منظره‌هاي طبيعي است كه انسان را به شگفتي و ترس و پرستش وا مي‌دارد. حتي در همين اواخر، خبرگزاري ها از جزارير فيليپين گزارش دادند كه زني سه فرزند خود را براي تمكين كوه آتش فشان پناتوبو</w:t>
      </w:r>
      <w:r w:rsidRPr="00175A44">
        <w:rPr>
          <w:rFonts w:cs="B Zar"/>
        </w:rPr>
        <w:t xml:space="preserve"> (Pinatubo Volcano)</w:t>
      </w:r>
      <w:r w:rsidRPr="00175A44">
        <w:rPr>
          <w:rFonts w:cs="B Zar" w:hint="cs"/>
          <w:rtl/>
        </w:rPr>
        <w:t xml:space="preserve"> قرباني كرد. اسم اين زن لوليتا رلانو </w:t>
      </w:r>
      <w:r w:rsidRPr="00175A44">
        <w:rPr>
          <w:rFonts w:cs="B Zar"/>
        </w:rPr>
        <w:t>(Lolitarellano)</w:t>
      </w:r>
      <w:r w:rsidRPr="00175A44">
        <w:rPr>
          <w:rFonts w:cs="B Zar" w:hint="cs"/>
          <w:rtl/>
        </w:rPr>
        <w:t xml:space="preserve"> بود و اين ماجرا در ماه نوامبر سال 1991 اتفاق افتاد. اين يكي از شواهد آن است كه براي انسان‌هاي ساده لوح بدوي، منظره آتش فشان وحشت و احساس عظمت بر مي انگيخته و تنها راهي كه در ذهن او مي‌آمد، تقديم قرباني براي اين پديده مهيب طبيعت است</w:t>
      </w:r>
      <w:r>
        <w:rPr>
          <w:rStyle w:val="FootnoteReference"/>
          <w:rFonts w:cs="B Zar"/>
          <w:rtl/>
        </w:rPr>
        <w:footnoteReference w:id="275"/>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مطالعه ودا نشان مي دهد كه آريائي هاي هند پس از خورشيد و صاعقه پرستي، بيش از همه به آتش پرستي اهتمام مي ورزيده اند. متجاوز از دويست سرود ريگ ودا به آگني اختصاص دارد. از نظر سلسله مراتب معبودان، آگني</w:t>
      </w:r>
      <w:r w:rsidRPr="00175A44">
        <w:rPr>
          <w:rFonts w:cs="B Zar"/>
        </w:rPr>
        <w:t>(Agni)</w:t>
      </w:r>
      <w:r w:rsidRPr="00175A44">
        <w:rPr>
          <w:rFonts w:cs="B Zar" w:hint="cs"/>
          <w:rtl/>
        </w:rPr>
        <w:t xml:space="preserve"> پس از اينديرا</w:t>
      </w:r>
      <w:r w:rsidRPr="00175A44">
        <w:rPr>
          <w:rFonts w:cs="B Zar"/>
        </w:rPr>
        <w:t>(Indra)</w:t>
      </w:r>
      <w:r w:rsidRPr="00175A44">
        <w:rPr>
          <w:rFonts w:cs="B Zar" w:hint="cs"/>
          <w:rtl/>
        </w:rPr>
        <w:t>، مهمترين معبود آريائي‌ها است. در سرودهاي ودا، آگني به عنوان معبودي ارجمند، داراي ريش بلند طلائي (كنايه از شعله‌ها) و بسيار زيبا و نوراني، و در عين حال داراي صفات جلال است. وقتي به خشم مي‌آيد، دندان‌هاي سپيد و چنگال هاي سرخ خود را نشان مي دهد. غذاي او چوب و روغن است. بر مسير سياه (مسير دود) پيش مي رود. وقتي به جنگل‌ها حمله مي‌كند غوغا برپا مي‌شود. او داراي درفش سياه (دود) است. از همين‌رو «دهئم كت» ناميده مي شود. آريائي‌ها با كمال نيازمندي قرباني‌ها و نذور خود را تقديم آتش مقدس مي كردند. در شرايط سخت زندگي، آتش را بزرگترين يار و ياور خود مي دانستند. در يكي از سرودهاي ريگ ودا مي خوانيم: «من آگني را پدر خود تلقي كرده و از خويشان خود. مي‌دانم، تو برادر مني، دوست مني اي آگني«</w:t>
      </w:r>
      <w:r>
        <w:rPr>
          <w:rStyle w:val="FootnoteReference"/>
          <w:rFonts w:cs="B Zar"/>
          <w:sz w:val="28"/>
          <w:szCs w:val="28"/>
          <w:rtl/>
        </w:rPr>
        <w:footnoteReference w:id="276"/>
      </w:r>
    </w:p>
    <w:p w:rsidR="0011420A" w:rsidRPr="00175A44" w:rsidP="003C0EF5">
      <w:pPr>
        <w:widowControl w:val="0"/>
        <w:spacing w:line="420" w:lineRule="exact"/>
        <w:ind w:left="0" w:right="0"/>
        <w:jc w:val="both"/>
        <w:rPr>
          <w:rFonts w:cs="B Zar" w:hint="cs"/>
          <w:rtl/>
        </w:rPr>
      </w:pPr>
      <w:r w:rsidRPr="00175A44">
        <w:rPr>
          <w:rFonts w:cs="B Zar" w:hint="cs"/>
          <w:rtl/>
        </w:rPr>
        <w:t>هنگام تقديم نذور به آگني آنان مي گفتند: «اي آگني! اين نذور ناچيز ما را بپذير، نور و روشنائي تو افزوده باد، دود مقدس نور رابالا بفرست و به ملكوت برسان و با شعاع خورشيد در هم بياميز»</w:t>
      </w:r>
      <w:r>
        <w:rPr>
          <w:rStyle w:val="FootnoteReference"/>
          <w:rFonts w:cs="B Zar"/>
          <w:sz w:val="28"/>
          <w:szCs w:val="28"/>
          <w:rtl/>
        </w:rPr>
        <w:footnoteReference w:id="277"/>
      </w:r>
    </w:p>
    <w:p w:rsidR="0011420A" w:rsidP="003C0EF5">
      <w:pPr>
        <w:widowControl w:val="0"/>
        <w:spacing w:line="420" w:lineRule="exact"/>
        <w:ind w:left="0" w:right="0"/>
        <w:jc w:val="both"/>
        <w:rPr>
          <w:rFonts w:cs="B Zar" w:hint="cs"/>
          <w:rtl/>
        </w:rPr>
      </w:pPr>
      <w:r w:rsidRPr="00175A44">
        <w:rPr>
          <w:rFonts w:cs="B Zar" w:hint="cs"/>
          <w:rtl/>
        </w:rPr>
        <w:t>بدينسان آريائي ها ميان آتش و خورشيد سنخيتي را احساس مي كرده و آنان را از خانواده نور مي دانسته اند.</w:t>
      </w:r>
    </w:p>
    <w:p w:rsidR="008E2AFF"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پرستش سوما</w:t>
      </w:r>
      <w:r w:rsidRPr="00175A44">
        <w:rPr>
          <w:rFonts w:cs="B Zar"/>
          <w:b/>
          <w:bCs/>
        </w:rPr>
        <w:t xml:space="preserve"> (Soma)</w:t>
      </w:r>
      <w:r w:rsidRPr="00175A44">
        <w:rPr>
          <w:rFonts w:cs="B Zar" w:hint="cs"/>
          <w:b/>
          <w:bCs/>
          <w:rtl/>
        </w:rPr>
        <w:t xml:space="preserve"> يا باده پرستي</w:t>
      </w:r>
    </w:p>
    <w:p w:rsidR="0011420A" w:rsidRPr="00175A44" w:rsidP="003C0EF5">
      <w:pPr>
        <w:widowControl w:val="0"/>
        <w:spacing w:line="420" w:lineRule="exact"/>
        <w:ind w:left="0" w:right="0"/>
        <w:jc w:val="both"/>
        <w:rPr>
          <w:rFonts w:cs="B Zar" w:hint="cs"/>
          <w:rtl/>
        </w:rPr>
      </w:pPr>
      <w:r w:rsidRPr="00175A44">
        <w:rPr>
          <w:rFonts w:cs="B Zar" w:hint="cs"/>
          <w:rtl/>
        </w:rPr>
        <w:t>در حالكيه پرستش خورشيد، ماه ، ستارگان، رعد و برق و توفان، كوه و دريا و حتي آتش ميان بسياري از اقوام و ملل ابتدائي رواج داشت، از عناصر اختصاصي دين آريائي‌هاي ايران و هند، پرستش مشروب سكرآوري بود كه ايرانيان آن را «هما» يا «هوما» و هنديان آنرا «سوما» مي ناميده اند.</w:t>
      </w:r>
    </w:p>
    <w:p w:rsidR="0011420A" w:rsidRPr="00175A44" w:rsidP="003C0EF5">
      <w:pPr>
        <w:widowControl w:val="0"/>
        <w:spacing w:line="420" w:lineRule="exact"/>
        <w:ind w:left="0" w:right="0"/>
        <w:jc w:val="both"/>
        <w:rPr>
          <w:rFonts w:cs="B Zar" w:hint="cs"/>
          <w:rtl/>
        </w:rPr>
      </w:pPr>
      <w:r w:rsidRPr="00175A44">
        <w:rPr>
          <w:rFonts w:cs="B Zar" w:hint="cs"/>
          <w:rtl/>
        </w:rPr>
        <w:t>معناي لغوي سوما</w:t>
      </w:r>
      <w:r w:rsidRPr="00175A44">
        <w:rPr>
          <w:rFonts w:cs="B Zar"/>
        </w:rPr>
        <w:t xml:space="preserve"> (Soma)</w:t>
      </w:r>
      <w:r w:rsidRPr="00175A44">
        <w:rPr>
          <w:rFonts w:cs="B Zar" w:hint="cs"/>
          <w:rtl/>
        </w:rPr>
        <w:t xml:space="preserve"> عصاره و عرق گياه سم است. سم، گل يا گياه خاصي بود كه بر كوه‌ها مي روئيد و عصاره آن داراي خاصيت سكرآور بود. البته سم</w:t>
      </w:r>
      <w:r w:rsidRPr="00175A44">
        <w:rPr>
          <w:rFonts w:cs="B Zar"/>
        </w:rPr>
        <w:t xml:space="preserve"> (Som)</w:t>
      </w:r>
      <w:r w:rsidRPr="00175A44">
        <w:rPr>
          <w:rFonts w:cs="B Zar" w:hint="cs"/>
          <w:rtl/>
        </w:rPr>
        <w:t xml:space="preserve">، «ماه» را نيز مي گفته‌اند. از اين‌رو بسياري از صاحب نظران معتقدند كه در آغاز كلمه سوما كنايه اي از ماهتاب بود، و سپس بر عصاره سكرآوري كه در شب هاي ماهتابي مصرف مي شده است، نهاده شد. برخي گفته اند اين مشروب از آن جهت سوما ناميده شد كه به عقيده آريايي‌ها تاثير مست كننده آن تنها هنگامي به دست مي آيد كه اين گياه در شب هاي ماهتابي از فراز كوهها جمع آوري شود، ولي محتمل تر اين است كه عرق گياه سكرآور از آن جهت «سوما» ناميده شد كه طي مراسمي در شب هاي ماه تمام به طور دسته جمعي مصرف مي شده است. در اصل شب هايي كه ماه كامل بود، طي تشريفاتي، روحانيون آريائي گياه سوما را ميان سنگ ها فشار مي دادند و از آن قطراتي در ظرفي كه پائين گذاشته مي شد مي چكيد. اين عصاره با روغن و يا آب آميخته مي‌شد، جايگاه قرباني را با آن شستشو مي دادند و مومنان آنرا مصرف ميكردند. البته هيچ ترديدي نيست كه ميان سوما و ماه پرستي نيز ارتباط وجود داشته باشد. در برخي از سرودهاي ريگ ودا و نيز در پاره اي از اوراد اتهارو ودا، كلمه «سوم» به عنوان يكي از عناوين ماه به كار رفته است. </w:t>
      </w:r>
      <w:r w:rsidRPr="00175A44">
        <w:rPr>
          <w:rFonts w:cs="B Zar" w:hint="cs"/>
          <w:b/>
          <w:bCs/>
          <w:iCs/>
          <w:rtl/>
        </w:rPr>
        <w:t>نروكت</w:t>
      </w:r>
      <w:r w:rsidRPr="00175A44">
        <w:rPr>
          <w:rFonts w:cs="B Zar" w:hint="cs"/>
          <w:rtl/>
        </w:rPr>
        <w:t xml:space="preserve"> ماخذ قديمي مفردات ودا نيز سم را معادلي براي ماه دانسته است. البته هيچ ترديدي نيست كه در اكثر سرودهاي ريگ ودا آن را به عنوان كنايه‌اي براي «باده» و مشروب سكرآور به كار گرفته‌اند. </w:t>
      </w:r>
      <w:r w:rsidRPr="00175A44">
        <w:rPr>
          <w:rFonts w:cs="B Zar" w:hint="cs"/>
          <w:iCs/>
          <w:rtl/>
        </w:rPr>
        <w:t>سايانا</w:t>
      </w:r>
      <w:r w:rsidRPr="00175A44">
        <w:rPr>
          <w:rFonts w:cs="B Zar" w:hint="cs"/>
          <w:rtl/>
        </w:rPr>
        <w:t xml:space="preserve"> مفسر بزرگ ريگ ودا، احتمال داده است كه ممكن است اين كلمه از ريشه «س» اقتباس شده باشد كه به معناي تحريك، انگيزش، خيزش و الهام است. در اين صورت معناي آن مشروب تحريك كننده، انگيزنده و الهام بخش خواهد بود.</w:t>
      </w:r>
      <w:r>
        <w:rPr>
          <w:rStyle w:val="FootnoteReference"/>
          <w:rFonts w:cs="B Zar"/>
          <w:rtl/>
        </w:rPr>
        <w:footnoteReference w:id="278"/>
      </w:r>
    </w:p>
    <w:p w:rsidR="0011420A" w:rsidRPr="00175A44" w:rsidP="003C0EF5">
      <w:pPr>
        <w:widowControl w:val="0"/>
        <w:spacing w:line="420" w:lineRule="exact"/>
        <w:ind w:left="0" w:right="0"/>
        <w:jc w:val="both"/>
        <w:rPr>
          <w:rFonts w:cs="B Zar" w:hint="cs"/>
          <w:rtl/>
        </w:rPr>
      </w:pPr>
      <w:r w:rsidRPr="00175A44">
        <w:rPr>
          <w:rFonts w:cs="B Zar" w:hint="cs"/>
          <w:rtl/>
        </w:rPr>
        <w:t xml:space="preserve">آريائي‌ها چرا به پرستش مشروب سوما پرداختند؟ ويتني </w:t>
      </w:r>
      <w:r w:rsidRPr="00175A44">
        <w:rPr>
          <w:rFonts w:cs="B Zar"/>
        </w:rPr>
        <w:t>(Whitney)</w:t>
      </w:r>
      <w:r w:rsidRPr="00175A44">
        <w:rPr>
          <w:rFonts w:cs="B Zar" w:hint="cs"/>
          <w:rtl/>
        </w:rPr>
        <w:t xml:space="preserve"> در اين مورد مي‌گويد: «آريائي‌هاي ساده انديش كه سراسر دين آنان عبارت از پرستش پديده‌هاي شگفت‌آور بوده است، همينكه دريافتند اين مشروب داراي خاصيت‌هاي مرموز و شگفت‌آور است و در انسان يك حالت غيرعادي، مستي، شورانگيزي؛ يك حالت جذبه و الهام بخشي ايجاد مي كند، بلافاصله به پرستش آن پرداختند و براي آن جنبه الوهي قائل شدند. پرستش سوما در ميان آريائي‌ها پيش از ورود به هند رواج پيدا كرده بود، از همين روي اين عنصر در ميان دين آريائي‌هاي هند و دين آريائي‌هاي ايران مشترك است».</w:t>
      </w:r>
      <w:r>
        <w:rPr>
          <w:rStyle w:val="FootnoteReference"/>
          <w:rFonts w:cs="B Zar"/>
          <w:sz w:val="28"/>
          <w:szCs w:val="28"/>
          <w:rtl/>
        </w:rPr>
        <w:footnoteReference w:id="279"/>
      </w:r>
    </w:p>
    <w:p w:rsidR="0011420A" w:rsidRPr="00175A44" w:rsidP="003C0EF5">
      <w:pPr>
        <w:widowControl w:val="0"/>
        <w:spacing w:line="420" w:lineRule="exact"/>
        <w:ind w:left="0" w:right="0"/>
        <w:jc w:val="both"/>
        <w:rPr>
          <w:rFonts w:cs="B Zar" w:hint="cs"/>
          <w:rtl/>
        </w:rPr>
      </w:pPr>
      <w:r w:rsidRPr="00175A44">
        <w:rPr>
          <w:rFonts w:cs="B Zar" w:hint="cs"/>
          <w:rtl/>
        </w:rPr>
        <w:t>مشروب سكرآور سوما، آريائي‌ها را در آن دوره ابتدائي زندگي سخت مهاجرت ها، و درگيري‌ها با طبيعت و قبائل مخالف، از حالت خستگي مفرط، و واماندگي روز نجات مي داد. به آنان فرصت مي داد تا رنج‌ها و دلهره‌ها را فراموش كنند. بديهي است در آن هنگام كه هنوز انسان بر قواي طبيعت چيره نگرديده بود، تلاشهاي او هميشه موفقيت‌آميز نبود. آنگاه كه مزرعه‌ها دچار آفات سماوي مي‌گرديد، نوع انسان و فرزندانش در يورش بيماري و يا حمله درندگان يا دشمنان از دست مي‌رفتند، چند جام باده «سوما» او را از اينگونه رنج‌ها و دلهره‌ها نجات مي‌داد. البته عاملي كه حتي بيش از ملاحظات فوق، در مقدس‌انگاري و پرستش سوما موثر افتاد، ايجاد حالت «جذبه» و الهام‌بخشي، و انگيزش بود. آريايي‌‌ها احساس كردند كه اين مشروب از ديار خدايان است؛ زيرا كسي كه آن را صرف كند، حالت ديگري پيدا مي كند. دكتر رادا كريشنان مي گويد: «انسان بيچاره نيازمند به وسائلي است كه با ياري آن، بتواند رنج هاي خود را فراموش سازد. وقتي نخستين بار او به مشروب سكرآور سوما لب مي‌زند، گونه‌اي هيجان او را فرا مي گيرد، او حواس خود را از دست مي دهد،  به صورت ديوانه‌اي در مي‌آيد. آنان كه پيرامون او را قرار دارند، ممكن است اين حالت مستي و بيخودي را حالت جذبه عرفاني، و شايد حلول ارواح ملكوتي در او تلقي كرده باشند. در عين حال فردي كه سوما را مي‌نوشيد، چنان احساس مي‌كرد كه گوئي به حالت اشراق و بصيرت روحي دست پيدا كرده است. حقايق را ژرفتر درك كرده و فصيح تر بيان داشته است. هيچ تعجبي نيست از اينكه آريائي‌ها اين مشروب معجزه‌آسا را مقدس پنداشته،  به صورت يكي از معبودان خود در آوردند.»</w:t>
      </w:r>
      <w:r>
        <w:rPr>
          <w:rStyle w:val="FootnoteReference"/>
          <w:rFonts w:cs="B Zar"/>
          <w:sz w:val="28"/>
          <w:szCs w:val="28"/>
          <w:rtl/>
        </w:rPr>
        <w:footnoteReference w:id="280"/>
      </w:r>
    </w:p>
    <w:p w:rsidR="0011420A" w:rsidRPr="00175A44" w:rsidP="003C0EF5">
      <w:pPr>
        <w:widowControl w:val="0"/>
        <w:spacing w:line="420" w:lineRule="exact"/>
        <w:ind w:left="0" w:right="0"/>
        <w:jc w:val="both"/>
        <w:rPr>
          <w:rFonts w:cs="B Zar" w:hint="cs"/>
          <w:rtl/>
        </w:rPr>
      </w:pPr>
      <w:r w:rsidRPr="00175A44">
        <w:rPr>
          <w:rFonts w:cs="B Zar" w:hint="cs"/>
          <w:rtl/>
        </w:rPr>
        <w:t>به خاطر اين خاصيت، بعد از اينكه آريائيان سوما</w:t>
      </w:r>
      <w:r w:rsidRPr="00175A44">
        <w:rPr>
          <w:rFonts w:cs="B Zar"/>
        </w:rPr>
        <w:t xml:space="preserve"> (Soma)</w:t>
      </w:r>
      <w:r w:rsidRPr="00175A44">
        <w:rPr>
          <w:rFonts w:cs="B Zar" w:hint="cs"/>
          <w:rtl/>
        </w:rPr>
        <w:t xml:space="preserve"> را به صورت يكي از اجزای مناسك عبادي درآوردند، در حين مراسم مذهبي طي تشريفاتي آنرا به صورت دستجمعي صرف مي‌كردند. گام بعدي اين بود كه عرق سوما بر سفره خدايان قرار گيرد. آنان معتقد بودند كه عزيزترين و گرانبهاترين اشياء بايد به خدايان تقديم شوند و از اين‌رو نه تنها سوما را در مراسم قرباني و نذور مي گذاشتند، بلكه مكان قرباني را با روغني آميخته با عرق سوما مي‌شستند. اين امر به نوبه خود، بر تقدس عرق سوما افزود.</w:t>
      </w:r>
    </w:p>
    <w:p w:rsidR="0011420A" w:rsidRPr="00175A44" w:rsidP="003C0EF5">
      <w:pPr>
        <w:widowControl w:val="0"/>
        <w:spacing w:line="420" w:lineRule="exact"/>
        <w:ind w:left="0" w:right="0"/>
        <w:jc w:val="both"/>
        <w:rPr>
          <w:rFonts w:cs="B Zar"/>
          <w:rtl/>
        </w:rPr>
      </w:pPr>
      <w:r w:rsidRPr="00175A44">
        <w:rPr>
          <w:rFonts w:cs="B Zar" w:hint="cs"/>
          <w:rtl/>
        </w:rPr>
        <w:t>114 سرود در ريگ ودا (كل كتاب نهم) به سوما اختصاص دارد. تعداد زيادي از قطعات سام ودا نيز به تمجيد و ستايش «سوما» اختصاص يافته است. در ياجور ودا نيز در طي اوراد مراسم قرباني، از سوما زياد نام برده مي شود. مطالعه سرودها به وضوح نشان مي دهد كه در آغاز مقصود از سوما صرفاً يك مشروب است و در آن مرحله هنوز به صورت كنايه اي از عشق، و طرح آن به عنوان يك رب النوع مطرح نيست. اين تحول در مراحل بعدي صورت گرفت.</w:t>
      </w:r>
    </w:p>
    <w:p w:rsidR="00085215" w:rsidP="003C0EF5">
      <w:pPr>
        <w:widowControl w:val="0"/>
        <w:spacing w:line="420" w:lineRule="exact"/>
        <w:ind w:left="0" w:right="0" w:firstLine="567"/>
        <w:jc w:val="center"/>
        <w:rPr>
          <w:rFonts w:cs="B Zar" w:hint="cs"/>
          <w:b/>
          <w:bCs/>
          <w:sz w:val="28"/>
          <w:szCs w:val="28"/>
          <w:rtl/>
        </w:rPr>
      </w:pPr>
    </w:p>
    <w:p w:rsidR="0011420A" w:rsidRPr="00175A44" w:rsidP="003C0EF5">
      <w:pPr>
        <w:widowControl w:val="0"/>
        <w:spacing w:line="420" w:lineRule="exact"/>
        <w:ind w:left="0" w:right="0" w:firstLine="567"/>
        <w:jc w:val="center"/>
        <w:rPr>
          <w:rFonts w:cs="B Zar" w:hint="cs"/>
          <w:b/>
          <w:bCs/>
          <w:sz w:val="28"/>
          <w:szCs w:val="28"/>
          <w:rtl/>
        </w:rPr>
      </w:pPr>
      <w:r w:rsidRPr="00175A44">
        <w:rPr>
          <w:rFonts w:cs="B Zar" w:hint="cs"/>
          <w:b/>
          <w:bCs/>
          <w:sz w:val="28"/>
          <w:szCs w:val="28"/>
          <w:rtl/>
        </w:rPr>
        <w:t>انيميسم يا ارواح پرستي</w:t>
      </w:r>
    </w:p>
    <w:p w:rsidR="0011420A" w:rsidRPr="00175A44" w:rsidP="003C0EF5">
      <w:pPr>
        <w:widowControl w:val="0"/>
        <w:spacing w:line="420" w:lineRule="exact"/>
        <w:ind w:left="0" w:right="0" w:firstLine="567"/>
        <w:jc w:val="both"/>
        <w:rPr>
          <w:rFonts w:cs="B Zar" w:hint="cs"/>
          <w:b/>
          <w:bCs/>
          <w:sz w:val="28"/>
          <w:szCs w:val="28"/>
          <w:rtl/>
        </w:rPr>
      </w:pPr>
    </w:p>
    <w:p w:rsidR="0011420A" w:rsidRPr="00175A44" w:rsidP="003C0EF5">
      <w:pPr>
        <w:widowControl w:val="0"/>
        <w:spacing w:line="420" w:lineRule="exact"/>
        <w:ind w:left="0" w:right="0"/>
        <w:jc w:val="both"/>
        <w:rPr>
          <w:rFonts w:cs="B Zar" w:hint="cs"/>
          <w:rtl/>
        </w:rPr>
      </w:pPr>
      <w:r w:rsidRPr="00175A44">
        <w:rPr>
          <w:rFonts w:cs="B Zar" w:hint="cs"/>
          <w:rtl/>
        </w:rPr>
        <w:t xml:space="preserve">در صفحات پيش خاطرنشان ساختيم كه در دوره پيش از ايجاد تمدن بشري، انسان‌هاي ابتدائي در مهد طبيعت زندگي مي‌كرده‌اند. احساس شاعرانه اين مردم بسيار نيرومند بود. اين تخيل </w:t>
      </w:r>
      <w:r w:rsidRPr="00175A44">
        <w:rPr>
          <w:rFonts w:cs="B Zar"/>
        </w:rPr>
        <w:t>(Imagination)</w:t>
      </w:r>
      <w:r w:rsidRPr="00175A44">
        <w:rPr>
          <w:rFonts w:cs="B Zar" w:hint="cs"/>
          <w:rtl/>
        </w:rPr>
        <w:t xml:space="preserve"> شاعرانه موجب آن مي شد كه پديده‌هاي طبيعت را داراي جان بدانند. تخيل شاعرانه، پديده‌هاي طبيعت را همواره به صورت موجوداتي كه داراي كنش و واكنش‌اند تصور مي‌كند. شاعران جهان اعم از هومر، ويرژيل، دانته، شكسپير، وردزورث ، گوته، سعدي، رومي و حافظ تا اليوت، اقبال و نيما، همواره طبيعت را به گونه‌اي مورد تخاطب قرار داده‌اند كه گوئي داراي روح و شعور است. </w:t>
      </w:r>
    </w:p>
    <w:p w:rsidR="0011420A" w:rsidRPr="00175A44" w:rsidP="003C0EF5">
      <w:pPr>
        <w:widowControl w:val="0"/>
        <w:spacing w:line="420" w:lineRule="exact"/>
        <w:ind w:left="0" w:right="0"/>
        <w:jc w:val="both"/>
        <w:rPr>
          <w:rFonts w:cs="B Zar" w:hint="cs"/>
          <w:rtl/>
        </w:rPr>
      </w:pPr>
      <w:r w:rsidRPr="00175A44">
        <w:rPr>
          <w:rFonts w:cs="B Zar" w:hint="cs"/>
          <w:rtl/>
        </w:rPr>
        <w:t>گفتيم دوره نخستين انديشه بشر، مرحله شعر و تجليل از پديده هاي طبيعت بود. ممكن است همين زنده انگاشتن پديده ها به تدريج انسان بدوي را بدين تصور انداخته باشد كه ساير پديده هاي طبيعت هم داراي روح و جان هستند.</w:t>
      </w:r>
    </w:p>
    <w:p w:rsidR="0011420A" w:rsidRPr="00175A44" w:rsidP="003C0EF5">
      <w:pPr>
        <w:widowControl w:val="0"/>
        <w:spacing w:line="420" w:lineRule="exact"/>
        <w:ind w:left="0" w:right="0"/>
        <w:jc w:val="both"/>
        <w:rPr>
          <w:rFonts w:cs="B Zar" w:hint="cs"/>
          <w:rtl/>
        </w:rPr>
      </w:pPr>
      <w:r w:rsidRPr="00175A44">
        <w:rPr>
          <w:rFonts w:cs="B Zar" w:hint="cs"/>
          <w:rtl/>
        </w:rPr>
        <w:t>ريشي‌ها يا شاعران اوليه آريايي و نيز ساير اقوام، داراي قريحه نيرومند شعري بودند. آنان طبيعت را به طور زنده ترسيم كرده‌اند. در مرحله دوم وقتي انسان از مرحله «شيرخوارگي» به مرحله كودكي رسيد، قوه متخليه او به راه افتاد.</w:t>
      </w:r>
    </w:p>
    <w:p w:rsidR="0011420A" w:rsidRPr="00175A44" w:rsidP="003C0EF5">
      <w:pPr>
        <w:widowControl w:val="0"/>
        <w:spacing w:line="420" w:lineRule="exact"/>
        <w:ind w:left="0" w:right="0"/>
        <w:jc w:val="both"/>
        <w:rPr>
          <w:rFonts w:cs="B Zar" w:hint="cs"/>
          <w:rtl/>
        </w:rPr>
      </w:pPr>
      <w:r w:rsidRPr="00175A44">
        <w:rPr>
          <w:rFonts w:cs="B Zar" w:hint="cs"/>
          <w:rtl/>
        </w:rPr>
        <w:t xml:space="preserve">شيرخوار تنها مشاهده دارد، ولي در مرحله طفوليت مشاهده، سكوي پرش قوه مخيله است. انسان بدوي پس از رسيدن به مرحله طفوليت تمدن، ديگر به مشاهده و تجليل و تمجيد پديده هاي طبيعت قانع نبود، بلكه نخست به مرحله با روح پنداشتن خود اين پديده‌ها رسيد. اين مرحله را «اني ماتيسم» </w:t>
      </w:r>
      <w:r w:rsidRPr="00175A44">
        <w:rPr>
          <w:rFonts w:cs="B Zar"/>
        </w:rPr>
        <w:t>(Animatism)</w:t>
      </w:r>
      <w:r w:rsidRPr="00175A44">
        <w:rPr>
          <w:rFonts w:cs="B Zar" w:hint="cs"/>
          <w:rtl/>
        </w:rPr>
        <w:t xml:space="preserve"> مي‌نامند. سپس به مرحله‌اي رسيد، كه گمان كند اين پديده‌ها خود داراي حركت، زندگي پويائي، درخشش و قدرت نيستند، بلكه هر يك داراي «روح» و جان، مانند يك موجود جاندار (نظير پرنده، حيوان يا انسان) است و اين روح و جان، پديده‌هاي طبيعت را به حركت در مي‌آورد و آنان را از درخشش و زندگي برخوردار مي‌سازد. اين ديگر وارون «آسمان» نيست، بلكه روح آسمان است. «سوريه»</w:t>
      </w:r>
      <w:r w:rsidRPr="00175A44">
        <w:rPr>
          <w:rFonts w:cs="B Zar"/>
        </w:rPr>
        <w:t>(</w:t>
      </w:r>
      <w:r w:rsidRPr="00175A44">
        <w:rPr>
          <w:rFonts w:cs="B Zar"/>
        </w:rPr>
        <w:t>Surya)</w:t>
      </w:r>
      <w:r w:rsidRPr="00175A44">
        <w:rPr>
          <w:rFonts w:cs="B Zar" w:hint="cs"/>
          <w:rtl/>
        </w:rPr>
        <w:t xml:space="preserve"> خورشيد نيست، روح خورشيد است. «ايندرا»، رعد و برق و توفان نيست، روح رعد و برق است كه آنان را ايجاد مي كند. اگني، آتش يا كوه آتش فشان نيست، روح مجردي است كه ايجاد كننده آن است. اين مرحله انديشه ديني را برخي مردم‌شناسان و جامعه شناسان «انيميسم» </w:t>
      </w:r>
      <w:r w:rsidRPr="00175A44">
        <w:rPr>
          <w:rFonts w:cs="B Zar"/>
        </w:rPr>
        <w:t>(Animis</w:t>
      </w:r>
      <w:r w:rsidRPr="00175A44">
        <w:rPr>
          <w:rFonts w:cs="B Zar"/>
        </w:rPr>
        <w:t>m)</w:t>
      </w:r>
      <w:r w:rsidRPr="00175A44">
        <w:rPr>
          <w:rFonts w:cs="B Zar" w:hint="cs"/>
          <w:rtl/>
        </w:rPr>
        <w:t xml:space="preserve"> ناميده اند. كلمه «انيميسم» از كلمه لاتيني «انيما» </w:t>
      </w:r>
      <w:r w:rsidRPr="00175A44">
        <w:rPr>
          <w:rFonts w:cs="B Zar"/>
        </w:rPr>
        <w:t>(Anima)</w:t>
      </w:r>
      <w:r w:rsidRPr="00175A44">
        <w:rPr>
          <w:rFonts w:cs="B Zar" w:hint="cs"/>
          <w:rtl/>
        </w:rPr>
        <w:t xml:space="preserve"> به معني «جان دار» مي باشد. اين اصطلاح را نخستين‌بار ادوارد</w:t>
      </w:r>
      <w:r w:rsidRPr="00175A44">
        <w:rPr>
          <w:rFonts w:cs="B Zar" w:hint="cs"/>
          <w:iCs/>
          <w:rtl/>
        </w:rPr>
        <w:t xml:space="preserve"> تيلور</w:t>
      </w:r>
      <w:r w:rsidRPr="00175A44">
        <w:rPr>
          <w:rFonts w:cs="B Zar" w:hint="cs"/>
          <w:rtl/>
        </w:rPr>
        <w:t xml:space="preserve"> براي تبيين عقايد برخي از قبائل ابتدائي به كار برد؛ سپس در ميان مردم شناسان و جامعه شناسان دين رايج گرديد.</w:t>
      </w:r>
      <w:r>
        <w:rPr>
          <w:rStyle w:val="FootnoteReference"/>
          <w:rFonts w:cs="B Zar"/>
          <w:rtl/>
        </w:rPr>
        <w:footnoteReference w:id="281"/>
      </w:r>
    </w:p>
    <w:p w:rsidR="0011420A" w:rsidRPr="00175A44" w:rsidP="003C0EF5">
      <w:pPr>
        <w:widowControl w:val="0"/>
        <w:spacing w:line="420" w:lineRule="exact"/>
        <w:ind w:left="0" w:right="0"/>
        <w:jc w:val="both"/>
        <w:rPr>
          <w:rFonts w:cs="B Zar" w:hint="cs"/>
          <w:rtl/>
        </w:rPr>
      </w:pPr>
      <w:r w:rsidRPr="00175A44">
        <w:rPr>
          <w:rFonts w:cs="B Zar" w:hint="cs"/>
          <w:rtl/>
        </w:rPr>
        <w:t xml:space="preserve">برخي از جامعه شناسان معتقدند كه انسان ابتدائي پس از پي بردن به واقعيت وجود روح، در نتيجه رشد نسبي استدلال عقلاني، نخستين بار روش قياس به نفس را پيش گرفت و چنان گمان كرد همچنان كه انسان داراي روح و نفس است، ساير پديده‌هاي طبيعت نيز داراي نفس و «روح» مي باشند. تيلور و اسپنسر </w:t>
      </w:r>
      <w:r w:rsidRPr="00175A44">
        <w:rPr>
          <w:rFonts w:cs="B Zar"/>
        </w:rPr>
        <w:t>(Spen</w:t>
      </w:r>
      <w:r w:rsidRPr="00175A44">
        <w:rPr>
          <w:rFonts w:cs="B Zar"/>
        </w:rPr>
        <w:t>cer)</w:t>
      </w:r>
      <w:r w:rsidRPr="00175A44">
        <w:rPr>
          <w:rFonts w:cs="B Zar" w:hint="cs"/>
          <w:rtl/>
        </w:rPr>
        <w:t xml:space="preserve"> هر دو معتقد بودند كه انسان ابتدايي از طريق تفسير ساده لوحانه احلام و رويا، به انيميسم يا «جان گرائي» سوق داده شد. احلام و رويا، بشر اوليه را متقاعد ساخت كه او همزادي به نام «روح» دارد كه در شب وقتي جسد او آرميده است، از او جدا شده و به گردش مي پردازد و علت آنكه در حالت خواب، انسان ساير خصوصيات خود، از جمله حركت، بصيرت، حواس و غيره را از دست مي دهد، همين است كه نيروي حركت دهنده او كه روح است، از او جدا مي شود. با چنين تفسيري از احلام و رويا به اين نظر رسيد كه «روح» در عين حال كه نيروي حركت دهنده جسد است، از جسد آدمي مجرد، و واقعيت مستقلي است كه تابع قوانين مستقل خود مي باشد. تحليل پديده مرگ عزيزان اين نتيجه گيري آدمي را تقويت كرد. او چنين گمان كرد كه وقتي همزاد «روح» در شب ها به طور موقت خارج شود، حالت خواب ايجاد مي شود، و وقتي به طور دائم از جسد خارج شود، مرگ اتفاق مي افتد</w:t>
      </w:r>
      <w:r>
        <w:rPr>
          <w:rStyle w:val="FootnoteReference"/>
          <w:rFonts w:cs="B Zar"/>
          <w:rtl/>
        </w:rPr>
        <w:footnoteReference w:id="282"/>
      </w:r>
      <w:r w:rsidRPr="00175A44">
        <w:rPr>
          <w:rFonts w:cs="B Zar" w:hint="cs"/>
          <w:rtl/>
        </w:rPr>
        <w:t>.</w:t>
      </w:r>
    </w:p>
    <w:p w:rsidR="0011420A" w:rsidRPr="00175A44" w:rsidP="003C0EF5">
      <w:pPr>
        <w:widowControl w:val="0"/>
        <w:spacing w:line="420" w:lineRule="exact"/>
        <w:ind w:left="0" w:right="0"/>
        <w:jc w:val="both"/>
        <w:rPr>
          <w:rFonts w:cs="B Zar" w:hint="cs"/>
          <w:i/>
          <w:iCs/>
          <w:rtl/>
          <w:lang w:bidi="fa-IR"/>
        </w:rPr>
      </w:pPr>
      <w:r w:rsidRPr="00175A44">
        <w:rPr>
          <w:rFonts w:cs="B Zar" w:hint="cs"/>
          <w:rtl/>
        </w:rPr>
        <w:t>وقتي انسان به واقعيت «روح» در خود پي برد، به قياس به نفس پرداخت و چنان فكر كرد كه پديده هاي طبيعت نيز داراي همزادي به نام «روح»اند. انسان گمان كرد همچنانكه اين «همزاد روح» او را به حركت در مي آورد، حركت خورشيد و ماه، و ستارگان و نيز باد و توفان و موجها نيز ناشي از عملكرد جانداري به نام روح است كه در وراي هر يك از آنان قرار دارد. درخشش، حركت، حرارت و قدرتمندي پديده هاي طبيعت همه از كرشمه‌هاي ارواح نامرئي آنان‌اند. همچنانكه قوام انسان وابسته به روح است، قوام همه اشياء بسته به جان و همزاد آنها است. همچنانكه وقتي روح از انسان جدا شود او مي‌ميرد، خشك شدن درختان، و گياهان و يا مردن جانوران و پرندگان نيز ناشي از جداشدن همزاد يا «جان» آنان است و همچنانكه پس از مرگ همزادان ارواح به صورت مستقل به زندگي خود ادامه مي دهند و تاثير خوب و بد بر سرنوشت زندگان دارند، ارواح درخت، گربه ،بوم و غيره و نيز ارواح دريا و جنگل، گاه سرگردان‌اند و كساني كه در حوزه آنان قرار گيرند، ممكن است آسيب ببينند. اين روند قياس به نفس به حدي رسيده بود كه رچارد بلوم، يكي از معروف‌ترين  جامعه‌شناسان معاصر دين، خاطر نشان ساخته است: «</w:t>
      </w:r>
      <w:r w:rsidRPr="00175A44">
        <w:rPr>
          <w:rFonts w:cs="B Zar" w:hint="cs"/>
          <w:i/>
          <w:iCs/>
          <w:rtl/>
        </w:rPr>
        <w:t>مردم ابتدائي معتقد شدند كه در ميان جهان ارواح نيز نوعي نظم و سازماندهي، نظير جامعه انساني وجود دارد و آنها نيز داراي رئيس و سلطان مي باشند».</w:t>
      </w:r>
      <w:r>
        <w:rPr>
          <w:rStyle w:val="FootnoteReference"/>
          <w:rFonts w:cs="B Zar"/>
          <w:i/>
          <w:iCs/>
          <w:rtl/>
        </w:rPr>
        <w:footnoteReference w:id="283"/>
      </w:r>
    </w:p>
    <w:p w:rsidR="0011420A" w:rsidRPr="00175A44" w:rsidP="003C0EF5">
      <w:pPr>
        <w:widowControl w:val="0"/>
        <w:spacing w:line="420" w:lineRule="exact"/>
        <w:ind w:left="0" w:right="0"/>
        <w:jc w:val="both"/>
        <w:rPr>
          <w:rFonts w:cs="B Zar" w:hint="cs"/>
          <w:rtl/>
        </w:rPr>
      </w:pPr>
      <w:r w:rsidRPr="00175A44">
        <w:rPr>
          <w:rFonts w:cs="B Zar" w:hint="cs"/>
          <w:rtl/>
        </w:rPr>
        <w:t xml:space="preserve">مردم ابتدائي براي ارواح ويژگي هاي اخلاقي و رواني انسان‌هاي زنده را نيز قائل بودند. برخي از اين ارواح از نظر شكل صورت و قيافه زشت اند و برخي خوبرو و خوش صورت به عنوان مثال يوناني‌ها نمف </w:t>
      </w:r>
      <w:r w:rsidRPr="00175A44">
        <w:rPr>
          <w:rFonts w:cs="B Zar"/>
        </w:rPr>
        <w:t>(Nymph)</w:t>
      </w:r>
      <w:r w:rsidRPr="00175A44">
        <w:rPr>
          <w:rFonts w:cs="B Zar" w:hint="cs"/>
          <w:rtl/>
        </w:rPr>
        <w:t xml:space="preserve">، ارواح دريا را بسيار زيبا و ظريف مي‌دانسته‌اند. برخي از اينان مهربان و ايثارگراند و برخي بسيار خطرناك و زيان‌آور. ارواح مردگاني كه در زندگي اعمال خوبي نداشته اند به صورت اشباح </w:t>
      </w:r>
      <w:r w:rsidRPr="00175A44">
        <w:rPr>
          <w:rFonts w:cs="B Zar"/>
        </w:rPr>
        <w:t>(Ghost)</w:t>
      </w:r>
      <w:r w:rsidRPr="00175A44">
        <w:rPr>
          <w:rFonts w:cs="B Zar" w:hint="cs"/>
          <w:rtl/>
        </w:rPr>
        <w:t xml:space="preserve"> در مي‌آيند و در ساعات نيمه شب و نيمه روز به خصوص كساني را كه در مسير آنان قرار گيرند، به شدت گزند مي‌رسانند. گاه بر آن افراد مسلط مي‌شوند و در آنان حلول مي كنند. اينگونه افراد آسيب ديده را «مجنون» (جن زده) مي‌گفته‌اند. البته بعداً اين كلمه به معناي ديوانه درآمد. از همين رو در اكثر جوامع به كودكان توصيه مي‌شود كه در نيمه روز زير درختان نروند، در شب، بوته‌ها را نكَنَند، يا به ساير مردم توصيه مي شود از قبرستان‌ها يا گذرگاههاي ويران در نيمه شب يا نيمه روز گذر نكنند. اينها را مي توانيم از بقاياي دوره انيميسم تلقي كنيم.</w:t>
      </w:r>
    </w:p>
    <w:p w:rsidR="0011420A" w:rsidP="003C0EF5">
      <w:pPr>
        <w:widowControl w:val="0"/>
        <w:spacing w:line="420" w:lineRule="exact"/>
        <w:ind w:left="0" w:right="0"/>
        <w:jc w:val="both"/>
        <w:rPr>
          <w:rFonts w:cs="B Zar" w:hint="cs"/>
          <w:rtl/>
        </w:rPr>
      </w:pPr>
      <w:r w:rsidRPr="00175A44">
        <w:rPr>
          <w:rFonts w:cs="B Zar" w:hint="cs"/>
          <w:rtl/>
        </w:rPr>
        <w:t>اعتقاد به ارواح بد، در برخي جوامع منجر به شامانيسم يا شيطان پرستي گرديد. شياطين كنايه‌اي از ارواح بد بوده و تصوري از ابليس و شياطين و اجنّه كه در كتب سماوي از آنها سخن گفته شد، در دوره جاهليت بدين ترتيب نبوده است. البته اگر اين اصل را بپذيريم كه انبيايي كه در ساير جوامع معبوث شدند، تعاليم مشابهي داشته اند، و سپس اين جوامع با فراموش كردن تعاليم انبيا در ورطه طبيعت‌پرستي، انيميسم و شرك افتاده‌اند، در آن صورت مي توانيم بگوئيم كه «شياطين» و پيروان ابليس كه انبياء از آن سخن رانده‌اند، در مرحله تحريف به صورت «ارواح بد» درآمده‌اند و مردم براي آنكه از گزند آنها در امان باشند، گاه حتي به پرستش آنان پرداخته‌اند كه در تاريخ اديان، از آن به عنوان «شامانيسم» ياد مي‌شود.</w:t>
      </w:r>
    </w:p>
    <w:p w:rsidR="001E2FAF"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نياكان پرستي، توتميسم</w:t>
      </w:r>
      <w:r w:rsidRPr="00175A44">
        <w:rPr>
          <w:rFonts w:cs="B Zar"/>
          <w:b/>
          <w:bCs/>
        </w:rPr>
        <w:t>(Totemism)</w:t>
      </w:r>
      <w:r w:rsidRPr="00175A44">
        <w:rPr>
          <w:rFonts w:cs="B Zar" w:hint="cs"/>
          <w:b/>
          <w:bCs/>
          <w:rtl/>
        </w:rPr>
        <w:t xml:space="preserve"> و تابو</w:t>
      </w:r>
      <w:r w:rsidRPr="00175A44">
        <w:rPr>
          <w:rFonts w:cs="B Zar"/>
          <w:b/>
          <w:bCs/>
        </w:rPr>
        <w:t>(Taboo)</w:t>
      </w:r>
      <w:r w:rsidRPr="00175A44">
        <w:rPr>
          <w:rFonts w:cs="B Zar" w:hint="cs"/>
          <w:b/>
          <w:bCs/>
          <w:rtl/>
        </w:rPr>
        <w:t>:</w:t>
      </w:r>
    </w:p>
    <w:p w:rsidR="0011420A" w:rsidRPr="00175A44" w:rsidP="003C0EF5">
      <w:pPr>
        <w:widowControl w:val="0"/>
        <w:spacing w:line="420" w:lineRule="exact"/>
        <w:ind w:left="0" w:right="0"/>
        <w:jc w:val="both"/>
        <w:rPr>
          <w:rFonts w:cs="B Zar" w:hint="cs"/>
          <w:rtl/>
        </w:rPr>
      </w:pPr>
      <w:r w:rsidRPr="00175A44">
        <w:rPr>
          <w:rFonts w:cs="B Zar" w:hint="cs"/>
          <w:rtl/>
        </w:rPr>
        <w:t>اعتقاد به ارواح و اينكه روح انسان‌ها كه به صورت همزاد در جسد قرار دارد، هنگام مرگ از آن جدا مي‌شود و كماكان به موجوديت خود ادامه مي دهد از يكسو، و دلهره از آسيب ارواح بد از سوي ديگر منجر شد انسان بدين باور سوق داده شود كه ارواح نياكان قبيله يا طايفه از اعقاب و بستگان خود در مقابل تاثير سوء ارواح بد نگهداري مي كنند. از اينجا بود كه نياكان‌پرستي در برخي جوامع رواج پيدا كرد. البته نياكان پرستي و به طور كلي اعتقاد به ارواح و اشباح، نمايانگر اين نكته نيز هست كه بشر از ابتدائي‌ترين مرحله زندگي خود بر كره زمين، اين حقيقت را درك كرده است كه انسان با مرگ فنا نمي‌شود، بلكه زندگي او پس از مرگ نيز ادامه دارد؛ ولي عليرغم درك وجود يك نيروي برتر در كائنات، بشر اوليه در به دست‌آوردن مصاديق و ماهيت واقعي آن به شدت سرگردان شد. گاه در ورطه طبيعت پرستي افتاد، گاه گرفتار انيميسم شد و گاه مبتلا به شرك گرديد، و پس از لغزشهاي بسيار گوهر توحيد و وحدت موجود را دريافت، همچنان، در درك ماهيت واقعي زندگي پس از مرگ ، اشتباهاتي كرد. در مرحله اوّل طبيعت‌پرستي گمان كرد مردگان او، زير زمين و يا در آتش (آگني) و يا با خورشيد زندگي مي كنند، و سپس در مرحله انيميسم معتقد شد پس از مرگ، روح انسان كه به صورت همزاد در جسد قرار دارد، از آن جدا شده و يا در تحت‌الثري، در قلمرو مردگان زندگي مي كند و يا در جهان سرگردان است.</w:t>
      </w:r>
    </w:p>
    <w:p w:rsidR="0011420A" w:rsidRPr="00175A44" w:rsidP="003C0EF5">
      <w:pPr>
        <w:widowControl w:val="0"/>
        <w:spacing w:line="420" w:lineRule="exact"/>
        <w:ind w:left="0" w:right="0"/>
        <w:jc w:val="both"/>
        <w:rPr>
          <w:rFonts w:cs="B Zar" w:hint="cs"/>
          <w:rtl/>
        </w:rPr>
      </w:pPr>
      <w:r w:rsidRPr="00175A44">
        <w:rPr>
          <w:rFonts w:cs="B Zar" w:hint="cs"/>
          <w:rtl/>
        </w:rPr>
        <w:t>مردم ابتدائي «روح» را گاه به صورت پرنده تصور مي كرده اند. شواهد زيادي در دست است كه نشان مي دهد در تمدن هاي پارينه ارواح به صورت پرنده و يا حتي حيواني نظير «شير» يا «گربه» يا «خرگوش» ترسيم مي شده اند. به نظر مي رسد به تدريج هريك از قبيله ها و طايفه ها، روح نياي بزرگ خويش را به صورت پرنده اي يا حيوان ديگري ترسيم كرده و آنرا به عنوان حافظ و نگهدارنده قبيله‌ و طائفه خود مورد پرستش قرار داده‌اند. بدينسان از انيميسم</w:t>
      </w:r>
      <w:r w:rsidRPr="00175A44">
        <w:rPr>
          <w:rFonts w:cs="B Zar"/>
        </w:rPr>
        <w:t>(Animism)</w:t>
      </w:r>
      <w:r w:rsidRPr="00175A44">
        <w:rPr>
          <w:rFonts w:cs="B Zar" w:hint="cs"/>
          <w:rtl/>
        </w:rPr>
        <w:t xml:space="preserve"> و نياكان‌پرستي، «توتميسم»</w:t>
      </w:r>
      <w:r w:rsidRPr="00175A44">
        <w:rPr>
          <w:rFonts w:cs="B Zar"/>
        </w:rPr>
        <w:t>(Totemism)</w:t>
      </w:r>
      <w:r w:rsidRPr="00175A44">
        <w:rPr>
          <w:rFonts w:cs="B Zar" w:hint="cs"/>
          <w:rtl/>
        </w:rPr>
        <w:t xml:space="preserve"> بوجود آمد.</w:t>
      </w:r>
      <w:r>
        <w:rPr>
          <w:rStyle w:val="FootnoteReference"/>
          <w:rFonts w:cs="B Zar"/>
          <w:rtl/>
        </w:rPr>
        <w:footnoteReference w:id="284"/>
      </w:r>
      <w:r w:rsidRPr="00175A44">
        <w:rPr>
          <w:rFonts w:cs="B Zar" w:hint="cs"/>
          <w:rtl/>
        </w:rPr>
        <w:t xml:space="preserve"> «توتم»</w:t>
      </w:r>
      <w:r w:rsidRPr="00175A44">
        <w:rPr>
          <w:rFonts w:cs="B Zar"/>
        </w:rPr>
        <w:t>(Totem)</w:t>
      </w:r>
      <w:r w:rsidRPr="00175A44">
        <w:rPr>
          <w:rFonts w:cs="B Zar" w:hint="cs"/>
          <w:rtl/>
        </w:rPr>
        <w:t xml:space="preserve"> عبارت است از موجود خاصي نظير شير يا عقاب؛ كبوتر يا خرگوش يا حيوان يا شي‌ء ديگري كه يك قبيله يا كلان، آن را علامت خود مي‌ساخت و به مقدس پنداشتن و پرستش آن مي‌پرداخت. در مرحله بعدي شرك، اين توتم ها، جاي خود را به معبودان ويژه قبائل و خانواده داد. جامعه شناس بزرگ، ماكس‌وبر، مي گويد: </w:t>
      </w:r>
      <w:r w:rsidRPr="00175A44">
        <w:rPr>
          <w:rFonts w:cs="B Zar" w:hint="cs"/>
          <w:i/>
          <w:iCs/>
          <w:rtl/>
        </w:rPr>
        <w:t>«توتم رابطه مشخصي ميان يك علامت (شي، پديده يا حيوان) با گروه خاص اجتماعي است. به تدريج اين حيوان به صورت مظهر و علامت آن گروه در مي‌آيد.»</w:t>
      </w:r>
      <w:r>
        <w:rPr>
          <w:rStyle w:val="FootnoteReference"/>
          <w:rFonts w:cs="B Zar"/>
          <w:i/>
          <w:iCs/>
          <w:rtl/>
        </w:rPr>
        <w:footnoteReference w:id="285"/>
      </w:r>
    </w:p>
    <w:p w:rsidR="0011420A" w:rsidRPr="00175A44" w:rsidP="003C0EF5">
      <w:pPr>
        <w:widowControl w:val="0"/>
        <w:spacing w:line="420" w:lineRule="exact"/>
        <w:ind w:left="0" w:right="0"/>
        <w:jc w:val="both"/>
        <w:rPr>
          <w:rFonts w:cs="B Zar" w:hint="cs"/>
          <w:rtl/>
        </w:rPr>
      </w:pPr>
      <w:r w:rsidRPr="00175A44">
        <w:rPr>
          <w:rFonts w:cs="B Zar" w:hint="cs"/>
          <w:rtl/>
        </w:rPr>
        <w:t>چنانكه وبر</w:t>
      </w:r>
      <w:r w:rsidRPr="00175A44">
        <w:rPr>
          <w:rFonts w:cs="B Zar"/>
        </w:rPr>
        <w:t>(Weber)</w:t>
      </w:r>
      <w:r w:rsidRPr="00175A44">
        <w:rPr>
          <w:rFonts w:cs="B Zar" w:hint="cs"/>
          <w:rtl/>
        </w:rPr>
        <w:t xml:space="preserve"> اشاره كرده است، در جوامع ابتدائي، «توتم» كاركردهاي مهم اجتماعي را به عهده دارد</w:t>
      </w:r>
      <w:r>
        <w:rPr>
          <w:rStyle w:val="FootnoteReference"/>
          <w:rFonts w:cs="B Zar"/>
          <w:rtl/>
        </w:rPr>
        <w:footnoteReference w:id="286"/>
      </w:r>
      <w:r w:rsidRPr="00175A44">
        <w:rPr>
          <w:rFonts w:cs="B Zar" w:hint="cs"/>
          <w:rtl/>
        </w:rPr>
        <w:t>. اميل دوركهيم</w:t>
      </w:r>
      <w:r w:rsidRPr="00175A44">
        <w:rPr>
          <w:rFonts w:cs="B Zar"/>
        </w:rPr>
        <w:t>(Durkheim)</w:t>
      </w:r>
      <w:r w:rsidRPr="00175A44">
        <w:rPr>
          <w:rFonts w:cs="B Zar" w:hint="cs"/>
          <w:rtl/>
        </w:rPr>
        <w:t xml:space="preserve"> و تالكوت پارسنز</w:t>
      </w:r>
      <w:r w:rsidRPr="00175A44">
        <w:rPr>
          <w:rFonts w:cs="B Zar"/>
        </w:rPr>
        <w:t>(Talcot Parsons)</w:t>
      </w:r>
      <w:r w:rsidRPr="00175A44">
        <w:rPr>
          <w:rFonts w:cs="B Zar" w:hint="cs"/>
          <w:rtl/>
        </w:rPr>
        <w:t xml:space="preserve"> و غيره، نقش‌هاي اجتماعي توتم را بيشتر مورد كند و كاو و موشكافي قرار داده اند</w:t>
      </w:r>
      <w:r>
        <w:rPr>
          <w:rStyle w:val="FootnoteReference"/>
          <w:rFonts w:cs="B Zar"/>
          <w:rtl/>
        </w:rPr>
        <w:footnoteReference w:id="287"/>
      </w:r>
      <w:r w:rsidRPr="00175A44">
        <w:rPr>
          <w:rFonts w:cs="B Zar" w:hint="cs"/>
          <w:rtl/>
        </w:rPr>
        <w:t xml:space="preserve">. توتم به صورت علامت خانواده كلان و قبيله در مي آيد و آنرا در مقابل واحدهاي مشابه ديگر داراي هويت مستقل مي سازد. نه تنها افراد كلان، خود را به آن توتم منسوب كرده، بلكه خويش را از اعقاب آن مي شمرده اند. مك لنان </w:t>
      </w:r>
      <w:r w:rsidRPr="00175A44">
        <w:rPr>
          <w:rFonts w:cs="B Zar"/>
        </w:rPr>
        <w:t>(John Maclennan)</w:t>
      </w:r>
      <w:r w:rsidRPr="00175A44">
        <w:rPr>
          <w:rFonts w:cs="B Zar" w:hint="cs"/>
          <w:rtl/>
        </w:rPr>
        <w:t xml:space="preserve"> يكي از مردم شناسان اسكاتلندي (1827</w:t>
      </w:r>
      <w:r w:rsidRPr="00175A44">
        <w:rPr>
          <w:rFonts w:cs="B Zar" w:hint="cs"/>
          <w:rtl/>
        </w:rPr>
        <w:t xml:space="preserve"> </w:t>
      </w:r>
      <w:r w:rsidRPr="00175A44">
        <w:rPr>
          <w:rFonts w:cs="Yagut"/>
          <w:rtl/>
        </w:rPr>
        <w:t>–</w:t>
      </w:r>
      <w:r w:rsidRPr="00175A44">
        <w:rPr>
          <w:rFonts w:cs="B Zar" w:hint="cs"/>
          <w:rtl/>
        </w:rPr>
        <w:t xml:space="preserve"> 1881) نخستين بار اصطلاح توتم را به كار برد. سپس فرويد آنرا از ديدگاه روانكاري و دوركهيم و وبر از ديدگاه جامعه شناسي، و فريزر و تيلور از ديد مردم شناسي مورد بررسي قرار دادند. فرانتس بواس </w:t>
      </w:r>
      <w:r w:rsidRPr="00175A44">
        <w:rPr>
          <w:rFonts w:cs="B Zar"/>
        </w:rPr>
        <w:t>(Franz Boas)</w:t>
      </w:r>
      <w:r w:rsidRPr="00175A44">
        <w:rPr>
          <w:rFonts w:cs="B Zar" w:hint="cs"/>
          <w:rtl/>
        </w:rPr>
        <w:t>‌، مردم شناس آمريكایي در طي مطالعه قبايل توتميستي آمريكا، بدين نتيجه رسيد كه توتم در واقع علامتي از روح يكي از نياكان طايفه است.</w:t>
      </w:r>
    </w:p>
    <w:p w:rsidR="0011420A" w:rsidP="003C0EF5">
      <w:pPr>
        <w:widowControl w:val="0"/>
        <w:spacing w:line="420" w:lineRule="exact"/>
        <w:ind w:left="0" w:right="0"/>
        <w:jc w:val="both"/>
        <w:rPr>
          <w:rFonts w:cs="B Zar" w:hint="cs"/>
          <w:rtl/>
        </w:rPr>
      </w:pPr>
      <w:r w:rsidRPr="00175A44">
        <w:rPr>
          <w:rFonts w:cs="B Zar" w:hint="cs"/>
          <w:iCs/>
          <w:rtl/>
        </w:rPr>
        <w:t xml:space="preserve">فريزر </w:t>
      </w:r>
      <w:r w:rsidRPr="00175A44">
        <w:rPr>
          <w:rFonts w:cs="B Zar" w:hint="cs"/>
          <w:rtl/>
        </w:rPr>
        <w:t xml:space="preserve">در ضمن بررسي و تحقيقات گسترده خود عنصر ديگري از دين مردم ابتدائي را كشف كرد و آن تصور و مفهوم تابو </w:t>
      </w:r>
      <w:r w:rsidRPr="00175A44">
        <w:rPr>
          <w:rFonts w:cs="B Zar"/>
        </w:rPr>
        <w:t>(Taboo)</w:t>
      </w:r>
      <w:r w:rsidRPr="00175A44">
        <w:rPr>
          <w:rFonts w:cs="B Zar" w:hint="cs"/>
          <w:rtl/>
        </w:rPr>
        <w:t xml:space="preserve"> است. تابوها را ما مي‌توانيم «محرّمات» ترجمه كنيم. قبائل ابتدائي برخي اشيا و موجودات را مقدس و محترم مي پنداشته و معتقد بودند كه نبايد به آنها دست زد، به خصوص نبايد ذبح كرد و يا به عنوان غذا مصرف كرد. آنان كشتن يا خوردن حيوان توتم را حرام (تابو) مي‌شمرده‌اند.</w:t>
      </w:r>
      <w:r>
        <w:rPr>
          <w:rStyle w:val="FootnoteReference"/>
          <w:rFonts w:cs="B Zar"/>
          <w:rtl/>
        </w:rPr>
        <w:footnoteReference w:id="288"/>
      </w:r>
      <w:r w:rsidRPr="00175A44">
        <w:rPr>
          <w:rFonts w:cs="B Zar" w:hint="cs"/>
          <w:rtl/>
        </w:rPr>
        <w:t xml:space="preserve"> </w:t>
      </w:r>
      <w:r w:rsidRPr="00175A44">
        <w:rPr>
          <w:rFonts w:cs="B Zar" w:hint="cs"/>
          <w:iCs/>
          <w:rtl/>
        </w:rPr>
        <w:t>دوركهيم</w:t>
      </w:r>
      <w:r w:rsidRPr="00175A44">
        <w:rPr>
          <w:rFonts w:cs="B Zar" w:hint="cs"/>
          <w:rtl/>
        </w:rPr>
        <w:t xml:space="preserve"> معتقد است كه در جهان‌بيني مردم ابتدائي تمام پديده ها در دو دسته مقدس </w:t>
      </w:r>
      <w:r w:rsidRPr="00175A44">
        <w:rPr>
          <w:rFonts w:cs="B Zar"/>
        </w:rPr>
        <w:t>(Sacred)</w:t>
      </w:r>
      <w:r w:rsidRPr="00175A44">
        <w:rPr>
          <w:rFonts w:cs="B Zar" w:hint="cs"/>
          <w:rtl/>
        </w:rPr>
        <w:t xml:space="preserve"> و غير مقدس </w:t>
      </w:r>
      <w:r w:rsidRPr="00175A44">
        <w:rPr>
          <w:rFonts w:cs="B Zar"/>
        </w:rPr>
        <w:t>(Profane)</w:t>
      </w:r>
      <w:r w:rsidRPr="00175A44">
        <w:rPr>
          <w:rFonts w:cs="B Zar" w:hint="cs"/>
          <w:rtl/>
        </w:rPr>
        <w:t xml:space="preserve"> تقسيم مي شوند و «تابو» اشياء و موجودات مقدس‌اند</w:t>
      </w:r>
      <w:r>
        <w:rPr>
          <w:rStyle w:val="FootnoteReference"/>
          <w:rFonts w:cs="B Zar"/>
          <w:rtl/>
        </w:rPr>
        <w:footnoteReference w:id="289"/>
      </w:r>
      <w:r w:rsidRPr="00175A44">
        <w:rPr>
          <w:rFonts w:cs="B Zar" w:hint="cs"/>
          <w:rtl/>
        </w:rPr>
        <w:t xml:space="preserve">. البته علت آنكه اين اشياء يا موجودات مقدس شمرده مي‌شوند، اين است كه آنها علامت ارواح نياكان‌اند. </w:t>
      </w:r>
      <w:r w:rsidRPr="00175A44">
        <w:rPr>
          <w:rFonts w:cs="B Zar" w:hint="cs"/>
          <w:iCs/>
          <w:rtl/>
        </w:rPr>
        <w:t>دوركهيم</w:t>
      </w:r>
      <w:r w:rsidRPr="00175A44">
        <w:rPr>
          <w:rFonts w:cs="B Zar" w:hint="cs"/>
          <w:rtl/>
        </w:rPr>
        <w:t xml:space="preserve"> اين را علامت جامعه يا گروه اجتماعي مي داند  كه معناي هر دو از نظر تحليل پيامدهاي اجتماعي يكي است. هر دو به ايجاد همبستگي بيشتر در جامعه مي انجامد و در عين حال سيستم فقهي خاصي براي جامعه به وجود مي آورد. نظام تابوها (محرمات) را ما مي توانيم به عنوان نظام فقهي و احكامي دوره انيميسم محسوب كنيم.</w:t>
      </w:r>
    </w:p>
    <w:p w:rsidR="001E2FAF"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اعتقادات به مانا</w:t>
      </w:r>
      <w:r w:rsidRPr="00175A44">
        <w:rPr>
          <w:rFonts w:cs="B Zar"/>
          <w:b/>
          <w:bCs/>
        </w:rPr>
        <w:t xml:space="preserve"> (Mana</w:t>
      </w:r>
      <w:r w:rsidRPr="00175A44">
        <w:rPr>
          <w:rFonts w:cs="B Zar"/>
          <w:b/>
          <w:bCs/>
        </w:rPr>
        <w:t>)</w:t>
      </w:r>
      <w:r w:rsidRPr="00175A44">
        <w:rPr>
          <w:rFonts w:cs="B Zar" w:hint="cs"/>
          <w:b/>
          <w:bCs/>
          <w:rtl/>
        </w:rPr>
        <w:t xml:space="preserve"> و آئين ديناميسم</w:t>
      </w:r>
    </w:p>
    <w:p w:rsidR="0011420A" w:rsidRPr="00175A44" w:rsidP="003C0EF5">
      <w:pPr>
        <w:widowControl w:val="0"/>
        <w:spacing w:line="420" w:lineRule="exact"/>
        <w:ind w:left="0" w:right="0"/>
        <w:jc w:val="both"/>
        <w:rPr>
          <w:rFonts w:cs="B Zar" w:hint="cs"/>
          <w:rtl/>
        </w:rPr>
      </w:pPr>
      <w:r w:rsidRPr="00175A44">
        <w:rPr>
          <w:rFonts w:cs="B Zar" w:hint="cs"/>
          <w:rtl/>
        </w:rPr>
        <w:t>مطالعات مردم شناسان نشان داده است كه در مرحله انيميسم</w:t>
      </w:r>
      <w:r w:rsidRPr="00175A44">
        <w:rPr>
          <w:rFonts w:cs="B Zar"/>
        </w:rPr>
        <w:t xml:space="preserve"> (Animism)</w:t>
      </w:r>
      <w:r w:rsidRPr="00175A44">
        <w:rPr>
          <w:rFonts w:cs="B Zar" w:hint="cs"/>
          <w:rtl/>
        </w:rPr>
        <w:t xml:space="preserve">، نه تنها  مردم ابتدائي به انبوهي از ارواح خورشيد، ماه، ستارگان، بادها، دريا، جانوران، مردگان و نياكان معتقدند، بلكه وقتي انسان ارواح بيشماري را در يك حقيقت واحد كلي ادغام كرد، اعتقاد به نوحي روح واحد جهاني در يك مرحله بعدي نيز ايجاد شد. اگر اين فرضيه درست باشد، نمايانگر توحيد طلبي فطري انسان خواهد بود. برخي معتقدند كه نخست اعتقاد به روح واحد جهاني ايجاد شد. آنان اين مرحله را مرحله ديناميسم </w:t>
      </w:r>
      <w:r w:rsidRPr="00175A44">
        <w:rPr>
          <w:rFonts w:cs="B Zar"/>
        </w:rPr>
        <w:t>(Dynamism)</w:t>
      </w:r>
      <w:r w:rsidRPr="00175A44">
        <w:rPr>
          <w:rFonts w:cs="B Zar" w:hint="cs"/>
          <w:rtl/>
        </w:rPr>
        <w:t xml:space="preserve"> مي‌نامند، سپس انسان معتقد شد كه اين روح واحد در ساير موجودات حلول مي كند، و تقدس هرچيزي بستگي به ميزان حضور اين نيروي جهاني در آن دارد. در اين صورت مي توانيم اين اعتقاد را دريافت فطري نخستين بشر از اصل توحيد بدانيم كه در دوره بعدي به بيراهه افتاد و منجر به ايجاد عقائد انيميستي شد. آنچه از مطالعات وداها و اديان پارينه به نظر مي‌رسد، اين است: همچنانكه در مرحله طبيعت‌پرستي در عين حال كه انسان خداي آسمان را يك خداي بزرگ مي‌دانست، معتقد به معبودان كوچك و بزرگ از جمله خورشيد، ماه، ستارگان و غيره نيز بوده، در مرحله انيميسم نيز به وجود يك نيروي جهاني كلّي و نيز ارواح بيشمار ديگر معتقد شده است. در اين صورت انيميسم و ديناميسم دو روي يك سكه و متعلق به دوره واحدي هستند. عدم بلوغ فكري بشر و درك سطحي و ظاهري او در هر دو مرحله</w:t>
      </w:r>
      <w:r w:rsidRPr="00175A44">
        <w:rPr>
          <w:rFonts w:cs="B Zar" w:hint="cs"/>
          <w:rtl/>
          <w:lang w:bidi="fa-IR"/>
        </w:rPr>
        <w:t>،</w:t>
      </w:r>
      <w:r w:rsidRPr="00175A44">
        <w:rPr>
          <w:rFonts w:cs="B Zar" w:hint="cs"/>
          <w:rtl/>
        </w:rPr>
        <w:t xml:space="preserve"> او را به پرستش معبودان بيشمار سوق داده، در حاليكه فطرت اصيل انساني، بشر را همواره بسوي پرستش خداي واحدي مي خوانده است. اين تنش موجب ايجاد نوعي تناقض فكري در هر دو مرحله گرديد.</w:t>
      </w:r>
    </w:p>
    <w:p w:rsidR="0011420A" w:rsidP="003C0EF5">
      <w:pPr>
        <w:widowControl w:val="0"/>
        <w:spacing w:line="420" w:lineRule="exact"/>
        <w:ind w:left="0" w:right="0"/>
        <w:jc w:val="both"/>
        <w:rPr>
          <w:rFonts w:cs="B Zar" w:hint="cs"/>
          <w:rtl/>
        </w:rPr>
      </w:pPr>
      <w:r w:rsidRPr="00175A44">
        <w:rPr>
          <w:rFonts w:cs="B Zar" w:hint="cs"/>
          <w:rtl/>
        </w:rPr>
        <w:t xml:space="preserve">در مرحله انيميسم، مردم ابتدائي در اجتماعات مختلف اين روح واحد جهاني را به نام‌هاي مختلف مي خوانده اند. بوميان ملانزي و پولي نزي اين نيرو را «مانا»، و سرخ‌پوستان الگون‌كوين </w:t>
      </w:r>
      <w:r w:rsidRPr="00175A44">
        <w:rPr>
          <w:rFonts w:cs="B Zar"/>
        </w:rPr>
        <w:t>(Algonquin)</w:t>
      </w:r>
      <w:r w:rsidRPr="00175A44">
        <w:rPr>
          <w:rFonts w:cs="B Zar" w:hint="cs"/>
          <w:rtl/>
        </w:rPr>
        <w:t xml:space="preserve">، آنرا «ماني تو» </w:t>
      </w:r>
      <w:r w:rsidRPr="00175A44">
        <w:rPr>
          <w:rFonts w:cs="B Zar"/>
        </w:rPr>
        <w:t>(Manitou)</w:t>
      </w:r>
      <w:r w:rsidRPr="00175A44">
        <w:rPr>
          <w:rFonts w:cs="B Zar" w:hint="cs"/>
          <w:rtl/>
        </w:rPr>
        <w:t xml:space="preserve"> ، و سرخپوستان دشت بزرگ </w:t>
      </w:r>
      <w:r w:rsidRPr="00175A44">
        <w:rPr>
          <w:rFonts w:cs="B Zar"/>
        </w:rPr>
        <w:t>(Great Plain)</w:t>
      </w:r>
      <w:r w:rsidRPr="00175A44">
        <w:rPr>
          <w:rFonts w:cs="B Zar" w:hint="cs"/>
          <w:rtl/>
        </w:rPr>
        <w:t xml:space="preserve"> آنرا «واكان»</w:t>
      </w:r>
      <w:r w:rsidRPr="00175A44">
        <w:rPr>
          <w:rFonts w:cs="B Zar"/>
        </w:rPr>
        <w:t xml:space="preserve">(Wakan) </w:t>
      </w:r>
      <w:r w:rsidRPr="00175A44">
        <w:rPr>
          <w:rFonts w:cs="B Zar" w:hint="cs"/>
          <w:rtl/>
        </w:rPr>
        <w:t xml:space="preserve"> مي‌گفتند. برحسب اعتقاد مردم بدوي، تمام اشياء و موجودات از اين روح جهاني سهمي دارند، ولي برخي اشياء و  موجودات و يا اشخاص، بيشتر از آن بهره برده‌اند، و برخي كمتر. آنان كه از «مانا» بهره بيشتري برده اند، به صورت اشياء و موجودات مقدس در مي‌آيند و مورد پرستش قرار مي گيرند. چنانكه ما در طي بررسي مرحله پنجم وحدت‌الوجود، اشاره خواهيم كرد، ريشه ابتدائي نظريه وحدت‌الوجود را در اعتقاد قبائل ابتدائي به «مانا» يا روح جهاني كه در ساير پديده ها، اشخاص و اشياء جريان دارد، مي توان سراغ گرفت. نظريه فرّة ايزدي كه در انديشه بشر در مرحله ايجاد نظام‌هاي سلطنتي بسيار رواج پيدا كرد، نيز مي‌تواند به اين اعتقاد ابتدائي بشر مربوط باشد.</w:t>
      </w:r>
    </w:p>
    <w:p w:rsidR="001E2FAF"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جادو و فتيشيم</w:t>
      </w:r>
    </w:p>
    <w:p w:rsidR="0011420A" w:rsidRPr="00175A44" w:rsidP="003C0EF5">
      <w:pPr>
        <w:widowControl w:val="0"/>
        <w:spacing w:line="420" w:lineRule="exact"/>
        <w:ind w:left="0" w:right="0"/>
        <w:jc w:val="both"/>
        <w:rPr>
          <w:rFonts w:cs="B Zar" w:hint="cs"/>
          <w:rtl/>
        </w:rPr>
      </w:pPr>
      <w:r w:rsidRPr="00175A44">
        <w:rPr>
          <w:rFonts w:cs="B Zar" w:hint="cs"/>
          <w:rtl/>
        </w:rPr>
        <w:t>وقتي ديدِ انسان نسبت به «هست»‌ها دگرگون شود، نظر او نسبت به «بايدها» نيز تغيير مي‌كند. هنگامي كه نظام اعتقادي متحول شود، روشهاي عبادي نيز متحول مي‌گردد. در مرحله اول «طبيعت‌پرستي»، روش اصلي عبادي، تمجيد شاعرانه از پديده‌هاي طبيعت و خواندن سرودها، رقص و آواز براي پديده هاي زيباي طبيعت بوده است، ولي در مرحله دوم انيميسم، هنگاميکه محور توجه آدمي ارواح پديده ها، و ارواح خوب و بد، پاك و پليد آدميان و نيز ارواح نگهدارنده نياكان و روح كلي جهاني گرديد، روشهاي عبادي نيز تغيير يافت. اينك اوراد و طلسم ها، جاي سرود و شعر را گرفت؛ عمليات جادوئي پيچيده، جايگزين آئين ساده آوازخواني و پايكوبي گرديد؛ به عنوان رئيس مراسم ديني، شاعر جاي خود را به كاهن داد. آئين ديني از نغمه به جادو تبديل شد و نگريستن شادمانه مرحله پيش، جاي خود را به نگرش بدبينانه‌تري داد. انسان بيشتر متوجه ابعاد قهرآميز طبيعت گرديد و براي مصون ماندن از آن به جادو پناه برد.</w:t>
      </w:r>
      <w:r>
        <w:rPr>
          <w:rStyle w:val="FootnoteReference"/>
          <w:rFonts w:cs="B Zar"/>
          <w:rtl/>
        </w:rPr>
        <w:footnoteReference w:id="290"/>
      </w:r>
    </w:p>
    <w:p w:rsidR="0011420A" w:rsidRPr="00175A44" w:rsidP="003C0EF5">
      <w:pPr>
        <w:widowControl w:val="0"/>
        <w:spacing w:line="420" w:lineRule="exact"/>
        <w:ind w:left="0" w:right="0"/>
        <w:jc w:val="both"/>
        <w:rPr>
          <w:rFonts w:cs="B Zar" w:hint="cs"/>
          <w:rtl/>
        </w:rPr>
      </w:pPr>
      <w:r w:rsidRPr="00175A44">
        <w:rPr>
          <w:rFonts w:cs="B Zar" w:hint="cs"/>
          <w:rtl/>
        </w:rPr>
        <w:t>از نظر وسيله نجات و بهروزي، رواج جادو، طلسم ها، اوراد و تعويذها در اجتماع، ويژگي اصلي مرحله انيميسم را بيان مي‌كند. دين به شدت با جادو آميخته مي شود. انسان ابتدائي مي‌كوشد تا با طلسم و اوراد، پديده ها را بر سر مهر آورد و آسايش خود را تامين كند و روح اشياء را موافق خود گرداند. او گمان مي كند با جاري كردن اورادي چند، مي‌تواند ارواح پديده ها را مسخر سازد و آنان را زير فرمان خود در آورد. در اين مرحله جادو در همه مظاهر زندگي راه دارد. همه وجوه رفتار انساني به خصوص بيماري‌ها، تصادف‌ها، نازائي ها و مرگ، با توجه به تأثير ارواح بد توجيه مي شوند و در نتيجه براي جلوگيري يا درمان آن، انسان به جادو پناه مي برد.</w:t>
      </w:r>
    </w:p>
    <w:p w:rsidR="0011420A" w:rsidRPr="00175A44" w:rsidP="003C0EF5">
      <w:pPr>
        <w:widowControl w:val="0"/>
        <w:spacing w:line="420" w:lineRule="exact"/>
        <w:ind w:left="0" w:right="0"/>
        <w:jc w:val="both"/>
        <w:rPr>
          <w:rFonts w:cs="B Zar" w:hint="cs"/>
          <w:rtl/>
        </w:rPr>
      </w:pPr>
      <w:r w:rsidRPr="00175A44">
        <w:rPr>
          <w:rFonts w:cs="B Zar" w:hint="cs"/>
          <w:rtl/>
        </w:rPr>
        <w:t>در جوامع ابتدائي حتي چنين گمان مي‌رود كه توفيق در فعاليتهاي اقتصادي و نظامي و حتي در عشق و محبت نيز بستگي به انجام عمليات جادوئي دارد. از طريق تلاوت اوراد توأم با انجام اعمال بخصوصي و با كمك كاهن مي توان به كام رسيد. به همين منظور مراسم خاصي هنگام كاشتن درختان و يا افشاندن تخم‌ها و نيز هنگام درو كردن، رواج پيدا كرد. چنان گمان مي‌رفت كه باروري زمين بسته به تلاش و كوشش انسان و يا عنايت معبودان نيست، بلكه مربوط به انجام درست اعمال جادوئي و قرائت اوراد است. بسياري از رقص‌ها و نغمه هاي فرهنگ عاميانه از بقاياي چنين مراسم جادوئي به هنگام كاشتن زراعت يا هنگام درو است و حركات رقص، علائمي از انجام اعمال خاص توام با قرائت اوراد است.</w:t>
      </w:r>
      <w:r>
        <w:rPr>
          <w:rStyle w:val="FootnoteReference"/>
          <w:rFonts w:cs="B Zar"/>
          <w:rtl/>
        </w:rPr>
        <w:footnoteReference w:id="291"/>
      </w:r>
    </w:p>
    <w:p w:rsidR="0011420A" w:rsidRPr="00175A44" w:rsidP="003C0EF5">
      <w:pPr>
        <w:widowControl w:val="0"/>
        <w:spacing w:line="420" w:lineRule="exact"/>
        <w:ind w:left="0" w:right="0"/>
        <w:jc w:val="both"/>
        <w:rPr>
          <w:rFonts w:cs="B Zar" w:hint="cs"/>
          <w:rtl/>
        </w:rPr>
      </w:pPr>
      <w:r w:rsidRPr="00175A44">
        <w:rPr>
          <w:rFonts w:cs="B Zar" w:hint="cs"/>
          <w:rtl/>
        </w:rPr>
        <w:t>روش مناسك جادوئي به طور عموم مبتني بر سه قانون است: اصل مشابهت يا همانندي، اصل تاثير بر كل از طريق جزء واصل مجاورت. مقصود از اصل مشابهت اين است كه چنين گمان مي شود اگر بر شبيه چيزي يا شخصي، عملي انجام شود، نفع يا ضرر آن به فرد مزبور خواهد رسيد. از همين‌رو اگر مي خواستند به كسي آزار برسانند با موم مجسمه او را درست مي‌كردند، و حتي بر يك چوب نام آن فرد را مي‌نوشتند و آنرا مي‌سوزاندند، يا مي‌شكستند. همچنان اگر مي خواستند معشوقه كسي، رضايت كام دادن و يا ازدواج به شخص مزبور بدهد، بر «چوبي» و يا مجسمه‌اي نام او را مي نهادند و آنرا با عسل شست و شو مي دادند. اگر قحطي رخ مي داد، كاهن طي مراسمي آب را از بالا به پايين مي پاشيد و اوراد و طلسم‌هايي را قرائت مي كرد، و چنان گمان مي شد كه در نتيجه اين عمليات، باران خواهد باريد. پيش از آغاز جنگ، قبائل بدوي «رقص جنگي» اجراء مي‌كردند. در اين نوع مانور نظامي ابتدائي، علائمي را كه به عنوان «دشمن» در نظر گرفته مي‌شد، مورد هجوم قرار مي‌دادند و چنان گمان مي‌كردند كه با از پا درآمدن آن، دشمن نيز از پا در خواهد آمد.</w:t>
      </w:r>
      <w:r>
        <w:rPr>
          <w:rStyle w:val="FootnoteReference"/>
          <w:rFonts w:cs="B Zar"/>
          <w:rtl/>
        </w:rPr>
        <w:footnoteReference w:id="292"/>
      </w:r>
    </w:p>
    <w:p w:rsidR="0011420A" w:rsidRPr="00175A44" w:rsidP="003C0EF5">
      <w:pPr>
        <w:widowControl w:val="0"/>
        <w:spacing w:line="420" w:lineRule="exact"/>
        <w:ind w:left="0" w:right="0"/>
        <w:jc w:val="both"/>
        <w:rPr>
          <w:rFonts w:cs="B Zar" w:hint="cs"/>
          <w:rtl/>
        </w:rPr>
      </w:pPr>
      <w:r w:rsidRPr="00175A44">
        <w:rPr>
          <w:rFonts w:cs="B Zar" w:hint="cs"/>
          <w:rtl/>
        </w:rPr>
        <w:t xml:space="preserve">اصل دوم مناسك جادوئي، «اصل تاثير جزء بركل» بود و چنان گمان مي‌كرده‌اند كه اگر بر جزئي از يك كل عملي انجام دهند، در رابطه با كل و اصل، نتيجه خواهند گرفت. مثلاً مو يا ناخن فردي را به دست مي آوردند، و يا حتي قطعه اي از لباس كهنه اش را تحويل مي‌گرفتند و طي عمل خاصي آنرا مي‌سوزاندند و گمان مي‌كردند كه خود فرد نيز ضربه ديده و ازبين خواهد رفت. </w:t>
      </w:r>
      <w:r w:rsidRPr="00175A44">
        <w:rPr>
          <w:rFonts w:cs="B Zar" w:hint="cs"/>
          <w:iCs/>
          <w:rtl/>
        </w:rPr>
        <w:t>وبر</w:t>
      </w:r>
      <w:r w:rsidRPr="00175A44">
        <w:rPr>
          <w:rFonts w:cs="B Zar" w:hint="cs"/>
          <w:rtl/>
        </w:rPr>
        <w:t xml:space="preserve"> خاطرنشان ساخته است، وقتي يك فرد ابتدائي در جنگ موفق مي شد يكي از قهرمانان دشمن را بكشد، سينه‌اش را مي شكافت و قلب يا جگرش را به دست مي‌آورد و مي‌خورد و تصور مي‌كرد با اين عمل قدرتمندي و شهامت دشمن را از آن خود ساخته است.</w:t>
      </w:r>
      <w:r>
        <w:rPr>
          <w:rStyle w:val="FootnoteReference"/>
          <w:rFonts w:cs="B Zar"/>
          <w:rtl/>
        </w:rPr>
        <w:footnoteReference w:id="293"/>
      </w:r>
    </w:p>
    <w:p w:rsidR="0011420A" w:rsidRPr="00175A44" w:rsidP="003C0EF5">
      <w:pPr>
        <w:widowControl w:val="0"/>
        <w:spacing w:line="420" w:lineRule="exact"/>
        <w:ind w:left="0" w:right="0"/>
        <w:jc w:val="both"/>
        <w:rPr>
          <w:rFonts w:cs="B Zar" w:hint="cs"/>
          <w:rtl/>
        </w:rPr>
      </w:pPr>
      <w:r w:rsidRPr="00175A44">
        <w:rPr>
          <w:rFonts w:cs="B Zar" w:hint="cs"/>
          <w:rtl/>
        </w:rPr>
        <w:t>جادو را جامعه شناسان در دو دسته ـ جادوي سياه و جادوي سفيد ـ تقسيم كرده اند. آن دسته از عمل جادوئي كه هدف آن ضرر رسانيدن به كسي و يا حتي كشتن است، جادوي سياه نام دارد و جادوئي كه هدف آن خيرخواهانه و مصلحانه است و از طريق كمك ارواح پاك صورت مي گيرد، جادوي سپيد نام دارد</w:t>
      </w:r>
      <w:r w:rsidRPr="00175A44">
        <w:rPr>
          <w:rFonts w:cs="B Zar" w:hint="cs"/>
          <w:rtl/>
        </w:rPr>
        <w:t>.</w:t>
      </w:r>
    </w:p>
    <w:p w:rsidR="0011420A" w:rsidP="003C0EF5">
      <w:pPr>
        <w:widowControl w:val="0"/>
        <w:spacing w:line="420" w:lineRule="exact"/>
        <w:ind w:left="0" w:right="0"/>
        <w:jc w:val="both"/>
        <w:rPr>
          <w:rFonts w:cs="B Zar" w:hint="cs"/>
          <w:rtl/>
        </w:rPr>
      </w:pPr>
      <w:r w:rsidRPr="00175A44">
        <w:rPr>
          <w:rFonts w:cs="B Zar" w:hint="cs"/>
          <w:rtl/>
        </w:rPr>
        <w:t xml:space="preserve">در كنار رواج جادو، در اجتماعات بدوي اصل ديگري بروز كرد و آن احترام و  حتي پرستش برخي اشياء بود كه فيتش </w:t>
      </w:r>
      <w:r w:rsidRPr="00175A44">
        <w:rPr>
          <w:rFonts w:cs="B Zar"/>
        </w:rPr>
        <w:t>(Fetish)</w:t>
      </w:r>
      <w:r w:rsidRPr="00175A44">
        <w:rPr>
          <w:rFonts w:cs="B Zar" w:hint="cs"/>
          <w:rtl/>
        </w:rPr>
        <w:t xml:space="preserve"> نام دارد. اين آئين را فيتشيسم </w:t>
      </w:r>
      <w:r w:rsidRPr="00175A44">
        <w:rPr>
          <w:rFonts w:cs="B Zar"/>
        </w:rPr>
        <w:t>(Fetishism)</w:t>
      </w:r>
      <w:r w:rsidRPr="00175A44">
        <w:rPr>
          <w:rFonts w:cs="B Zar" w:hint="cs"/>
          <w:rtl/>
        </w:rPr>
        <w:t xml:space="preserve"> ناميده‌اند. فيتشيسم، تقدس و پرستش برخي اشياي بي جان، به دليل برخورداري آنان از خاصيت‌هاي جادوئي خاص و مفيد يا مضر بودن آنان است. به نظر مي‌رسد اشيائي كه در مراسم جادوئي به كار مي‌رفته‌اند، به تدريج به صورت فيتش در مي‌آيند. البته چنان كه دوركهيم گفته است، انسان در اين مرحله كاملاً سود محور است و فتيشي كه خاصيت خود را از دست دهد، دورانداخته مي شود.</w:t>
      </w:r>
      <w:r>
        <w:rPr>
          <w:rStyle w:val="FootnoteReference"/>
          <w:rFonts w:cs="B Zar"/>
          <w:rtl/>
        </w:rPr>
        <w:footnoteReference w:id="294"/>
      </w:r>
      <w:r w:rsidRPr="00175A44">
        <w:rPr>
          <w:rFonts w:cs="B Zar" w:hint="cs"/>
          <w:rtl/>
        </w:rPr>
        <w:t xml:space="preserve"> اين امر نيز نشان مي دهد كه اهميت فتيش به خاطر نقشي بود كه در اعمال جادوئي ايفا مي كرد.</w:t>
      </w:r>
    </w:p>
    <w:p w:rsidR="001E2FAF"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آثار انيميسم در اديان پارينه ابتدائي</w:t>
      </w:r>
    </w:p>
    <w:p w:rsidR="0011420A" w:rsidRPr="00175A44" w:rsidP="003C0EF5">
      <w:pPr>
        <w:widowControl w:val="0"/>
        <w:spacing w:line="420" w:lineRule="exact"/>
        <w:ind w:left="0" w:right="0"/>
        <w:jc w:val="both"/>
        <w:rPr>
          <w:rFonts w:cs="B Zar" w:hint="cs"/>
          <w:rtl/>
        </w:rPr>
      </w:pPr>
      <w:r w:rsidRPr="00175A44">
        <w:rPr>
          <w:rFonts w:cs="B Zar" w:hint="cs"/>
          <w:rtl/>
        </w:rPr>
        <w:t>در تمام اقوام و مللي كه در مرحله دوم سير انديشه ديني قرار دارند، ارواح پرستي و نيز كاربرد جادو، بسيار رائج است.</w:t>
      </w:r>
    </w:p>
    <w:p w:rsidR="0011420A" w:rsidRPr="00175A44" w:rsidP="003C0EF5">
      <w:pPr>
        <w:widowControl w:val="0"/>
        <w:spacing w:line="420" w:lineRule="exact"/>
        <w:ind w:left="0" w:right="0"/>
        <w:jc w:val="both"/>
        <w:rPr>
          <w:rFonts w:cs="B Zar" w:hint="cs"/>
          <w:rtl/>
        </w:rPr>
      </w:pPr>
      <w:r w:rsidRPr="00175A44">
        <w:rPr>
          <w:rFonts w:cs="B Zar" w:hint="cs"/>
          <w:rtl/>
        </w:rPr>
        <w:t xml:space="preserve">از جمله اقوام ابتدائي كنوني، قبائل گينه، طبق گفته تورن </w:t>
      </w:r>
      <w:r w:rsidRPr="00175A44">
        <w:rPr>
          <w:rFonts w:cs="B Zar"/>
        </w:rPr>
        <w:t>(Thorn)</w:t>
      </w:r>
      <w:r w:rsidRPr="00175A44">
        <w:rPr>
          <w:rFonts w:cs="B Zar" w:hint="cs"/>
          <w:rtl/>
        </w:rPr>
        <w:t>، معتقد به ارواح آدميان، جانوران، اشجار، كوهها و درياها مي‌باشند.</w:t>
      </w:r>
      <w:r>
        <w:rPr>
          <w:rStyle w:val="FootnoteReference"/>
          <w:rFonts w:cs="B Zar"/>
          <w:sz w:val="28"/>
          <w:szCs w:val="28"/>
          <w:rtl/>
        </w:rPr>
        <w:footnoteReference w:id="295"/>
      </w:r>
      <w:r w:rsidRPr="00175A44">
        <w:rPr>
          <w:rFonts w:cs="B Zar" w:hint="cs"/>
          <w:rtl/>
        </w:rPr>
        <w:t xml:space="preserve"> قبيله تلينگت </w:t>
      </w:r>
      <w:r w:rsidRPr="00175A44">
        <w:rPr>
          <w:rFonts w:cs="B Zar"/>
        </w:rPr>
        <w:t>(Tilingit)</w:t>
      </w:r>
      <w:r w:rsidRPr="00175A44">
        <w:rPr>
          <w:rFonts w:cs="B Zar" w:hint="cs"/>
          <w:rtl/>
        </w:rPr>
        <w:t xml:space="preserve"> معتقد است يك روح جهاني به نام يت </w:t>
      </w:r>
      <w:r w:rsidRPr="00175A44">
        <w:rPr>
          <w:rFonts w:cs="B Zar"/>
        </w:rPr>
        <w:t>(Yet)</w:t>
      </w:r>
      <w:r w:rsidRPr="00175A44">
        <w:rPr>
          <w:rFonts w:cs="B Zar" w:hint="cs"/>
          <w:rtl/>
        </w:rPr>
        <w:t xml:space="preserve"> وجود دارد و در عين حال تمام اشياي داراي يك </w:t>
      </w:r>
      <w:r w:rsidRPr="00175A44">
        <w:rPr>
          <w:rFonts w:cs="B Zar"/>
        </w:rPr>
        <w:t>(Yek)</w:t>
      </w:r>
      <w:r w:rsidRPr="00175A44">
        <w:rPr>
          <w:rFonts w:cs="B Zar" w:hint="cs"/>
          <w:rtl/>
        </w:rPr>
        <w:t xml:space="preserve"> يا ارواح فردي مي باشند. قبيله بتّاك </w:t>
      </w:r>
      <w:r w:rsidRPr="00175A44">
        <w:rPr>
          <w:rFonts w:cs="B Zar"/>
        </w:rPr>
        <w:t>(Bat</w:t>
      </w:r>
      <w:r w:rsidRPr="00175A44">
        <w:rPr>
          <w:rFonts w:cs="B Zar"/>
        </w:rPr>
        <w:t>tak)</w:t>
      </w:r>
      <w:r w:rsidRPr="00175A44">
        <w:rPr>
          <w:rFonts w:cs="B Zar" w:hint="cs"/>
          <w:rtl/>
        </w:rPr>
        <w:t xml:space="preserve"> اين روح كلي جهاني را، «توند» </w:t>
      </w:r>
      <w:r w:rsidRPr="00175A44">
        <w:rPr>
          <w:rFonts w:cs="B Zar"/>
        </w:rPr>
        <w:t>(Tond)</w:t>
      </w:r>
      <w:r w:rsidRPr="00175A44">
        <w:rPr>
          <w:rFonts w:cs="B Zar" w:hint="cs"/>
          <w:rtl/>
        </w:rPr>
        <w:t xml:space="preserve"> مي‌نامد و در عين حال همه پديده‌ها را داراي «توند» مستقلي مي پندارد. قبيله انامي </w:t>
      </w:r>
      <w:r w:rsidRPr="00175A44">
        <w:rPr>
          <w:rFonts w:cs="B Zar"/>
        </w:rPr>
        <w:t>(Annami)</w:t>
      </w:r>
      <w:r w:rsidRPr="00175A44">
        <w:rPr>
          <w:rFonts w:cs="B Zar" w:hint="cs"/>
          <w:rtl/>
        </w:rPr>
        <w:t xml:space="preserve"> روح جهاني را تن‌ها </w:t>
      </w:r>
      <w:r w:rsidRPr="00175A44">
        <w:rPr>
          <w:rFonts w:cs="B Zar"/>
        </w:rPr>
        <w:t>(Tinha)</w:t>
      </w:r>
      <w:r w:rsidRPr="00175A44">
        <w:rPr>
          <w:rFonts w:cs="B Zar" w:hint="cs"/>
          <w:rtl/>
        </w:rPr>
        <w:t xml:space="preserve"> و ارواح فردي را كِهيَ </w:t>
      </w:r>
      <w:r w:rsidRPr="00175A44">
        <w:rPr>
          <w:rFonts w:cs="B Zar"/>
        </w:rPr>
        <w:t>(Khi)</w:t>
      </w:r>
      <w:r w:rsidRPr="00175A44">
        <w:rPr>
          <w:rFonts w:cs="B Zar" w:hint="cs"/>
          <w:rtl/>
        </w:rPr>
        <w:t xml:space="preserve"> مي نامد. اهالي برمه معتقد بوده‌اند كه ارواح درختان به نام نات‌ها </w:t>
      </w:r>
      <w:r w:rsidRPr="00175A44">
        <w:rPr>
          <w:rFonts w:cs="B Zar"/>
        </w:rPr>
        <w:t>(Nats)</w:t>
      </w:r>
      <w:r w:rsidRPr="00175A44">
        <w:rPr>
          <w:rFonts w:cs="B Zar" w:hint="cs"/>
          <w:rtl/>
        </w:rPr>
        <w:t xml:space="preserve"> در شب‌هاي توفاني در جنگل‌ها مي رقصند و هر كسي در دسترس آنان قرار گيرد آسيب مي بيند.</w:t>
      </w:r>
    </w:p>
    <w:p w:rsidR="0011420A" w:rsidRPr="00175A44" w:rsidP="003C0EF5">
      <w:pPr>
        <w:widowControl w:val="0"/>
        <w:spacing w:line="420" w:lineRule="exact"/>
        <w:ind w:left="0" w:right="0"/>
        <w:jc w:val="both"/>
        <w:rPr>
          <w:rFonts w:cs="B Zar" w:hint="cs"/>
          <w:rtl/>
        </w:rPr>
      </w:pPr>
      <w:r w:rsidRPr="00175A44">
        <w:rPr>
          <w:rFonts w:cs="B Zar" w:hint="cs"/>
          <w:rtl/>
        </w:rPr>
        <w:t xml:space="preserve">متون ادبي، تاريخي، ديني و نيز كشفيات باستان شناسان نشان مي دهد كه اقوام پارينه و كهن نيز داراي اعتقادات انيميستي، در مرحله اي از مراحل نگاه سير انديشه ديني بوده‌اند. مصريان معتقد بودند، ارواح مردگان به صورت خزندگان در مي‌آيند. در دين عاميانه يونان نيز عليرغم ماهيت كلي شرك‌آميز آن، بقايايي از انيميسم وجود داشته است . هومر در شعرهايش و نيز پوسيانوس </w:t>
      </w:r>
      <w:r w:rsidRPr="00175A44">
        <w:rPr>
          <w:rFonts w:cs="B Zar"/>
        </w:rPr>
        <w:t>(Pausanias)</w:t>
      </w:r>
      <w:r w:rsidRPr="00175A44">
        <w:rPr>
          <w:rFonts w:cs="B Zar" w:hint="cs"/>
          <w:rtl/>
        </w:rPr>
        <w:t xml:space="preserve"> آنرا گزارش كرده‌اند. آنان به «هايد»ها </w:t>
      </w:r>
      <w:r w:rsidRPr="00175A44">
        <w:rPr>
          <w:rFonts w:cs="B Zar"/>
        </w:rPr>
        <w:t>(Hides)</w:t>
      </w:r>
      <w:r w:rsidRPr="00175A44">
        <w:rPr>
          <w:rFonts w:cs="B Zar" w:hint="cs"/>
          <w:rtl/>
        </w:rPr>
        <w:t xml:space="preserve"> و نمف‌ها </w:t>
      </w:r>
      <w:r w:rsidRPr="00175A44">
        <w:rPr>
          <w:rFonts w:cs="B Zar"/>
        </w:rPr>
        <w:t>(Nymphs)</w:t>
      </w:r>
      <w:r w:rsidRPr="00175A44">
        <w:rPr>
          <w:rFonts w:cs="B Zar" w:hint="cs"/>
          <w:rtl/>
        </w:rPr>
        <w:t xml:space="preserve">‌، ارواح خوب و بد آب ها، معتقد بودند. نمف ها بسيار زيبا و يار و ياور آدم‌هائي بودند كه قصد عبور از دريا يا رودخانه را داشته باشند. در تيتانه </w:t>
      </w:r>
      <w:r w:rsidRPr="00175A44">
        <w:rPr>
          <w:rFonts w:cs="B Zar"/>
        </w:rPr>
        <w:t>(Titane)</w:t>
      </w:r>
      <w:r w:rsidRPr="00175A44">
        <w:rPr>
          <w:rFonts w:cs="B Zar" w:hint="cs"/>
          <w:rtl/>
        </w:rPr>
        <w:t xml:space="preserve"> در منطقه سكيون </w:t>
      </w:r>
      <w:r w:rsidRPr="00175A44">
        <w:rPr>
          <w:rFonts w:cs="B Zar"/>
        </w:rPr>
        <w:t>(Sikyon)</w:t>
      </w:r>
      <w:r w:rsidRPr="00175A44">
        <w:rPr>
          <w:rFonts w:cs="B Zar" w:hint="cs"/>
          <w:rtl/>
        </w:rPr>
        <w:t>، معبدي براي ارواح توفان ساخته شده بود كه در آن در شب هاي توفاني مراسم قرباني برگزار مي‌شد و كاهن، اوراد و طلسم‌هايي را جاري مي‌‌كرد تا بادهاي توفاني رام و آرام باشند.</w:t>
      </w:r>
      <w:r>
        <w:rPr>
          <w:rStyle w:val="FootnoteReference"/>
          <w:rFonts w:cs="B Zar"/>
          <w:sz w:val="28"/>
          <w:szCs w:val="28"/>
          <w:rtl/>
        </w:rPr>
        <w:footnoteReference w:id="296"/>
      </w:r>
      <w:r w:rsidRPr="00175A44">
        <w:rPr>
          <w:rFonts w:cs="B Zar" w:hint="cs"/>
          <w:rtl/>
        </w:rPr>
        <w:t>در دين عاميانه يونانيان نيز جادو زياد رواج داشت. پوسيانوس مي‌نويسد: در متهانا</w:t>
      </w:r>
      <w:r w:rsidRPr="00175A44">
        <w:rPr>
          <w:rFonts w:cs="B Zar"/>
        </w:rPr>
        <w:t>(Mithana)</w:t>
      </w:r>
      <w:r w:rsidRPr="00175A44">
        <w:rPr>
          <w:rFonts w:cs="B Zar" w:hint="cs"/>
          <w:rtl/>
        </w:rPr>
        <w:t xml:space="preserve">، در نواحي تراي‌زون </w:t>
      </w:r>
      <w:r w:rsidRPr="00175A44">
        <w:rPr>
          <w:rFonts w:cs="B Zar"/>
        </w:rPr>
        <w:t>(Troizon)</w:t>
      </w:r>
      <w:r w:rsidRPr="00175A44">
        <w:rPr>
          <w:rFonts w:cs="B Zar" w:hint="cs"/>
          <w:rtl/>
        </w:rPr>
        <w:t>، مرغي را ذبح كرده و استخوان‌هايش را طي مراسم جادوئي ويژه‌اي دفن مي‌كرده‌اند، تا مردم از آسيب ارواح بد كه همراه بادها سرگردانند، در امان باشند.</w:t>
      </w:r>
      <w:r>
        <w:rPr>
          <w:rStyle w:val="FootnoteReference"/>
          <w:rFonts w:cs="B Zar"/>
          <w:sz w:val="28"/>
          <w:szCs w:val="28"/>
          <w:rtl/>
        </w:rPr>
        <w:footnoteReference w:id="297"/>
      </w:r>
    </w:p>
    <w:p w:rsidR="0011420A" w:rsidP="003C0EF5">
      <w:pPr>
        <w:widowControl w:val="0"/>
        <w:spacing w:line="420" w:lineRule="exact"/>
        <w:ind w:left="0" w:right="0"/>
        <w:jc w:val="both"/>
        <w:rPr>
          <w:rFonts w:cs="B Zar" w:hint="cs"/>
          <w:rtl/>
        </w:rPr>
      </w:pPr>
      <w:r w:rsidRPr="00175A44">
        <w:rPr>
          <w:rFonts w:cs="B Zar" w:hint="cs"/>
          <w:rtl/>
        </w:rPr>
        <w:t>در ژاپن نيز پس از طبيعت‌پرستي، عقايد انيميستي رواج پيدا كرد. در اين ديار انيميسم، عمدتاً ماهيت «نياكان پرستي» پيدا كرد. نياكان‌پرستي يكي از ويژگيهاي اصلي دين شينتو حتي در حال حاضر نيز هست و ارواح امپراتوران و بزرگان خانواده‌ها مورد پرستش قرار مي گيرد.</w:t>
      </w:r>
    </w:p>
    <w:p w:rsidR="001E2FAF"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عناصر انيميسم</w:t>
      </w:r>
      <w:r w:rsidRPr="00175A44">
        <w:rPr>
          <w:rFonts w:cs="B Zar"/>
          <w:b/>
          <w:bCs/>
        </w:rPr>
        <w:t>(Animism)</w:t>
      </w:r>
      <w:r w:rsidRPr="00175A44">
        <w:rPr>
          <w:rFonts w:cs="B Zar" w:hint="cs"/>
          <w:b/>
          <w:bCs/>
          <w:rtl/>
        </w:rPr>
        <w:t xml:space="preserve"> در رِيگ ودا</w:t>
      </w:r>
    </w:p>
    <w:p w:rsidR="0011420A" w:rsidRPr="00175A44" w:rsidP="003C0EF5">
      <w:pPr>
        <w:widowControl w:val="0"/>
        <w:spacing w:line="420" w:lineRule="exact"/>
        <w:ind w:left="0" w:right="0"/>
        <w:jc w:val="both"/>
        <w:rPr>
          <w:rFonts w:cs="B Zar" w:hint="cs"/>
          <w:rtl/>
        </w:rPr>
      </w:pPr>
      <w:r w:rsidRPr="00175A44">
        <w:rPr>
          <w:rFonts w:cs="B Zar" w:hint="cs"/>
          <w:rtl/>
        </w:rPr>
        <w:t>بسياري از سرودهاي متاخر رِيگ ودا منعكس كننده اين است كه در مرحله اول مقصود از سوريه، خورشيد، و در مرحله دوم مقصود از آن، روح خورشيد است. در مرحله اول «وايو» باد، و در مرحله دوم مقصود از آن روح توفان و باد است كه هنگام وزيدن بادهاي توفاني جولان مي‌دهد. «اسوين»</w:t>
      </w:r>
      <w:r w:rsidRPr="00175A44">
        <w:rPr>
          <w:rFonts w:cs="B Zar"/>
        </w:rPr>
        <w:t>(Aswin)</w:t>
      </w:r>
      <w:r w:rsidRPr="00175A44">
        <w:rPr>
          <w:rFonts w:cs="B Zar" w:hint="cs"/>
          <w:rtl/>
        </w:rPr>
        <w:t xml:space="preserve"> در مرحله اول فجر و در مرحله دوم مقصود از آن بامدادان و شامگاهان است.</w:t>
      </w:r>
    </w:p>
    <w:p w:rsidR="0011420A" w:rsidRPr="00175A44" w:rsidP="003C0EF5">
      <w:pPr>
        <w:widowControl w:val="0"/>
        <w:spacing w:line="420" w:lineRule="exact"/>
        <w:ind w:left="0" w:right="0"/>
        <w:jc w:val="both"/>
        <w:rPr>
          <w:rFonts w:cs="B Zar" w:hint="cs"/>
          <w:rtl/>
        </w:rPr>
      </w:pPr>
      <w:r w:rsidRPr="00175A44">
        <w:rPr>
          <w:rFonts w:cs="B Zar" w:hint="cs"/>
          <w:rtl/>
        </w:rPr>
        <w:t>«اوشا»</w:t>
      </w:r>
      <w:r w:rsidRPr="00175A44">
        <w:rPr>
          <w:rFonts w:cs="B Zar"/>
        </w:rPr>
        <w:t>(Usha)</w:t>
      </w:r>
      <w:r w:rsidRPr="00175A44">
        <w:rPr>
          <w:rFonts w:cs="B Zar" w:hint="cs"/>
          <w:rtl/>
        </w:rPr>
        <w:t xml:space="preserve"> در مرحله دوم به صورت جمع به كار برده مي‌شود و مقصود از آن ارواح شامگاهان است. «وس ديو» نيز به صورت جمع به كار مي‌رود و كنايه‌ از دسته‌اي از ارواح است.</w:t>
      </w:r>
      <w:r>
        <w:rPr>
          <w:rStyle w:val="FootnoteReference"/>
          <w:rFonts w:cs="B Zar"/>
          <w:sz w:val="28"/>
          <w:szCs w:val="28"/>
          <w:rtl/>
        </w:rPr>
        <w:footnoteReference w:id="298"/>
      </w:r>
      <w:r w:rsidRPr="00175A44">
        <w:rPr>
          <w:rFonts w:cs="B Zar" w:hint="cs"/>
          <w:rtl/>
        </w:rPr>
        <w:t xml:space="preserve"> وسوَمتر براي ارواح دريا به كار برده مي شود.</w:t>
      </w:r>
      <w:r>
        <w:rPr>
          <w:rStyle w:val="FootnoteReference"/>
          <w:rFonts w:cs="B Zar"/>
          <w:sz w:val="28"/>
          <w:szCs w:val="28"/>
          <w:rtl/>
        </w:rPr>
        <w:footnoteReference w:id="299"/>
      </w:r>
      <w:r w:rsidRPr="00175A44">
        <w:rPr>
          <w:rFonts w:cs="B Zar" w:hint="cs"/>
          <w:rtl/>
        </w:rPr>
        <w:t xml:space="preserve"> ايندرا به صورت عقاب تصور مي شود.</w:t>
      </w:r>
      <w:r>
        <w:rPr>
          <w:rStyle w:val="FootnoteReference"/>
          <w:rFonts w:cs="B Zar"/>
          <w:sz w:val="28"/>
          <w:szCs w:val="28"/>
          <w:rtl/>
        </w:rPr>
        <w:footnoteReference w:id="300"/>
      </w:r>
      <w:r w:rsidRPr="00175A44">
        <w:rPr>
          <w:rFonts w:cs="B Zar" w:hint="cs"/>
          <w:rtl/>
        </w:rPr>
        <w:t xml:space="preserve"> مي دانيم كه مردم ابتدائي ارواح را به صورت پرندگان تصور مي‌كرده‌اند. ري بوها </w:t>
      </w:r>
      <w:r w:rsidRPr="00175A44">
        <w:rPr>
          <w:rFonts w:cs="B Zar"/>
        </w:rPr>
        <w:t>(Rhibus)</w:t>
      </w:r>
      <w:r w:rsidRPr="00175A44">
        <w:rPr>
          <w:rFonts w:cs="B Zar" w:hint="cs"/>
          <w:rtl/>
        </w:rPr>
        <w:t xml:space="preserve"> نيز به احتمال قوي كنايه از ارواح تصور مي شوند. آگني (آتش</w:t>
      </w:r>
      <w:r w:rsidRPr="00175A44">
        <w:rPr>
          <w:rFonts w:cs="B Zar"/>
        </w:rPr>
        <w:t>Agni=</w:t>
      </w:r>
      <w:r w:rsidRPr="00175A44">
        <w:rPr>
          <w:rFonts w:cs="B Zar" w:hint="cs"/>
          <w:rtl/>
        </w:rPr>
        <w:t>) در اين مرحله به صورت يك گاو سه شاخ است.</w:t>
      </w:r>
    </w:p>
    <w:p w:rsidR="0011420A" w:rsidRPr="00175A44" w:rsidP="003C0EF5">
      <w:pPr>
        <w:widowControl w:val="0"/>
        <w:spacing w:line="420" w:lineRule="exact"/>
        <w:ind w:left="0" w:right="0"/>
        <w:jc w:val="both"/>
        <w:rPr>
          <w:rFonts w:cs="B Zar" w:hint="cs"/>
          <w:rtl/>
        </w:rPr>
      </w:pPr>
      <w:r w:rsidRPr="00175A44">
        <w:rPr>
          <w:rFonts w:cs="B Zar" w:hint="cs"/>
          <w:rtl/>
        </w:rPr>
        <w:t>در اين مرحله ارواح نياكان نيز مورد پرستش قرار مي‌گيرند. اگني وسَ يكي از شاهزادگان است كه به حمايت جامعه، پس از مرگ مي پردازند.</w:t>
      </w:r>
      <w:r>
        <w:rPr>
          <w:rStyle w:val="FootnoteReference"/>
          <w:rFonts w:cs="B Zar"/>
          <w:sz w:val="28"/>
          <w:szCs w:val="28"/>
          <w:rtl/>
        </w:rPr>
        <w:footnoteReference w:id="301"/>
      </w:r>
      <w:r w:rsidRPr="00175A44">
        <w:rPr>
          <w:rFonts w:cs="B Zar" w:hint="cs"/>
          <w:rtl/>
        </w:rPr>
        <w:t xml:space="preserve"> سا و تري </w:t>
      </w:r>
      <w:r w:rsidRPr="00175A44">
        <w:rPr>
          <w:rFonts w:cs="B Zar"/>
        </w:rPr>
        <w:t>(</w:t>
      </w:r>
      <w:r w:rsidRPr="00175A44">
        <w:rPr>
          <w:rFonts w:cs="B Zar"/>
        </w:rPr>
        <w:t>Savitri)</w:t>
      </w:r>
      <w:r w:rsidRPr="00175A44">
        <w:rPr>
          <w:rFonts w:cs="B Zar" w:hint="cs"/>
          <w:rtl/>
        </w:rPr>
        <w:t xml:space="preserve"> فرزند او است كه روح او نيز حافظ جامعه است.</w:t>
      </w:r>
      <w:r>
        <w:rPr>
          <w:rStyle w:val="FootnoteReference"/>
          <w:rFonts w:cs="B Zar"/>
          <w:sz w:val="28"/>
          <w:szCs w:val="28"/>
          <w:rtl/>
        </w:rPr>
        <w:footnoteReference w:id="302"/>
      </w:r>
      <w:r w:rsidRPr="00175A44">
        <w:rPr>
          <w:rFonts w:cs="B Zar" w:hint="cs"/>
          <w:rtl/>
        </w:rPr>
        <w:t xml:space="preserve"> برخي معتقدند كه مقصور از انگيرس </w:t>
      </w:r>
      <w:r w:rsidRPr="00175A44">
        <w:rPr>
          <w:rFonts w:cs="B Zar"/>
        </w:rPr>
        <w:t>(Angiras)</w:t>
      </w:r>
      <w:r w:rsidRPr="00175A44">
        <w:rPr>
          <w:rFonts w:cs="B Zar" w:hint="cs"/>
          <w:rtl/>
        </w:rPr>
        <w:t xml:space="preserve"> نيز ارواح نياكان است. بهاردواج‌ها اعقاب انگيراس‌اند و آنان نيز نقش حمايت از آريائيها را ايفاء مي كنند. آنان تمام خصائص آدميان را در جهان هستي دارند. نيازها و حوايج، عواطف و احساسات و ساير ويژگي هاي آنان درست نظير ما مي باشد. از اينجا پيدا است آريائي ها نيز ارواح را نوعي همزاد انسان تلقي مي كرده اند كه با مرگ از جسد جدا شده، در قلمرو ياما به زندگي خود ادامه مي دهد.</w:t>
      </w:r>
      <w:r>
        <w:rPr>
          <w:rStyle w:val="FootnoteReference"/>
          <w:rFonts w:cs="B Zar"/>
          <w:sz w:val="28"/>
          <w:szCs w:val="28"/>
          <w:rtl/>
        </w:rPr>
        <w:footnoteReference w:id="303"/>
      </w:r>
      <w:r w:rsidRPr="00175A44">
        <w:rPr>
          <w:rFonts w:cs="B Zar" w:hint="cs"/>
          <w:rtl/>
        </w:rPr>
        <w:t xml:space="preserve"> در سام ودا به طور صريح ارواح به عنوان پرندگان توصيف شده‌اند كه به سوي قلمرو ياما مي شتابند.</w:t>
      </w:r>
      <w:r>
        <w:rPr>
          <w:rStyle w:val="FootnoteReference"/>
          <w:rFonts w:cs="B Zar"/>
          <w:sz w:val="28"/>
          <w:szCs w:val="28"/>
          <w:rtl/>
        </w:rPr>
        <w:footnoteReference w:id="304"/>
      </w:r>
    </w:p>
    <w:p w:rsidR="0011420A" w:rsidRPr="00175A44" w:rsidP="003C0EF5">
      <w:pPr>
        <w:widowControl w:val="0"/>
        <w:spacing w:line="420" w:lineRule="exact"/>
        <w:ind w:left="0" w:right="0"/>
        <w:jc w:val="both"/>
        <w:rPr>
          <w:rFonts w:cs="B Zar" w:hint="cs"/>
          <w:rtl/>
        </w:rPr>
      </w:pPr>
      <w:r w:rsidRPr="00175A44">
        <w:rPr>
          <w:rFonts w:cs="B Zar" w:hint="cs"/>
          <w:rtl/>
        </w:rPr>
        <w:t>درياجور ودا مناسكي كه براي برخي از مراسم مختلف قرباني بيان شده، نمايانگر تفكّر مرحله انيميستي است. در مراسم قرباني‌هايي كه براي ماه نو برگزار مي شد، اورادي براي دورنگهداشتن «ارواح بد»  قرائت مي گرديد. در آن مي خوانيم:</w:t>
      </w:r>
    </w:p>
    <w:p w:rsidR="0011420A" w:rsidRPr="00175A44" w:rsidP="003C0EF5">
      <w:pPr>
        <w:widowControl w:val="0"/>
        <w:spacing w:line="420" w:lineRule="exact"/>
        <w:ind w:left="0" w:right="0"/>
        <w:jc w:val="both"/>
        <w:rPr>
          <w:rFonts w:cs="B Zar" w:hint="cs"/>
          <w:rtl/>
        </w:rPr>
      </w:pPr>
      <w:r w:rsidRPr="00175A44">
        <w:rPr>
          <w:rFonts w:cs="B Zar" w:hint="cs"/>
          <w:rtl/>
        </w:rPr>
        <w:t>«دور باد شياطين، دور باد موجودات شرور</w:t>
      </w:r>
    </w:p>
    <w:p w:rsidR="0011420A" w:rsidRPr="00175A44" w:rsidP="003C0EF5">
      <w:pPr>
        <w:widowControl w:val="0"/>
        <w:spacing w:line="420" w:lineRule="exact"/>
        <w:ind w:left="0" w:right="0"/>
        <w:jc w:val="both"/>
        <w:rPr>
          <w:rFonts w:cs="B Zar" w:hint="cs"/>
          <w:rtl/>
        </w:rPr>
      </w:pPr>
      <w:r w:rsidRPr="00175A44">
        <w:rPr>
          <w:rFonts w:cs="B Zar" w:hint="cs"/>
          <w:rtl/>
        </w:rPr>
        <w:t>سوخته باد ارواح بد و اشباح خطرناك</w:t>
      </w:r>
      <w:r>
        <w:rPr>
          <w:rStyle w:val="FootnoteReference"/>
          <w:rFonts w:cs="B Zar"/>
          <w:sz w:val="28"/>
          <w:szCs w:val="28"/>
          <w:rtl/>
        </w:rPr>
        <w:footnoteReference w:id="305"/>
      </w:r>
    </w:p>
    <w:p w:rsidR="0011420A" w:rsidRPr="00175A44" w:rsidP="003C0EF5">
      <w:pPr>
        <w:widowControl w:val="0"/>
        <w:spacing w:line="420" w:lineRule="exact"/>
        <w:ind w:left="0" w:right="0"/>
        <w:jc w:val="both"/>
        <w:rPr>
          <w:rFonts w:cs="B Zar" w:hint="cs"/>
          <w:rtl/>
        </w:rPr>
      </w:pPr>
      <w:r w:rsidRPr="00175A44">
        <w:rPr>
          <w:rFonts w:cs="B Zar" w:hint="cs"/>
          <w:rtl/>
        </w:rPr>
        <w:t xml:space="preserve">در اين مناسك برخي اشياء به صورت فيتش </w:t>
      </w:r>
      <w:r w:rsidRPr="00175A44">
        <w:rPr>
          <w:rFonts w:cs="B Zar"/>
        </w:rPr>
        <w:t>(Fetish)</w:t>
      </w:r>
      <w:r w:rsidRPr="00175A44">
        <w:rPr>
          <w:rFonts w:cs="B Zar" w:hint="cs"/>
          <w:rtl/>
        </w:rPr>
        <w:t xml:space="preserve"> به كار مي‌رفته‌است. از جمله پوست آهوي سياه</w:t>
      </w:r>
      <w:r>
        <w:rPr>
          <w:rStyle w:val="FootnoteReference"/>
          <w:rFonts w:cs="B Zar"/>
          <w:sz w:val="28"/>
          <w:szCs w:val="28"/>
          <w:rtl/>
        </w:rPr>
        <w:footnoteReference w:id="306"/>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 xml:space="preserve">در شعر چهارم ياجور ودا مي خوانيم: </w:t>
      </w:r>
    </w:p>
    <w:p w:rsidR="0011420A" w:rsidP="003C0EF5">
      <w:pPr>
        <w:widowControl w:val="0"/>
        <w:spacing w:line="420" w:lineRule="exact"/>
        <w:ind w:left="0" w:right="0"/>
        <w:jc w:val="both"/>
        <w:rPr>
          <w:rFonts w:cs="B Zar" w:hint="cs"/>
          <w:rtl/>
        </w:rPr>
      </w:pPr>
      <w:r w:rsidRPr="00175A44">
        <w:rPr>
          <w:rFonts w:cs="B Zar" w:hint="cs"/>
          <w:rtl/>
        </w:rPr>
        <w:t>تبري مي جويم از اشباح، از ارواح بد،  تبري مي جويم از موجودات خطرناك.</w:t>
      </w:r>
      <w:r>
        <w:rPr>
          <w:rStyle w:val="FootnoteReference"/>
          <w:rFonts w:cs="B Zar"/>
          <w:sz w:val="28"/>
          <w:szCs w:val="28"/>
          <w:rtl/>
        </w:rPr>
        <w:footnoteReference w:id="307"/>
      </w:r>
      <w:r w:rsidRPr="00175A44">
        <w:rPr>
          <w:rFonts w:cs="B Zar" w:hint="cs"/>
          <w:rtl/>
        </w:rPr>
        <w:t xml:space="preserve"> در واقع تفسير و توجيه بخش اخير ريگ ودا و كل ياجور ودا، بدون توجّه به مبادي و مقدمات نگرش انيميسم امكان ندارد. بسياري از مناسك، مراسم قرباني و نذور كه در ياجور ودا بيان گرديده‌اند، منعكس كننده نگرش انيميستي</w:t>
      </w:r>
      <w:r w:rsidRPr="00175A44">
        <w:rPr>
          <w:rFonts w:cs="B Zar"/>
        </w:rPr>
        <w:t xml:space="preserve"> (Animism)</w:t>
      </w:r>
      <w:r w:rsidRPr="00175A44">
        <w:rPr>
          <w:rFonts w:cs="B Zar" w:hint="cs"/>
          <w:rtl/>
        </w:rPr>
        <w:t xml:space="preserve">‌اند. در اين مراسم اشياي مقدس كه نوعي فيتش </w:t>
      </w:r>
      <w:r w:rsidRPr="00175A44">
        <w:rPr>
          <w:rFonts w:cs="B Zar"/>
        </w:rPr>
        <w:t>(Fetish)</w:t>
      </w:r>
      <w:r w:rsidRPr="00175A44">
        <w:rPr>
          <w:rFonts w:cs="B Zar" w:hint="cs"/>
          <w:rtl/>
        </w:rPr>
        <w:t xml:space="preserve"> هستند، كراراً به كار برده مي‌شوند. برخي علامات كه ظاهراً طوايف هفتگانه آريائي (اعقاب ريشي‌ها) به عنوان «توتم» خود به كار مي‌برده‌اند نيز در اين مراسم مطرح بوده است. برخلاف ريگ ودا و سام ودا كه منعكس كننده نگرش ديني طبقه روشنفكران و علماي آريائي (براهمانان) است، ياجور ودا، پيش از اتهارو ودا</w:t>
      </w:r>
      <w:r w:rsidRPr="00175A44">
        <w:rPr>
          <w:rFonts w:cs="B Zar"/>
        </w:rPr>
        <w:t>(Atharvaveda)</w:t>
      </w:r>
      <w:r w:rsidRPr="00175A44">
        <w:rPr>
          <w:rFonts w:cs="B Zar" w:hint="cs"/>
          <w:rtl/>
        </w:rPr>
        <w:t xml:space="preserve"> منعكس كننده دين و عقايد عاميانه است. از همين جهت در اين دو سام هِتَّ (مجموعه) نگرش انيميستي بيشتر منعكس گرديده است.</w:t>
      </w:r>
    </w:p>
    <w:p w:rsidR="00D05BD1"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عناصر انيميسم در ياجور ودا</w:t>
      </w:r>
    </w:p>
    <w:p w:rsidR="0011420A" w:rsidRPr="00175A44" w:rsidP="003C0EF5">
      <w:pPr>
        <w:widowControl w:val="0"/>
        <w:spacing w:line="420" w:lineRule="exact"/>
        <w:ind w:left="0" w:right="0"/>
        <w:jc w:val="both"/>
        <w:rPr>
          <w:rFonts w:cs="B Zar" w:hint="cs"/>
          <w:rtl/>
        </w:rPr>
      </w:pPr>
      <w:r w:rsidRPr="00175A44">
        <w:rPr>
          <w:rFonts w:cs="B Zar" w:hint="cs"/>
          <w:rtl/>
        </w:rPr>
        <w:t>نخستين كتاب ياجور ودا</w:t>
      </w:r>
      <w:r w:rsidRPr="00175A44">
        <w:rPr>
          <w:rFonts w:cs="B Zar"/>
        </w:rPr>
        <w:t>(Yajur Veda)</w:t>
      </w:r>
      <w:r w:rsidRPr="00175A44">
        <w:rPr>
          <w:rFonts w:cs="B Zar" w:hint="cs"/>
          <w:rtl/>
        </w:rPr>
        <w:t xml:space="preserve"> راجع به مراسم ماه نو و ماه تمام است.</w:t>
      </w:r>
      <w:r>
        <w:rPr>
          <w:rStyle w:val="FootnoteReference"/>
          <w:rFonts w:cs="B Zar"/>
          <w:rtl/>
        </w:rPr>
        <w:footnoteReference w:id="308"/>
      </w:r>
      <w:r w:rsidRPr="00175A44">
        <w:rPr>
          <w:rFonts w:cs="B Zar" w:hint="cs"/>
          <w:rtl/>
        </w:rPr>
        <w:t xml:space="preserve"> در آغاز، اين مراسم جنبه پرستش طبيعت و ماه پرستي داشت</w:t>
      </w:r>
      <w:r w:rsidRPr="00175A44">
        <w:rPr>
          <w:rFonts w:cs="B Zar" w:hint="cs"/>
          <w:rtl/>
          <w:lang w:bidi="fa-IR"/>
        </w:rPr>
        <w:t>،</w:t>
      </w:r>
      <w:r w:rsidRPr="00175A44">
        <w:rPr>
          <w:rFonts w:cs="B Zar" w:hint="cs"/>
          <w:rtl/>
        </w:rPr>
        <w:t xml:space="preserve"> ولي در زماني كه ياجور ودا تدوين گرديد، بيشتر برای انجام مراسم جادوگونه براي مصون ماندن از آفات شب بود. مي دانيم كه اقوام ابتدائي تصور مي‌كردند كه ارواح بد بيشتر در شب جولان مي‌دهند. از جمله مناسك اين مراسم عبادي، جدا كردن گوساله از گاو، تهيه شير، تهيه برنج‌ها، پاشيدن آب به صورت تشريفاتي، گستراندن پوست آهوي سياه، و گذاشتن يك سنگ خاصي بر آن، مي باشد. تمام اين اعمال با قرائت اورادي همراه است كه در ياجور ودا گردآورده شده‌اند. اين مراسم آميخته‌اي از مراسم تقديم نذور مرحله پرستش طبيعت، مراسم قرباني در مرحله شرك، مراسم جادوئي، طلسم و اوراد مرحله انيميسم است و سنگي كه بر پوست آهوي سياه گذاشته مي شود،</w:t>
      </w:r>
      <w:r>
        <w:rPr>
          <w:rStyle w:val="FootnoteReference"/>
          <w:rFonts w:cs="B Zar"/>
          <w:rtl/>
        </w:rPr>
        <w:footnoteReference w:id="309"/>
      </w:r>
      <w:r w:rsidRPr="00175A44">
        <w:rPr>
          <w:rFonts w:cs="B Zar" w:hint="cs"/>
          <w:rtl/>
        </w:rPr>
        <w:t xml:space="preserve"> نوعي فيتش</w:t>
      </w:r>
      <w:r w:rsidRPr="00175A44">
        <w:rPr>
          <w:rFonts w:cs="B Zar"/>
        </w:rPr>
        <w:t xml:space="preserve"> (Fetish)</w:t>
      </w:r>
      <w:r w:rsidRPr="00175A44">
        <w:rPr>
          <w:rFonts w:cs="B Zar" w:hint="cs"/>
          <w:rtl/>
        </w:rPr>
        <w:t xml:space="preserve"> است. اين مراسم با «تابو»هاي گوناگون نيز همراه‌اند. از جمله آن «نذر خودداري» از شهوات و لذت‌ها مي باشد</w:t>
      </w:r>
      <w:r>
        <w:rPr>
          <w:rStyle w:val="FootnoteReference"/>
          <w:rFonts w:cs="B Zar"/>
          <w:rtl/>
        </w:rPr>
        <w:footnoteReference w:id="310"/>
      </w:r>
      <w:r w:rsidRPr="00175A44">
        <w:rPr>
          <w:rFonts w:cs="B Zar" w:hint="cs"/>
          <w:rtl/>
        </w:rPr>
        <w:t>. در اين مراسم دو «چوب» با اوراد خاصي در «آتش مقدس» انداخته مي شود. اينان نيز نوعي فيتش به نظر مي‌رسند. در طي اين مراسم ارواح نياكان مخاطب قرار مي‌گيرند و به مراسم قرباني فراخوانده مي شوند. در كتاب دوم مي خوانيم.</w:t>
      </w:r>
    </w:p>
    <w:p w:rsidR="0011420A" w:rsidRPr="00175A44" w:rsidP="003C0EF5">
      <w:pPr>
        <w:widowControl w:val="0"/>
        <w:spacing w:line="420" w:lineRule="exact"/>
        <w:ind w:left="0" w:right="0"/>
        <w:jc w:val="both"/>
        <w:rPr>
          <w:rFonts w:cs="B Zar" w:hint="cs"/>
          <w:rtl/>
        </w:rPr>
      </w:pPr>
      <w:r w:rsidRPr="00175A44">
        <w:rPr>
          <w:rFonts w:cs="B Zar" w:hint="cs"/>
          <w:rtl/>
        </w:rPr>
        <w:t>«اي پدران بسوي ما بشتابيد و به صورت گاو نرينه بسوي ما بياييد</w:t>
      </w:r>
      <w:r>
        <w:rPr>
          <w:rStyle w:val="FootnoteReference"/>
          <w:rFonts w:cs="B Zar"/>
          <w:rtl/>
        </w:rPr>
        <w:footnoteReference w:id="311"/>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ممكن است گاو نرينه توتم برخي قبايل آريائي باشد و يا آنان صرفاً ارواح مردگان و نياكان را به صورت «گاو نرينه» تصوّر مي كرده‌اند. در تمام اين مراسم «گاو» داراي اهميت خاصي بوده</w:t>
      </w:r>
      <w:r>
        <w:rPr>
          <w:rStyle w:val="FootnoteReference"/>
          <w:rFonts w:cs="B Zar"/>
          <w:rtl/>
        </w:rPr>
        <w:footnoteReference w:id="312"/>
      </w:r>
      <w:r w:rsidRPr="00175A44">
        <w:rPr>
          <w:rFonts w:cs="B Zar" w:hint="cs"/>
          <w:rtl/>
        </w:rPr>
        <w:t xml:space="preserve"> و به احتمال قوي «گاو مادينه» توتم عمومي آريائي‌ها بوده است. كشتن و ذبح كردن گاو «تابو» بوده و هنوز نيز در هند گاوكشي قدغن است.</w:t>
      </w:r>
    </w:p>
    <w:p w:rsidR="0011420A" w:rsidRPr="00175A44" w:rsidP="003C0EF5">
      <w:pPr>
        <w:widowControl w:val="0"/>
        <w:spacing w:line="420" w:lineRule="exact"/>
        <w:ind w:left="0" w:right="0"/>
        <w:jc w:val="both"/>
        <w:rPr>
          <w:rFonts w:cs="B Zar" w:hint="cs"/>
          <w:rtl/>
        </w:rPr>
      </w:pPr>
      <w:r w:rsidRPr="00175A44">
        <w:rPr>
          <w:rFonts w:cs="B Zar" w:hint="cs"/>
          <w:rtl/>
        </w:rPr>
        <w:t>گاو در اجتماعات تمام اقوام آريائي داراي موقعيت والائي بوده است. كلماتي كه در ساير زبانهاي آريائي رائج است مشابه بهم است، در زبان سانسكريت آنرا «گئو» مي گويند كه جمع آن «گاوس» است، در فارسي گاو، در انگليسي «كاو» در آلماني «چَئو»، در آلماني جديد «كوهُ» ، در زبانهاي سلاو «گووء يادو»، در زبان سروي جديد «گئودار» در زبان روسي «گوويا دينا» و گوسپودين مي‌گويند. در مرحله اول طبيعت‌پرستي ممكن است آريائي‌ها به خاطر ماهيت سودآور اين حيوان به پرستش آن پرداخته باشند؛ چرا كه در مرحله پرستش طبيعت هرچيز شگفت، پرعظمت، مرموز، زيبا، قهار، مفيد يا مضر، مورد تقديس و پرستش قرار مي‌گيرد. گاو براي اجتماع آريائي همان اهميت را داشت كه شتر براي اعراب جاهلي و گوسفند براي تركمن‌ها. هر خانواده آريائي يك يا چند گاو داشته است. اين امر نمايانگر آن نيز هست كه در حوالي سال 1500 ق م آريائي‌هاي هند به مرحله زندگي ثابت نيمه روستائي و زراعي رسيده بودند؛ چرا كه دامداران گاو برخلاف دامداران گوسفند نمي‌توانند ييلاق و قشلاق كنند و يا دائماً در حال كوچ باشند. با ارابه‌هايي كه گاو مي‌كشد نمي توان راه درازي را پيمود. اساساً اين سواري درون شهري بوده است. تغذيه گاو و دوشيدن آن نيز به وسائلي نياز دارد كه مشروط به زندگي ثابت است.</w:t>
      </w:r>
    </w:p>
    <w:p w:rsidR="0011420A" w:rsidRPr="00175A44" w:rsidP="003C0EF5">
      <w:pPr>
        <w:widowControl w:val="0"/>
        <w:spacing w:line="420" w:lineRule="exact"/>
        <w:ind w:left="0" w:right="0"/>
        <w:jc w:val="both"/>
        <w:rPr>
          <w:rFonts w:cs="B Zar" w:hint="cs"/>
          <w:rtl/>
        </w:rPr>
      </w:pPr>
      <w:r w:rsidRPr="00175A44">
        <w:rPr>
          <w:rFonts w:cs="B Zar" w:hint="cs"/>
          <w:rtl/>
        </w:rPr>
        <w:t>در مرحله دوم «گاو» ممكن است به صورت «توتم» اصلي آريائي‌ها در آمده باشد. نقش آن در مراسم ديني و نيز تابو شدن گوشت آن چنانچه در ياجور ودا صريحاً بيان مي‌شود، اشاراتي بدان نكته مي باشد.</w:t>
      </w:r>
    </w:p>
    <w:p w:rsidR="0011420A" w:rsidRPr="00175A44" w:rsidP="003C0EF5">
      <w:pPr>
        <w:widowControl w:val="0"/>
        <w:spacing w:line="420" w:lineRule="exact"/>
        <w:ind w:left="0" w:right="0"/>
        <w:jc w:val="both"/>
        <w:rPr>
          <w:rFonts w:cs="B Zar" w:hint="cs"/>
          <w:rtl/>
        </w:rPr>
      </w:pPr>
      <w:r w:rsidRPr="00175A44">
        <w:rPr>
          <w:rFonts w:cs="B Zar" w:hint="cs"/>
          <w:rtl/>
        </w:rPr>
        <w:t>دومين مراسم ديني، كه در ياجور ودا شرح داده شده و اوراد آن نقل گرديده است مراسم سوما</w:t>
      </w:r>
      <w:r w:rsidRPr="00175A44">
        <w:rPr>
          <w:rFonts w:cs="B Zar"/>
        </w:rPr>
        <w:t>(Soma)</w:t>
      </w:r>
      <w:r w:rsidRPr="00175A44">
        <w:rPr>
          <w:rFonts w:cs="B Zar" w:hint="cs"/>
          <w:rtl/>
        </w:rPr>
        <w:t xml:space="preserve"> مي‌باشد. كتاب چهارم تا كتاب بيست و يكم، در تحليل اين مراسم است كه بسياري از عناصر آئين انيميسم در آن وجود دارد. اين مراسم با «اپسوديكشا»</w:t>
      </w:r>
      <w:r w:rsidRPr="00175A44">
        <w:rPr>
          <w:rFonts w:cs="B Zar"/>
          <w:rtl/>
        </w:rPr>
        <w:br/>
      </w:r>
      <w:r w:rsidRPr="00175A44">
        <w:rPr>
          <w:rFonts w:cs="B Zar"/>
        </w:rPr>
        <w:t>(Apso-diksha)</w:t>
      </w:r>
      <w:r w:rsidRPr="00175A44">
        <w:rPr>
          <w:rFonts w:cs="B Zar" w:hint="cs"/>
          <w:rtl/>
        </w:rPr>
        <w:t xml:space="preserve"> شروع مي‌شود. عبادت‌گزاران چوبي را كه باز نوعي فتيش ‌است، در دست مي‌گيرند و به تلاوت اوراد مي پردازند.</w:t>
      </w:r>
      <w:r>
        <w:rPr>
          <w:rStyle w:val="FootnoteReference"/>
          <w:rFonts w:cs="B Zar"/>
          <w:rtl/>
        </w:rPr>
        <w:footnoteReference w:id="313"/>
      </w:r>
      <w:r w:rsidRPr="00175A44">
        <w:rPr>
          <w:rFonts w:cs="B Zar" w:hint="cs"/>
          <w:rtl/>
        </w:rPr>
        <w:t xml:space="preserve"> دو پوستين «آهوي سياه» بر زمين گسترانده مي‌شود و مي‌گويند: «تو علامت ريگ‌ودا هستي، تو علامت سام ودا هستي». كاربرد مكّرر پوستين آهوي «سياه» نيز نمايانگر آن است كه ميان آريائي‌ها داراي تقدس، و نوعي «فتيش» بوده، كه در مراسم جادوئي و مراسم ديني به كار مي رفته است.</w:t>
      </w:r>
      <w:r>
        <w:rPr>
          <w:rStyle w:val="FootnoteReference"/>
          <w:rFonts w:cs="B Zar"/>
          <w:rtl/>
        </w:rPr>
        <w:footnoteReference w:id="314"/>
      </w:r>
      <w:r w:rsidRPr="00175A44">
        <w:rPr>
          <w:rFonts w:cs="B Zar" w:hint="cs"/>
          <w:rtl/>
        </w:rPr>
        <w:t xml:space="preserve"> در طي اين مراسم عبادي نيز در جاهائي متعدد، عبادت گزار از تاثير بد ارواح خبيثه امان مي طلبد و براي اين كار ارواح نياكان (انگيراس</w:t>
      </w:r>
      <w:r w:rsidRPr="00175A44">
        <w:rPr>
          <w:rFonts w:cs="B Zar"/>
        </w:rPr>
        <w:t>Angiras=</w:t>
      </w:r>
      <w:r w:rsidRPr="00175A44">
        <w:rPr>
          <w:rFonts w:cs="B Zar" w:hint="cs"/>
          <w:rtl/>
        </w:rPr>
        <w:t>) را به ياري مي‌طلبد و اين امر نمايانگر اين نكته است كه آريائي‌ها نظير ساير اقوامي كه در مرحله انيميسم قرار دارند، ارواح نياكان را حافظ و نگهدارنده خود مي‌دانسته‌اند.</w:t>
      </w:r>
      <w:r>
        <w:rPr>
          <w:rStyle w:val="FootnoteReference"/>
          <w:rFonts w:cs="B Zar"/>
          <w:rtl/>
        </w:rPr>
        <w:footnoteReference w:id="315"/>
      </w:r>
    </w:p>
    <w:p w:rsidR="0011420A" w:rsidRPr="00175A44" w:rsidP="003C0EF5">
      <w:pPr>
        <w:widowControl w:val="0"/>
        <w:spacing w:line="420" w:lineRule="exact"/>
        <w:ind w:left="0" w:right="0"/>
        <w:jc w:val="both"/>
        <w:rPr>
          <w:rFonts w:cs="B Zar" w:hint="cs"/>
          <w:rtl/>
        </w:rPr>
      </w:pPr>
      <w:r w:rsidRPr="00175A44">
        <w:rPr>
          <w:rFonts w:cs="B Zar" w:hint="cs"/>
          <w:rtl/>
        </w:rPr>
        <w:t>در طي اين مراسم «طلا» نيز به كار مي‌برده‌اند. يك سكه طلا را با گياه خاصي پوشانده و در كره قرار مي‌داده‌اند. اين مناسك را «هِرَنَ ياوتي آهوتي» مي‌ناميده‌اند. در اورادي كه در اين مراسم تلاوت مي شود به «اَدَتي»</w:t>
      </w:r>
      <w:r w:rsidRPr="00175A44">
        <w:rPr>
          <w:rFonts w:cs="B Zar"/>
        </w:rPr>
        <w:t>(Aditi)</w:t>
      </w:r>
      <w:r w:rsidRPr="00175A44">
        <w:rPr>
          <w:rFonts w:cs="B Zar" w:hint="cs"/>
          <w:rtl/>
        </w:rPr>
        <w:t xml:space="preserve"> نيز زياد اشاره مي‌شود؛ ادتي ممكن است كنايه اي از «روح جهاني» باشد.</w:t>
      </w:r>
      <w:r>
        <w:rPr>
          <w:rStyle w:val="FootnoteReference"/>
          <w:rFonts w:cs="B Zar"/>
          <w:rtl/>
        </w:rPr>
        <w:footnoteReference w:id="316"/>
      </w:r>
      <w:r w:rsidRPr="00175A44">
        <w:rPr>
          <w:rFonts w:cs="B Zar" w:hint="cs"/>
          <w:rtl/>
        </w:rPr>
        <w:t xml:space="preserve"> اگر اين درست باشد، در آنصورت آريائي‌ها در مرحله دوم تصوري از «مانا» يا روح بزرگ آفاقي نيز داشته‌اند.</w:t>
      </w:r>
    </w:p>
    <w:p w:rsidR="0011420A" w:rsidRPr="00175A44" w:rsidP="003C0EF5">
      <w:pPr>
        <w:widowControl w:val="0"/>
        <w:spacing w:line="420" w:lineRule="exact"/>
        <w:ind w:left="0" w:right="0"/>
        <w:jc w:val="both"/>
        <w:rPr>
          <w:rFonts w:cs="B Zar" w:hint="cs"/>
          <w:rtl/>
        </w:rPr>
      </w:pPr>
      <w:r w:rsidRPr="00175A44">
        <w:rPr>
          <w:rFonts w:cs="B Zar" w:hint="cs"/>
          <w:rtl/>
        </w:rPr>
        <w:t>در مراسم «سوما»</w:t>
      </w:r>
      <w:r w:rsidRPr="00175A44">
        <w:rPr>
          <w:rFonts w:cs="B Zar"/>
        </w:rPr>
        <w:t>(Soma)</w:t>
      </w:r>
      <w:r w:rsidRPr="00175A44">
        <w:rPr>
          <w:rFonts w:cs="B Zar" w:hint="cs"/>
          <w:rtl/>
        </w:rPr>
        <w:t xml:space="preserve"> نيز به ارواح نياكان توسل جسته مي‌شود. از جمله آنها هاپُرو راواسا شوهر اُروَسي</w:t>
      </w:r>
      <w:r w:rsidRPr="00175A44">
        <w:rPr>
          <w:rFonts w:cs="B Zar"/>
        </w:rPr>
        <w:t>(Urusi)</w:t>
      </w:r>
      <w:r w:rsidRPr="00175A44">
        <w:rPr>
          <w:rFonts w:cs="B Zar" w:hint="cs"/>
          <w:rtl/>
        </w:rPr>
        <w:t xml:space="preserve"> و پدر آيو</w:t>
      </w:r>
      <w:r w:rsidRPr="00175A44">
        <w:rPr>
          <w:rFonts w:cs="B Zar"/>
        </w:rPr>
        <w:t xml:space="preserve"> (Ayu)</w:t>
      </w:r>
      <w:r w:rsidRPr="00175A44">
        <w:rPr>
          <w:rFonts w:cs="B Zar" w:hint="cs"/>
          <w:rtl/>
        </w:rPr>
        <w:t>َ است.</w:t>
      </w:r>
      <w:r>
        <w:rPr>
          <w:rStyle w:val="FootnoteReference"/>
          <w:rFonts w:cs="B Zar"/>
          <w:rtl/>
        </w:rPr>
        <w:footnoteReference w:id="317"/>
      </w:r>
      <w:r w:rsidRPr="00175A44">
        <w:rPr>
          <w:rFonts w:cs="B Zar" w:hint="cs"/>
          <w:rtl/>
        </w:rPr>
        <w:t xml:space="preserve"> از او تقاضا مي‌شود مراسم مذهبي را از رخنه ارواح بد و تاثير سوء آنان محفوظ نگهدارد. سپس عمل خاصي انجام مي دهند كه عبارت است از ريختن آب  ـ‌ كه برآن اورادي خوانده شده است  ـ‌ در چند سوراخ، همراه با خواندن اين اذكار:</w:t>
      </w:r>
    </w:p>
    <w:p w:rsidR="0011420A" w:rsidRPr="00175A44" w:rsidP="003C0EF5">
      <w:pPr>
        <w:widowControl w:val="0"/>
        <w:spacing w:line="420" w:lineRule="exact"/>
        <w:ind w:left="0" w:right="0"/>
        <w:jc w:val="both"/>
        <w:rPr>
          <w:rFonts w:cs="B Zar" w:hint="cs"/>
          <w:rtl/>
        </w:rPr>
      </w:pPr>
      <w:r w:rsidRPr="00175A44">
        <w:rPr>
          <w:rFonts w:cs="B Zar" w:hint="cs"/>
          <w:i/>
          <w:iCs/>
          <w:rtl/>
        </w:rPr>
        <w:t>«من اي آب مقدس تو را در سوراخ‌ها مي ريزم تا راه رفته ارواح بد را ببندي. من ترا مي‌پاشم اي آنكه وشنو دوست داشت! اي كشنده دسيسه‌هاي ساحران و طلسم‌هاي خطرناك</w:t>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با مختصر تغيير كلمات، اين اوراد چهار مرتبه تكرار مي شود</w:t>
      </w:r>
      <w:r>
        <w:rPr>
          <w:rStyle w:val="FootnoteReference"/>
          <w:rFonts w:cs="B Zar"/>
          <w:rtl/>
        </w:rPr>
        <w:footnoteReference w:id="318"/>
      </w:r>
      <w:r w:rsidRPr="00175A44">
        <w:rPr>
          <w:rFonts w:cs="B Zar" w:hint="cs"/>
          <w:rtl/>
        </w:rPr>
        <w:t>. سپس شاخه بزرگ يك درخت را مي‌آورند و طي مراسمي آنرا قطع مي‌كنند و مي‌گويند: من به وسيله اينها، راكشس (شيطان) را گردن مي‌زنم</w:t>
      </w:r>
      <w:r>
        <w:rPr>
          <w:rStyle w:val="FootnoteReference"/>
          <w:rFonts w:cs="B Zar"/>
          <w:rtl/>
        </w:rPr>
        <w:footnoteReference w:id="319"/>
      </w:r>
      <w:r w:rsidRPr="00175A44">
        <w:rPr>
          <w:rFonts w:cs="B Zar" w:hint="cs"/>
          <w:rtl/>
        </w:rPr>
        <w:t xml:space="preserve"> سپس ضمن تلاوت اوراد ديگر و انجام اعمال ديگر مي گويد:</w:t>
      </w:r>
    </w:p>
    <w:p w:rsidR="0011420A" w:rsidRPr="00175A44" w:rsidP="003C0EF5">
      <w:pPr>
        <w:widowControl w:val="0"/>
        <w:spacing w:line="420" w:lineRule="exact"/>
        <w:ind w:left="0" w:right="0"/>
        <w:jc w:val="both"/>
        <w:rPr>
          <w:rFonts w:cs="B Zar" w:hint="cs"/>
          <w:rtl/>
        </w:rPr>
      </w:pPr>
      <w:r w:rsidRPr="00175A44">
        <w:rPr>
          <w:rFonts w:cs="B Zar" w:hint="cs"/>
          <w:rtl/>
        </w:rPr>
        <w:t>«اينك من ديوان و ارواح پليد را اخراج مي كنم ... ديوان را به ديار تاريكي تبعيد مي‌كنم</w:t>
      </w:r>
      <w:r>
        <w:rPr>
          <w:rStyle w:val="FootnoteReference"/>
          <w:rFonts w:cs="B Zar"/>
          <w:i/>
          <w:iCs/>
          <w:rtl/>
        </w:rPr>
        <w:footnoteReference w:id="320"/>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سومين مراسم ديني كه در ياجور ودا</w:t>
      </w:r>
      <w:r w:rsidRPr="00175A44">
        <w:rPr>
          <w:rFonts w:cs="B Zar"/>
        </w:rPr>
        <w:t>(Yajur Veda)</w:t>
      </w:r>
      <w:r w:rsidRPr="00175A44">
        <w:rPr>
          <w:rFonts w:cs="B Zar" w:hint="cs"/>
          <w:rtl/>
        </w:rPr>
        <w:t xml:space="preserve"> شرح داده شده است، «مراسم قرباني» يا «اسواميدها»</w:t>
      </w:r>
      <w:r w:rsidRPr="00175A44">
        <w:rPr>
          <w:rFonts w:cs="B Zar"/>
        </w:rPr>
        <w:t>(Asvamid)</w:t>
      </w:r>
      <w:r w:rsidRPr="00175A44">
        <w:rPr>
          <w:rFonts w:cs="B Zar" w:hint="cs"/>
          <w:rtl/>
        </w:rPr>
        <w:t xml:space="preserve"> است. اين يكي از مهمترين مراسم ديني آريائي‌ها بوده و آنرا عموماً رئيس قبايل يا پادشاه ترتيب مي‌داده است. هدف آن به دست آوردن قدرت و نيرو از طريق انجام يك سلسله اعمال‌ جادوگونه بوده كه سرانجام منتهي به كشتن اسب مي‌شد.</w:t>
      </w:r>
      <w:r>
        <w:rPr>
          <w:rStyle w:val="FootnoteReference"/>
          <w:rFonts w:cs="B Zar"/>
          <w:rtl/>
        </w:rPr>
        <w:footnoteReference w:id="321"/>
      </w:r>
      <w:r w:rsidRPr="00175A44">
        <w:rPr>
          <w:rFonts w:cs="B Zar" w:hint="cs"/>
          <w:rtl/>
        </w:rPr>
        <w:t xml:space="preserve"> اين نشان مي‌دهد كه نظير ساير اقوامي كه داراي نگرش انيميستي‌اند، آريائي‌ها نيز در اين مرحلة سيرانديشه ديني خود، چنان فكر مي‌كرده‌اند كه با انجام اعمال جادوگرانه و با تلاوت و قرائت اوراد خاصي كه در ياجور ودا گرد هم آمده‌اند، مي‌توانند حتي قدرت و نفوذ سياسي  و نيز توفيق در  اداره امور كشوري را به دست آورند. در مرحله انيميسم انسان توفيق را امري بسته به عنايت خدا يا خدايان نمي‌داند، بلكه آنرا نتيجه منطقي انجام اعمال خاص جادوگونه خود مي‌پندارد، گوئي با برگزاري اين اعمال اراده خدايان يا ارواح آفاقي را مسخر مي سازد و هرچه مقصود و مطلوب داشته باشد، به دست مي آورد.</w:t>
      </w:r>
    </w:p>
    <w:p w:rsidR="0011420A" w:rsidP="003C0EF5">
      <w:pPr>
        <w:widowControl w:val="0"/>
        <w:spacing w:line="420" w:lineRule="exact"/>
        <w:ind w:left="0" w:right="0"/>
        <w:jc w:val="both"/>
        <w:rPr>
          <w:rFonts w:cs="B Zar" w:hint="cs"/>
          <w:rtl/>
        </w:rPr>
      </w:pPr>
      <w:r w:rsidRPr="00175A44">
        <w:rPr>
          <w:rFonts w:cs="B Zar" w:hint="cs"/>
          <w:rtl/>
        </w:rPr>
        <w:t>آخرين مراسم ديني كه در ياجور ودا بيان مي‌گردد، مراسم قرباني انسان است كه آنرا پوروش ميده</w:t>
      </w:r>
      <w:r w:rsidRPr="00175A44">
        <w:rPr>
          <w:rFonts w:cs="B Zar"/>
        </w:rPr>
        <w:t xml:space="preserve"> (Purusha Meda)</w:t>
      </w:r>
      <w:r w:rsidRPr="00175A44">
        <w:rPr>
          <w:rFonts w:cs="B Zar" w:hint="cs"/>
          <w:rtl/>
        </w:rPr>
        <w:t xml:space="preserve"> مي‌گويند.</w:t>
      </w:r>
      <w:r>
        <w:rPr>
          <w:rStyle w:val="FootnoteReference"/>
          <w:rFonts w:cs="B Zar"/>
          <w:rtl/>
        </w:rPr>
        <w:footnoteReference w:id="322"/>
      </w:r>
      <w:r w:rsidRPr="00175A44">
        <w:rPr>
          <w:rFonts w:cs="B Zar" w:hint="cs"/>
          <w:rtl/>
        </w:rPr>
        <w:t xml:space="preserve"> در اوايل ممكن است اين مراسم وحشيانه و به طور واقعي اجرا مي‌شد، ولي در دوره‌هاي بعدي حالت سمبليك گرفت. نمايندگان از هر قشر جامعه طي تشريفاتي به قربانگاه برده مي شدند و سپس با اشارات و رموز، گوئي آنان قربان مي‌گرديدند. اين مراسم نمونه بارز اعمال جادوئي و اعتقاد به ارواح و نگرش انيميسم در ودا است.</w:t>
      </w:r>
    </w:p>
    <w:p w:rsidR="00395C45"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b/>
          <w:bCs/>
          <w:rtl/>
        </w:rPr>
      </w:pPr>
      <w:r w:rsidRPr="00175A44">
        <w:rPr>
          <w:rFonts w:cs="B Zar" w:hint="cs"/>
          <w:b/>
          <w:bCs/>
          <w:rtl/>
        </w:rPr>
        <w:t>عناصر انيميسم در اتَهاروَ ودا</w:t>
      </w:r>
      <w:r w:rsidRPr="00175A44">
        <w:rPr>
          <w:rFonts w:cs="B Zar"/>
          <w:b/>
          <w:bCs/>
        </w:rPr>
        <w:t xml:space="preserve"> (Atharvaveda)</w:t>
      </w:r>
    </w:p>
    <w:p w:rsidR="0011420A" w:rsidRPr="00175A44" w:rsidP="003C0EF5">
      <w:pPr>
        <w:widowControl w:val="0"/>
        <w:spacing w:line="420" w:lineRule="exact"/>
        <w:ind w:left="0" w:right="0"/>
        <w:jc w:val="both"/>
        <w:rPr>
          <w:rFonts w:cs="B Zar" w:hint="cs"/>
          <w:rtl/>
        </w:rPr>
      </w:pPr>
      <w:r w:rsidRPr="00175A44">
        <w:rPr>
          <w:rFonts w:cs="B Zar" w:hint="cs"/>
          <w:rtl/>
        </w:rPr>
        <w:t>گوياترين سند مرحله دوم سير انديشه ديني آريائيان و نگرش انيميستي آنان اَتَهارو‌ودا است. اَتَهاروَ ودا ظاهراً پس از هر سه وداي ديگر تدوين گرديد، ولي مشتمل بر مطالب و محتوایی است كه به استثناي بخش اول ريگ‌ودا از ساير بخشها و كتابهاي ودا، قديمي تر است. گذشته از آن، برخلاف ريگ‌ودا</w:t>
      </w:r>
      <w:r w:rsidRPr="00175A44">
        <w:rPr>
          <w:rFonts w:cs="B Zar"/>
        </w:rPr>
        <w:t>(Rig Veda)</w:t>
      </w:r>
      <w:r w:rsidRPr="00175A44">
        <w:rPr>
          <w:rFonts w:cs="B Zar" w:hint="cs"/>
          <w:rtl/>
        </w:rPr>
        <w:t xml:space="preserve"> و سام ودا</w:t>
      </w:r>
      <w:r w:rsidRPr="00175A44">
        <w:rPr>
          <w:rFonts w:cs="B Zar"/>
        </w:rPr>
        <w:t>(Sama Veda)</w:t>
      </w:r>
      <w:r w:rsidRPr="00175A44">
        <w:rPr>
          <w:rFonts w:cs="B Zar" w:hint="cs"/>
          <w:rtl/>
        </w:rPr>
        <w:t>، اَتهاروَ ودا نمايانگر اعتقادات و باورهاي عاميانه توده‌هاي مردم است و طبيعي است كه از همه بيشتر، منعكس كننده عناصر انيميستي از جمله اعتقاد توده‌هاي آريائي به جادو، كارآيي طلسم، اوراد و تعويذها، اعتقاد آنان به ارواح پديده‌هاي طبيعت، ارواح و اشباح مردگان، توتم‌ها، فتيش‌ها و تابوها است. اتهاروا ودا كلاً مشتمل بر اوراد و اذكار است. اين اوراد را مي توانيم در دسته هاي زير تقسيم كنيم:</w:t>
      </w:r>
    </w:p>
    <w:p w:rsidR="0011420A" w:rsidRPr="00175A44" w:rsidP="003C0EF5">
      <w:pPr>
        <w:widowControl w:val="0"/>
        <w:spacing w:line="420" w:lineRule="exact"/>
        <w:ind w:left="0" w:right="0"/>
        <w:jc w:val="both"/>
        <w:rPr>
          <w:rFonts w:cs="B Zar" w:hint="cs"/>
          <w:rtl/>
        </w:rPr>
      </w:pPr>
      <w:r w:rsidRPr="00175A44">
        <w:rPr>
          <w:rFonts w:cs="B Zar" w:hint="cs"/>
          <w:rtl/>
        </w:rPr>
        <w:t>الف ـ اوراد براي  دفع امراض و شفاي بيماري‌ها؛</w:t>
      </w:r>
    </w:p>
    <w:p w:rsidR="0011420A" w:rsidRPr="00175A44" w:rsidP="003C0EF5">
      <w:pPr>
        <w:widowControl w:val="0"/>
        <w:spacing w:line="420" w:lineRule="exact"/>
        <w:ind w:left="0" w:right="0"/>
        <w:jc w:val="both"/>
        <w:rPr>
          <w:rFonts w:cs="B Zar" w:hint="cs"/>
          <w:rtl/>
        </w:rPr>
      </w:pPr>
      <w:r w:rsidRPr="00175A44">
        <w:rPr>
          <w:rFonts w:cs="B Zar" w:hint="cs"/>
          <w:rtl/>
        </w:rPr>
        <w:t>ب ـ اوراد براي دفع بليات و آفات؛</w:t>
      </w:r>
    </w:p>
    <w:p w:rsidR="0011420A" w:rsidRPr="00175A44" w:rsidP="003C0EF5">
      <w:pPr>
        <w:widowControl w:val="0"/>
        <w:spacing w:line="420" w:lineRule="exact"/>
        <w:ind w:left="0" w:right="0"/>
        <w:jc w:val="both"/>
        <w:rPr>
          <w:rFonts w:cs="B Zar" w:hint="cs"/>
          <w:rtl/>
        </w:rPr>
      </w:pPr>
      <w:r w:rsidRPr="00175A44">
        <w:rPr>
          <w:rFonts w:cs="B Zar" w:hint="cs"/>
          <w:rtl/>
        </w:rPr>
        <w:t>ج ـ ادعيه و تعويذها براي دفع اثرات بد سحر و جادو و آسيب ارواح و اشباح؛</w:t>
      </w:r>
    </w:p>
    <w:p w:rsidR="0011420A" w:rsidRPr="00175A44" w:rsidP="003C0EF5">
      <w:pPr>
        <w:widowControl w:val="0"/>
        <w:spacing w:line="420" w:lineRule="exact"/>
        <w:ind w:left="0" w:right="0"/>
        <w:jc w:val="both"/>
        <w:rPr>
          <w:rFonts w:cs="B Zar" w:hint="cs"/>
          <w:rtl/>
        </w:rPr>
      </w:pPr>
      <w:r w:rsidRPr="00175A44">
        <w:rPr>
          <w:rFonts w:cs="B Zar" w:hint="cs"/>
          <w:rtl/>
        </w:rPr>
        <w:t>د ـ اوراد براي كسب پيروزي در جنگ و دفع دسيسه دشمنان؛</w:t>
      </w:r>
    </w:p>
    <w:p w:rsidR="0011420A" w:rsidRPr="00175A44" w:rsidP="003C0EF5">
      <w:pPr>
        <w:widowControl w:val="0"/>
        <w:spacing w:line="420" w:lineRule="exact"/>
        <w:ind w:left="0" w:right="0"/>
        <w:jc w:val="both"/>
        <w:rPr>
          <w:rFonts w:cs="B Zar" w:hint="cs"/>
          <w:rtl/>
        </w:rPr>
      </w:pPr>
      <w:r w:rsidRPr="00175A44">
        <w:rPr>
          <w:rFonts w:cs="B Zar" w:hint="cs"/>
          <w:rtl/>
        </w:rPr>
        <w:t>هـ ـ اوراد براي توفيق در امور و شئون اقتصادي و ازدياد مال و منال و اولاد؛</w:t>
      </w:r>
    </w:p>
    <w:p w:rsidR="0011420A" w:rsidRPr="00175A44" w:rsidP="003C0EF5">
      <w:pPr>
        <w:widowControl w:val="0"/>
        <w:spacing w:line="420" w:lineRule="exact"/>
        <w:ind w:left="0" w:right="0"/>
        <w:jc w:val="both"/>
        <w:rPr>
          <w:rFonts w:cs="B Zar" w:hint="cs"/>
          <w:rtl/>
        </w:rPr>
      </w:pPr>
      <w:r w:rsidRPr="00175A44">
        <w:rPr>
          <w:rFonts w:cs="B Zar" w:hint="cs"/>
          <w:rtl/>
        </w:rPr>
        <w:t>و ـ اوراد براي توفيق در عشق و محبت و يا در روابط زناشویي؛</w:t>
      </w:r>
    </w:p>
    <w:p w:rsidR="0011420A" w:rsidRPr="00175A44" w:rsidP="003C0EF5">
      <w:pPr>
        <w:widowControl w:val="0"/>
        <w:spacing w:line="420" w:lineRule="exact"/>
        <w:ind w:left="0" w:right="0"/>
        <w:jc w:val="both"/>
        <w:rPr>
          <w:rFonts w:cs="B Zar" w:hint="cs"/>
          <w:rtl/>
        </w:rPr>
      </w:pPr>
      <w:r w:rsidRPr="00175A44">
        <w:rPr>
          <w:rFonts w:cs="B Zar" w:hint="cs"/>
          <w:rtl/>
        </w:rPr>
        <w:t>ز ـ ارواد راجع به اساطير به خصوص اساطير آفرينش؛</w:t>
      </w:r>
    </w:p>
    <w:p w:rsidR="0011420A" w:rsidRPr="00175A44" w:rsidP="003C0EF5">
      <w:pPr>
        <w:widowControl w:val="0"/>
        <w:spacing w:line="420" w:lineRule="exact"/>
        <w:ind w:left="0" w:right="0"/>
        <w:jc w:val="both"/>
        <w:rPr>
          <w:rFonts w:cs="B Zar" w:hint="cs"/>
          <w:rtl/>
        </w:rPr>
      </w:pPr>
      <w:r w:rsidRPr="00175A44">
        <w:rPr>
          <w:rFonts w:cs="B Zar" w:hint="cs"/>
          <w:rtl/>
        </w:rPr>
        <w:t>ح ـ ادعيه براي جلب عنايت معبودان؛</w:t>
      </w:r>
    </w:p>
    <w:p w:rsidR="0011420A" w:rsidRPr="00175A44" w:rsidP="003C0EF5">
      <w:pPr>
        <w:widowControl w:val="0"/>
        <w:spacing w:line="420" w:lineRule="exact"/>
        <w:ind w:left="0" w:right="0"/>
        <w:jc w:val="both"/>
        <w:rPr>
          <w:rFonts w:cs="B Zar" w:hint="cs"/>
          <w:rtl/>
        </w:rPr>
      </w:pPr>
      <w:r w:rsidRPr="00175A44">
        <w:rPr>
          <w:rFonts w:cs="B Zar" w:hint="cs"/>
          <w:rtl/>
        </w:rPr>
        <w:t>و‌ـ احكام راجع به مراسم نكاح و مراسم پس از مرگ.</w:t>
      </w:r>
    </w:p>
    <w:p w:rsidR="0011420A" w:rsidRPr="00175A44" w:rsidP="003C0EF5">
      <w:pPr>
        <w:widowControl w:val="0"/>
        <w:spacing w:line="420" w:lineRule="exact"/>
        <w:ind w:left="0" w:right="0"/>
        <w:jc w:val="both"/>
        <w:rPr>
          <w:rFonts w:cs="B Zar" w:hint="cs"/>
          <w:rtl/>
        </w:rPr>
      </w:pPr>
      <w:r w:rsidRPr="00175A44">
        <w:rPr>
          <w:rFonts w:cs="B Zar" w:hint="cs"/>
          <w:rtl/>
        </w:rPr>
        <w:t>اكثر اين دعاها و اوراد، نظير اوراد ياجور ودا با انجام اعمال جادوئي و طلسم‌ها همراه است. تنها تفاوتش آن بود كه در مراسم اَتَهاروا ودا عمدتاً ماهيت جادوئي و طلسمي دارند. مثلاً وقتي  يك جوان مي خواست دل يك دختر مورد نظر خود را به دست آورد، با كمك كاهن عمل خاصي را انجام مي‌داد. او عروسكي درست مي كرد و بر آن، نام دختر مورد نظر را مي‌گذاشت. سپس بر سر و صورت عروسك عسل مي‌‌ماليد. خود نيز عسل مي چشيد و در عين حال كاهن و يا خود اين اوراد را تلاوت مي‌كرد:</w:t>
      </w:r>
    </w:p>
    <w:p w:rsidR="0011420A" w:rsidRPr="00175A44" w:rsidP="003C0EF5">
      <w:pPr>
        <w:widowControl w:val="0"/>
        <w:spacing w:line="420" w:lineRule="exact"/>
        <w:ind w:left="0" w:right="0"/>
        <w:jc w:val="both"/>
        <w:rPr>
          <w:rFonts w:cs="B Zar" w:hint="cs"/>
          <w:rtl/>
        </w:rPr>
      </w:pPr>
      <w:r w:rsidRPr="00175A44">
        <w:rPr>
          <w:rFonts w:cs="B Zar" w:hint="cs"/>
          <w:rtl/>
        </w:rPr>
        <w:t>«ما فلان را به نام عسل مي خوانيم</w:t>
      </w:r>
    </w:p>
    <w:p w:rsidR="0011420A" w:rsidRPr="00175A44" w:rsidP="003C0EF5">
      <w:pPr>
        <w:widowControl w:val="0"/>
        <w:spacing w:line="420" w:lineRule="exact"/>
        <w:ind w:left="0" w:right="0"/>
        <w:jc w:val="both"/>
        <w:rPr>
          <w:rFonts w:cs="B Zar" w:hint="cs"/>
          <w:rtl/>
        </w:rPr>
      </w:pPr>
      <w:r w:rsidRPr="00175A44">
        <w:rPr>
          <w:rFonts w:cs="B Zar" w:hint="cs"/>
          <w:rtl/>
        </w:rPr>
        <w:t>عسل در كناره‌هاي زبان ما قرار دارد، عسل در ريشه آن</w:t>
      </w:r>
    </w:p>
    <w:p w:rsidR="0011420A" w:rsidRPr="00175A44" w:rsidP="003C0EF5">
      <w:pPr>
        <w:widowControl w:val="0"/>
        <w:spacing w:line="420" w:lineRule="exact"/>
        <w:ind w:left="0" w:right="0"/>
        <w:jc w:val="both"/>
        <w:rPr>
          <w:rFonts w:cs="B Zar" w:hint="cs"/>
          <w:rtl/>
        </w:rPr>
      </w:pPr>
      <w:r w:rsidRPr="00175A44">
        <w:rPr>
          <w:rFonts w:cs="B Zar" w:hint="cs"/>
          <w:rtl/>
        </w:rPr>
        <w:t>اي دختر زيبا براي من شيرين شو، تسليم خواست من بشو</w:t>
      </w:r>
    </w:p>
    <w:p w:rsidR="0011420A" w:rsidRPr="00175A44" w:rsidP="003C0EF5">
      <w:pPr>
        <w:widowControl w:val="0"/>
        <w:spacing w:line="420" w:lineRule="exact"/>
        <w:ind w:left="0" w:right="0"/>
        <w:jc w:val="both"/>
        <w:rPr>
          <w:rFonts w:cs="B Zar" w:hint="cs"/>
          <w:rtl/>
        </w:rPr>
      </w:pPr>
      <w:r w:rsidRPr="00175A44">
        <w:rPr>
          <w:rFonts w:cs="B Zar" w:hint="cs"/>
          <w:rtl/>
        </w:rPr>
        <w:t xml:space="preserve">به من تعلق داشته باش، تنها به من، </w:t>
      </w:r>
    </w:p>
    <w:p w:rsidR="0011420A" w:rsidRPr="00175A44" w:rsidP="003C0EF5">
      <w:pPr>
        <w:widowControl w:val="0"/>
        <w:spacing w:line="420" w:lineRule="exact"/>
        <w:ind w:left="0" w:right="0"/>
        <w:jc w:val="both"/>
        <w:rPr>
          <w:rFonts w:cs="B Zar" w:hint="cs"/>
          <w:rtl/>
        </w:rPr>
      </w:pPr>
      <w:r w:rsidRPr="00175A44">
        <w:rPr>
          <w:rFonts w:cs="B Zar" w:hint="cs"/>
          <w:rtl/>
        </w:rPr>
        <w:t>فرود آمدن تو شيرين باشد همانند عسل، بيرون آمدن تو شيرين همچو عسل، آوا و كلمات من شيرين‌اند، سيماي من عسل گونه است.</w:t>
      </w:r>
    </w:p>
    <w:p w:rsidR="0011420A" w:rsidRPr="00175A44" w:rsidP="003C0EF5">
      <w:pPr>
        <w:widowControl w:val="0"/>
        <w:spacing w:line="420" w:lineRule="exact"/>
        <w:ind w:left="0" w:right="0"/>
        <w:jc w:val="both"/>
        <w:rPr>
          <w:rFonts w:cs="B Zar" w:hint="cs"/>
          <w:rtl/>
        </w:rPr>
      </w:pPr>
      <w:r w:rsidRPr="00175A44">
        <w:rPr>
          <w:rFonts w:cs="B Zar" w:hint="cs"/>
          <w:rtl/>
        </w:rPr>
        <w:t>من براي تو شيرين‌تر از عسل هستم»</w:t>
      </w:r>
    </w:p>
    <w:p w:rsidR="0011420A" w:rsidRPr="00175A44" w:rsidP="003C0EF5">
      <w:pPr>
        <w:widowControl w:val="0"/>
        <w:spacing w:line="420" w:lineRule="exact"/>
        <w:ind w:left="0" w:right="0"/>
        <w:jc w:val="both"/>
        <w:rPr>
          <w:rFonts w:cs="B Zar" w:hint="cs"/>
          <w:rtl/>
        </w:rPr>
      </w:pPr>
      <w:r w:rsidRPr="00175A44">
        <w:rPr>
          <w:rFonts w:cs="B Zar" w:hint="cs"/>
          <w:rtl/>
        </w:rPr>
        <w:t>چنانكه قبلاً اشاره كرديم، جادو به طور كلي مبتني بر اصل شبيه یا مثل و تاثير آن بوده است. عسل علامت عشق و محبت و عروسك شبيه محبوبه است. گمان مي رفت كه شستن عروسك با عسل، موجب ايجاد احساسات مهرانگيز به عاشق خواهد شد.</w:t>
      </w:r>
    </w:p>
    <w:p w:rsidR="0011420A" w:rsidRPr="00175A44" w:rsidP="003C0EF5">
      <w:pPr>
        <w:widowControl w:val="0"/>
        <w:spacing w:line="420" w:lineRule="exact"/>
        <w:ind w:left="0" w:right="0"/>
        <w:jc w:val="both"/>
        <w:rPr>
          <w:rFonts w:cs="B Zar" w:hint="cs"/>
          <w:rtl/>
        </w:rPr>
      </w:pPr>
      <w:r w:rsidRPr="00175A44">
        <w:rPr>
          <w:rFonts w:cs="B Zar" w:hint="cs"/>
          <w:rtl/>
        </w:rPr>
        <w:t>اتهاروا ودا داراي طلسم‌ها و اوراد فراواني براي توفيق در عشق و معاشقه است. از جمله:طلسم براي تصاحب دختر (كتاب‌3 شماره سرود 25)، طلسم براي عاشقان ناكام (4:‌5)، تقديس از «كاما» معبود عشق و لذت جنسي (2:9)، سرود ديگر در تقديس كاما (52:19)،  طلسم توفيق در عشق براي مردان (8:4)، طلسم ديگري براي مردان (9:4)، طلسم توفيق در عشق براي زنان و چيره شدن بر زن رقيب (18:3) و طلسم براي از ميان بردن اختلافات ميان دوستان (42:6).</w:t>
      </w:r>
    </w:p>
    <w:p w:rsidR="0011420A" w:rsidRPr="00175A44" w:rsidP="003C0EF5">
      <w:pPr>
        <w:widowControl w:val="0"/>
        <w:spacing w:line="420" w:lineRule="exact"/>
        <w:ind w:left="0" w:right="0"/>
        <w:jc w:val="both"/>
        <w:rPr>
          <w:rFonts w:cs="B Zar" w:hint="cs"/>
          <w:rtl/>
        </w:rPr>
      </w:pPr>
      <w:r w:rsidRPr="00175A44">
        <w:rPr>
          <w:rFonts w:cs="B Zar" w:hint="cs"/>
          <w:rtl/>
        </w:rPr>
        <w:t>اَتهاَرو ودا همچنين داراي طلسم‌ها و اوراد زيادي براي دفع سحر و اثرات ارواح بد است. از جمله: طلسم براي دفع سحر دشمنان،</w:t>
      </w:r>
      <w:r>
        <w:rPr>
          <w:rStyle w:val="FootnoteReference"/>
          <w:rFonts w:cs="B Zar"/>
          <w:rtl/>
        </w:rPr>
        <w:footnoteReference w:id="323"/>
      </w:r>
      <w:r w:rsidRPr="00175A44">
        <w:rPr>
          <w:rFonts w:cs="B Zar" w:hint="cs"/>
          <w:rtl/>
        </w:rPr>
        <w:t xml:space="preserve"> طلسم ديگر براي ابطال جادوي دشمنان،</w:t>
      </w:r>
      <w:r>
        <w:rPr>
          <w:rStyle w:val="FootnoteReference"/>
          <w:rFonts w:cs="B Zar"/>
          <w:rtl/>
        </w:rPr>
        <w:footnoteReference w:id="324"/>
      </w:r>
      <w:r w:rsidRPr="00175A44">
        <w:rPr>
          <w:rFonts w:cs="B Zar" w:hint="cs"/>
          <w:rtl/>
        </w:rPr>
        <w:t xml:space="preserve"> طلسمي براي دفع و حصول امنيت عمومي،</w:t>
      </w:r>
      <w:r>
        <w:rPr>
          <w:rStyle w:val="FootnoteReference"/>
          <w:rFonts w:cs="B Zar"/>
          <w:rtl/>
        </w:rPr>
        <w:footnoteReference w:id="325"/>
      </w:r>
      <w:r w:rsidRPr="00175A44">
        <w:rPr>
          <w:rFonts w:cs="B Zar" w:hint="cs"/>
          <w:rtl/>
        </w:rPr>
        <w:t xml:space="preserve"> طلسمي براي نابودي ارواح شرور و جادوگران</w:t>
      </w:r>
      <w:r>
        <w:rPr>
          <w:rStyle w:val="FootnoteReference"/>
          <w:rFonts w:cs="B Zar"/>
          <w:rtl/>
        </w:rPr>
        <w:footnoteReference w:id="326"/>
      </w:r>
      <w:r w:rsidRPr="00175A44">
        <w:rPr>
          <w:rFonts w:cs="B Zar" w:hint="cs"/>
          <w:rtl/>
        </w:rPr>
        <w:t>، طلسم براي دفع سحر،</w:t>
      </w:r>
      <w:r>
        <w:rPr>
          <w:rStyle w:val="FootnoteReference"/>
          <w:rFonts w:cs="B Zar"/>
          <w:rtl/>
        </w:rPr>
        <w:footnoteReference w:id="327"/>
      </w:r>
      <w:r w:rsidRPr="00175A44">
        <w:rPr>
          <w:rFonts w:cs="B Zar" w:hint="cs"/>
          <w:rtl/>
        </w:rPr>
        <w:t xml:space="preserve"> طلسم براي نابودي ارواح و جادوگران پليد،</w:t>
      </w:r>
      <w:r>
        <w:rPr>
          <w:rStyle w:val="FootnoteReference"/>
          <w:rFonts w:cs="B Zar"/>
          <w:rtl/>
        </w:rPr>
        <w:footnoteReference w:id="328"/>
      </w:r>
      <w:r w:rsidRPr="00175A44">
        <w:rPr>
          <w:rFonts w:cs="B Zar" w:hint="cs"/>
          <w:rtl/>
        </w:rPr>
        <w:t xml:space="preserve"> طلسم ديگر در همان مورد،</w:t>
      </w:r>
      <w:r>
        <w:rPr>
          <w:rStyle w:val="FootnoteReference"/>
          <w:rFonts w:cs="B Zar"/>
          <w:rtl/>
        </w:rPr>
        <w:footnoteReference w:id="329"/>
      </w:r>
      <w:r w:rsidRPr="00175A44">
        <w:rPr>
          <w:rFonts w:cs="B Zar" w:hint="cs"/>
          <w:rtl/>
        </w:rPr>
        <w:t xml:space="preserve"> طلسمي براي دفع تاثير گوساله و قلو</w:t>
      </w:r>
      <w:r>
        <w:rPr>
          <w:rStyle w:val="FootnoteReference"/>
          <w:rFonts w:cs="B Zar"/>
          <w:rtl/>
        </w:rPr>
        <w:footnoteReference w:id="330"/>
      </w:r>
      <w:r w:rsidRPr="00175A44">
        <w:rPr>
          <w:rFonts w:cs="B Zar" w:hint="cs"/>
          <w:rtl/>
        </w:rPr>
        <w:t xml:space="preserve"> و طلسمي براي زدودن نحوست فرود آمدن يك باخته.</w:t>
      </w:r>
      <w:r>
        <w:rPr>
          <w:rStyle w:val="FootnoteReference"/>
          <w:rFonts w:cs="B Zar"/>
          <w:rtl/>
        </w:rPr>
        <w:footnoteReference w:id="331"/>
      </w:r>
    </w:p>
    <w:p w:rsidR="0011420A" w:rsidRPr="00175A44" w:rsidP="003C0EF5">
      <w:pPr>
        <w:widowControl w:val="0"/>
        <w:spacing w:line="420" w:lineRule="exact"/>
        <w:ind w:left="0" w:right="0"/>
        <w:jc w:val="both"/>
        <w:rPr>
          <w:rFonts w:cs="B Zar" w:hint="cs"/>
          <w:rtl/>
        </w:rPr>
      </w:pPr>
      <w:r w:rsidRPr="00175A44">
        <w:rPr>
          <w:rFonts w:cs="B Zar" w:hint="cs"/>
          <w:rtl/>
        </w:rPr>
        <w:t>دسته ديگر از سرودها و اوراد اَتهَاروا ودا، به تعويذها و طلسم‌هايي براي درمان امراض، بيماري‌ها و دفع بليات گوناگون اختصاص دارند. از جمله: تعويذ براي درمان روماتيسم و وجع‌المفاصل،</w:t>
      </w:r>
      <w:r>
        <w:rPr>
          <w:rStyle w:val="FootnoteReference"/>
          <w:rFonts w:cs="B Zar"/>
          <w:rtl/>
        </w:rPr>
        <w:footnoteReference w:id="332"/>
      </w:r>
      <w:r w:rsidRPr="00175A44">
        <w:rPr>
          <w:rFonts w:cs="B Zar" w:hint="cs"/>
          <w:rtl/>
        </w:rPr>
        <w:t xml:space="preserve"> تعويذ براي شفاي امراض خطرناك،</w:t>
      </w:r>
      <w:r>
        <w:rPr>
          <w:rStyle w:val="FootnoteReference"/>
          <w:rFonts w:cs="B Zar"/>
          <w:rtl/>
        </w:rPr>
        <w:footnoteReference w:id="333"/>
      </w:r>
      <w:r w:rsidRPr="00175A44">
        <w:rPr>
          <w:rFonts w:cs="B Zar" w:hint="cs"/>
          <w:rtl/>
        </w:rPr>
        <w:t xml:space="preserve"> تعويذ براي ايجاد باروري در زن</w:t>
      </w:r>
      <w:r>
        <w:rPr>
          <w:rStyle w:val="FootnoteReference"/>
          <w:rFonts w:cs="B Zar"/>
          <w:rtl/>
        </w:rPr>
        <w:footnoteReference w:id="334"/>
      </w:r>
      <w:r w:rsidRPr="00175A44">
        <w:rPr>
          <w:rFonts w:cs="B Zar" w:hint="cs"/>
          <w:rtl/>
        </w:rPr>
        <w:t>، دعا براي كسب رهايي از مارها و حفاظت از نيش زدن مار و گژدم</w:t>
      </w:r>
      <w:r>
        <w:rPr>
          <w:rStyle w:val="FootnoteReference"/>
          <w:rFonts w:cs="B Zar"/>
          <w:rtl/>
        </w:rPr>
        <w:footnoteReference w:id="335"/>
      </w:r>
      <w:r w:rsidRPr="00175A44">
        <w:rPr>
          <w:rFonts w:cs="B Zar" w:hint="cs"/>
          <w:rtl/>
        </w:rPr>
        <w:t>،  طلسمي براي حفاظت از شير و پلنگ، طلسم براي به دست آوردن قوه باه و توانايي جنسي</w:t>
      </w:r>
      <w:r>
        <w:rPr>
          <w:rStyle w:val="FootnoteReference"/>
          <w:rFonts w:cs="B Zar"/>
          <w:rtl/>
        </w:rPr>
        <w:footnoteReference w:id="336"/>
      </w:r>
      <w:r w:rsidRPr="00175A44">
        <w:rPr>
          <w:rFonts w:cs="B Zar" w:hint="cs"/>
          <w:rtl/>
        </w:rPr>
        <w:t>، طلسم براي دفع مسموميت گياهان سمي،</w:t>
      </w:r>
      <w:r>
        <w:rPr>
          <w:rStyle w:val="FootnoteReference"/>
          <w:rFonts w:cs="B Zar"/>
          <w:rtl/>
        </w:rPr>
        <w:footnoteReference w:id="337"/>
      </w:r>
      <w:r w:rsidRPr="00175A44">
        <w:rPr>
          <w:rFonts w:cs="B Zar" w:hint="cs"/>
          <w:rtl/>
        </w:rPr>
        <w:t xml:space="preserve"> طلسمي براي درمان استخوان شكسته،</w:t>
      </w:r>
      <w:r>
        <w:rPr>
          <w:rStyle w:val="FootnoteReference"/>
          <w:rFonts w:cs="B Zar"/>
          <w:rtl/>
        </w:rPr>
        <w:footnoteReference w:id="338"/>
      </w:r>
      <w:r w:rsidRPr="00175A44">
        <w:rPr>
          <w:rFonts w:cs="B Zar" w:hint="cs"/>
          <w:rtl/>
        </w:rPr>
        <w:t xml:space="preserve"> تعويذ براي شفاي مريض،</w:t>
      </w:r>
      <w:r>
        <w:rPr>
          <w:rStyle w:val="FootnoteReference"/>
          <w:rFonts w:cs="B Zar"/>
          <w:rtl/>
        </w:rPr>
        <w:footnoteReference w:id="339"/>
      </w:r>
      <w:r w:rsidRPr="00175A44">
        <w:rPr>
          <w:rFonts w:cs="B Zar" w:hint="cs"/>
          <w:rtl/>
        </w:rPr>
        <w:t xml:space="preserve"> طلسم براي تقويت بينايي</w:t>
      </w:r>
      <w:r>
        <w:rPr>
          <w:rStyle w:val="FootnoteReference"/>
          <w:rFonts w:cs="B Zar"/>
          <w:rtl/>
        </w:rPr>
        <w:footnoteReference w:id="340"/>
      </w:r>
      <w:r w:rsidRPr="00175A44">
        <w:rPr>
          <w:rFonts w:cs="B Zar" w:hint="cs"/>
          <w:rtl/>
        </w:rPr>
        <w:t>، تعويذ براي رد بليات و حفاظت از ارواح بد و دشمنان</w:t>
      </w:r>
      <w:r>
        <w:rPr>
          <w:rStyle w:val="FootnoteReference"/>
          <w:rFonts w:cs="B Zar"/>
          <w:rtl/>
        </w:rPr>
        <w:footnoteReference w:id="341"/>
      </w:r>
      <w:r w:rsidRPr="00175A44">
        <w:rPr>
          <w:rFonts w:cs="B Zar" w:hint="cs"/>
          <w:rtl/>
        </w:rPr>
        <w:t>، طلسم براي درمان تب و جلوگيري از آن،</w:t>
      </w:r>
      <w:r>
        <w:rPr>
          <w:rStyle w:val="FootnoteReference"/>
          <w:rFonts w:cs="B Zar"/>
          <w:rtl/>
        </w:rPr>
        <w:footnoteReference w:id="342"/>
      </w:r>
      <w:r w:rsidRPr="00175A44">
        <w:rPr>
          <w:rFonts w:cs="B Zar" w:hint="cs"/>
          <w:rtl/>
        </w:rPr>
        <w:t xml:space="preserve"> طلسم ديگر براي درمان استخوان شكسته،</w:t>
      </w:r>
      <w:r>
        <w:rPr>
          <w:rStyle w:val="FootnoteReference"/>
          <w:rFonts w:cs="B Zar"/>
          <w:rtl/>
        </w:rPr>
        <w:footnoteReference w:id="343"/>
      </w:r>
      <w:r w:rsidRPr="00175A44">
        <w:rPr>
          <w:rFonts w:cs="B Zar" w:hint="cs"/>
          <w:rtl/>
        </w:rPr>
        <w:t xml:space="preserve"> دعا براي حفاظت از گزيدن مار،</w:t>
      </w:r>
      <w:r>
        <w:rPr>
          <w:rStyle w:val="FootnoteReference"/>
          <w:rFonts w:cs="B Zar"/>
          <w:rtl/>
        </w:rPr>
        <w:footnoteReference w:id="344"/>
      </w:r>
      <w:r w:rsidRPr="00175A44">
        <w:rPr>
          <w:rFonts w:cs="B Zar" w:hint="cs"/>
          <w:rtl/>
        </w:rPr>
        <w:t>طلسم براي درمان تب،</w:t>
      </w:r>
      <w:r>
        <w:rPr>
          <w:rStyle w:val="FootnoteReference"/>
          <w:rFonts w:cs="B Zar"/>
          <w:rtl/>
        </w:rPr>
        <w:footnoteReference w:id="345"/>
      </w:r>
      <w:r w:rsidRPr="00175A44">
        <w:rPr>
          <w:rFonts w:cs="B Zar" w:hint="cs"/>
          <w:rtl/>
        </w:rPr>
        <w:t>طلسم براي درمان ورم‌ها،</w:t>
      </w:r>
      <w:r>
        <w:rPr>
          <w:rStyle w:val="FootnoteReference"/>
          <w:rFonts w:cs="B Zar"/>
          <w:rtl/>
        </w:rPr>
        <w:footnoteReference w:id="346"/>
      </w:r>
      <w:r w:rsidRPr="00175A44">
        <w:rPr>
          <w:rFonts w:cs="B Zar" w:hint="cs"/>
          <w:rtl/>
        </w:rPr>
        <w:t xml:space="preserve"> طلسم براي قرار گرفتن درد حمل و تسهيل زايمان</w:t>
      </w:r>
      <w:r>
        <w:rPr>
          <w:rStyle w:val="FootnoteReference"/>
          <w:rFonts w:cs="B Zar"/>
          <w:rtl/>
        </w:rPr>
        <w:footnoteReference w:id="347"/>
      </w:r>
      <w:r w:rsidRPr="00175A44">
        <w:rPr>
          <w:rFonts w:cs="B Zar" w:hint="cs"/>
          <w:rtl/>
        </w:rPr>
        <w:t>، طلسمي براي بازيابي سلامت بدن</w:t>
      </w:r>
      <w:r>
        <w:rPr>
          <w:rStyle w:val="FootnoteReference"/>
          <w:rFonts w:cs="B Zar"/>
          <w:rtl/>
        </w:rPr>
        <w:footnoteReference w:id="348"/>
      </w:r>
      <w:r w:rsidRPr="00175A44">
        <w:rPr>
          <w:rFonts w:cs="B Zar" w:hint="cs"/>
          <w:rtl/>
        </w:rPr>
        <w:t>، طلسم براي اولاد نرينه</w:t>
      </w:r>
      <w:r>
        <w:rPr>
          <w:rStyle w:val="FootnoteReference"/>
          <w:rFonts w:cs="B Zar"/>
          <w:rtl/>
        </w:rPr>
        <w:footnoteReference w:id="349"/>
      </w:r>
      <w:r w:rsidRPr="00175A44">
        <w:rPr>
          <w:rFonts w:cs="B Zar" w:hint="cs"/>
          <w:rtl/>
        </w:rPr>
        <w:t>، طلسم عليه مرض دق</w:t>
      </w:r>
      <w:r>
        <w:rPr>
          <w:rStyle w:val="FootnoteReference"/>
          <w:rFonts w:cs="B Zar"/>
          <w:rtl/>
        </w:rPr>
        <w:footnoteReference w:id="350"/>
      </w:r>
      <w:r w:rsidRPr="00175A44">
        <w:rPr>
          <w:rFonts w:cs="B Zar" w:hint="cs"/>
          <w:rtl/>
        </w:rPr>
        <w:t>، طلسم ديگري براي استقرار حمل و زايمان</w:t>
      </w:r>
      <w:r>
        <w:rPr>
          <w:rStyle w:val="FootnoteReference"/>
          <w:rFonts w:cs="B Zar"/>
          <w:rtl/>
        </w:rPr>
        <w:footnoteReference w:id="351"/>
      </w:r>
      <w:r w:rsidRPr="00175A44">
        <w:rPr>
          <w:rFonts w:cs="B Zar" w:hint="cs"/>
          <w:rtl/>
        </w:rPr>
        <w:t>، طلسمي براي روئيدن بيشتر موهاي سر و بدن</w:t>
      </w:r>
      <w:r>
        <w:rPr>
          <w:rStyle w:val="FootnoteReference"/>
          <w:rFonts w:cs="B Zar"/>
          <w:rtl/>
        </w:rPr>
        <w:footnoteReference w:id="352"/>
      </w:r>
      <w:r w:rsidRPr="00175A44">
        <w:rPr>
          <w:rFonts w:cs="B Zar" w:hint="cs"/>
          <w:rtl/>
        </w:rPr>
        <w:t>، طلسمي براي درمان امراض جلد و ورم‌هاي حنجره و حلق، طلسم براي نجات از آلام و رنجها (26:6)، طلسم ديگري براي روئيدن موهاي بدن(30:6)، دعا براي به دست آوردن قدرت بدني (38:6)، دعا براي درازي عمر و سعادت دنيوي (41:6)، طلسمي براي درمان امراض (44:6)، طلسم براي حفاظت از روياهاي مخوف(46:6)، طلسم براي حفاظت از حشرات ارض(52:6) و طلسم براي بازيابي سلامت و امنيت (53:6).</w:t>
      </w:r>
    </w:p>
    <w:p w:rsidR="0011420A" w:rsidRPr="00175A44" w:rsidP="003C0EF5">
      <w:pPr>
        <w:widowControl w:val="0"/>
        <w:spacing w:line="420" w:lineRule="exact"/>
        <w:ind w:left="0" w:right="0"/>
        <w:jc w:val="both"/>
        <w:rPr>
          <w:rFonts w:cs="B Zar" w:hint="cs"/>
          <w:rtl/>
        </w:rPr>
      </w:pPr>
      <w:r w:rsidRPr="00175A44">
        <w:rPr>
          <w:rFonts w:cs="B Zar" w:hint="cs"/>
          <w:rtl/>
        </w:rPr>
        <w:t>اين طلسم ها و اوراد به وضوح از مرحله انيميسم حكايت مي‌كنند؛ چرا كه انسان ابتدائي در مرحله جان پرستي، گمان مي‌كند كه تمام بيماري‌هاي ناشي از تاثير بد ارواح پليد و يا سحر و جادوي افراد مخالف ايجاد مي‌‌شود. در نتيجه در صدد بر مي‌آيد تا تمام امراض و آفات را با متوسل شدن به طلسم ها و اوراد و اعمال جادوئي دفع كند.</w:t>
      </w:r>
    </w:p>
    <w:p w:rsidR="0011420A" w:rsidRPr="00175A44" w:rsidP="003C0EF5">
      <w:pPr>
        <w:widowControl w:val="0"/>
        <w:spacing w:line="420" w:lineRule="exact"/>
        <w:ind w:left="0" w:right="0"/>
        <w:jc w:val="both"/>
        <w:rPr>
          <w:rFonts w:cs="B Zar" w:hint="cs"/>
          <w:rtl/>
        </w:rPr>
      </w:pPr>
      <w:r w:rsidRPr="00175A44">
        <w:rPr>
          <w:rFonts w:cs="B Zar" w:hint="cs"/>
          <w:rtl/>
        </w:rPr>
        <w:t xml:space="preserve">همچنين در مرحله انيميسم، انسان عامل مهم پيروزي‌هاي نظامي و سياسي را طلسم‌ها و اوراد و اعمال جادوئي تصور مي كند. از اين رو همواره پيش از آغاز جنگ و نيز به طور عادي نيز ادعيه و طلسم‌هايي را براي پيروزي بر دشمن پيش مي‌گيرد. </w:t>
      </w:r>
    </w:p>
    <w:p w:rsidR="0011420A" w:rsidP="003C0EF5">
      <w:pPr>
        <w:widowControl w:val="0"/>
        <w:spacing w:line="420" w:lineRule="exact"/>
        <w:ind w:left="0" w:right="0"/>
        <w:jc w:val="both"/>
        <w:rPr>
          <w:rFonts w:cs="B Zar" w:hint="cs"/>
          <w:rtl/>
        </w:rPr>
      </w:pPr>
      <w:r w:rsidRPr="00175A44">
        <w:rPr>
          <w:rFonts w:cs="B Zar" w:hint="cs"/>
          <w:rtl/>
        </w:rPr>
        <w:t>در اَتهَاروا ودا نمونه‌هاي اينگونه طلسم ها زياد ديده مي شود. طلسم‌هاي زير از لابلاي بيش از هزار صفحه اَتهَاروا ودا در اين مورد استخراج شده ‌است:</w:t>
      </w:r>
    </w:p>
    <w:p w:rsidR="00BC6420" w:rsidRPr="00175A44" w:rsidP="003C0EF5">
      <w:pPr>
        <w:widowControl w:val="0"/>
        <w:spacing w:line="420" w:lineRule="exact"/>
        <w:ind w:left="0" w:right="0"/>
        <w:jc w:val="both"/>
        <w:rPr>
          <w:rFonts w:cs="B Zar" w:hint="cs"/>
          <w:rtl/>
        </w:rPr>
      </w:pPr>
    </w:p>
    <w:p w:rsidR="0011420A" w:rsidRPr="00175A44" w:rsidP="00A64CE4">
      <w:pPr>
        <w:widowControl w:val="0"/>
        <w:spacing w:line="420" w:lineRule="exact"/>
        <w:ind w:left="0" w:right="0"/>
        <w:jc w:val="both"/>
        <w:rPr>
          <w:rFonts w:cs="B Zar" w:hint="cs"/>
          <w:rtl/>
        </w:rPr>
      </w:pPr>
      <w:r w:rsidRPr="00175A44">
        <w:rPr>
          <w:rFonts w:cs="B Zar" w:hint="cs"/>
          <w:rtl/>
        </w:rPr>
        <w:t>طلسمي براي شكست و نابودي دشمن</w:t>
        <w:tab/>
        <w:tab/>
        <w:tab/>
        <w:t>(1:3)</w:t>
      </w:r>
    </w:p>
    <w:p w:rsidR="0011420A" w:rsidRPr="00175A44" w:rsidP="003C0EF5">
      <w:pPr>
        <w:widowControl w:val="0"/>
        <w:spacing w:line="420" w:lineRule="exact"/>
        <w:ind w:left="0" w:right="0"/>
        <w:jc w:val="both"/>
        <w:rPr>
          <w:rFonts w:cs="B Zar" w:hint="cs"/>
          <w:rtl/>
        </w:rPr>
      </w:pPr>
      <w:r w:rsidRPr="00175A44">
        <w:rPr>
          <w:rFonts w:cs="B Zar" w:hint="cs"/>
          <w:rtl/>
        </w:rPr>
        <w:t>طلسمي براي به دست آوردن قدرت سياسي</w:t>
        <w:tab/>
        <w:tab/>
      </w:r>
      <w:r w:rsidRPr="00175A44">
        <w:rPr>
          <w:rFonts w:cs="B Zar"/>
        </w:rPr>
        <w:tab/>
      </w:r>
      <w:r w:rsidRPr="00175A44">
        <w:rPr>
          <w:rFonts w:cs="B Zar" w:hint="cs"/>
          <w:rtl/>
        </w:rPr>
        <w:t>(4:3)</w:t>
      </w:r>
    </w:p>
    <w:p w:rsidR="0011420A" w:rsidRPr="00175A44" w:rsidP="003C0EF5">
      <w:pPr>
        <w:widowControl w:val="0"/>
        <w:spacing w:line="420" w:lineRule="exact"/>
        <w:ind w:left="0" w:right="0"/>
        <w:jc w:val="both"/>
        <w:rPr>
          <w:rFonts w:cs="B Zar" w:hint="cs"/>
          <w:rtl/>
        </w:rPr>
      </w:pPr>
      <w:r w:rsidRPr="00175A44">
        <w:rPr>
          <w:rFonts w:cs="B Zar" w:hint="cs"/>
          <w:rtl/>
        </w:rPr>
        <w:t>اذكار و دعا براي سعادت شاه در مراسم تاجگذاري</w:t>
        <w:tab/>
        <w:tab/>
        <w:t>(5:3)</w:t>
      </w:r>
    </w:p>
    <w:p w:rsidR="0011420A" w:rsidRPr="00175A44" w:rsidP="003C0EF5">
      <w:pPr>
        <w:widowControl w:val="0"/>
        <w:spacing w:line="420" w:lineRule="exact"/>
        <w:ind w:left="0" w:right="0"/>
        <w:jc w:val="both"/>
        <w:rPr>
          <w:rFonts w:cs="B Zar" w:hint="cs"/>
          <w:rtl/>
        </w:rPr>
      </w:pPr>
      <w:r w:rsidRPr="00175A44">
        <w:rPr>
          <w:rFonts w:cs="B Zar" w:hint="cs"/>
          <w:rtl/>
        </w:rPr>
        <w:t>تعويذ براي تداوم قدرت شاه</w:t>
        <w:tab/>
        <w:tab/>
        <w:tab/>
        <w:tab/>
        <w:tab/>
        <w:t>(6:3)</w:t>
      </w:r>
    </w:p>
    <w:p w:rsidR="0011420A" w:rsidRPr="00175A44" w:rsidP="003C0EF5">
      <w:pPr>
        <w:widowControl w:val="0"/>
        <w:spacing w:line="420" w:lineRule="exact"/>
        <w:ind w:left="0" w:right="0"/>
        <w:jc w:val="both"/>
        <w:rPr>
          <w:rFonts w:cs="B Zar" w:hint="cs"/>
          <w:rtl/>
        </w:rPr>
      </w:pPr>
      <w:r w:rsidRPr="00175A44">
        <w:rPr>
          <w:rFonts w:cs="B Zar" w:hint="cs"/>
          <w:rtl/>
        </w:rPr>
        <w:t>طلسم براي آنكه دشمن گرفتار مار و عقرب شود</w:t>
        <w:tab/>
        <w:tab/>
        <w:t>(27:3)</w:t>
      </w:r>
    </w:p>
    <w:p w:rsidR="0011420A" w:rsidRPr="00175A44" w:rsidP="003C0EF5">
      <w:pPr>
        <w:widowControl w:val="0"/>
        <w:spacing w:line="420" w:lineRule="exact"/>
        <w:ind w:left="0" w:right="0"/>
        <w:jc w:val="both"/>
        <w:rPr>
          <w:rFonts w:cs="B Zar" w:hint="cs"/>
          <w:rtl/>
        </w:rPr>
      </w:pPr>
      <w:r w:rsidRPr="00175A44">
        <w:rPr>
          <w:rFonts w:cs="B Zar" w:hint="cs"/>
          <w:rtl/>
        </w:rPr>
        <w:t>طلسم براي آنكه نيزه و تبر در جنگ كارگر نيافتند</w:t>
        <w:tab/>
        <w:tab/>
        <w:t>(6:4)</w:t>
      </w:r>
    </w:p>
    <w:p w:rsidR="0011420A" w:rsidRPr="00175A44" w:rsidP="003C0EF5">
      <w:pPr>
        <w:widowControl w:val="0"/>
        <w:spacing w:line="420" w:lineRule="exact"/>
        <w:ind w:left="0" w:right="0"/>
        <w:jc w:val="both"/>
        <w:rPr>
          <w:rFonts w:cs="B Zar" w:hint="cs"/>
          <w:rtl/>
        </w:rPr>
      </w:pPr>
      <w:r w:rsidRPr="00175A44">
        <w:rPr>
          <w:rFonts w:cs="B Zar" w:hint="cs"/>
          <w:rtl/>
        </w:rPr>
        <w:t>طلسم براي آرام ساختن فيل فرمانده</w:t>
        <w:tab/>
        <w:tab/>
        <w:tab/>
        <w:tab/>
        <w:t>(22:3)</w:t>
      </w:r>
    </w:p>
    <w:p w:rsidR="0011420A" w:rsidRPr="00175A44" w:rsidP="003C0EF5">
      <w:pPr>
        <w:widowControl w:val="0"/>
        <w:spacing w:line="420" w:lineRule="exact"/>
        <w:ind w:left="0" w:right="0"/>
        <w:jc w:val="both"/>
        <w:rPr>
          <w:rFonts w:cs="B Zar" w:hint="cs"/>
          <w:rtl/>
        </w:rPr>
      </w:pPr>
      <w:r w:rsidRPr="00175A44">
        <w:rPr>
          <w:rFonts w:cs="B Zar" w:hint="cs"/>
          <w:rtl/>
        </w:rPr>
        <w:t>دعا براي مراسم تدفين يك سلطان</w:t>
        <w:tab/>
        <w:tab/>
        <w:tab/>
        <w:tab/>
        <w:t>(8:4)</w:t>
      </w:r>
    </w:p>
    <w:p w:rsidR="0011420A" w:rsidRPr="00175A44" w:rsidP="003C0EF5">
      <w:pPr>
        <w:widowControl w:val="0"/>
        <w:spacing w:line="420" w:lineRule="exact"/>
        <w:ind w:left="0" w:right="0"/>
        <w:jc w:val="both"/>
        <w:rPr>
          <w:rFonts w:cs="B Zar" w:hint="cs"/>
          <w:rtl/>
        </w:rPr>
      </w:pPr>
      <w:r w:rsidRPr="00175A44">
        <w:rPr>
          <w:rFonts w:cs="B Zar" w:hint="cs"/>
          <w:rtl/>
        </w:rPr>
        <w:t>اذكار دعائيه براي شاه جديد</w:t>
        <w:tab/>
        <w:tab/>
        <w:tab/>
        <w:tab/>
        <w:tab/>
        <w:t>(22:4)</w:t>
      </w:r>
    </w:p>
    <w:p w:rsidR="0011420A" w:rsidRPr="00175A44" w:rsidP="003C0EF5">
      <w:pPr>
        <w:widowControl w:val="0"/>
        <w:spacing w:line="420" w:lineRule="exact"/>
        <w:ind w:left="0" w:right="0"/>
        <w:jc w:val="both"/>
        <w:rPr>
          <w:rFonts w:cs="B Zar" w:hint="cs"/>
          <w:rtl/>
        </w:rPr>
      </w:pPr>
      <w:r w:rsidRPr="00175A44">
        <w:rPr>
          <w:rFonts w:cs="B Zar" w:hint="cs"/>
          <w:rtl/>
        </w:rPr>
        <w:t>طلسم براي درهم شكستن قبيله گند هرو واُپ سَرَ</w:t>
        <w:tab/>
        <w:tab/>
        <w:t>(37:4)</w:t>
      </w:r>
    </w:p>
    <w:p w:rsidR="0011420A" w:rsidRPr="00175A44" w:rsidP="003C0EF5">
      <w:pPr>
        <w:widowControl w:val="0"/>
        <w:spacing w:line="420" w:lineRule="exact"/>
        <w:ind w:left="0" w:right="0"/>
        <w:jc w:val="both"/>
        <w:rPr>
          <w:rFonts w:cs="B Zar" w:hint="cs"/>
          <w:rtl/>
        </w:rPr>
      </w:pPr>
      <w:r w:rsidRPr="00175A44">
        <w:rPr>
          <w:rFonts w:cs="B Zar" w:hint="cs"/>
          <w:rtl/>
        </w:rPr>
        <w:t>طلسم عليه پرستاران معبودهاي بيگانه</w:t>
        <w:tab/>
        <w:tab/>
        <w:tab/>
        <w:tab/>
        <w:t>(40:4)</w:t>
      </w:r>
    </w:p>
    <w:p w:rsidR="0011420A" w:rsidRPr="00175A44" w:rsidP="003C0EF5">
      <w:pPr>
        <w:widowControl w:val="0"/>
        <w:spacing w:line="420" w:lineRule="exact"/>
        <w:ind w:left="0" w:right="0"/>
        <w:jc w:val="both"/>
        <w:rPr>
          <w:rFonts w:cs="B Zar" w:hint="cs"/>
          <w:rtl/>
        </w:rPr>
      </w:pPr>
      <w:r w:rsidRPr="00175A44">
        <w:rPr>
          <w:rFonts w:cs="B Zar" w:hint="cs"/>
          <w:rtl/>
        </w:rPr>
        <w:t>طلسم براي توفيق در بازي شطرنج و قمار</w:t>
        <w:tab/>
        <w:tab/>
        <w:tab/>
        <w:t>(38:4)</w:t>
      </w:r>
    </w:p>
    <w:p w:rsidR="0011420A" w:rsidRPr="00175A44" w:rsidP="003C0EF5">
      <w:pPr>
        <w:widowControl w:val="0"/>
        <w:spacing w:line="420" w:lineRule="exact"/>
        <w:ind w:left="0" w:right="0"/>
        <w:jc w:val="both"/>
        <w:rPr>
          <w:rFonts w:cs="B Zar" w:hint="cs"/>
          <w:rtl/>
        </w:rPr>
      </w:pPr>
      <w:r w:rsidRPr="00175A44">
        <w:rPr>
          <w:rFonts w:cs="B Zar" w:hint="cs"/>
          <w:rtl/>
        </w:rPr>
        <w:t>دعا به اگني و اندرَ براي پيروزي بر دشمن</w:t>
        <w:tab/>
        <w:tab/>
        <w:tab/>
        <w:t>(3:5)</w:t>
      </w:r>
    </w:p>
    <w:p w:rsidR="0011420A" w:rsidRPr="00175A44" w:rsidP="003C0EF5">
      <w:pPr>
        <w:widowControl w:val="0"/>
        <w:spacing w:line="420" w:lineRule="exact"/>
        <w:ind w:left="0" w:right="0"/>
        <w:jc w:val="both"/>
        <w:rPr>
          <w:rFonts w:cs="B Zar" w:hint="cs"/>
          <w:rtl/>
        </w:rPr>
      </w:pPr>
      <w:r w:rsidRPr="00175A44">
        <w:rPr>
          <w:rFonts w:cs="B Zar" w:hint="cs"/>
          <w:rtl/>
        </w:rPr>
        <w:t>طلسم براي نابودي كاهنان و روحانيون مخالف</w:t>
        <w:tab/>
        <w:tab/>
        <w:tab/>
        <w:t>(8:5)</w:t>
      </w:r>
    </w:p>
    <w:p w:rsidR="0011420A" w:rsidRPr="00175A44" w:rsidP="003C0EF5">
      <w:pPr>
        <w:widowControl w:val="0"/>
        <w:spacing w:line="420" w:lineRule="exact"/>
        <w:ind w:left="0" w:right="0"/>
        <w:jc w:val="both"/>
        <w:rPr>
          <w:rFonts w:cs="B Zar" w:hint="cs"/>
          <w:rtl/>
        </w:rPr>
      </w:pPr>
      <w:r w:rsidRPr="00175A44">
        <w:rPr>
          <w:rFonts w:cs="B Zar" w:hint="cs"/>
          <w:rtl/>
        </w:rPr>
        <w:t>دعا به ارض و سماء براي حفاظت و نصرت</w:t>
        <w:tab/>
        <w:tab/>
        <w:tab/>
        <w:t>(9:5)</w:t>
      </w:r>
    </w:p>
    <w:p w:rsidR="0011420A" w:rsidRPr="00175A44" w:rsidP="003C0EF5">
      <w:pPr>
        <w:widowControl w:val="0"/>
        <w:spacing w:line="420" w:lineRule="exact"/>
        <w:ind w:left="0" w:right="0"/>
        <w:jc w:val="both"/>
        <w:rPr>
          <w:rFonts w:cs="B Zar" w:hint="cs"/>
          <w:rtl/>
        </w:rPr>
      </w:pPr>
      <w:r w:rsidRPr="00175A44">
        <w:rPr>
          <w:rFonts w:cs="B Zar" w:hint="cs"/>
          <w:rtl/>
        </w:rPr>
        <w:t>دعا به معبودان حاكم بر چهار قلمروي جهان براي پيروزي و نصرت(10:5)</w:t>
      </w:r>
    </w:p>
    <w:p w:rsidR="0011420A" w:rsidRPr="00175A44" w:rsidP="003C0EF5">
      <w:pPr>
        <w:widowControl w:val="0"/>
        <w:spacing w:line="420" w:lineRule="exact"/>
        <w:ind w:left="0" w:right="0"/>
        <w:jc w:val="both"/>
        <w:rPr>
          <w:rFonts w:cs="B Zar" w:hint="cs"/>
          <w:rtl/>
        </w:rPr>
      </w:pPr>
      <w:r w:rsidRPr="00175A44">
        <w:rPr>
          <w:rFonts w:cs="B Zar" w:hint="cs"/>
          <w:rtl/>
        </w:rPr>
        <w:t>دعا براي پيروزي</w:t>
      </w:r>
      <w:r w:rsidRPr="00175A44">
        <w:rPr>
          <w:rFonts w:cs="B Zar" w:hint="cs"/>
          <w:rtl/>
          <w:lang w:bidi="fa-IR"/>
        </w:rPr>
        <w:t>،</w:t>
      </w:r>
      <w:r w:rsidRPr="00175A44">
        <w:rPr>
          <w:rFonts w:cs="B Zar" w:hint="cs"/>
          <w:rtl/>
        </w:rPr>
        <w:t xml:space="preserve"> هنگام به صدا درآمدن طبل جنگ</w:t>
        <w:tab/>
        <w:tab/>
        <w:t>(20:5)</w:t>
      </w:r>
    </w:p>
    <w:p w:rsidR="0011420A" w:rsidRPr="00175A44" w:rsidP="003C0EF5">
      <w:pPr>
        <w:widowControl w:val="0"/>
        <w:spacing w:line="420" w:lineRule="exact"/>
        <w:ind w:left="0" w:right="0"/>
        <w:jc w:val="both"/>
        <w:rPr>
          <w:rFonts w:cs="B Zar" w:hint="cs"/>
          <w:rtl/>
        </w:rPr>
      </w:pPr>
      <w:r w:rsidRPr="00175A44">
        <w:rPr>
          <w:rFonts w:cs="B Zar" w:hint="cs"/>
          <w:rtl/>
        </w:rPr>
        <w:t>دعا به معبودان مختلف براي پيروزي و حفاظت</w:t>
        <w:tab/>
        <w:tab/>
        <w:tab/>
        <w:t>(30:6)</w:t>
      </w:r>
    </w:p>
    <w:p w:rsidR="0011420A" w:rsidRPr="00175A44" w:rsidP="003C0EF5">
      <w:pPr>
        <w:widowControl w:val="0"/>
        <w:spacing w:line="420" w:lineRule="exact"/>
        <w:ind w:left="0" w:right="0"/>
        <w:jc w:val="both"/>
        <w:rPr>
          <w:rFonts w:cs="B Zar" w:hint="cs"/>
          <w:rtl/>
        </w:rPr>
      </w:pPr>
      <w:r w:rsidRPr="00175A44">
        <w:rPr>
          <w:rFonts w:cs="B Zar" w:hint="cs"/>
          <w:rtl/>
        </w:rPr>
        <w:t>دعا به معبودان گوناگون براي آسايش و امنيت</w:t>
        <w:tab/>
        <w:tab/>
        <w:tab/>
        <w:t>(4:6)</w:t>
      </w:r>
    </w:p>
    <w:p w:rsidR="0011420A" w:rsidRPr="00175A44" w:rsidP="003C0EF5">
      <w:pPr>
        <w:widowControl w:val="0"/>
        <w:spacing w:line="420" w:lineRule="exact"/>
        <w:ind w:left="0" w:right="0"/>
        <w:jc w:val="both"/>
        <w:rPr>
          <w:rFonts w:cs="B Zar" w:hint="cs"/>
          <w:rtl/>
        </w:rPr>
      </w:pPr>
      <w:r w:rsidRPr="00175A44">
        <w:rPr>
          <w:rFonts w:cs="B Zar" w:hint="cs"/>
          <w:rtl/>
        </w:rPr>
        <w:t>دعا به برهمن اِسَپتيَ براي حفاظت از شر افراد پليد</w:t>
        <w:tab/>
        <w:tab/>
        <w:t>(6:6)</w:t>
      </w:r>
    </w:p>
    <w:p w:rsidR="0011420A" w:rsidRPr="00175A44" w:rsidP="003C0EF5">
      <w:pPr>
        <w:widowControl w:val="0"/>
        <w:spacing w:line="420" w:lineRule="exact"/>
        <w:ind w:left="0" w:right="0"/>
        <w:jc w:val="both"/>
        <w:rPr>
          <w:rFonts w:cs="B Zar" w:hint="cs"/>
          <w:rtl/>
        </w:rPr>
      </w:pPr>
      <w:r w:rsidRPr="00175A44">
        <w:rPr>
          <w:rFonts w:cs="B Zar" w:hint="cs"/>
          <w:rtl/>
        </w:rPr>
        <w:t>دعا به سوما و معبودان ديگر براي نصرت و پيروزي</w:t>
        <w:tab/>
        <w:tab/>
        <w:t>(7:6)</w:t>
      </w:r>
    </w:p>
    <w:p w:rsidR="0011420A" w:rsidRPr="00175A44" w:rsidP="003C0EF5">
      <w:pPr>
        <w:widowControl w:val="0"/>
        <w:spacing w:line="420" w:lineRule="exact"/>
        <w:ind w:left="0" w:right="0"/>
        <w:jc w:val="both"/>
        <w:rPr>
          <w:rFonts w:cs="B Zar" w:hint="cs"/>
          <w:rtl/>
        </w:rPr>
      </w:pPr>
      <w:r w:rsidRPr="00175A44">
        <w:rPr>
          <w:rFonts w:cs="B Zar" w:hint="cs"/>
          <w:rtl/>
        </w:rPr>
        <w:t>دعا به آگني براي حفاظت از دشمنان</w:t>
        <w:tab/>
        <w:tab/>
        <w:tab/>
        <w:tab/>
        <w:t>(34:6)</w:t>
      </w:r>
    </w:p>
    <w:p w:rsidR="0011420A" w:rsidRPr="00175A44" w:rsidP="003C0EF5">
      <w:pPr>
        <w:widowControl w:val="0"/>
        <w:spacing w:line="420" w:lineRule="exact"/>
        <w:ind w:left="0" w:right="0"/>
        <w:jc w:val="both"/>
        <w:rPr>
          <w:rFonts w:cs="B Zar" w:hint="cs"/>
          <w:rtl/>
        </w:rPr>
      </w:pPr>
      <w:r w:rsidRPr="00175A44">
        <w:rPr>
          <w:rFonts w:cs="B Zar" w:hint="cs"/>
          <w:rtl/>
        </w:rPr>
        <w:t>دعا براي امنيت، آرامش و صلح</w:t>
        <w:tab/>
        <w:tab/>
        <w:tab/>
        <w:tab/>
        <w:t>(40:6)</w:t>
      </w:r>
    </w:p>
    <w:p w:rsidR="0011420A" w:rsidP="003C0EF5">
      <w:pPr>
        <w:widowControl w:val="0"/>
        <w:spacing w:line="420" w:lineRule="exact"/>
        <w:ind w:left="0" w:right="0"/>
        <w:jc w:val="both"/>
        <w:rPr>
          <w:rFonts w:cs="B Zar" w:hint="cs"/>
          <w:rtl/>
        </w:rPr>
      </w:pPr>
      <w:r w:rsidRPr="00175A44">
        <w:rPr>
          <w:rFonts w:cs="B Zar" w:hint="cs"/>
          <w:rtl/>
        </w:rPr>
        <w:t>برحسب نگرش انيميستي، ازدياد رزق و كسب دارائي و موفقيت در فعاليتهاي اقتصادي نيز بستگي به اعمال جادوئي، طلسم و اوراد دارد. اين امر نيز در اَتهَاروَ ودا منعكس شده است. از جمله طلسم ها و دعاها در اين مورد، مي توانيم به اوراد زير اشاره كنيم:</w:t>
      </w:r>
    </w:p>
    <w:p w:rsidR="0011420A" w:rsidRPr="00175A44" w:rsidP="003C0EF5">
      <w:pPr>
        <w:widowControl w:val="0"/>
        <w:spacing w:line="420" w:lineRule="exact"/>
        <w:ind w:left="0" w:right="0"/>
        <w:jc w:val="both"/>
        <w:rPr>
          <w:rFonts w:cs="B Zar" w:hint="cs"/>
          <w:rtl/>
        </w:rPr>
      </w:pPr>
      <w:r w:rsidRPr="00175A44">
        <w:rPr>
          <w:rFonts w:cs="B Zar" w:hint="cs"/>
          <w:rtl/>
        </w:rPr>
        <w:t>طلسم براي بازاريان و تجّار براي بركت در كسب</w:t>
        <w:tab/>
        <w:tab/>
        <w:t>(15:3)</w:t>
      </w:r>
    </w:p>
    <w:p w:rsidR="0011420A" w:rsidRPr="00175A44" w:rsidP="003C0EF5">
      <w:pPr>
        <w:widowControl w:val="0"/>
        <w:spacing w:line="420" w:lineRule="exact"/>
        <w:ind w:left="0" w:right="0"/>
        <w:jc w:val="both"/>
        <w:rPr>
          <w:rFonts w:cs="B Zar" w:hint="cs"/>
          <w:rtl/>
        </w:rPr>
      </w:pPr>
      <w:r w:rsidRPr="00175A44">
        <w:rPr>
          <w:rFonts w:cs="B Zar" w:hint="cs"/>
          <w:rtl/>
        </w:rPr>
        <w:t>طلسم براي كشاورزي و دعا براي تسهيل كشت و زرع</w:t>
        <w:tab/>
        <w:tab/>
        <w:t>(17:3)</w:t>
      </w:r>
    </w:p>
    <w:p w:rsidR="0011420A" w:rsidRPr="00175A44" w:rsidP="003C0EF5">
      <w:pPr>
        <w:widowControl w:val="0"/>
        <w:spacing w:line="420" w:lineRule="exact"/>
        <w:ind w:left="0" w:right="0"/>
        <w:jc w:val="both"/>
        <w:rPr>
          <w:rFonts w:cs="B Zar" w:hint="cs"/>
          <w:rtl/>
        </w:rPr>
      </w:pPr>
      <w:r w:rsidRPr="00175A44">
        <w:rPr>
          <w:rFonts w:cs="B Zar" w:hint="cs"/>
          <w:rtl/>
        </w:rPr>
        <w:t>طلسم براي ازدياد ثروت و رفاه</w:t>
        <w:tab/>
        <w:tab/>
        <w:tab/>
        <w:tab/>
        <w:t>(20:3)</w:t>
      </w:r>
    </w:p>
    <w:p w:rsidR="0011420A" w:rsidRPr="00175A44" w:rsidP="003C0EF5">
      <w:pPr>
        <w:widowControl w:val="0"/>
        <w:spacing w:line="420" w:lineRule="exact"/>
        <w:ind w:left="0" w:right="0"/>
        <w:jc w:val="both"/>
        <w:rPr>
          <w:rFonts w:cs="B Zar" w:hint="cs"/>
          <w:rtl/>
        </w:rPr>
      </w:pPr>
      <w:r w:rsidRPr="00175A44">
        <w:rPr>
          <w:rFonts w:cs="B Zar" w:hint="cs"/>
          <w:rtl/>
        </w:rPr>
        <w:t>سرود شكرانه فراواني محصول</w:t>
        <w:tab/>
        <w:tab/>
        <w:tab/>
        <w:tab/>
        <w:t>(24:3)</w:t>
      </w:r>
    </w:p>
    <w:p w:rsidR="0011420A" w:rsidRPr="00175A44" w:rsidP="003C0EF5">
      <w:pPr>
        <w:widowControl w:val="0"/>
        <w:spacing w:line="420" w:lineRule="exact"/>
        <w:ind w:left="0" w:right="0"/>
        <w:jc w:val="both"/>
        <w:rPr>
          <w:rFonts w:cs="B Zar" w:hint="cs"/>
          <w:rtl/>
        </w:rPr>
      </w:pPr>
      <w:r w:rsidRPr="00175A44">
        <w:rPr>
          <w:rFonts w:cs="B Zar" w:hint="cs"/>
          <w:rtl/>
        </w:rPr>
        <w:t>طلسم براي فرودآمدن باران</w:t>
        <w:tab/>
        <w:tab/>
        <w:tab/>
        <w:tab/>
        <w:tab/>
        <w:t>(15:4)</w:t>
      </w:r>
    </w:p>
    <w:p w:rsidR="0011420A" w:rsidRPr="00175A44" w:rsidP="003C0EF5">
      <w:pPr>
        <w:widowControl w:val="0"/>
        <w:spacing w:line="420" w:lineRule="exact"/>
        <w:ind w:left="0" w:right="0"/>
        <w:jc w:val="both"/>
        <w:rPr>
          <w:rFonts w:cs="B Zar" w:hint="cs"/>
          <w:rtl/>
        </w:rPr>
      </w:pPr>
      <w:r w:rsidRPr="00175A44">
        <w:rPr>
          <w:rFonts w:cs="B Zar" w:hint="cs"/>
          <w:rtl/>
        </w:rPr>
        <w:t>دعا براي سلامتي دام‌ها و گاوها</w:t>
        <w:tab/>
        <w:tab/>
        <w:tab/>
        <w:tab/>
        <w:t>(21:4)</w:t>
      </w:r>
    </w:p>
    <w:p w:rsidR="0011420A" w:rsidRPr="00175A44" w:rsidP="003C0EF5">
      <w:pPr>
        <w:widowControl w:val="0"/>
        <w:spacing w:line="420" w:lineRule="exact"/>
        <w:ind w:left="0" w:right="0"/>
        <w:jc w:val="both"/>
        <w:rPr>
          <w:rFonts w:cs="B Zar" w:hint="cs"/>
          <w:rtl/>
        </w:rPr>
      </w:pPr>
      <w:r w:rsidRPr="00175A44">
        <w:rPr>
          <w:rFonts w:cs="B Zar" w:hint="cs"/>
          <w:rtl/>
        </w:rPr>
        <w:t>دعاي استغفار براي تقصير در حق پدر و مادر</w:t>
        <w:tab/>
        <w:tab/>
        <w:tab/>
        <w:t>(116:6)</w:t>
      </w:r>
    </w:p>
    <w:p w:rsidR="0011420A" w:rsidRPr="00175A44" w:rsidP="003C0EF5">
      <w:pPr>
        <w:widowControl w:val="0"/>
        <w:spacing w:line="420" w:lineRule="exact"/>
        <w:ind w:left="0" w:right="0"/>
        <w:jc w:val="both"/>
        <w:rPr>
          <w:rFonts w:cs="B Zar" w:hint="cs"/>
          <w:rtl/>
        </w:rPr>
      </w:pPr>
      <w:r w:rsidRPr="00175A44">
        <w:rPr>
          <w:rFonts w:cs="B Zar" w:hint="cs"/>
          <w:rtl/>
        </w:rPr>
        <w:t>دعا به آگني براي حصول ثروت</w:t>
        <w:tab/>
        <w:tab/>
        <w:tab/>
        <w:tab/>
        <w:t>(33:4)</w:t>
      </w:r>
    </w:p>
    <w:p w:rsidR="0011420A" w:rsidRPr="00175A44" w:rsidP="003C0EF5">
      <w:pPr>
        <w:widowControl w:val="0"/>
        <w:spacing w:line="420" w:lineRule="exact"/>
        <w:ind w:left="0" w:right="0"/>
        <w:jc w:val="both"/>
        <w:rPr>
          <w:rFonts w:cs="B Zar" w:hint="cs"/>
          <w:rtl/>
        </w:rPr>
      </w:pPr>
      <w:r w:rsidRPr="00175A44">
        <w:rPr>
          <w:rFonts w:cs="B Zar" w:hint="cs"/>
          <w:rtl/>
        </w:rPr>
        <w:t>دعا به معبودان مختلف براي ازدياد ثروت و رفاه</w:t>
        <w:tab/>
        <w:tab/>
        <w:t>(39:4)</w:t>
      </w:r>
    </w:p>
    <w:p w:rsidR="0011420A" w:rsidRPr="00175A44" w:rsidP="003C0EF5">
      <w:pPr>
        <w:widowControl w:val="0"/>
        <w:spacing w:line="420" w:lineRule="exact"/>
        <w:ind w:left="0" w:right="0"/>
        <w:jc w:val="both"/>
        <w:rPr>
          <w:rFonts w:cs="B Zar" w:hint="cs"/>
          <w:rtl/>
        </w:rPr>
      </w:pPr>
      <w:r w:rsidRPr="00175A44">
        <w:rPr>
          <w:rFonts w:cs="B Zar" w:hint="cs"/>
          <w:rtl/>
        </w:rPr>
        <w:t>دعا براي رفاه</w:t>
        <w:tab/>
        <w:tab/>
        <w:tab/>
        <w:tab/>
        <w:tab/>
        <w:tab/>
        <w:t>(6:5)</w:t>
      </w:r>
    </w:p>
    <w:p w:rsidR="0011420A" w:rsidRPr="00175A44" w:rsidP="003C0EF5">
      <w:pPr>
        <w:widowControl w:val="0"/>
        <w:spacing w:line="420" w:lineRule="exact"/>
        <w:ind w:left="0" w:right="0"/>
        <w:jc w:val="both"/>
        <w:rPr>
          <w:rFonts w:cs="B Zar" w:hint="cs"/>
          <w:rtl/>
        </w:rPr>
      </w:pPr>
      <w:r w:rsidRPr="00175A44">
        <w:rPr>
          <w:rFonts w:cs="B Zar" w:hint="cs"/>
          <w:rtl/>
        </w:rPr>
        <w:t>طلسم براي رفاه عمومي</w:t>
        <w:tab/>
        <w:tab/>
        <w:tab/>
        <w:tab/>
        <w:tab/>
        <w:t>(15:5)</w:t>
      </w:r>
    </w:p>
    <w:p w:rsidR="0011420A" w:rsidRPr="00175A44" w:rsidP="003C0EF5">
      <w:pPr>
        <w:widowControl w:val="0"/>
        <w:spacing w:line="420" w:lineRule="exact"/>
        <w:ind w:left="0" w:right="0"/>
        <w:jc w:val="both"/>
        <w:rPr>
          <w:rFonts w:cs="B Zar" w:hint="cs"/>
          <w:rtl/>
        </w:rPr>
      </w:pPr>
      <w:r w:rsidRPr="00175A44">
        <w:rPr>
          <w:rFonts w:cs="B Zar" w:hint="cs"/>
          <w:rtl/>
        </w:rPr>
        <w:t>طلسم براي بركت در گاوها و دام‌ها</w:t>
        <w:tab/>
        <w:tab/>
        <w:tab/>
        <w:tab/>
        <w:t>(16:5)</w:t>
      </w:r>
    </w:p>
    <w:p w:rsidR="0011420A" w:rsidRPr="00175A44" w:rsidP="003C0EF5">
      <w:pPr>
        <w:widowControl w:val="0"/>
        <w:spacing w:line="420" w:lineRule="exact"/>
        <w:ind w:left="0" w:right="0"/>
        <w:jc w:val="both"/>
        <w:rPr>
          <w:rFonts w:cs="B Zar" w:hint="cs"/>
          <w:rtl/>
        </w:rPr>
      </w:pPr>
      <w:r w:rsidRPr="00175A44">
        <w:rPr>
          <w:rFonts w:cs="B Zar" w:hint="cs"/>
          <w:rtl/>
        </w:rPr>
        <w:t>دعا براي رفاه و ثروت عمومي</w:t>
        <w:tab/>
        <w:tab/>
        <w:tab/>
        <w:tab/>
        <w:t>(28:5)</w:t>
      </w:r>
    </w:p>
    <w:p w:rsidR="0011420A" w:rsidRPr="00175A44" w:rsidP="003C0EF5">
      <w:pPr>
        <w:widowControl w:val="0"/>
        <w:spacing w:line="420" w:lineRule="exact"/>
        <w:ind w:left="0" w:right="0"/>
        <w:jc w:val="both"/>
        <w:rPr>
          <w:rFonts w:cs="B Zar" w:hint="cs"/>
          <w:rtl/>
        </w:rPr>
      </w:pPr>
      <w:r w:rsidRPr="00175A44">
        <w:rPr>
          <w:rFonts w:cs="B Zar" w:hint="cs"/>
          <w:rtl/>
        </w:rPr>
        <w:t>طلسم براي به دست آوردن ثروت هنگفت</w:t>
        <w:tab/>
        <w:tab/>
        <w:tab/>
        <w:t>(33:6)</w:t>
      </w:r>
    </w:p>
    <w:p w:rsidR="0011420A" w:rsidRPr="00175A44" w:rsidP="003C0EF5">
      <w:pPr>
        <w:widowControl w:val="0"/>
        <w:spacing w:line="420" w:lineRule="exact"/>
        <w:ind w:left="0" w:right="0"/>
        <w:jc w:val="both"/>
        <w:rPr>
          <w:rFonts w:cs="B Zar" w:hint="cs"/>
          <w:rtl/>
        </w:rPr>
      </w:pPr>
      <w:r w:rsidRPr="00175A44">
        <w:rPr>
          <w:rFonts w:cs="B Zar" w:hint="cs"/>
          <w:rtl/>
        </w:rPr>
        <w:t>طلسم هنگام خريدن و افتتاح خانه نو</w:t>
        <w:tab/>
        <w:tab/>
        <w:tab/>
        <w:tab/>
        <w:t>(12:3)</w:t>
      </w:r>
    </w:p>
    <w:p w:rsidR="0011420A" w:rsidRPr="00175A44" w:rsidP="003C0EF5">
      <w:pPr>
        <w:widowControl w:val="0"/>
        <w:spacing w:line="420" w:lineRule="exact"/>
        <w:ind w:left="0" w:right="0"/>
        <w:jc w:val="both"/>
        <w:rPr>
          <w:rFonts w:cs="B Zar" w:hint="cs"/>
          <w:rtl/>
        </w:rPr>
      </w:pPr>
      <w:r w:rsidRPr="00175A44">
        <w:rPr>
          <w:rFonts w:cs="B Zar" w:hint="cs"/>
          <w:rtl/>
        </w:rPr>
        <w:t>طلسم هنگام افتتاح اصطبل</w:t>
        <w:tab/>
        <w:tab/>
        <w:tab/>
        <w:tab/>
        <w:tab/>
        <w:t>(13:3)</w:t>
      </w:r>
    </w:p>
    <w:p w:rsidR="0011420A" w:rsidRPr="00175A44" w:rsidP="003C0EF5">
      <w:pPr>
        <w:widowControl w:val="0"/>
        <w:spacing w:line="420" w:lineRule="exact"/>
        <w:ind w:left="0" w:right="0"/>
        <w:jc w:val="both"/>
        <w:rPr>
          <w:rFonts w:cs="B Zar" w:hint="cs"/>
          <w:rtl/>
        </w:rPr>
      </w:pPr>
      <w:r w:rsidRPr="00175A44">
        <w:rPr>
          <w:rFonts w:cs="B Zar" w:hint="cs"/>
          <w:rtl/>
        </w:rPr>
        <w:t>حمد به خورشيد و اجرام سماوي براي ثروتمندي</w:t>
        <w:tab/>
        <w:tab/>
        <w:t>(7:19)</w:t>
      </w:r>
    </w:p>
    <w:p w:rsidR="0011420A" w:rsidRPr="00175A44" w:rsidP="003C0EF5">
      <w:pPr>
        <w:widowControl w:val="0"/>
        <w:spacing w:line="420" w:lineRule="exact"/>
        <w:ind w:left="0" w:right="0"/>
        <w:jc w:val="both"/>
        <w:rPr>
          <w:rFonts w:cs="B Zar"/>
          <w:rtl/>
        </w:rPr>
      </w:pPr>
      <w:r w:rsidRPr="00175A44">
        <w:rPr>
          <w:rFonts w:cs="B Zar" w:hint="cs"/>
          <w:rtl/>
        </w:rPr>
        <w:t xml:space="preserve">تمام عناصر آئين و نگرش انيميستي در برخي سرودهاي ريگ ودا و در بخش عمده ياجور ودا و اَتهاروَ ودا منعكس شده است. همين امر موجب شده است برخي صاحب نظران از جمله كلود </w:t>
      </w:r>
      <w:r w:rsidRPr="00175A44">
        <w:rPr>
          <w:rFonts w:cs="B Zar"/>
        </w:rPr>
        <w:t xml:space="preserve">(E.Clodd) </w:t>
      </w:r>
      <w:r w:rsidRPr="00175A44">
        <w:rPr>
          <w:rFonts w:cs="B Zar" w:hint="cs"/>
          <w:rtl/>
        </w:rPr>
        <w:t xml:space="preserve"> دين ودا را از سنخ انيميسم نسبتاً مترقي تري </w:t>
      </w:r>
      <w:r w:rsidRPr="00175A44">
        <w:rPr>
          <w:rFonts w:cs="B Zar"/>
        </w:rPr>
        <w:t>(Higher Animism)</w:t>
      </w:r>
      <w:r w:rsidRPr="00175A44">
        <w:rPr>
          <w:rFonts w:cs="B Zar" w:hint="cs"/>
          <w:rtl/>
        </w:rPr>
        <w:t xml:space="preserve"> تلقي كنند.</w:t>
      </w:r>
      <w:r>
        <w:rPr>
          <w:rStyle w:val="FootnoteReference"/>
          <w:rFonts w:cs="B Zar"/>
          <w:rtl/>
        </w:rPr>
        <w:footnoteReference w:id="353"/>
      </w:r>
      <w:r w:rsidRPr="00175A44">
        <w:rPr>
          <w:rFonts w:cs="B Zar" w:hint="cs"/>
          <w:rtl/>
        </w:rPr>
        <w:t xml:space="preserve"> ولي واقعيت اين است كه انيميسم يكي از مراحل انديشه مردم ابتدائي آريائي را منعكس مي‌كند؛ در حاليكه ماهيت اصلي هندوئيسم، تدوين شده آئين شرك است؛ چنانكه در بخش بعدي شرح خواهيم داد.</w:t>
      </w:r>
    </w:p>
    <w:p w:rsidR="0011420A" w:rsidP="003C0EF5">
      <w:pPr>
        <w:pStyle w:val="BodyTextIndent2"/>
        <w:widowControl w:val="0"/>
        <w:spacing w:line="420" w:lineRule="exact"/>
        <w:ind w:left="0" w:right="0" w:firstLine="567"/>
        <w:jc w:val="center"/>
        <w:rPr>
          <w:rFonts w:cs="B Zar" w:hint="cs"/>
          <w:b/>
          <w:bCs/>
          <w:rtl/>
          <w:lang w:bidi="fa-IR"/>
        </w:rPr>
      </w:pPr>
      <w:r w:rsidRPr="00175A44">
        <w:rPr>
          <w:rFonts w:cs="B Zar"/>
          <w:b/>
          <w:bCs/>
          <w:rtl/>
        </w:rPr>
        <w:br w:type="page"/>
      </w:r>
    </w:p>
    <w:p w:rsidR="00D7306D" w:rsidRPr="00175A44" w:rsidP="003C0EF5">
      <w:pPr>
        <w:pStyle w:val="BodyTextIndent2"/>
        <w:widowControl w:val="0"/>
        <w:spacing w:line="420" w:lineRule="exact"/>
        <w:ind w:left="0" w:right="0" w:firstLine="567"/>
        <w:jc w:val="center"/>
        <w:rPr>
          <w:rFonts w:cs="B Zar" w:hint="cs"/>
          <w:b/>
          <w:bCs/>
          <w:rtl/>
          <w:lang w:bidi="fa-IR"/>
        </w:rPr>
      </w:pPr>
    </w:p>
    <w:p w:rsidR="0011420A" w:rsidRPr="00175A44" w:rsidP="003C0EF5">
      <w:pPr>
        <w:pStyle w:val="BodyTextIndent2"/>
        <w:widowControl w:val="0"/>
        <w:spacing w:line="420" w:lineRule="exact"/>
        <w:ind w:left="0" w:right="0" w:firstLine="567"/>
        <w:jc w:val="center"/>
        <w:rPr>
          <w:rFonts w:cs="B Zar" w:hint="cs"/>
          <w:b/>
          <w:bCs/>
          <w:rtl/>
        </w:rPr>
      </w:pPr>
      <w:r w:rsidRPr="00175A44">
        <w:rPr>
          <w:rFonts w:cs="B Zar" w:hint="cs"/>
          <w:b/>
          <w:bCs/>
          <w:rtl/>
        </w:rPr>
        <w:t>شرك يا چندخدائي</w:t>
      </w:r>
    </w:p>
    <w:p w:rsidR="0011420A" w:rsidRPr="00175A44" w:rsidP="003C0EF5">
      <w:pPr>
        <w:pStyle w:val="BodyTextIndent2"/>
        <w:widowControl w:val="0"/>
        <w:spacing w:line="420" w:lineRule="exact"/>
        <w:ind w:left="0" w:right="0" w:firstLine="567"/>
        <w:jc w:val="both"/>
        <w:rPr>
          <w:rFonts w:cs="B Zar" w:hint="cs"/>
          <w:b/>
          <w:bCs/>
          <w:rtl/>
        </w:rPr>
      </w:pPr>
    </w:p>
    <w:p w:rsidR="0011420A" w:rsidRPr="00175A44" w:rsidP="003C0EF5">
      <w:pPr>
        <w:widowControl w:val="0"/>
        <w:spacing w:line="420" w:lineRule="exact"/>
        <w:ind w:left="0" w:right="0"/>
        <w:jc w:val="both"/>
        <w:rPr>
          <w:rFonts w:cs="B Zar" w:hint="cs"/>
          <w:rtl/>
        </w:rPr>
      </w:pPr>
      <w:r w:rsidRPr="00175A44">
        <w:rPr>
          <w:rFonts w:cs="B Zar" w:hint="cs"/>
          <w:rtl/>
        </w:rPr>
        <w:t>پس از گذار از مرحله شيرخوارگي و طفوليت، اجتماع بشري به آستانه بلوغ مي رسد. در اين مرحله، درك انسان از چهارچوب حواس و تخيل فراتر مي‌رود و به مرحله انديشيدن و كاربرد عقل، و استفاده از روش استقراء و قياس مي‌رسد. انسان موجودي متعالي تر از حيوان بوده، و امكان نداشت آگاهي او تا دير زمان محدود به ظواهر و حواس و يا تخيل و انگارسازي (مرحله انيميسم) باشد. يكي از ويژگي انسان این است كه آگاهي‌ها، بينش‌ها و شناخت‌هاي او از ظواهر اشياء عبور مي كند و از طريق عقل در صدد بر مي‌آيد ماهيت واقعي اشياء و نيروهاي پشت پرده پديده‌ها را بشناسد. البته در مرحله بلوغ هنوز عقل پختگي پيدا نمي‌كند و در شناخت حقايق و واقعيتها به شدت مي‌لغزد، عقل ناقص و نورس و تازه به بلوغ رسيده، درك انسان را از سطح حواس و فريب تخيل و انگارسازي كودكانه بالاتر مي آورد؛ ولي چه بسا براي رهنمون شدن به واقعيت، او را در اشتباهات و آگاهي‌هاي كاذب و بيراهه‌هاي نوين بياندازد.</w:t>
      </w:r>
    </w:p>
    <w:p w:rsidR="0011420A" w:rsidRPr="00175A44" w:rsidP="003C0EF5">
      <w:pPr>
        <w:widowControl w:val="0"/>
        <w:spacing w:line="420" w:lineRule="exact"/>
        <w:ind w:left="0" w:right="0"/>
        <w:jc w:val="both"/>
        <w:rPr>
          <w:rFonts w:cs="B Zar" w:hint="cs"/>
          <w:rtl/>
        </w:rPr>
      </w:pPr>
      <w:r w:rsidRPr="00175A44">
        <w:rPr>
          <w:rFonts w:cs="B Zar" w:hint="cs"/>
          <w:rtl/>
        </w:rPr>
        <w:t>در مرحله سوم سير انديشه ديني بشر جاهلي، همين امر اتفاق افتاد. انسان به طور قطع بدين نتيجه رسيد كه پديده هاي طبيعت نمي‌توانند علت‌العلل و معبود باشند، و ارواحي كه ما بتوانيم آنان را از طريق انجام مختصر اعمال جادوئي و قرائت اوراد و طلسم‌ها تسخير كنيم، نمي‌توانند معبود، آفريننده و «رب» ما باشند. در عين حال كه پديده‌ها نمي‌توانند حركت، پويائي، درخشش و زندگي را به خودي خود داشته باشند، بلكه بايد فراسوي پديده‌ها، نيروها و ذوات صاحب اراده اي باشند كه پديده‌ها را از اين خصائص برخوردار سازند؛ در عين حال، اين «ذوات» نمي توانند صرفاً ارواح ناچيزی باشند كه در اختيار ما قرار مي‌گيرند؛ بلكه بايد شخصيت‌هايي عظيم، بس نيرومندتر، عليم، حكيم، قادر مطلق و «جميل» باشند. به تدريج انسان به صفات خداوند از طريق عقل پي مي‌برد،  ولي هنوز گرفتار انسان انگاري است و تفاوتهايي كه ميان انسان و خدايان قائل مي‌شود، تفاوتهاي كمّي است نه كيفي. دكتر رادا كريشنان مي نويسد:</w:t>
      </w:r>
    </w:p>
    <w:p w:rsidR="0011420A" w:rsidRPr="00175A44" w:rsidP="003C0EF5">
      <w:pPr>
        <w:widowControl w:val="0"/>
        <w:spacing w:line="420" w:lineRule="exact"/>
        <w:ind w:left="0" w:right="0"/>
        <w:jc w:val="both"/>
        <w:rPr>
          <w:rFonts w:cs="B Zar" w:hint="cs"/>
          <w:rtl/>
        </w:rPr>
      </w:pPr>
      <w:r w:rsidRPr="00175A44">
        <w:rPr>
          <w:rFonts w:cs="B Zar" w:hint="cs"/>
          <w:rtl/>
        </w:rPr>
        <w:t>«بزودي مرحله سير تفكر آغاز گرديد. انسان درصدد برآمد وراي پديده‌هاي طبيعت، اداره كنندگان آنرا جستجو كند، و شروع كرد به تراشيدن خداياني درست نظير خود، البته عظيم‌تر، جسيم‌تر، نيرومندتر و زيباتر و آنان را رب النوع لقب داد. اين معبودان در كارخانه ذهن آدمي عيناً نظير برچسب الگوئي خود انسان ساخته شدند.</w:t>
      </w:r>
      <w:r>
        <w:rPr>
          <w:rStyle w:val="FootnoteReference"/>
          <w:rFonts w:cs="B Zar"/>
          <w:rtl/>
        </w:rPr>
        <w:footnoteReference w:id="354"/>
      </w:r>
      <w:r w:rsidRPr="00175A44" w:rsidR="006D5BDA">
        <w:rPr>
          <w:rFonts w:cs="B Zar" w:hint="cs"/>
          <w:rtl/>
        </w:rPr>
        <w:t xml:space="preserve"> </w:t>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عقل نارس و تازه به بلوغ رسيده بشر، او را از ورطه طبيعت پرستي و انيميسم رهانيد، ولي در گرداب شرك انداخت. تعقّل انسان هنوز كاملاً از حاكميت ظاهري و حواس محوري آزاد نگرديده بود. انسان هرچند اين اصل را دريافته بود كه پديده‌هاي طبيعت، خصائص خود را مديون ذات و شخصيت ماورائي مطلق‌اند، ولي هنوز آنچه در طبيعت مشاهده مي كرد، «كثرت» بود نه وحدت. ستارگان قابل شمارش نيستند. ظاهراً ستارگان از ماه، ماه از خورشيد، روز از شب، جماد با نبات، نبات با حيوان، حيوان با انسان از هم جدا و تابع قوانين متفاوتي هستند. دريا با صحرا و مرگ با زندگي بسيار فرق دارد. پس بايد خداي آسمان جدا از خداي زمين باشد. خداي دريا غير از خداي جنگل باشد. خداي خورشيد، ماه، ستارگان، رعد و برق، و همچنان خداي جنگ و خداي محبت، جدا از هم باشند؛ بلكه ميان برخي از اينان كشاكش و ستيز نيز به نظر مي‌رسد. شب با روز، مرگ با هستي، تاريكي با نور، ضد و نقيص‌اند؛ پس نمي‌توانند خداي واحدي داشته باشند، بلكه ممكن است ميان رب‌النوع‌هاي اينان دائماً جنگ و ستيز وجود داشته باشد. وقتي در فلك، ماموران شب، خورشيد را به قتل مي رسانند و افق تا افق از خون خورشيد سرخ مي گردد، سپس قشون انبوه تاريكي بر فلك سلطه پيدا مي كنند، در اين هنگام ماه پيروزمندانه بر سرير فلك تشريف فرما مي‌شود. مدتي ماه حكومت مي كند، سپس خورشيد به «ثار» بر مي خيزد، بامدادان نيروي تاريكي را عقب مي راند، خلعت نور را از پيكر ماه در مي آورند و آنرا به اسفل السافلبن تبعيد مي كنند، ماه با قلبی پر از درد كه به صورت لكه سياه جلوه مي‌كند به قلمرو «ياما»</w:t>
      </w:r>
      <w:r w:rsidRPr="00175A44">
        <w:rPr>
          <w:rFonts w:cs="B Zar"/>
        </w:rPr>
        <w:t>(yama)</w:t>
      </w:r>
      <w:r w:rsidRPr="00175A44">
        <w:rPr>
          <w:rFonts w:cs="B Zar" w:hint="cs"/>
          <w:rtl/>
        </w:rPr>
        <w:t xml:space="preserve"> مي رود.</w:t>
      </w:r>
    </w:p>
    <w:p w:rsidR="0011420A" w:rsidRPr="00175A44" w:rsidP="003C0EF5">
      <w:pPr>
        <w:widowControl w:val="0"/>
        <w:spacing w:line="420" w:lineRule="exact"/>
        <w:ind w:left="0" w:right="0"/>
        <w:jc w:val="both"/>
        <w:rPr>
          <w:rFonts w:cs="B Zar" w:hint="cs"/>
          <w:rtl/>
        </w:rPr>
      </w:pPr>
      <w:r w:rsidRPr="00175A44">
        <w:rPr>
          <w:rFonts w:cs="B Zar" w:hint="cs"/>
          <w:rtl/>
        </w:rPr>
        <w:t>مردان بدوي آريائي كه تازه به مرحله انديشيدن رسيده بودند، و احتمالاً از تعاليم پيامبران برخوردار نشده و يا به كلي آن را فراموش كرده بودند، با استدلال نارس خود بدين نتيجه رسيدند كه «ذوات» كامل و مطلق كه پديده‌ها را كنترل و اداره مي‌كنند، نمي‌توانند يكي باشند؛ چرا كه پديده‌ها متنوع‌اند و ظاهراً ميان آنان نه تنها سنخيتي وجود ندارد، بلكه تضاد و كشمكش نيز ديده مي شود. بدينسان آنان در ورطه شرك افتادند، و اين، مرحله سوم سيرانديشه ديني بشر جاهلي است.</w:t>
      </w:r>
    </w:p>
    <w:p w:rsidR="0011420A" w:rsidRPr="00175A44" w:rsidP="003C0EF5">
      <w:pPr>
        <w:widowControl w:val="0"/>
        <w:spacing w:line="420" w:lineRule="exact"/>
        <w:ind w:left="0" w:right="0"/>
        <w:jc w:val="both"/>
        <w:rPr>
          <w:rFonts w:cs="B Zar" w:hint="cs"/>
          <w:rtl/>
        </w:rPr>
      </w:pPr>
      <w:r w:rsidRPr="00175A44">
        <w:rPr>
          <w:rFonts w:cs="B Zar" w:hint="cs"/>
          <w:rtl/>
        </w:rPr>
        <w:t xml:space="preserve">تعقّل و استدلال بشر در اين مرحله، عمدتاً روش قياس به نفس را پيش مي گيرد. همچنان كه در زمين و اجتماع آدميان كثرت ديده مي شود، در اجتماع خدايان نيز كثرت وجود دارد. همچنان كه در اجتماع انسانها تقسيم كار وجود دارد، در جامعه عالم بالا نيز تقسيم كار و تقسيم وظايف صورت گرفته است. همچنانكه جامعه آدميان داراي لايه بندي اجتماعي است، در عالم خدايان نيز سلسله مراتب وجود دارد. يكي از خدايان به صورت رئيس خدايان يا «خداي خدايان» در مي‌آيد. او نوعي نقش سلطان يا رئيس قبيله را دارد. در اديان شرك، عموماً اين خداي برتر، رب‌النوع آسمان يا رب النوع خورشيد است. را </w:t>
      </w:r>
      <w:r w:rsidRPr="00175A44">
        <w:rPr>
          <w:rFonts w:cs="B Zar"/>
        </w:rPr>
        <w:t>(Ra)</w:t>
      </w:r>
      <w:r w:rsidRPr="00175A44">
        <w:rPr>
          <w:rFonts w:cs="B Zar" w:hint="cs"/>
          <w:rtl/>
        </w:rPr>
        <w:t xml:space="preserve"> در مصر، انو و هيروما در ژاپن، زئوس</w:t>
      </w:r>
      <w:r w:rsidRPr="00175A44">
        <w:rPr>
          <w:rFonts w:cs="B Zar"/>
        </w:rPr>
        <w:t>(Zeus)</w:t>
      </w:r>
      <w:r w:rsidRPr="00175A44">
        <w:rPr>
          <w:rFonts w:cs="B Zar" w:hint="cs"/>
          <w:rtl/>
        </w:rPr>
        <w:t xml:space="preserve"> در يونان، اهورامزدا در ايران و ايندرا</w:t>
      </w:r>
      <w:r w:rsidRPr="00175A44">
        <w:rPr>
          <w:rFonts w:cs="B Zar"/>
        </w:rPr>
        <w:t>(Indra)</w:t>
      </w:r>
      <w:r w:rsidRPr="00175A44">
        <w:rPr>
          <w:rFonts w:cs="B Zar" w:hint="cs"/>
          <w:rtl/>
        </w:rPr>
        <w:t xml:space="preserve"> و سپس پاراجاپاتي</w:t>
      </w:r>
      <w:r w:rsidRPr="00175A44">
        <w:rPr>
          <w:rFonts w:cs="B Zar"/>
        </w:rPr>
        <w:t>(Parjapati)</w:t>
      </w:r>
      <w:r w:rsidRPr="00175A44">
        <w:rPr>
          <w:rFonts w:cs="B Zar" w:hint="cs"/>
          <w:rtl/>
        </w:rPr>
        <w:t xml:space="preserve"> در ودا، از چنين خدايان برتراند. برخي از دانش پژوهان معتقدند كه ميان آئين و نظام شرك و سلسله مراتب طبقاتي در جامعه نيز رابطه‌اي وجود داشته است. فرهنگ شرك در تاريخ ملل هميشه با نظام طبقاتي و نظام «كاست»هاي سفت و سخت همراه است. در هند نيز در نخستين دوره عصر ودا كه عصر طبيعت‌پرستي است، هيچ نظام كاستي و طبقاتي وجود نداشته است. نظام كاستي در مرحله سوم و دوره حاكميت شرك بوجود آمده است. در مرحله شرك، اجتماع خدايان در عالم بالا نيز انعكاس و سايه‌اي از اجتماع آدميان در عالم سفلي است.</w:t>
      </w:r>
    </w:p>
    <w:p w:rsidR="0011420A" w:rsidRPr="00175A44" w:rsidP="003C0EF5">
      <w:pPr>
        <w:widowControl w:val="0"/>
        <w:spacing w:line="420" w:lineRule="exact"/>
        <w:ind w:left="0" w:right="0"/>
        <w:jc w:val="both"/>
        <w:rPr>
          <w:rFonts w:cs="B Zar" w:hint="cs"/>
          <w:rtl/>
        </w:rPr>
      </w:pPr>
      <w:r w:rsidRPr="00175A44">
        <w:rPr>
          <w:rFonts w:cs="B Zar" w:hint="cs"/>
          <w:rtl/>
        </w:rPr>
        <w:t xml:space="preserve">از نظر ويژگي‌هاي فردي نيز روش «قياس به نفس» منتهي به آن مي شود كه خدايان در عين آنكه ذوّات كامل و مطلق محسوب مي‌شوند، داراي بسياري از ويژگيهاي انسانها هستند. آنان داراي شجره نسب‌اند. روابط و خويشاوندي‌هاي سببي و نسبي دارند. وارون و ميترا، فرزند «اَدتي»اند و از همين رو «ادتيه» ناميده مي‌شوند. برادر بزرگتر معبود آريامان </w:t>
      </w:r>
      <w:r w:rsidRPr="00175A44">
        <w:rPr>
          <w:rFonts w:cs="B Zar"/>
        </w:rPr>
        <w:t>(Aryaman)</w:t>
      </w:r>
      <w:r w:rsidRPr="00175A44">
        <w:rPr>
          <w:rFonts w:cs="B Zar" w:hint="cs"/>
          <w:rtl/>
        </w:rPr>
        <w:t xml:space="preserve">،‌بهاگ </w:t>
      </w:r>
      <w:r w:rsidRPr="00175A44">
        <w:rPr>
          <w:rFonts w:cs="B Zar"/>
        </w:rPr>
        <w:t>(Bhag)</w:t>
      </w:r>
      <w:r w:rsidRPr="00175A44">
        <w:rPr>
          <w:rFonts w:cs="B Zar" w:hint="cs"/>
          <w:rtl/>
        </w:rPr>
        <w:t xml:space="preserve"> است. وقتي آنان داراي فرزند و برادرند، بديهي است معبودان، «همسر» نيز مي گيرند. انساني كه روش «قياس به نفس» را پيش گرفته بود، نمي‌توانست به نتيجه ديگري برسد. در مصر شو </w:t>
      </w:r>
      <w:r w:rsidRPr="00175A44">
        <w:rPr>
          <w:rFonts w:cs="B Zar"/>
        </w:rPr>
        <w:t>(Sho)</w:t>
      </w:r>
      <w:r w:rsidRPr="00175A44">
        <w:rPr>
          <w:rFonts w:cs="B Zar" w:hint="cs"/>
          <w:rtl/>
        </w:rPr>
        <w:t xml:space="preserve"> رب‌النوع خورشيد و يا فضا است. او همسري دارد به نام تفنِت </w:t>
      </w:r>
      <w:r w:rsidRPr="00175A44">
        <w:rPr>
          <w:rFonts w:cs="B Zar"/>
        </w:rPr>
        <w:t>(Tefnet)</w:t>
      </w:r>
      <w:r w:rsidRPr="00175A44">
        <w:rPr>
          <w:rFonts w:cs="B Zar" w:hint="cs"/>
          <w:rtl/>
        </w:rPr>
        <w:t>، اسيريس</w:t>
      </w:r>
      <w:r w:rsidRPr="00175A44">
        <w:rPr>
          <w:rFonts w:cs="B Zar"/>
        </w:rPr>
        <w:t xml:space="preserve"> (Isiris)</w:t>
      </w:r>
      <w:r w:rsidRPr="00175A44">
        <w:rPr>
          <w:rFonts w:cs="B Zar" w:hint="cs"/>
          <w:rtl/>
        </w:rPr>
        <w:t xml:space="preserve">معبود زمين، همسري دارد به نام اسيس </w:t>
      </w:r>
      <w:r w:rsidRPr="00175A44">
        <w:rPr>
          <w:rFonts w:cs="B Zar"/>
        </w:rPr>
        <w:t>(Isis)</w:t>
      </w:r>
      <w:r w:rsidRPr="00175A44">
        <w:rPr>
          <w:rFonts w:cs="B Zar" w:hint="cs"/>
          <w:rtl/>
        </w:rPr>
        <w:t xml:space="preserve">. او ياري دهنده شوهرش است. نبهت </w:t>
      </w:r>
      <w:r w:rsidRPr="00175A44">
        <w:rPr>
          <w:rFonts w:cs="B Zar"/>
        </w:rPr>
        <w:t>(Nebhet)</w:t>
      </w:r>
      <w:r w:rsidRPr="00175A44">
        <w:rPr>
          <w:rFonts w:cs="B Zar" w:hint="cs"/>
          <w:rtl/>
        </w:rPr>
        <w:t xml:space="preserve"> يا نفتس </w:t>
      </w:r>
      <w:r w:rsidRPr="00175A44">
        <w:rPr>
          <w:rFonts w:cs="B Zar"/>
        </w:rPr>
        <w:t>(Nfephthys)</w:t>
      </w:r>
      <w:r w:rsidRPr="00175A44">
        <w:rPr>
          <w:rFonts w:cs="B Zar" w:hint="cs"/>
          <w:rtl/>
        </w:rPr>
        <w:t>، همسر سيت</w:t>
      </w:r>
      <w:r w:rsidRPr="00175A44">
        <w:rPr>
          <w:rFonts w:cs="B Zar"/>
        </w:rPr>
        <w:t>(Set)</w:t>
      </w:r>
      <w:r w:rsidRPr="00175A44">
        <w:rPr>
          <w:rFonts w:cs="B Zar" w:hint="cs"/>
          <w:rtl/>
        </w:rPr>
        <w:t xml:space="preserve"> و رقيب خورشيد است و برخي گفته‌اند كه آن كنايه از رب‌النوع شب است و همسر او رب‌النوع شامگاهان است.</w:t>
      </w:r>
      <w:r>
        <w:rPr>
          <w:rStyle w:val="FootnoteReference"/>
          <w:rFonts w:cs="B Zar"/>
          <w:rtl/>
        </w:rPr>
        <w:footnoteReference w:id="355"/>
      </w:r>
      <w:r w:rsidRPr="00175A44">
        <w:rPr>
          <w:rFonts w:cs="B Zar" w:hint="cs"/>
          <w:rtl/>
        </w:rPr>
        <w:t xml:space="preserve"> </w:t>
      </w:r>
    </w:p>
    <w:p w:rsidR="0011420A" w:rsidP="003C0EF5">
      <w:pPr>
        <w:widowControl w:val="0"/>
        <w:spacing w:line="420" w:lineRule="exact"/>
        <w:ind w:left="0" w:right="0"/>
        <w:jc w:val="both"/>
        <w:rPr>
          <w:rFonts w:cs="B Zar" w:hint="cs"/>
          <w:rtl/>
        </w:rPr>
      </w:pPr>
      <w:r w:rsidRPr="00175A44">
        <w:rPr>
          <w:rFonts w:cs="B Zar" w:hint="cs"/>
          <w:rtl/>
        </w:rPr>
        <w:t>معبودان همانند انسانها داراي احساسات و عواطف‌اند. آنان به عشق الهه‌اي زيبا گرفتار مي شوند. ميان آنان رقابت ها و تجاوزات و فسادهاي جنسي نيز وجود دارد. رب‌النوع‌ها داراي عواطف محبّت، خشم، مسرّت، يأس، پشيماني و حتي هراس‌اند. آنان با هم مي‌جنگند و كشتي مي‌گيرند. آنان نياز به غذا، لباس، خواب، غسل و غيره دارند. حتّي معبودان گرفتار بيماري و مرگ مي‌شوند. جاويدان بودن معبودان تنها به معناي عمر بسيار طولاني تر و درازتر آنان است. تناقض مرحله شرك اين است كه از يكسو انسان در صدد يافتن مظهر كمال مطلق است و از سوي ديگر تصوري كه از خدايان مي‌كند، داراي تمام نقائص انساني است. تفاوت معبودان با انسان در مرحله شرك، تنها از نظر كمّي است نه از كيفي.</w:t>
      </w:r>
    </w:p>
    <w:p w:rsidR="00845A2E"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 xml:space="preserve"> عناصر شرك در اديان پارينه</w:t>
      </w:r>
    </w:p>
    <w:p w:rsidR="0011420A" w:rsidRPr="00175A44" w:rsidP="003C0EF5">
      <w:pPr>
        <w:widowControl w:val="0"/>
        <w:spacing w:line="420" w:lineRule="exact"/>
        <w:ind w:left="0" w:right="0"/>
        <w:jc w:val="both"/>
        <w:rPr>
          <w:rFonts w:cs="B Zar" w:hint="cs"/>
          <w:rtl/>
        </w:rPr>
      </w:pPr>
      <w:r w:rsidRPr="00175A44">
        <w:rPr>
          <w:rFonts w:cs="B Zar" w:hint="cs"/>
          <w:rtl/>
        </w:rPr>
        <w:t xml:space="preserve">آئين شرك، رائج‌ترين آئين در اقوام و ملل پارينه و كهن است. يكي از علت‌هاي اين امر آن است كه مرحله طبيعت‌پرستي و انيميسم به طور عموم به زماني تعلق دارد كه اكثر اقوام و ملل هنوز روش كتابت را به دست نياورده بودند. از اين‌رو شواهد و اسناد كتبي آن از ميان رفته است، ولي آئين شرك به دوراني تعلق دارد كه ملل كهن از نظر تمدن تا اندازه‌اي پيشرفت كرده و روش تحرير را به دست آورده بودند. اسناد و شواهدي كه به صورت كتبي از ملل سميري‌ها، مصريان، چيني‌ها و يونانيان و هنديان به دست آمده به طور عمده منعكس كننده همين مرحله شرك است. جرگه خدايان سمير مشتمل بر خدايان متعدد است. انليل </w:t>
      </w:r>
      <w:r w:rsidRPr="00175A44">
        <w:rPr>
          <w:rFonts w:cs="B Zar"/>
        </w:rPr>
        <w:t>(Enlil)</w:t>
      </w:r>
      <w:r w:rsidRPr="00175A44">
        <w:rPr>
          <w:rFonts w:cs="B Zar" w:hint="cs"/>
          <w:rtl/>
        </w:rPr>
        <w:t xml:space="preserve"> نظير زئوس يا ايندرا، رئيس اين جرگه معبودان و خداي خدايان است و تمام معبودان از او دستور مي‌گيرند. اگر آنان دچار اشتباه يا تقصير شوند، به معبد انليل در اريدو </w:t>
      </w:r>
      <w:r w:rsidRPr="00175A44">
        <w:rPr>
          <w:rFonts w:cs="B Zar"/>
        </w:rPr>
        <w:t>(Eridu)</w:t>
      </w:r>
      <w:r w:rsidRPr="00175A44">
        <w:rPr>
          <w:rFonts w:cs="B Zar" w:hint="cs"/>
          <w:rtl/>
        </w:rPr>
        <w:t xml:space="preserve"> فرا خوانده مي شوند. چنانكه طبق اساطير سمير، رب‌النوع ماه «ننّاسن» به اين وضع مبتلا شد. از جمله معبودان ديگر مي توان از انكي</w:t>
      </w:r>
      <w:r w:rsidRPr="00175A44">
        <w:rPr>
          <w:rFonts w:cs="B Zar"/>
        </w:rPr>
        <w:t>(Enki)</w:t>
      </w:r>
      <w:r w:rsidRPr="00175A44">
        <w:rPr>
          <w:rFonts w:cs="B Zar" w:hint="cs"/>
          <w:rtl/>
        </w:rPr>
        <w:t xml:space="preserve">، دُموزي </w:t>
      </w:r>
      <w:r w:rsidRPr="00175A44">
        <w:rPr>
          <w:rFonts w:cs="B Zar"/>
        </w:rPr>
        <w:t>(Dumuzi)</w:t>
      </w:r>
      <w:r w:rsidRPr="00175A44">
        <w:rPr>
          <w:rFonts w:cs="B Zar" w:hint="cs"/>
          <w:rtl/>
        </w:rPr>
        <w:t>، ننلِل‌</w:t>
      </w:r>
      <w:r w:rsidRPr="00175A44">
        <w:rPr>
          <w:rFonts w:cs="B Zar"/>
        </w:rPr>
        <w:t>(Ninlil)</w:t>
      </w:r>
      <w:r w:rsidRPr="00175A44">
        <w:rPr>
          <w:rFonts w:cs="B Zar" w:hint="cs"/>
          <w:rtl/>
        </w:rPr>
        <w:t>،‌ نن، هرسَگ، اَرِش‌كي‌گَلي‌</w:t>
      </w:r>
      <w:r w:rsidRPr="00175A44">
        <w:rPr>
          <w:rFonts w:cs="B Zar"/>
        </w:rPr>
        <w:t>(Ereshkigali)</w:t>
      </w:r>
      <w:r w:rsidRPr="00175A44">
        <w:rPr>
          <w:rFonts w:cs="B Zar" w:hint="cs"/>
          <w:rtl/>
        </w:rPr>
        <w:t xml:space="preserve">،‌گِلگامش </w:t>
      </w:r>
      <w:r w:rsidRPr="00175A44">
        <w:rPr>
          <w:rFonts w:cs="B Zar"/>
        </w:rPr>
        <w:t>(Gilgamesh)</w:t>
      </w:r>
      <w:r w:rsidRPr="00175A44">
        <w:rPr>
          <w:rFonts w:cs="B Zar" w:hint="cs"/>
          <w:rtl/>
        </w:rPr>
        <w:t xml:space="preserve"> و غيره نام برد.</w:t>
      </w:r>
      <w:r>
        <w:rPr>
          <w:rStyle w:val="FootnoteReference"/>
          <w:rFonts w:cs="B Zar"/>
          <w:rtl/>
        </w:rPr>
        <w:footnoteReference w:id="356"/>
      </w:r>
    </w:p>
    <w:p w:rsidR="0011420A" w:rsidRPr="00175A44" w:rsidP="003C0EF5">
      <w:pPr>
        <w:widowControl w:val="0"/>
        <w:spacing w:line="420" w:lineRule="exact"/>
        <w:ind w:left="0" w:right="0"/>
        <w:jc w:val="both"/>
        <w:rPr>
          <w:rFonts w:cs="B Zar" w:hint="cs"/>
          <w:rtl/>
        </w:rPr>
      </w:pPr>
      <w:r w:rsidRPr="00175A44">
        <w:rPr>
          <w:rFonts w:cs="B Zar" w:hint="cs"/>
          <w:rtl/>
        </w:rPr>
        <w:t>سمير از نظر پيشرفت و ايجاد تمدن از ساير ملل جلوتر، و نخستين تمدن بشر در جهان بوده و در سه هزار سال قبل از ميلاد بدين مرحله رسيده است. آثاري كه از سميري‌ها به دست آمده و معبدهايي كه كشف شده از 2500 تا 2000 ق م قدمت دارند.</w:t>
      </w:r>
    </w:p>
    <w:p w:rsidR="0011420A" w:rsidP="003C0EF5">
      <w:pPr>
        <w:widowControl w:val="0"/>
        <w:spacing w:line="420" w:lineRule="exact"/>
        <w:ind w:left="0" w:right="0"/>
        <w:jc w:val="both"/>
        <w:rPr>
          <w:rFonts w:cs="B Zar" w:hint="cs"/>
          <w:rtl/>
        </w:rPr>
      </w:pPr>
      <w:r w:rsidRPr="00175A44">
        <w:rPr>
          <w:rFonts w:cs="B Zar" w:hint="cs"/>
          <w:rtl/>
        </w:rPr>
        <w:t xml:space="preserve">در مصر نيز از دوره فرعون دوم به بعد، دين به وضوح ماهيت شرك‌انگيز پيدا كرده بود، ديگر ري </w:t>
      </w:r>
      <w:r w:rsidRPr="00175A44">
        <w:rPr>
          <w:rFonts w:cs="B Zar"/>
        </w:rPr>
        <w:t>(Re)</w:t>
      </w:r>
      <w:r w:rsidRPr="00175A44">
        <w:rPr>
          <w:rFonts w:cs="B Zar" w:hint="cs"/>
          <w:rtl/>
        </w:rPr>
        <w:t xml:space="preserve"> ، هوروس </w:t>
      </w:r>
      <w:r w:rsidRPr="00175A44">
        <w:rPr>
          <w:rFonts w:cs="B Zar"/>
        </w:rPr>
        <w:t>(Horus)</w:t>
      </w:r>
      <w:r w:rsidRPr="00175A44">
        <w:rPr>
          <w:rFonts w:cs="B Zar" w:hint="cs"/>
          <w:rtl/>
        </w:rPr>
        <w:t xml:space="preserve">، مآت </w:t>
      </w:r>
      <w:r w:rsidRPr="00175A44">
        <w:rPr>
          <w:rFonts w:cs="B Zar"/>
        </w:rPr>
        <w:t>(Maat)</w:t>
      </w:r>
      <w:r w:rsidRPr="00175A44">
        <w:rPr>
          <w:rFonts w:cs="B Zar" w:hint="cs"/>
          <w:rtl/>
        </w:rPr>
        <w:t xml:space="preserve"> و غيره كنايه‌هاي از پديده‌هاي طبيعت نبوده، بلكه به صورت شخصيت‌هاي الوهي در آمده بود كه نقش‌هاي مختلف را در اداره جهان به عهده داشتند. رابطه ميان كيش شاه‌پرستي و آئين شرك هيچ جا همانند مصر باستان صريح نبوده است؛ تنها در ادوار بعدي، آئين شنتو ژاپن در اين مورد با  مصر باستان پهلو زد. فرعون مستقيماً فرزند هوروس، رب‌النوع خورشيد محسوب مي‌شد. هوروس خداي خدايان، سلطان آسمان و فرعون شاه شاهان، سلطان زمين بوده است.</w:t>
      </w:r>
      <w:r>
        <w:rPr>
          <w:rStyle w:val="FootnoteReference"/>
          <w:rFonts w:cs="B Zar"/>
          <w:rtl/>
        </w:rPr>
        <w:footnoteReference w:id="357"/>
      </w:r>
      <w:r w:rsidRPr="00175A44">
        <w:rPr>
          <w:rFonts w:cs="B Zar" w:hint="cs"/>
          <w:rtl/>
        </w:rPr>
        <w:t xml:space="preserve"> شاه اقتدار خود را به خاطر فرّ يزداني كه «كا» ناميده مي‌شد به دست مي آورد.</w:t>
      </w:r>
      <w:r>
        <w:rPr>
          <w:rStyle w:val="FootnoteReference"/>
          <w:rFonts w:cs="B Zar"/>
          <w:rtl/>
        </w:rPr>
        <w:footnoteReference w:id="358"/>
      </w:r>
      <w:r w:rsidRPr="00175A44">
        <w:rPr>
          <w:rFonts w:cs="B Zar" w:hint="cs"/>
          <w:rtl/>
        </w:rPr>
        <w:t xml:space="preserve"> در آئين ديني مصر همچنان كه اعياد و جشن‌هايي براي پرستش هوروس و اسريس اختصاص داده بود، مراسم فراواني به پرستش و نيايش به فرعون نيز اختصاص داشت.</w:t>
      </w:r>
      <w:r>
        <w:rPr>
          <w:rStyle w:val="FootnoteReference"/>
          <w:rFonts w:cs="B Zar"/>
          <w:rtl/>
        </w:rPr>
        <w:footnoteReference w:id="359"/>
      </w:r>
      <w:r w:rsidRPr="00175A44">
        <w:rPr>
          <w:rFonts w:cs="B Zar" w:hint="cs"/>
          <w:rtl/>
        </w:rPr>
        <w:t xml:space="preserve"> البته عناصري از آئين انيميسم و نياكان‌پرستي نيز برجا مانده بود و چنان گمان مي شد كه ارواح نياكان از فرعون نگهباني مي‌كنند. در نقش‌ها و مجسمه‌ها، همواره چنين ترسيم مي‌شود كه گوئي پرنده‌اي با پرهاي خود فرعون را زير سايه قرار داده و يا در برگرفته است. اين كنايه از ارواح نياكان، و يا ممكن است كنايه اي از «كا» </w:t>
      </w:r>
      <w:r w:rsidRPr="00175A44">
        <w:rPr>
          <w:rFonts w:cs="B Zar"/>
        </w:rPr>
        <w:t>(Ka)</w:t>
      </w:r>
      <w:r w:rsidRPr="00175A44">
        <w:rPr>
          <w:rFonts w:cs="B Zar" w:hint="cs"/>
          <w:rtl/>
        </w:rPr>
        <w:t xml:space="preserve">، فرّ يزداني باشد. اسناد و مدارك و نيز ادبيات ديني و شعري كه از يونانيان به ما رسيده‌اند، متعلق به يك مرحله بسيار متاخرتر از ريگ ودا، يعني از سال 800 تا 400 ق م است. شكل آئين ديني در اين مرحله شخصاً ماهيت شرك آميز داشته است. م ـ كاري </w:t>
      </w:r>
      <w:r w:rsidRPr="00175A44">
        <w:rPr>
          <w:rFonts w:cs="B Zar"/>
        </w:rPr>
        <w:t>(M.Carry)</w:t>
      </w:r>
      <w:r w:rsidRPr="00175A44">
        <w:rPr>
          <w:rFonts w:cs="B Zar" w:hint="cs"/>
          <w:rtl/>
        </w:rPr>
        <w:t xml:space="preserve"> و هارهوف </w:t>
      </w:r>
      <w:r w:rsidRPr="00175A44">
        <w:rPr>
          <w:rFonts w:cs="B Zar"/>
        </w:rPr>
        <w:t>(T.J.Haarhoff)</w:t>
      </w:r>
      <w:r w:rsidRPr="00175A44">
        <w:rPr>
          <w:rFonts w:cs="B Zar" w:hint="cs"/>
          <w:rtl/>
        </w:rPr>
        <w:t xml:space="preserve"> نيز خاطر نشان ساخته اند كه دين يونانيان يك كيش شرك گراي تمام عيار است. خدايان، نظير زئوس، دميتر و ارتميس و آپولو ممكن است ريشه طبيعت‌پرستانه داشته باشند، ولي در  مرحله اي كه اسناد آن به ما رسيده است، كاملاً به صورت شخصيت‌هاي الوهي «رب‌النوع» درآمده بودند. تصور يونانيان از خدايان كاملاً مردم «انگارانه» است. اجتماع شرك گرا، براي خدايان خود شجره نسبت و همسران و فرزندان قائل شده بودند. حتي فيلسوفان نيز به رب‌النوع هاي پديده‌هاي طبيعت معتقد بوده اند. مرحله اصلي دين يونان مرحله شرك است.</w:t>
      </w:r>
      <w:r>
        <w:rPr>
          <w:rStyle w:val="FootnoteReference"/>
          <w:rFonts w:cs="B Zar"/>
          <w:rtl/>
        </w:rPr>
        <w:footnoteReference w:id="360"/>
      </w:r>
    </w:p>
    <w:p w:rsidR="00845A2E" w:rsidRPr="00175A44" w:rsidP="003C0EF5">
      <w:pPr>
        <w:widowControl w:val="0"/>
        <w:spacing w:line="420" w:lineRule="exact"/>
        <w:ind w:left="0" w:right="0"/>
        <w:jc w:val="both"/>
        <w:rPr>
          <w:rFonts w:cs="B Zar" w:hint="cs"/>
          <w:rtl/>
        </w:rPr>
      </w:pPr>
    </w:p>
    <w:p w:rsidR="006917E6" w:rsidP="003C0EF5">
      <w:pPr>
        <w:widowControl w:val="0"/>
        <w:spacing w:line="420" w:lineRule="exact"/>
        <w:ind w:left="0" w:right="0"/>
        <w:jc w:val="both"/>
        <w:rPr>
          <w:rFonts w:cs="B Zar" w:hint="cs"/>
          <w:b/>
          <w:b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عناصر كيش شرك در ودا</w:t>
      </w:r>
    </w:p>
    <w:p w:rsidR="0011420A" w:rsidRPr="00175A44" w:rsidP="003C0EF5">
      <w:pPr>
        <w:widowControl w:val="0"/>
        <w:spacing w:line="420" w:lineRule="exact"/>
        <w:ind w:left="0" w:right="0"/>
        <w:jc w:val="both"/>
        <w:rPr>
          <w:rFonts w:cs="B Zar" w:hint="cs"/>
          <w:rtl/>
        </w:rPr>
      </w:pPr>
      <w:r w:rsidRPr="00175A44">
        <w:rPr>
          <w:rFonts w:cs="B Zar" w:hint="cs"/>
          <w:rtl/>
        </w:rPr>
        <w:t>در هند نيز انديشه آريائي ها پس از گذار از مرحله طبيعت‌پرستي و انيميسم به مرحله شرك رسيد. اسامي و عناويني كه در مرحله نخست كنايه‌هايي از پديده‌هاي طبيعت و در مرحلة دوم اشاره اي به ارواح پديده‌ها بودند، در مرحله سوم به صورت موجودات كامل، مطلق و داراي شخصيت و اراده و داراي بسياري از ويژگيهاي انساني درآمدند. گرايشات و عناصر كيش شرك، غالب‌ترين عنصر در دين هندوها است. در ودا نيز نخستين امري كه به چشم مي‌خورد، وجود سي و سه تن از خدايان اصلي و خدايان بيشمار ديگر است كه به عقيده برخي به بيش سه هزار تن مي رسند. براي اثبات و حضور عناصر كيش انيميستي، توحيدي و وحدت‌الوجودي، ما نياز به تفسير و گاه تاويل داريم، ولي آنچه بدون هيچ تفسير و تاويل به نظر مي‌رسد، حضور كيش شرك است. البته تحليل ظريفتر و عميقتر نشان مي‌دهد كه انديشه هندوها به مرحله شرك، پس از گذار از طبيعت‌پرستي و انيميسم بوده است. در زمان تدوين وداها انديشه هندوها عمدتا در اين مرحله قرار داشت، ولي در دوره بعديِ تدوين اوپانيشاد انديشه آريائي‌ها از اين مرحله نيز فراتر رفته و در آن عناصر توحيد و نگرش وحدت‌الوجودي منعكس گرديده بود.</w:t>
      </w:r>
    </w:p>
    <w:p w:rsidR="0011420A" w:rsidRPr="00175A44" w:rsidP="003C0EF5">
      <w:pPr>
        <w:widowControl w:val="0"/>
        <w:spacing w:line="420" w:lineRule="exact"/>
        <w:ind w:left="0" w:right="0"/>
        <w:jc w:val="both"/>
        <w:rPr>
          <w:rFonts w:cs="B Zar" w:hint="cs"/>
          <w:rtl/>
        </w:rPr>
      </w:pPr>
      <w:r w:rsidRPr="00175A44">
        <w:rPr>
          <w:rFonts w:cs="B Zar" w:hint="cs"/>
          <w:rtl/>
        </w:rPr>
        <w:t>اين تحول را در انديشه ديني هند، ما مي توانيم با تحليل تفاسير مختلف كلمه ديوا</w:t>
      </w:r>
      <w:r w:rsidRPr="00175A44">
        <w:rPr>
          <w:rFonts w:cs="B Zar"/>
        </w:rPr>
        <w:t>(Deva)</w:t>
      </w:r>
      <w:r w:rsidRPr="00175A44">
        <w:rPr>
          <w:rFonts w:cs="B Zar" w:hint="cs"/>
          <w:rtl/>
        </w:rPr>
        <w:t xml:space="preserve"> يا «دَيوتا»</w:t>
      </w:r>
      <w:r w:rsidRPr="00175A44">
        <w:rPr>
          <w:rFonts w:cs="B Zar"/>
        </w:rPr>
        <w:t>(Devata)</w:t>
      </w:r>
      <w:r w:rsidRPr="00175A44">
        <w:rPr>
          <w:rFonts w:cs="B Zar" w:hint="cs"/>
          <w:rtl/>
        </w:rPr>
        <w:t xml:space="preserve"> كه در زبان سانسكريت ودائي به معناي خدايان به كار برده مي‌شود، دريابيم.</w:t>
      </w:r>
      <w:r>
        <w:rPr>
          <w:rStyle w:val="FootnoteReference"/>
          <w:rFonts w:cs="B Zar"/>
          <w:rtl/>
        </w:rPr>
        <w:footnoteReference w:id="361"/>
      </w:r>
      <w:r w:rsidRPr="00175A44">
        <w:rPr>
          <w:rFonts w:cs="B Zar" w:hint="cs"/>
          <w:rtl/>
        </w:rPr>
        <w:t xml:space="preserve"> كلمه ديو </w:t>
      </w:r>
      <w:r w:rsidRPr="00175A44">
        <w:rPr>
          <w:rFonts w:cs="B Zar"/>
        </w:rPr>
        <w:t>(Dev)</w:t>
      </w:r>
      <w:r w:rsidRPr="00175A44">
        <w:rPr>
          <w:rFonts w:cs="B Zar" w:hint="cs"/>
          <w:rtl/>
        </w:rPr>
        <w:t>، از ريشه</w:t>
      </w:r>
      <w:r w:rsidRPr="00175A44">
        <w:rPr>
          <w:rFonts w:cs="B Zar"/>
        </w:rPr>
        <w:t>(De)</w:t>
      </w:r>
      <w:r w:rsidRPr="00175A44">
        <w:rPr>
          <w:rFonts w:cs="B Zar" w:hint="cs"/>
          <w:rtl/>
        </w:rPr>
        <w:t xml:space="preserve"> به معناي عطاكردن است. در اين صورت ديو به معناي رزاق، يا معطي (عطا كننده) مي باشد. استادي كه به شاگردانش علم و معرفت عطا مي‌كند، ديو ناميده مي شود. نروكت در كتاب معروف مفدات ودا مي نويسد: </w:t>
      </w:r>
      <w:r w:rsidRPr="00175A44">
        <w:rPr>
          <w:rFonts w:cs="B Zar" w:hint="cs"/>
          <w:b/>
          <w:bCs/>
          <w:rtl/>
        </w:rPr>
        <w:t>«وِد وام سَ هـِ دَيوا</w:t>
      </w:r>
      <w:r>
        <w:rPr>
          <w:rStyle w:val="FootnoteReference"/>
          <w:rFonts w:cs="B Zar"/>
          <w:b/>
          <w:bCs/>
          <w:rtl/>
        </w:rPr>
        <w:footnoteReference w:id="362"/>
      </w:r>
      <w:r w:rsidRPr="00175A44">
        <w:rPr>
          <w:rFonts w:cs="B Zar" w:hint="cs"/>
          <w:b/>
          <w:bCs/>
          <w:rtl/>
        </w:rPr>
        <w:t>» ،</w:t>
      </w:r>
      <w:r w:rsidRPr="00175A44">
        <w:rPr>
          <w:rFonts w:cs="B Zar" w:hint="cs"/>
          <w:rtl/>
        </w:rPr>
        <w:t xml:space="preserve">يعني ديو به معناي عطا كننده دانش نيز هست. آريائي ممكن است نخست آسمان، خورشيد، ماه، نجوم، ابر و باد را ديو ناميده باشند؛ چرا كه آنان عطا كننده نور، حرارت و باران اند و به ازدياد محصول و غذا مي‌انجامند. از اينجا در كلمه ديو تحول صورت گرفت و معادل «موجود نوراني و پردرخشش» درآمد؛ چرا كه آريائي به عنوان «عطاكننده» احتمالاً به خورشيد،  ماه و ستارگان (كه در شب براي آنان راهنماي سفر بودند) بيشتر توجه داشتند. باران نيز همراه با برق و صاعقه، داراي درخشش بوده است. به تدريج آنان موجودات و اشياء نوراني را ديو ناميدند. وقتي انسان معتقد شد كه اين پديده‌ها درخشش و نيز صفت «عطاكنندگي» را از خود ندارند، بلكه در وراي آنان ارواحي قرار دارند كه آنان را از اين خصایص برخوردار ساخته اند، آريائي ها اين ارواح را ديو ناميدند. به اين صورت، تطوّر كلمه ديو به معناي «خداوند» فاصله زيادي نداشت. در تعبير مردم عادي و نيز در اصطلاح برهمنان، ديو يا «ديوتا» از آن پس معادل معبود به </w:t>
      </w:r>
      <w:r w:rsidRPr="00856CD4">
        <w:rPr>
          <w:rFonts w:cs="B Zar" w:hint="cs"/>
          <w:rtl/>
        </w:rPr>
        <w:t>كار رفت.</w:t>
      </w:r>
      <w:r>
        <w:rPr>
          <w:rStyle w:val="FootnoteReference"/>
          <w:rFonts w:ascii="IPT.Zar" w:hAnsi="IPT.Zar" w:cs="B Zar"/>
        </w:rPr>
        <w:footnoteReference w:id="363"/>
      </w:r>
    </w:p>
    <w:p w:rsidR="0011420A" w:rsidP="003C0EF5">
      <w:pPr>
        <w:widowControl w:val="0"/>
        <w:spacing w:line="420" w:lineRule="exact"/>
        <w:ind w:left="0" w:right="0"/>
        <w:jc w:val="both"/>
        <w:rPr>
          <w:rFonts w:cs="B Zar" w:hint="cs"/>
          <w:rtl/>
        </w:rPr>
      </w:pPr>
      <w:r w:rsidRPr="00175A44">
        <w:rPr>
          <w:rFonts w:cs="B Zar" w:hint="cs"/>
          <w:rtl/>
        </w:rPr>
        <w:t>اين تحول در مفهوم و تصور ساير معبودان از جمله ايندرا، سوريا آگني، سوما و غيره نيز صورت گرفت. در مرحله سوم، اينان ديگر كنايه‌هايي از پديده‌هاي طبيعت و يا از «ارواح» نيستند، بلكه به عنوان ذات‌الوهي كه داراي شخصيت و اراده و خصائص و ويژگيهاي شخصيت اند مطرح مي باشند. ما در صفحات بعد چگونگي اين تحول و مفهوم و تصور «خدايان» را در اين مرحله مورد بررسي قرار مي دهيم:</w:t>
      </w:r>
    </w:p>
    <w:p w:rsidR="009B0A58"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b/>
          <w:bCs/>
          <w:rtl/>
        </w:rPr>
      </w:pPr>
      <w:r w:rsidRPr="00175A44">
        <w:rPr>
          <w:rFonts w:cs="B Zar" w:hint="cs"/>
          <w:b/>
          <w:bCs/>
          <w:rtl/>
        </w:rPr>
        <w:t>اَدتي</w:t>
      </w:r>
      <w:r w:rsidRPr="00175A44">
        <w:rPr>
          <w:rFonts w:cs="B Zar"/>
          <w:b/>
          <w:bCs/>
        </w:rPr>
        <w:t>(Aditi)</w:t>
      </w:r>
    </w:p>
    <w:p w:rsidR="0011420A" w:rsidP="003C0EF5">
      <w:pPr>
        <w:widowControl w:val="0"/>
        <w:spacing w:line="420" w:lineRule="exact"/>
        <w:ind w:left="0" w:right="0"/>
        <w:jc w:val="both"/>
        <w:rPr>
          <w:rFonts w:cs="B Zar" w:hint="cs"/>
          <w:rtl/>
        </w:rPr>
      </w:pPr>
      <w:r w:rsidRPr="00175A44">
        <w:rPr>
          <w:rFonts w:cs="B Zar" w:hint="cs"/>
          <w:rtl/>
        </w:rPr>
        <w:t xml:space="preserve">اَدتي كه در مرحله اولِ پرستش طبيعت، ظاهراً كنايه‌اي از آسمان يا سماء بوده و در مرحله دوم، گاه به عنوان «روح آفاقي» نظير «ماتا» مطرح مي شد، در مرحله سوم به صورت يك «شخص» درآمده بود است. او مادر دوازده پسر است كه به نام اَدتيه معروف‌اند. كلمه اَدتيه به معناي فرزندان «اَدتي» است. در مرحله اول مقصود از اَدتي آسمان و سما و مقصود از فرزندان وي «اجرام سماوي» بود، ولي در مرحله سوم، فرزندان نيز داراي شخصيت هاي الوهي اند. در سرودهاي اوليه ريگ ودا تعداد اَدتيه هفت تن هستند، كه وارون بزرگترين اينان است و لقب اَدتيه به خصوص براي او به كار مي رود. برادران ديگر او عبارت‌اند از: ميترا، اَريامان </w:t>
      </w:r>
      <w:r w:rsidRPr="00175A44">
        <w:rPr>
          <w:rFonts w:cs="B Zar"/>
        </w:rPr>
        <w:t>(Aryaman)</w:t>
      </w:r>
      <w:r w:rsidRPr="00175A44">
        <w:rPr>
          <w:rFonts w:cs="B Zar" w:hint="cs"/>
          <w:rtl/>
        </w:rPr>
        <w:t>، بهاگ</w:t>
      </w:r>
      <w:r w:rsidRPr="00175A44">
        <w:rPr>
          <w:rFonts w:cs="B Zar"/>
        </w:rPr>
        <w:t xml:space="preserve"> (Bhag)</w:t>
      </w:r>
      <w:r w:rsidRPr="00175A44">
        <w:rPr>
          <w:rFonts w:cs="B Zar" w:hint="cs"/>
          <w:rtl/>
        </w:rPr>
        <w:t>، دكشم</w:t>
      </w:r>
      <w:r w:rsidRPr="00175A44">
        <w:rPr>
          <w:rFonts w:cs="B Zar"/>
        </w:rPr>
        <w:t xml:space="preserve"> (Daksham)</w:t>
      </w:r>
      <w:r w:rsidRPr="00175A44">
        <w:rPr>
          <w:rFonts w:cs="B Zar" w:hint="cs"/>
          <w:rtl/>
        </w:rPr>
        <w:t>، آنسن و سوريا يا ساويتري</w:t>
      </w:r>
      <w:r w:rsidRPr="00175A44">
        <w:rPr>
          <w:rFonts w:cs="B Zar"/>
        </w:rPr>
        <w:t>(Savitri)</w:t>
      </w:r>
      <w:r w:rsidRPr="00175A44">
        <w:rPr>
          <w:rFonts w:cs="B Zar" w:hint="cs"/>
          <w:rtl/>
        </w:rPr>
        <w:t>. اين دسته از خدايان با تيره ديگر از معبودان كه «وسو ديواه» ناميده مي شدند، جدا هستند. در برخي سرودهاي بعدي شماره آنها هشت تا است و در دوره متاخر اَتهارو ودا</w:t>
      </w:r>
      <w:r w:rsidRPr="00175A44">
        <w:rPr>
          <w:rFonts w:cs="B Zar"/>
        </w:rPr>
        <w:t>(Atharva</w:t>
      </w:r>
      <w:r w:rsidR="009452AC">
        <w:rPr>
          <w:rFonts w:cs="B Zar"/>
        </w:rPr>
        <w:t xml:space="preserve"> V</w:t>
      </w:r>
      <w:r w:rsidRPr="00175A44">
        <w:rPr>
          <w:rFonts w:cs="B Zar"/>
        </w:rPr>
        <w:t>eda)</w:t>
      </w:r>
      <w:r w:rsidRPr="00175A44">
        <w:rPr>
          <w:rFonts w:cs="B Zar" w:hint="cs"/>
          <w:rtl/>
        </w:rPr>
        <w:t xml:space="preserve"> و رسائل برهمانا</w:t>
      </w:r>
      <w:r w:rsidRPr="00175A44">
        <w:rPr>
          <w:rFonts w:cs="B Zar"/>
        </w:rPr>
        <w:t>(Brahmana)</w:t>
      </w:r>
      <w:r w:rsidRPr="00175A44">
        <w:rPr>
          <w:rFonts w:cs="B Zar" w:hint="cs"/>
          <w:rtl/>
        </w:rPr>
        <w:t>، تعداد آنان بالغ بر دوازده تن است كه وشنُو</w:t>
      </w:r>
      <w:r w:rsidRPr="00175A44">
        <w:rPr>
          <w:rFonts w:cs="B Zar"/>
        </w:rPr>
        <w:t>(Vishnu)</w:t>
      </w:r>
      <w:r w:rsidRPr="00175A44">
        <w:rPr>
          <w:rFonts w:cs="B Zar" w:hint="cs"/>
          <w:rtl/>
        </w:rPr>
        <w:t xml:space="preserve"> نيز يكي از اينان محسوب مي شود. برخي صاحب نظران معتقدند كه در اين دوره اُدتي</w:t>
      </w:r>
      <w:r w:rsidRPr="00175A44">
        <w:rPr>
          <w:rFonts w:cs="B Zar"/>
        </w:rPr>
        <w:t>(Aditi)</w:t>
      </w:r>
      <w:r w:rsidRPr="00175A44">
        <w:rPr>
          <w:rFonts w:cs="B Zar" w:hint="cs"/>
          <w:rtl/>
        </w:rPr>
        <w:t xml:space="preserve"> به طور عموم «رب‌النوع» خورشيد است و چون خورشيد دوازده برج دارد، از اين‌رو اينان دوازده تن محسوب مي شوند.</w:t>
      </w:r>
      <w:r>
        <w:rPr>
          <w:rStyle w:val="FootnoteReference"/>
          <w:rFonts w:cs="B Zar"/>
          <w:rtl/>
        </w:rPr>
        <w:footnoteReference w:id="364"/>
      </w:r>
    </w:p>
    <w:p w:rsidR="009B0A58"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b/>
          <w:bCs/>
          <w:rtl/>
        </w:rPr>
      </w:pPr>
      <w:r w:rsidRPr="00175A44">
        <w:rPr>
          <w:rFonts w:cs="B Zar" w:hint="cs"/>
          <w:b/>
          <w:bCs/>
          <w:rtl/>
        </w:rPr>
        <w:t>پارجانيه</w:t>
      </w:r>
      <w:r w:rsidRPr="00175A44">
        <w:rPr>
          <w:rFonts w:cs="B Zar"/>
          <w:b/>
          <w:bCs/>
        </w:rPr>
        <w:t>(Parjaniya)</w:t>
      </w:r>
    </w:p>
    <w:p w:rsidR="0011420A" w:rsidRPr="00175A44" w:rsidP="003C0EF5">
      <w:pPr>
        <w:widowControl w:val="0"/>
        <w:spacing w:line="420" w:lineRule="exact"/>
        <w:ind w:left="0" w:right="0"/>
        <w:jc w:val="both"/>
        <w:rPr>
          <w:rFonts w:cs="B Zar" w:hint="cs"/>
          <w:rtl/>
        </w:rPr>
      </w:pPr>
      <w:r w:rsidRPr="00175A44">
        <w:rPr>
          <w:rFonts w:cs="B Zar" w:hint="cs"/>
          <w:rtl/>
        </w:rPr>
        <w:t>پارجانيه نيز در آغاز عنواني براي آسمان يا سما بود. به تدريج او نيز به صورت رب‌النوع آسمان درآمد. در اَتهارو ودا او شوهر پيرتهاوي يا زمين تلقي مي شود.</w:t>
      </w:r>
      <w:r>
        <w:rPr>
          <w:rStyle w:val="FootnoteReference"/>
          <w:rFonts w:cs="B Zar"/>
          <w:rtl/>
        </w:rPr>
        <w:footnoteReference w:id="365"/>
      </w:r>
      <w:r w:rsidRPr="00175A44">
        <w:rPr>
          <w:rFonts w:cs="B Zar" w:hint="cs"/>
          <w:rtl/>
        </w:rPr>
        <w:t xml:space="preserve"> در برخي سرودهاي ديگر، او رب النوع ابر و باران نيز به حساب مي‌آيد.</w:t>
      </w:r>
      <w:r>
        <w:rPr>
          <w:rStyle w:val="FootnoteReference"/>
          <w:rFonts w:cs="B Zar"/>
          <w:rtl/>
        </w:rPr>
        <w:footnoteReference w:id="366"/>
      </w:r>
      <w:r w:rsidRPr="00175A44">
        <w:rPr>
          <w:rFonts w:cs="B Zar" w:hint="cs"/>
          <w:rtl/>
        </w:rPr>
        <w:t xml:space="preserve"> ممكن است علت آن، نگرش مردم ابتدائي نسبت به باران باشد؛ زيرا گمان مي شد كه از آسمان فرود مي آيد.</w:t>
      </w:r>
    </w:p>
    <w:p w:rsidR="0011420A" w:rsidP="003C0EF5">
      <w:pPr>
        <w:widowControl w:val="0"/>
        <w:spacing w:line="420" w:lineRule="exact"/>
        <w:ind w:left="0" w:right="0"/>
        <w:jc w:val="both"/>
        <w:rPr>
          <w:rFonts w:cs="B Zar" w:hint="cs"/>
          <w:rtl/>
        </w:rPr>
      </w:pPr>
      <w:r w:rsidRPr="00175A44">
        <w:rPr>
          <w:rFonts w:cs="B Zar" w:hint="cs"/>
          <w:rtl/>
        </w:rPr>
        <w:t>ماكس مولر</w:t>
      </w:r>
      <w:r w:rsidRPr="00175A44">
        <w:rPr>
          <w:rFonts w:cs="B Zar"/>
        </w:rPr>
        <w:t>(Max Muller)</w:t>
      </w:r>
      <w:r w:rsidRPr="00175A44">
        <w:rPr>
          <w:rFonts w:cs="B Zar" w:hint="cs"/>
          <w:rtl/>
        </w:rPr>
        <w:t xml:space="preserve"> معتقد است كه آريائي هاي هند تصور و اصطلاح پارجانيه را از اقوام لتوني </w:t>
      </w:r>
      <w:r w:rsidRPr="00175A44">
        <w:rPr>
          <w:rFonts w:cs="B Zar"/>
        </w:rPr>
        <w:t>(Lithuanians)</w:t>
      </w:r>
      <w:r w:rsidRPr="00175A44">
        <w:rPr>
          <w:rFonts w:cs="B Zar" w:hint="cs"/>
          <w:rtl/>
        </w:rPr>
        <w:t xml:space="preserve"> اقتباس كرده‌اند. آنان رب‌النوع ابر و باران را پَركونيه </w:t>
      </w:r>
      <w:r w:rsidRPr="00175A44">
        <w:rPr>
          <w:rFonts w:cs="B Zar"/>
        </w:rPr>
        <w:t>(Perkunas)</w:t>
      </w:r>
      <w:r w:rsidRPr="00175A44">
        <w:rPr>
          <w:rFonts w:cs="B Zar" w:hint="cs"/>
          <w:rtl/>
        </w:rPr>
        <w:t xml:space="preserve"> مي‌ناميده اند. اين امر اگر درست باشد، نمايانگر قدمت ودا خواهد بود كه منعكس كننده انديشه آريائي از موطن اوليه خود نيز مي باشد.</w:t>
      </w:r>
    </w:p>
    <w:p w:rsidR="0011420A" w:rsidRPr="00175A44" w:rsidP="003C0EF5">
      <w:pPr>
        <w:widowControl w:val="0"/>
        <w:spacing w:line="420" w:lineRule="exact"/>
        <w:ind w:left="0" w:right="0"/>
        <w:jc w:val="both"/>
        <w:rPr>
          <w:rFonts w:cs="B Zar"/>
          <w:b/>
          <w:bCs/>
          <w:rtl/>
        </w:rPr>
      </w:pPr>
      <w:r w:rsidRPr="00175A44">
        <w:rPr>
          <w:rFonts w:cs="B Zar" w:hint="cs"/>
          <w:b/>
          <w:bCs/>
          <w:rtl/>
        </w:rPr>
        <w:t>سَوميتري</w:t>
      </w:r>
      <w:r w:rsidRPr="00175A44">
        <w:rPr>
          <w:rFonts w:cs="B Zar"/>
          <w:b/>
          <w:bCs/>
        </w:rPr>
        <w:t xml:space="preserve">(Sumitri) </w:t>
      </w:r>
    </w:p>
    <w:p w:rsidR="0011420A" w:rsidP="003C0EF5">
      <w:pPr>
        <w:widowControl w:val="0"/>
        <w:spacing w:line="420" w:lineRule="exact"/>
        <w:ind w:left="0" w:right="0"/>
        <w:jc w:val="both"/>
        <w:rPr>
          <w:rFonts w:cs="B Zar" w:hint="cs"/>
          <w:rtl/>
        </w:rPr>
      </w:pPr>
      <w:r w:rsidRPr="00175A44">
        <w:rPr>
          <w:rFonts w:cs="B Zar" w:hint="cs"/>
          <w:rtl/>
        </w:rPr>
        <w:t xml:space="preserve">در مرحله اول سوميتر به طور ساده خورشيد بامدادان بوده است. آريائي‌ها تحت تاثير زيبائي فجر قرار گرفته و به شكرانه طلوع آفتاب به پرستش آن مي‌پرداخته‌اند؛ ولي در  مرحله سوم به صورت يك شخصيت قدسي در مي آيد كه داراي دو دست طلائي، بازوهاي زرين، و موهاي طلائي و از جمله اَئتيه‌ها است كه او را يا تيشتر </w:t>
      </w:r>
      <w:r w:rsidRPr="00175A44">
        <w:rPr>
          <w:rFonts w:cs="B Zar"/>
        </w:rPr>
        <w:t>(Tvishtar)</w:t>
      </w:r>
      <w:r w:rsidRPr="00175A44">
        <w:rPr>
          <w:rFonts w:cs="B Zar" w:hint="cs"/>
          <w:rtl/>
        </w:rPr>
        <w:t xml:space="preserve"> نيز مي‌نامند.</w:t>
      </w:r>
      <w:r>
        <w:rPr>
          <w:rStyle w:val="FootnoteReference"/>
          <w:rFonts w:cs="B Zar"/>
          <w:rtl/>
        </w:rPr>
        <w:footnoteReference w:id="367"/>
      </w:r>
    </w:p>
    <w:p w:rsidR="0011420A" w:rsidRPr="00175A44" w:rsidP="003C0EF5">
      <w:pPr>
        <w:widowControl w:val="0"/>
        <w:spacing w:line="420" w:lineRule="exact"/>
        <w:ind w:left="0" w:right="0"/>
        <w:jc w:val="both"/>
        <w:rPr>
          <w:rFonts w:cs="B Zar"/>
          <w:b/>
          <w:bCs/>
          <w:rtl/>
        </w:rPr>
      </w:pPr>
      <w:r w:rsidRPr="00175A44">
        <w:rPr>
          <w:rFonts w:cs="B Zar" w:hint="cs"/>
          <w:b/>
          <w:bCs/>
          <w:rtl/>
        </w:rPr>
        <w:t>سوريا</w:t>
      </w:r>
      <w:r w:rsidRPr="00175A44">
        <w:rPr>
          <w:rFonts w:cs="B Zar"/>
          <w:b/>
          <w:bCs/>
        </w:rPr>
        <w:t xml:space="preserve">(Surya) </w:t>
      </w:r>
    </w:p>
    <w:p w:rsidR="0011420A" w:rsidP="003C0EF5">
      <w:pPr>
        <w:widowControl w:val="0"/>
        <w:spacing w:line="420" w:lineRule="exact"/>
        <w:ind w:left="0" w:right="0"/>
        <w:jc w:val="both"/>
        <w:rPr>
          <w:rFonts w:cs="B Zar" w:hint="cs"/>
          <w:rtl/>
        </w:rPr>
      </w:pPr>
      <w:r w:rsidRPr="00175A44">
        <w:rPr>
          <w:rFonts w:cs="B Zar" w:hint="cs"/>
          <w:rtl/>
        </w:rPr>
        <w:t>در مرحله اول، سوريا صرفاً «خورشيد» روز بوده است، ولي در مرحله سوم شرك انسان انگارانه، سوريا به صورت يك فرد الوهي و رب‌النوع خورشيد در مي‌آيد. قلمرو حكومت او در آسمان است؛ در حاليكه ايندرا بر فضا و آگني بر زمين حكومت مي كند. در اين حالت خورشيد درست نظير يك سلطان جامعه انساني در مي‌آيد. او از طريق فرمان‌ها حكومت مي‌كند و ماموران و مستخدماني دارد كه خواسته او را اجرا مي كنند. ارابه اي دارد كه هفت اسب آن را مي كشند. درست نظير درشكه پرشكوه يك شاه آريائي، از همين جهت يكي از اسامي سوريه، صاحب ارابه هفت اسپي (هررد اس وَ) مي باشد. راننده‌اي دارد به نام ارونا</w:t>
      </w:r>
      <w:r w:rsidRPr="00175A44">
        <w:rPr>
          <w:rFonts w:cs="B Zar"/>
        </w:rPr>
        <w:t xml:space="preserve"> (Aruna)</w:t>
      </w:r>
      <w:r w:rsidRPr="00175A44">
        <w:rPr>
          <w:rFonts w:cs="B Zar" w:hint="cs"/>
          <w:rtl/>
        </w:rPr>
        <w:t xml:space="preserve"> كه البته در مرحله اول به معناي فجر بوده است. سوريا گاه به نام وواس واتا</w:t>
      </w:r>
      <w:r w:rsidRPr="00175A44">
        <w:rPr>
          <w:rFonts w:cs="B Zar"/>
        </w:rPr>
        <w:t>(Vivas vata)</w:t>
      </w:r>
      <w:r w:rsidRPr="00175A44">
        <w:rPr>
          <w:rFonts w:cs="B Zar" w:hint="cs"/>
          <w:rtl/>
        </w:rPr>
        <w:t xml:space="preserve"> ناميده مي‌شود. او داراي همسران متعدّدي است. اين نكته جالب است كه در ميان معبودان آريايي اصل تعدد ازواج حاكم است. يكي از همسران سوريا ساماج نام دارد. سوريا داراي فرزندان نرينه و مادينه نيز مي باشد.</w:t>
      </w:r>
      <w:r>
        <w:rPr>
          <w:rStyle w:val="FootnoteReference"/>
          <w:rFonts w:cs="B Zar"/>
          <w:rtl/>
        </w:rPr>
        <w:footnoteReference w:id="368"/>
      </w:r>
    </w:p>
    <w:p w:rsidR="0011420A" w:rsidRPr="00175A44" w:rsidP="003C0EF5">
      <w:pPr>
        <w:widowControl w:val="0"/>
        <w:spacing w:line="420" w:lineRule="exact"/>
        <w:ind w:left="0" w:right="0"/>
        <w:jc w:val="both"/>
        <w:rPr>
          <w:rFonts w:cs="B Zar"/>
          <w:b/>
          <w:bCs/>
          <w:rtl/>
        </w:rPr>
      </w:pPr>
      <w:r w:rsidRPr="00175A44">
        <w:rPr>
          <w:rFonts w:cs="B Zar" w:hint="cs"/>
          <w:b/>
          <w:bCs/>
          <w:rtl/>
        </w:rPr>
        <w:t>ويشنو</w:t>
      </w:r>
      <w:r w:rsidRPr="00175A44">
        <w:rPr>
          <w:rFonts w:cs="B Zar"/>
          <w:b/>
          <w:bCs/>
        </w:rPr>
        <w:t>(Vishnu)</w:t>
      </w:r>
    </w:p>
    <w:p w:rsidR="0011420A" w:rsidRPr="00175A44" w:rsidP="003C0EF5">
      <w:pPr>
        <w:widowControl w:val="0"/>
        <w:spacing w:line="420" w:lineRule="exact"/>
        <w:ind w:left="0" w:right="0"/>
        <w:jc w:val="both"/>
        <w:rPr>
          <w:rFonts w:cs="B Zar" w:hint="cs"/>
          <w:i/>
          <w:iCs/>
          <w:rtl/>
        </w:rPr>
      </w:pPr>
      <w:r w:rsidRPr="00175A44">
        <w:rPr>
          <w:rFonts w:cs="B Zar" w:hint="cs"/>
          <w:rtl/>
        </w:rPr>
        <w:t xml:space="preserve">ويشنو نيز رب‌النوع خورشيد است. در مرحله اول ويشنو داراي اهميت خاصي نبود. اين معبود از مرحله سوم اهميت كسب كرد؛ به اندازه‌اي كه در ادوار بعدي به صورت يكي از خدايان اصلي «ثالوث» مقدس هندوها (در كنار شِيوَ و بَرهَما) درآمد. در ريگ ودا هنوز ويشنو تحت الشعاع سوريه، ايندرا و اگني است . در ودا اسم او در بسياري جاها با اسم ايندرا </w:t>
      </w:r>
      <w:r w:rsidRPr="00175A44">
        <w:rPr>
          <w:rFonts w:cs="B Zar"/>
        </w:rPr>
        <w:t xml:space="preserve"> (Indra)</w:t>
      </w:r>
      <w:r w:rsidRPr="00175A44">
        <w:rPr>
          <w:rFonts w:cs="B Zar" w:hint="cs"/>
          <w:rtl/>
        </w:rPr>
        <w:t>همراه است. او ايندرا را در كشتن اهريمن (وريتا</w:t>
      </w:r>
      <w:r w:rsidRPr="00175A44">
        <w:rPr>
          <w:rFonts w:cs="B Zar"/>
        </w:rPr>
        <w:t xml:space="preserve"> Varita=</w:t>
      </w:r>
      <w:r w:rsidRPr="00175A44">
        <w:rPr>
          <w:rFonts w:cs="B Zar" w:hint="cs"/>
          <w:rtl/>
        </w:rPr>
        <w:t xml:space="preserve">) كمك كرد. وي نيز از مشروب خواران قهار است و به خاطر همين مي گساري مفرط ايندرا نوجا ناميده مي‌شود. مونير ويليامز </w:t>
      </w:r>
      <w:r w:rsidRPr="00175A44">
        <w:rPr>
          <w:rFonts w:cs="B Zar"/>
        </w:rPr>
        <w:t>(Monier Williams)</w:t>
      </w:r>
      <w:r w:rsidRPr="00175A44">
        <w:rPr>
          <w:rFonts w:cs="B Zar" w:hint="cs"/>
          <w:rtl/>
        </w:rPr>
        <w:t xml:space="preserve"> مي گويد: </w:t>
      </w:r>
      <w:r w:rsidRPr="00175A44">
        <w:rPr>
          <w:rFonts w:cs="B Zar" w:hint="cs"/>
          <w:i/>
          <w:iCs/>
          <w:rtl/>
        </w:rPr>
        <w:t>«به نظر مي‌رسد وشنو در آغاز  در زمره فرزندان اَدتي قرار داشته است. در رسائل براهمانا، ويشنو به صورت رب‌النوع «ثالوث» خدايان هندو درآمد. در دوره بهاگتي (مكتب ولايت) او از مهمترين معبودان است و راما و كريشنا از جمله اوتارهای (تجسم‌هاي) او محسوب مي‌شوند.»</w:t>
      </w:r>
    </w:p>
    <w:p w:rsidR="0011420A" w:rsidP="003C0EF5">
      <w:pPr>
        <w:widowControl w:val="0"/>
        <w:spacing w:line="420" w:lineRule="exact"/>
        <w:ind w:left="0" w:right="0"/>
        <w:jc w:val="both"/>
        <w:rPr>
          <w:rFonts w:cs="B Zar" w:hint="cs"/>
          <w:rtl/>
        </w:rPr>
      </w:pPr>
      <w:r w:rsidRPr="00175A44">
        <w:rPr>
          <w:rFonts w:cs="B Zar" w:hint="cs"/>
          <w:rtl/>
        </w:rPr>
        <w:t>وشنو نيز همانند ساير معبودان، در مرحله شرك داراي زن و فرزند است. اسم يكي از همسران او لاكشمي</w:t>
      </w:r>
      <w:r w:rsidRPr="00175A44">
        <w:rPr>
          <w:rFonts w:cs="B Zar"/>
        </w:rPr>
        <w:t>(Lakshmi)</w:t>
      </w:r>
      <w:r w:rsidRPr="00175A44">
        <w:rPr>
          <w:rFonts w:cs="B Zar" w:hint="cs"/>
          <w:rtl/>
        </w:rPr>
        <w:t xml:space="preserve"> است. او در دوره قبلي به نام «سني ولي» ناميده مي شد و در ادوار بعدي به عنوان «سري يا سرسواتي</w:t>
      </w:r>
      <w:r w:rsidRPr="00175A44">
        <w:rPr>
          <w:rFonts w:cs="B Zar"/>
        </w:rPr>
        <w:t>(Saraswati)</w:t>
      </w:r>
      <w:r w:rsidRPr="00175A44">
        <w:rPr>
          <w:rFonts w:cs="B Zar" w:hint="cs"/>
          <w:rtl/>
        </w:rPr>
        <w:t>» نيز معروف گرديد. فرزند او «كام ديو»</w:t>
      </w:r>
      <w:r w:rsidRPr="00175A44">
        <w:rPr>
          <w:rFonts w:cs="B Zar"/>
        </w:rPr>
        <w:t>(Kamadeva)</w:t>
      </w:r>
      <w:r w:rsidRPr="00175A44">
        <w:rPr>
          <w:rFonts w:cs="B Zar" w:hint="cs"/>
          <w:rtl/>
        </w:rPr>
        <w:t xml:space="preserve"> نام دارد كه خداي عشق و لذت جنسي است.</w:t>
      </w:r>
      <w:r>
        <w:rPr>
          <w:rStyle w:val="FootnoteReference"/>
          <w:rFonts w:cs="B Zar"/>
          <w:rtl/>
        </w:rPr>
        <w:footnoteReference w:id="369"/>
      </w:r>
    </w:p>
    <w:p w:rsidR="0011420A" w:rsidRPr="00175A44" w:rsidP="003C0EF5">
      <w:pPr>
        <w:widowControl w:val="0"/>
        <w:spacing w:line="420" w:lineRule="exact"/>
        <w:ind w:left="0" w:right="0"/>
        <w:jc w:val="both"/>
        <w:rPr>
          <w:rFonts w:cs="B Zar"/>
          <w:b/>
          <w:bCs/>
          <w:rtl/>
        </w:rPr>
      </w:pPr>
      <w:r w:rsidRPr="00175A44">
        <w:rPr>
          <w:rFonts w:cs="B Zar" w:hint="cs"/>
          <w:b/>
          <w:bCs/>
          <w:rtl/>
        </w:rPr>
        <w:t>اوشا</w:t>
      </w:r>
      <w:r w:rsidRPr="00175A44">
        <w:rPr>
          <w:rFonts w:cs="B Zar"/>
          <w:b/>
          <w:bCs/>
        </w:rPr>
        <w:t xml:space="preserve">(Usha) </w:t>
      </w:r>
    </w:p>
    <w:p w:rsidR="0011420A" w:rsidP="003C0EF5">
      <w:pPr>
        <w:widowControl w:val="0"/>
        <w:spacing w:line="420" w:lineRule="exact"/>
        <w:ind w:left="0" w:right="0"/>
        <w:jc w:val="both"/>
        <w:rPr>
          <w:rFonts w:cs="B Zar" w:hint="cs"/>
          <w:rtl/>
        </w:rPr>
      </w:pPr>
      <w:r w:rsidRPr="00175A44">
        <w:rPr>
          <w:rFonts w:cs="B Zar" w:hint="cs"/>
          <w:rtl/>
        </w:rPr>
        <w:t>اوشا كه در آغاز اوساسا نيز ناميده شده است، در مرحله اول كنايه‌اي از «فجر» بود، ولي در مرحله شرك به صورت يكي از الهه‌ها درآمد. اين معبود مادينه، رب‌‌النوع فجر است. او دختر سوريا و خواهر اَدتيه‌هاست. او شوهري نيز پيدا كرده كه رودرا نام دارد.</w:t>
      </w:r>
    </w:p>
    <w:p w:rsidR="0011420A" w:rsidRPr="00175A44" w:rsidP="003C0EF5">
      <w:pPr>
        <w:widowControl w:val="0"/>
        <w:spacing w:line="420" w:lineRule="exact"/>
        <w:ind w:left="0" w:right="0"/>
        <w:jc w:val="both"/>
        <w:rPr>
          <w:rFonts w:cs="B Zar"/>
          <w:b/>
          <w:bCs/>
          <w:rtl/>
        </w:rPr>
      </w:pPr>
      <w:r w:rsidRPr="00175A44">
        <w:rPr>
          <w:rFonts w:cs="B Zar" w:hint="cs"/>
          <w:b/>
          <w:bCs/>
          <w:rtl/>
        </w:rPr>
        <w:t>اسوين</w:t>
      </w:r>
      <w:r w:rsidRPr="00175A44">
        <w:rPr>
          <w:rFonts w:cs="B Zar"/>
          <w:b/>
          <w:bCs/>
        </w:rPr>
        <w:t xml:space="preserve"> (Asvin)</w:t>
      </w:r>
    </w:p>
    <w:p w:rsidR="0011420A" w:rsidRPr="00175A44" w:rsidP="003C0EF5">
      <w:pPr>
        <w:widowControl w:val="0"/>
        <w:spacing w:line="420" w:lineRule="exact"/>
        <w:ind w:left="0" w:right="0"/>
        <w:jc w:val="both"/>
        <w:rPr>
          <w:rFonts w:cs="B Zar" w:hint="cs"/>
          <w:rtl/>
        </w:rPr>
      </w:pPr>
      <w:r w:rsidRPr="00175A44">
        <w:rPr>
          <w:rFonts w:cs="B Zar" w:hint="cs"/>
          <w:rtl/>
        </w:rPr>
        <w:t>اَسوين در مرحله اول كنايه اي از طلوع و غروب يا فجر و شفق بوده ، ولي در مرحله سوم شرك دو فرداند، كه به صورت طبيبان درياي سوريا تلقي مي‌شوند. ممكن است اين تصور از آنجا آغاز شده باشد كه در مرحله اول طبيعت‌پرستي، انسان اوليه چنان تصور كرده باشد كه خورشيد وقتي هنگام شامگاهان خسته و كوفته، لنگان لنگان به درياي شام نزديك مي‌شود، شفق براي مداوا و تزريق مسكن به او، ظاهر مي شود.</w:t>
      </w:r>
    </w:p>
    <w:p w:rsidR="0011420A" w:rsidRPr="00175A44" w:rsidP="003C0EF5">
      <w:pPr>
        <w:widowControl w:val="0"/>
        <w:spacing w:line="420" w:lineRule="exact"/>
        <w:ind w:left="0" w:right="0"/>
        <w:jc w:val="both"/>
        <w:rPr>
          <w:rFonts w:cs="B Zar" w:hint="cs"/>
          <w:rtl/>
        </w:rPr>
      </w:pPr>
      <w:r w:rsidRPr="00175A44">
        <w:rPr>
          <w:rFonts w:cs="B Zar" w:hint="cs"/>
          <w:rtl/>
        </w:rPr>
        <w:t>از نقش‌هاي ديگر اسوين، سرپرستي عاشقان است. آريائي‌هاي سلحشور پس از جانفشاني يا نبرد در روز، وقتي شامگاهان به چادرها و خانه‌هاي گلي خود بر مي‌گشتند، شايد فرصت ديدار از دلداران و دختران زيبا را پيدا مي‌كرده‌اند؛ از اين روي شفق را به صورت سرپرست عشق و معاشقه تصور كردند. صفت ديگر اَسوين، نجات دهندگي از آلام و رنج‌ها است. منشا اين نسبت به اَسوين بديهي است. پس از زحمت روز، شامگاهان فرا مي‌رسيد و آنان را از سختي‌هاي روز نجات مي‌داد.</w:t>
      </w:r>
    </w:p>
    <w:p w:rsidR="0011420A" w:rsidRPr="00175A44" w:rsidP="003C0EF5">
      <w:pPr>
        <w:widowControl w:val="0"/>
        <w:spacing w:line="420" w:lineRule="exact"/>
        <w:ind w:left="0" w:right="0"/>
        <w:jc w:val="both"/>
        <w:rPr>
          <w:rFonts w:cs="B Zar" w:hint="cs"/>
          <w:rtl/>
        </w:rPr>
      </w:pPr>
      <w:r w:rsidRPr="00175A44">
        <w:rPr>
          <w:rFonts w:cs="B Zar" w:hint="cs"/>
          <w:rtl/>
        </w:rPr>
        <w:t>در سرودهاي متاخرتر ريگ ودا، اسوين به صورت دو سواركار مطرح شده‌ كه بر اسب‌هاي زرين سوار است و بر آسمان تركتازي مي‌كند. در مرحله طبيعت‌پرستي، اين اظهارات و تعبيرات كنايه‌هايي از منظره‌هاي مختلف شفق بر آسمان بود؛ چنانكه احساسات و تخيل شاعرگونه آريائي آنرا درك مي‌كرده است، ولي در مرحله سوم به عنوان صفات دو معبود جوان مطرح شده ‌است و ديگر كنايه بودن آن به كلي فراموش گرديد.</w:t>
      </w:r>
    </w:p>
    <w:p w:rsidR="0011420A" w:rsidP="003C0EF5">
      <w:pPr>
        <w:widowControl w:val="0"/>
        <w:spacing w:line="420" w:lineRule="exact"/>
        <w:ind w:left="0" w:right="0"/>
        <w:jc w:val="both"/>
        <w:rPr>
          <w:rFonts w:cs="B Zar" w:hint="cs"/>
          <w:rtl/>
        </w:rPr>
      </w:pPr>
      <w:r w:rsidRPr="00175A44">
        <w:rPr>
          <w:rFonts w:cs="B Zar" w:hint="cs"/>
          <w:rtl/>
        </w:rPr>
        <w:t>در اين مرحله اَسوين ديگر دو «فرد» است. آنان داراي دو فرزند نرينه به نام «نِك لا» و «سهادَيوَ» مي‌باشند. اَسويني همسر اَسوين است. البته گاه او را مادر اَسوين تصور كرده‌اند و از همين جهت آنان را اَسويني پُتَرَ ناميده‌اند.</w:t>
      </w:r>
      <w:r>
        <w:rPr>
          <w:rStyle w:val="FootnoteReference"/>
          <w:rFonts w:cs="B Zar"/>
          <w:rtl/>
        </w:rPr>
        <w:footnoteReference w:id="370"/>
      </w:r>
    </w:p>
    <w:p w:rsidR="0011420A" w:rsidRPr="00175A44" w:rsidP="003C0EF5">
      <w:pPr>
        <w:widowControl w:val="0"/>
        <w:spacing w:line="420" w:lineRule="exact"/>
        <w:ind w:left="0" w:right="0"/>
        <w:jc w:val="both"/>
        <w:rPr>
          <w:rFonts w:cs="B Zar"/>
          <w:rtl/>
        </w:rPr>
      </w:pPr>
      <w:r w:rsidRPr="00175A44">
        <w:rPr>
          <w:rFonts w:cs="B Zar" w:hint="cs"/>
          <w:b/>
          <w:bCs/>
          <w:rtl/>
        </w:rPr>
        <w:t>ايندرا</w:t>
      </w:r>
      <w:r w:rsidR="00221A35">
        <w:rPr>
          <w:rFonts w:cs="B Zar"/>
          <w:b/>
          <w:bCs/>
        </w:rPr>
        <w:t xml:space="preserve"> (Ind</w:t>
      </w:r>
      <w:r w:rsidRPr="00175A44">
        <w:rPr>
          <w:rFonts w:cs="B Zar"/>
          <w:b/>
          <w:bCs/>
        </w:rPr>
        <w:t>ra)</w:t>
      </w:r>
    </w:p>
    <w:p w:rsidR="0011420A" w:rsidRPr="00175A44" w:rsidP="003C0EF5">
      <w:pPr>
        <w:widowControl w:val="0"/>
        <w:spacing w:line="420" w:lineRule="exact"/>
        <w:ind w:left="0" w:right="0"/>
        <w:jc w:val="both"/>
        <w:rPr>
          <w:rFonts w:cs="B Zar" w:hint="cs"/>
          <w:rtl/>
        </w:rPr>
      </w:pPr>
      <w:r w:rsidRPr="00175A44">
        <w:rPr>
          <w:rFonts w:cs="B Zar" w:hint="cs"/>
          <w:rtl/>
        </w:rPr>
        <w:t xml:space="preserve">كلمه ايندرا </w:t>
      </w:r>
      <w:r w:rsidRPr="00175A44">
        <w:rPr>
          <w:rFonts w:cs="B Zar"/>
        </w:rPr>
        <w:t>(Inder)</w:t>
      </w:r>
      <w:r w:rsidRPr="00175A44">
        <w:rPr>
          <w:rFonts w:cs="B Zar" w:hint="cs"/>
          <w:rtl/>
        </w:rPr>
        <w:t xml:space="preserve"> تركيبي است از ريشه آن </w:t>
      </w:r>
      <w:r w:rsidRPr="00175A44">
        <w:rPr>
          <w:rFonts w:cs="B Zar"/>
        </w:rPr>
        <w:t>(In)</w:t>
      </w:r>
      <w:r w:rsidRPr="00175A44">
        <w:rPr>
          <w:rFonts w:cs="B Zar" w:hint="cs"/>
          <w:rtl/>
        </w:rPr>
        <w:t xml:space="preserve"> و ريشه «در» </w:t>
      </w:r>
      <w:r w:rsidRPr="00175A44">
        <w:rPr>
          <w:rFonts w:cs="B Zar"/>
        </w:rPr>
        <w:t>(Der)</w:t>
      </w:r>
      <w:r w:rsidRPr="00175A44">
        <w:rPr>
          <w:rFonts w:cs="B Zar" w:hint="cs"/>
          <w:rtl/>
        </w:rPr>
        <w:t xml:space="preserve"> واژه آن به معناي توانا، قادر، ذوالجلال و پرشكوه است. معناي دوم اين كلمه «سلطان» يا شاه، و معناي سوم آن خورشيد يا باران است. واژه «در» </w:t>
      </w:r>
      <w:r w:rsidRPr="00175A44">
        <w:rPr>
          <w:rFonts w:cs="B Zar"/>
        </w:rPr>
        <w:t>(Der)</w:t>
      </w:r>
      <w:r w:rsidRPr="00175A44">
        <w:rPr>
          <w:rFonts w:cs="B Zar" w:hint="cs"/>
          <w:rtl/>
        </w:rPr>
        <w:t xml:space="preserve"> به معناي فتح كردن و مغلوب كردن است. بدين جهت معناي ايندرا خورشيد، صاعقه و باران يا قادر ذوالجلال و ذالقوه است كه بر همه غلبه دارد. البته موئر </w:t>
      </w:r>
      <w:r w:rsidRPr="00175A44">
        <w:rPr>
          <w:rFonts w:cs="B Zar"/>
        </w:rPr>
        <w:t>(Moir)</w:t>
      </w:r>
      <w:r w:rsidRPr="00175A44">
        <w:rPr>
          <w:rFonts w:cs="B Zar" w:hint="cs"/>
          <w:rtl/>
        </w:rPr>
        <w:t xml:space="preserve"> معتقد است اين كلمه از ريشه «ايندرا» مي‌باشد كه معنايش فرود آمدن است. در آغاز چون باران از آسمان فرود مي‌آمده است، از اين‌رو آنرا «ايندرا» مي‌ناميده‌اند و چون در ذهن ساده مردم آريا، منشاء باران، ابر، رعد و صاعقه بوده است، از اين رو‌ كلمه ايندرا بر آن نهاده شد.</w:t>
      </w:r>
      <w:r>
        <w:rPr>
          <w:rStyle w:val="FootnoteReference"/>
          <w:rFonts w:cs="B Zar"/>
          <w:rtl/>
        </w:rPr>
        <w:footnoteReference w:id="371"/>
      </w:r>
    </w:p>
    <w:p w:rsidR="0011420A" w:rsidRPr="00175A44" w:rsidP="003C0EF5">
      <w:pPr>
        <w:widowControl w:val="0"/>
        <w:spacing w:line="420" w:lineRule="exact"/>
        <w:ind w:left="0" w:right="0"/>
        <w:jc w:val="both"/>
        <w:rPr>
          <w:rFonts w:cs="B Zar" w:hint="cs"/>
          <w:rtl/>
        </w:rPr>
      </w:pPr>
      <w:r w:rsidRPr="00175A44">
        <w:rPr>
          <w:rFonts w:cs="B Zar" w:hint="cs"/>
          <w:rtl/>
        </w:rPr>
        <w:t xml:space="preserve">در مرحله اول طبيعت‌پرستي، ايندرا عنوان رعد و برق و باران بود؛ چون رعد يك حالت قهاريت نيز داشت، از اين‌رو او را نوعي فرمانده آسمان تلقي كردند. در مرحله سوم شرك، ايندرا به عنوان رب‌النوع جنگ و خداي خدايان و يا رئيس «جرگه خدايان» مطرح شد؛ از اين جهت مي توان او را زئوس و يا ژوپيتر دين ودا ناميد. او سلطان بزرگ قلمرو فضا  </w:t>
      </w:r>
      <w:r w:rsidRPr="00175A44">
        <w:rPr>
          <w:rFonts w:cs="B Zar"/>
        </w:rPr>
        <w:t>(Atmosphere)</w:t>
      </w:r>
      <w:r w:rsidRPr="00175A44">
        <w:rPr>
          <w:rFonts w:cs="B Zar" w:hint="cs"/>
          <w:rtl/>
        </w:rPr>
        <w:t xml:space="preserve"> است. ويليامز معتقد است كه در آغاز ايندرا رئيس خدايان نبود، بلكه اين سِمَت را وارونا داشته است؛ ولي به خاطر آنكه ايندرا خداي جنگ بوده و در آن دوره آريائي‌ها دائماً در حالت جنگ بسر مي برده اند، از اين رو ريشي‌ها بيش از همه او را در سرودها ياد كرده و به او توسل مي‌جسته‌اند. بدينسان به تدريج، چنانكه رادا كريشنان گفته است، ايندرا به صورت زئوس هند درآمد.</w:t>
      </w:r>
      <w:r>
        <w:rPr>
          <w:rStyle w:val="FootnoteReference"/>
          <w:rFonts w:cs="B Zar"/>
          <w:rtl/>
        </w:rPr>
        <w:footnoteReference w:id="372"/>
      </w:r>
    </w:p>
    <w:p w:rsidR="0011420A" w:rsidRPr="00175A44" w:rsidP="003C0EF5">
      <w:pPr>
        <w:widowControl w:val="0"/>
        <w:spacing w:line="420" w:lineRule="exact"/>
        <w:ind w:left="0" w:right="0"/>
        <w:jc w:val="both"/>
        <w:rPr>
          <w:rFonts w:cs="B Zar" w:hint="cs"/>
          <w:rtl/>
        </w:rPr>
      </w:pPr>
      <w:r w:rsidRPr="00175A44">
        <w:rPr>
          <w:rFonts w:cs="B Zar" w:hint="cs"/>
          <w:rtl/>
        </w:rPr>
        <w:t>ايندرا به طور عمده خداي جنگ است. او كسي است كه با گرز (واجارا) خود ـ كنايه از رعد و صاعقه ـ تمام اهريمنان (راكشس‌ها</w:t>
      </w:r>
      <w:r w:rsidRPr="00175A44">
        <w:rPr>
          <w:rFonts w:cs="B Zar"/>
        </w:rPr>
        <w:t>Rakshas=</w:t>
      </w:r>
      <w:r w:rsidRPr="00175A44">
        <w:rPr>
          <w:rFonts w:cs="B Zar" w:hint="cs"/>
          <w:rtl/>
        </w:rPr>
        <w:t>) و اسورها را شكست مي‌دهد. در اين دوره به نظر مي‌رسد معبودان محلي دراويدي‌‌ها به صورت اهريمن درآورده شده و چنان تصور مي‌شد كه ايندرا آنان را مغلوب ساخته است. يكي از همين معبودان محلي كه در ودا به عنوان اهريمن مطرح شده است، كريشنا</w:t>
      </w:r>
      <w:r w:rsidRPr="00175A44">
        <w:rPr>
          <w:rFonts w:cs="B Zar"/>
        </w:rPr>
        <w:t xml:space="preserve"> (Krishna)</w:t>
      </w:r>
      <w:r w:rsidRPr="00175A44">
        <w:rPr>
          <w:rFonts w:cs="B Zar" w:hint="cs"/>
          <w:rtl/>
        </w:rPr>
        <w:t>ست كه ايندرا او را مغلوب ساخت. او ظاهراً معبود قبيله‌اي به نام كريشنا بود. آنچه جالب است، در دوره بعدي تدوين حماسه‌ها همين كرسن (يا كريشنا) به صورت يكي از تجسم‌هاي خداي وشنو و به صورت محبوبترين معبود هندوها درآمد كه مهابهاراتا</w:t>
      </w:r>
      <w:r w:rsidRPr="00175A44">
        <w:rPr>
          <w:rFonts w:cs="B Zar"/>
        </w:rPr>
        <w:t>(Mahabharata)</w:t>
      </w:r>
      <w:r w:rsidRPr="00175A44">
        <w:rPr>
          <w:rFonts w:cs="B Zar" w:hint="cs"/>
          <w:rtl/>
        </w:rPr>
        <w:t xml:space="preserve"> به بيان حماسه‌هاي او اختصاص يافته و يكي از مقدس‌ترين و بدون ترديد مقبول‌ترين ورائج‌ترين كتاب مقدس هندوها كه مي‌بايستي انجيل هندوها ناميده شود، يعني بهاگوات گيتا مشتمل بر گفتار اوست.</w:t>
      </w:r>
      <w:r>
        <w:rPr>
          <w:rStyle w:val="FootnoteReference"/>
          <w:rFonts w:cs="B Zar"/>
          <w:rtl/>
        </w:rPr>
        <w:footnoteReference w:id="373"/>
      </w:r>
    </w:p>
    <w:p w:rsidR="0011420A" w:rsidRPr="00175A44" w:rsidP="003C0EF5">
      <w:pPr>
        <w:widowControl w:val="0"/>
        <w:spacing w:line="420" w:lineRule="exact"/>
        <w:ind w:left="0" w:right="0"/>
        <w:jc w:val="both"/>
        <w:rPr>
          <w:rFonts w:cs="B Zar" w:hint="cs"/>
          <w:rtl/>
        </w:rPr>
      </w:pPr>
      <w:r w:rsidRPr="00175A44">
        <w:rPr>
          <w:rFonts w:cs="B Zar" w:hint="cs"/>
          <w:rtl/>
        </w:rPr>
        <w:t>در ادوار بعدي برهما</w:t>
      </w:r>
      <w:r w:rsidRPr="00175A44">
        <w:rPr>
          <w:rFonts w:cs="B Zar"/>
        </w:rPr>
        <w:t xml:space="preserve"> (Brahma)</w:t>
      </w:r>
      <w:r w:rsidRPr="00175A44">
        <w:rPr>
          <w:rFonts w:cs="B Zar" w:hint="cs"/>
          <w:rtl/>
        </w:rPr>
        <w:t>، وشنو</w:t>
      </w:r>
      <w:r w:rsidRPr="00175A44">
        <w:rPr>
          <w:rFonts w:cs="B Zar"/>
        </w:rPr>
        <w:t>(Vishnu)</w:t>
      </w:r>
      <w:r w:rsidRPr="00175A44">
        <w:rPr>
          <w:rFonts w:cs="B Zar" w:hint="cs"/>
          <w:rtl/>
        </w:rPr>
        <w:t xml:space="preserve"> و شيوا</w:t>
      </w:r>
      <w:r w:rsidRPr="00175A44">
        <w:rPr>
          <w:rFonts w:cs="B Zar"/>
        </w:rPr>
        <w:t>(Shiva)</w:t>
      </w:r>
      <w:r w:rsidRPr="00175A44">
        <w:rPr>
          <w:rFonts w:cs="B Zar" w:hint="cs"/>
          <w:rtl/>
        </w:rPr>
        <w:t>، به صورت معبودان اصلي هندوئيسم درآمدند و معبودان ودا فراموش شدند؛ ولي ايندرا همواره موقعيت خود را به عنوان خداي جنگ در ذهن توده‌هاي مردم حفظ كرد، هرچند تحت‌الشعاع «ثالوث» خدايان (تين مورتي) درآمد. در فلسقه ودانت</w:t>
      </w:r>
      <w:r w:rsidRPr="00175A44">
        <w:rPr>
          <w:rFonts w:cs="B Zar"/>
        </w:rPr>
        <w:t>(Vedanta)</w:t>
      </w:r>
      <w:r w:rsidRPr="00175A44">
        <w:rPr>
          <w:rFonts w:cs="B Zar" w:hint="cs"/>
          <w:rtl/>
        </w:rPr>
        <w:t xml:space="preserve"> كه محور آن نظريه وحدت‌الوجود است، ايندرا</w:t>
      </w:r>
      <w:r w:rsidRPr="00175A44">
        <w:rPr>
          <w:rFonts w:cs="B Zar"/>
        </w:rPr>
        <w:t>(Indra)</w:t>
      </w:r>
      <w:r w:rsidRPr="00175A44">
        <w:rPr>
          <w:rFonts w:cs="B Zar" w:hint="cs"/>
          <w:rtl/>
        </w:rPr>
        <w:t xml:space="preserve"> سمبل فتوت، جوانمردي و دليري محسوب مي‌شود.</w:t>
      </w:r>
      <w:r>
        <w:rPr>
          <w:rStyle w:val="FootnoteReference"/>
          <w:rFonts w:cs="B Zar"/>
          <w:rtl/>
        </w:rPr>
        <w:footnoteReference w:id="374"/>
      </w:r>
    </w:p>
    <w:p w:rsidR="0011420A" w:rsidP="003C0EF5">
      <w:pPr>
        <w:widowControl w:val="0"/>
        <w:spacing w:line="420" w:lineRule="exact"/>
        <w:ind w:left="0" w:right="0"/>
        <w:jc w:val="both"/>
        <w:rPr>
          <w:rFonts w:cs="B Zar" w:hint="cs"/>
          <w:rtl/>
        </w:rPr>
      </w:pPr>
      <w:r w:rsidRPr="00175A44">
        <w:rPr>
          <w:rFonts w:cs="B Zar" w:hint="cs"/>
          <w:rtl/>
        </w:rPr>
        <w:t>پرستش ايندرا در هند هنوز وجود دارد و حوزة كاركرد او محدودتر شده است. او هنوز خداي جنگ محسوب مي شود كه روح جنگ آوران و مجاهدان به سوي او مي‌‌روند. در دين بودائي ايندرا جايگاه خود را بهتر حفظ كرده است. در برخي متون قديمي زبان پالي، ايندرا يگانه خداي بودائيسم تلقي شده است. بودائي ها و برخي هندوها ساليانه يك مرتبه جشني به عنوان، «ايندرا ياترا» برگزار مي كنند. اين جشن در نپال باشكوه بيشتري برگزار مي شود. در ادبيات، نمايشنامه و شعرهاي هند، ايندرا به عنوان معبود لذت جو كه دلداده رقص و سرود و ميگساري است ترسيم مي شود. تعبير ايندرا سابها يا محفل و مجلس ايندرا به صورت محاوره متداول در زبانهاي هند درآمده است. برخي اديبان هندي و اردو نمايشنامه‌هايي به عنوان ايندرا سابها دارند. علتش اين است كه در ريگ ودا در برخي سرودها، ايندرا به عنوان معبودي كه جام سوما را بسيار دوست دارد و دختران زيبا در كنار او قرار دارند، ترسيم مي‌شود. در برخي نقاشي‌ها، حكاكي‌های روي معابد، ايندرا در حال رقص با دختران نيمه عريان نشان داده شده است. در ديناج پور، ايندرا به عنوان خداي باران تلقي گرديده و اگر زماني قحطي شديد ايجاد شود، دوشيزگان و زنان جوان قبيله محلي در شب ماهتابي دور از انظار مردان، در كنار مجسمه ايندرا گرد هم آمده و لباسهايشان را درآورده، به صورت كاملاً برهنه ژست‌هاي مبتذل در مي‌آوردند تا ايندرا را مشعوف سازند، سپس به فحاشي‌ مي‌پرداختند تا شايد خداي باران، ايندرا، را به غيرت آورند و او باران را فرو ببارد و اين عمل تا دهه اول قرن حاضر گزارش داده شده است.</w:t>
      </w:r>
      <w:r>
        <w:rPr>
          <w:rStyle w:val="FootnoteReference"/>
          <w:rFonts w:cs="B Zar"/>
          <w:rtl/>
        </w:rPr>
        <w:footnoteReference w:id="375"/>
      </w:r>
    </w:p>
    <w:p w:rsidR="0011420A" w:rsidRPr="00175A44" w:rsidP="003C0EF5">
      <w:pPr>
        <w:widowControl w:val="0"/>
        <w:spacing w:line="420" w:lineRule="exact"/>
        <w:ind w:left="0" w:right="0"/>
        <w:jc w:val="both"/>
        <w:rPr>
          <w:rFonts w:cs="B Zar"/>
          <w:b/>
          <w:bCs/>
          <w:rtl/>
        </w:rPr>
      </w:pPr>
      <w:r w:rsidRPr="00175A44">
        <w:rPr>
          <w:rFonts w:cs="B Zar" w:hint="cs"/>
          <w:b/>
          <w:bCs/>
          <w:rtl/>
        </w:rPr>
        <w:t>ماروت</w:t>
      </w:r>
      <w:r w:rsidRPr="00175A44">
        <w:rPr>
          <w:rFonts w:cs="B Zar"/>
          <w:b/>
          <w:bCs/>
        </w:rPr>
        <w:t xml:space="preserve"> (Marut)</w:t>
      </w:r>
    </w:p>
    <w:p w:rsidR="0011420A" w:rsidRPr="00175A44" w:rsidP="003C0EF5">
      <w:pPr>
        <w:widowControl w:val="0"/>
        <w:spacing w:line="420" w:lineRule="exact"/>
        <w:ind w:left="0" w:right="0"/>
        <w:jc w:val="both"/>
        <w:rPr>
          <w:rFonts w:cs="B Zar" w:hint="cs"/>
          <w:rtl/>
        </w:rPr>
      </w:pPr>
      <w:r w:rsidRPr="00175A44">
        <w:rPr>
          <w:rFonts w:cs="B Zar" w:hint="cs"/>
          <w:rtl/>
        </w:rPr>
        <w:t>كلمه ماروت در مرحله اول طبيعت‌پرستي به معناي باد و توفان به كار برده مي‌شده است. برخي آن را به معناي موجودات نوراني و پردرخشش ترجمه كرده اند. ريشه اين كلمه ماروا است كه معاني گوناگون دارد، از جمله: صحرا، كوه، آهو و غزال. ممكن است مردم ابتدائي وزيدن باد را با رم كردن و دويدن آهو تشبيه كرده باشند. احتمال ديگر اين است كه كلمه ماروت از ريشه مارا به معناي مرگ باشد، بادهاي توفاني براي مردم ابتدائي كه وسائل تحفظ از آفات طبيعت را در دست نداشتند، ممكن است مرگبار بوده باشد. در زبان سانسكريت كلاسيك، تعبيرات فراواني وجود دارد كه نشان مي‌دهد مقصود از مَروتَ باد بوده است. از جمله اين تعبيرات مي توانيم به تعبير مروت ياتها، به معناي مسيربادها و ماروت ياتا، به معناي لباس تحفظ از بادها اشاره كنيم.</w:t>
      </w:r>
      <w:r>
        <w:rPr>
          <w:rStyle w:val="FootnoteReference"/>
          <w:rFonts w:cs="B Zar"/>
          <w:rtl/>
        </w:rPr>
        <w:footnoteReference w:id="376"/>
      </w:r>
    </w:p>
    <w:p w:rsidR="0011420A" w:rsidRPr="00175A44" w:rsidP="003C0EF5">
      <w:pPr>
        <w:widowControl w:val="0"/>
        <w:spacing w:line="420" w:lineRule="exact"/>
        <w:ind w:left="0" w:right="0"/>
        <w:jc w:val="both"/>
        <w:rPr>
          <w:rFonts w:cs="B Zar" w:hint="cs"/>
          <w:rtl/>
        </w:rPr>
      </w:pPr>
      <w:r w:rsidRPr="00175A44">
        <w:rPr>
          <w:rFonts w:cs="B Zar" w:hint="cs"/>
          <w:rtl/>
        </w:rPr>
        <w:t>در اساطير ودائي ماروت‌ها به عنوان دستياران ايندرا مطرح‌اند. بادها به طور عموم همراه با رعد و برق و باران مي‌وزند. از اين‌رو فكر ابتدائي بشر ميان اين دو رابطه برقرار كرده بود. اينكه از ماروت‌ها به عنوان باران ايندرا ياد شده، نمايانگر ماهيت جلال آميز و قهرآميز ماروت‌ها نيز هست. ويژگي ديگر ماروت‌ها سرعت و سبك سيري است. در زبان سانسكريت كسي كه بسيار سبك سير و سريع باشد «ماروت تام» ناميده مي شود.</w:t>
      </w:r>
    </w:p>
    <w:p w:rsidR="0011420A" w:rsidP="003C0EF5">
      <w:pPr>
        <w:widowControl w:val="0"/>
        <w:spacing w:line="420" w:lineRule="exact"/>
        <w:ind w:left="0" w:right="0"/>
        <w:jc w:val="both"/>
        <w:rPr>
          <w:rFonts w:cs="B Zar" w:hint="cs"/>
          <w:rtl/>
        </w:rPr>
      </w:pPr>
      <w:r w:rsidRPr="00175A44">
        <w:rPr>
          <w:rFonts w:cs="B Zar" w:hint="cs"/>
          <w:rtl/>
        </w:rPr>
        <w:t xml:space="preserve">در مرحله سوم شرك، ماروت‌ها كاملاً هويت و «تشخيص» پيدا كرده، به صورت ذوات اهلي درآمده اند. آنان از فرزندان رودرا </w:t>
      </w:r>
      <w:r w:rsidRPr="00175A44">
        <w:rPr>
          <w:rFonts w:cs="B Zar"/>
        </w:rPr>
        <w:t>(Rudra)</w:t>
      </w:r>
      <w:r w:rsidRPr="00175A44">
        <w:rPr>
          <w:rFonts w:cs="B Zar" w:hint="cs"/>
          <w:rtl/>
        </w:rPr>
        <w:t>، معبود قهار محسوب مي شوند. اسم مادر آنان «پاشي» است. در متون بعدي، آنها فرزندان «دتي» نيز ناميده شده اند. آنان با اسلحه مسلح‌اند و همانند شير مي‌غرّند.</w:t>
      </w:r>
    </w:p>
    <w:p w:rsidR="0011420A" w:rsidRPr="00175A44" w:rsidP="003C0EF5">
      <w:pPr>
        <w:widowControl w:val="0"/>
        <w:spacing w:line="420" w:lineRule="exact"/>
        <w:ind w:left="0" w:right="0"/>
        <w:jc w:val="both"/>
        <w:rPr>
          <w:rFonts w:cs="B Zar"/>
          <w:b/>
          <w:bCs/>
          <w:rtl/>
        </w:rPr>
      </w:pPr>
      <w:r w:rsidRPr="00175A44">
        <w:rPr>
          <w:rFonts w:cs="B Zar" w:hint="cs"/>
          <w:b/>
          <w:bCs/>
          <w:rtl/>
        </w:rPr>
        <w:t>آگني</w:t>
      </w:r>
      <w:r w:rsidRPr="00175A44">
        <w:rPr>
          <w:rFonts w:cs="B Zar"/>
          <w:b/>
          <w:bCs/>
        </w:rPr>
        <w:t xml:space="preserve"> (Agni) </w:t>
      </w:r>
    </w:p>
    <w:p w:rsidR="0011420A" w:rsidRPr="00175A44" w:rsidP="003C0EF5">
      <w:pPr>
        <w:widowControl w:val="0"/>
        <w:spacing w:line="420" w:lineRule="exact"/>
        <w:ind w:left="0" w:right="0"/>
        <w:jc w:val="both"/>
        <w:rPr>
          <w:rFonts w:cs="B Zar" w:hint="cs"/>
          <w:rtl/>
        </w:rPr>
      </w:pPr>
      <w:r w:rsidRPr="00175A44">
        <w:rPr>
          <w:rFonts w:cs="B Zar" w:hint="cs"/>
          <w:rtl/>
        </w:rPr>
        <w:t>آگني آتش را مي‌گفته‌اند. اين كلمه از ريشه «آگ» مي‌باشد كه معناي آن حركت مارپيچي است. شعله‌هاي آتش چون حركت مارپيچي دارند، از اين‌رو آتش آگني ناميده شد. معناي ديگر آگ چيزي است كه بالاي كوه مستقر، يا روي درختان قرار گرفته باشد. احتمال دارد نخستين بار آريائي‌ها آتش را طي مشاهده انفجار يك كوه آتش فشان مورد توجه قرار داده و يا در نتيجه برق و صاعقه زدگي، درختان را در حال آتش گرفتگي مشاهده كرده و از اين‌رو آتش را آگني ناميده‌اند. پس از رواج مراسم قرباني، عنوان آگني بر آتش مقدس نهاده شد و در مرحله سوم به صورت اسمي براي رب‌‌النوع آتش درآمد. در مرحله شرك</w:t>
      </w:r>
      <w:r w:rsidRPr="00175A44">
        <w:rPr>
          <w:rFonts w:cs="B Zar" w:hint="cs"/>
          <w:rtl/>
          <w:lang w:bidi="fa-IR"/>
        </w:rPr>
        <w:t>،</w:t>
      </w:r>
      <w:r w:rsidRPr="00175A44">
        <w:rPr>
          <w:rFonts w:cs="B Zar" w:hint="cs"/>
          <w:rtl/>
        </w:rPr>
        <w:t xml:space="preserve"> آگني خداي بزرگ است كه در كنار ايندرا و سوما جا گرفته است. ايندرا معبود سرداران جنگي و آگني معبود طبقه روحانيون (براهمانان) است. او نقش ميانجي ميان انسانها و خدايان را ايفاء مي‌كند. از او در ريگ ودا تقاضا مي شود:</w:t>
      </w:r>
    </w:p>
    <w:p w:rsidR="0011420A" w:rsidRPr="00175A44" w:rsidP="003C0EF5">
      <w:pPr>
        <w:widowControl w:val="0"/>
        <w:spacing w:line="420" w:lineRule="exact"/>
        <w:ind w:left="0" w:right="0"/>
        <w:jc w:val="both"/>
        <w:rPr>
          <w:rFonts w:cs="B Zar" w:hint="cs"/>
          <w:rtl/>
        </w:rPr>
      </w:pPr>
      <w:r w:rsidRPr="00175A44">
        <w:rPr>
          <w:rFonts w:cs="B Zar" w:hint="cs"/>
          <w:rtl/>
        </w:rPr>
        <w:t>«اي آگني! وارون را در مراسم عبادي ما بياور</w:t>
      </w:r>
    </w:p>
    <w:p w:rsidR="0011420A" w:rsidRPr="00175A44" w:rsidP="003C0EF5">
      <w:pPr>
        <w:widowControl w:val="0"/>
        <w:spacing w:line="420" w:lineRule="exact"/>
        <w:ind w:left="0" w:right="0"/>
        <w:jc w:val="both"/>
        <w:rPr>
          <w:rFonts w:cs="B Zar" w:hint="cs"/>
          <w:rtl/>
        </w:rPr>
      </w:pPr>
      <w:r w:rsidRPr="00175A44">
        <w:rPr>
          <w:rFonts w:cs="B Zar" w:hint="cs"/>
          <w:rtl/>
        </w:rPr>
        <w:t>ايندرا را فرا خوان!»</w:t>
      </w:r>
      <w:r>
        <w:rPr>
          <w:rStyle w:val="FootnoteReference"/>
          <w:rFonts w:cs="B Zar"/>
          <w:rtl/>
        </w:rPr>
        <w:footnoteReference w:id="377"/>
      </w:r>
    </w:p>
    <w:p w:rsidR="0011420A" w:rsidRPr="00175A44" w:rsidP="003C0EF5">
      <w:pPr>
        <w:widowControl w:val="0"/>
        <w:spacing w:line="420" w:lineRule="exact"/>
        <w:ind w:left="0" w:right="0"/>
        <w:jc w:val="both"/>
        <w:rPr>
          <w:rFonts w:cs="B Zar" w:hint="cs"/>
          <w:rtl/>
        </w:rPr>
      </w:pPr>
      <w:r w:rsidRPr="00175A44">
        <w:rPr>
          <w:rFonts w:cs="B Zar" w:hint="cs"/>
          <w:rtl/>
        </w:rPr>
        <w:t>در دوره بعدي «برهمنا»، وقتي طبقه روحانيون سلطه بيشتري يافتند، آگني در جرگه خدايان اهميت بيشتري كسب كرد. هنوز هم در هند دسته‌اي از براهمانان، خود را «آگني هوترَ» يا پرستاران آتش مقدس مي نامند، و در بسياري از معبدها آتش مقدس نگهداري مي‌شود. اين امر در كشور نپال رائج تر است.</w:t>
      </w:r>
    </w:p>
    <w:p w:rsidR="0011420A" w:rsidP="003C0EF5">
      <w:pPr>
        <w:widowControl w:val="0"/>
        <w:spacing w:line="420" w:lineRule="exact"/>
        <w:ind w:left="0" w:right="0"/>
        <w:jc w:val="both"/>
        <w:rPr>
          <w:rFonts w:cs="B Zar" w:hint="cs"/>
          <w:rtl/>
        </w:rPr>
      </w:pPr>
      <w:r w:rsidRPr="00175A44">
        <w:rPr>
          <w:rFonts w:cs="B Zar" w:hint="cs"/>
          <w:rtl/>
        </w:rPr>
        <w:t>اكثر بخش‌هاي سرودهاي ريگ ودا با سرودهايي در تجليل و تقديس آگني شروع مي‌شوند؛ علت آن همان است كه آگني ميانجي ميان خدايان و انسان‌ها است و وقتي انسانها مي‌خواهند با خدايان رابطه برقرار كنند، نخست به آگني توسل مي جويند. در رِيگ ودا پس از ايندرا بيشترين سرودها به آگني تعلق دارد.</w:t>
      </w:r>
    </w:p>
    <w:p w:rsidR="0011420A" w:rsidRPr="00175A44" w:rsidP="003C0EF5">
      <w:pPr>
        <w:widowControl w:val="0"/>
        <w:spacing w:line="420" w:lineRule="exact"/>
        <w:ind w:left="0" w:right="0"/>
        <w:jc w:val="both"/>
        <w:rPr>
          <w:rFonts w:cs="B Zar"/>
          <w:b/>
          <w:bCs/>
          <w:rtl/>
        </w:rPr>
      </w:pPr>
      <w:r w:rsidRPr="00175A44">
        <w:rPr>
          <w:rFonts w:cs="B Zar" w:hint="cs"/>
          <w:b/>
          <w:bCs/>
          <w:rtl/>
        </w:rPr>
        <w:t>سوما</w:t>
      </w:r>
      <w:r w:rsidRPr="00175A44">
        <w:rPr>
          <w:rFonts w:cs="B Zar"/>
          <w:b/>
          <w:bCs/>
        </w:rPr>
        <w:t xml:space="preserve"> (Soma) </w:t>
      </w:r>
    </w:p>
    <w:p w:rsidR="0011420A" w:rsidRPr="00175A44" w:rsidP="003C0EF5">
      <w:pPr>
        <w:widowControl w:val="0"/>
        <w:spacing w:line="420" w:lineRule="exact"/>
        <w:ind w:left="0" w:right="0"/>
        <w:jc w:val="both"/>
        <w:rPr>
          <w:rFonts w:cs="B Zar" w:hint="cs"/>
          <w:rtl/>
        </w:rPr>
      </w:pPr>
      <w:r w:rsidRPr="00175A44">
        <w:rPr>
          <w:rFonts w:cs="B Zar" w:hint="cs"/>
          <w:rtl/>
        </w:rPr>
        <w:t xml:space="preserve">سوما عرق يا عصاره را مي‌گويند. در مرحله اول، سوما عصاره گياهي را مي‌ناميده‌اند كه داراي خاصيت سُكرآور و مست كننده بود. برخي حدس زده اند كه اين گياه ساركوستما </w:t>
      </w:r>
      <w:r w:rsidRPr="00175A44">
        <w:rPr>
          <w:rFonts w:cs="B Zar"/>
        </w:rPr>
        <w:t>(Sarcostems Vimislis)</w:t>
      </w:r>
      <w:r w:rsidRPr="00175A44">
        <w:rPr>
          <w:rFonts w:cs="B Zar" w:hint="cs"/>
          <w:rtl/>
        </w:rPr>
        <w:t xml:space="preserve"> بوده است، برخي ديگر آنرا گياه اسكليپ ياس </w:t>
      </w:r>
      <w:r w:rsidRPr="00175A44">
        <w:rPr>
          <w:rFonts w:cs="B Zar"/>
        </w:rPr>
        <w:t>(Ascelepias)</w:t>
      </w:r>
      <w:r w:rsidRPr="00175A44">
        <w:rPr>
          <w:rFonts w:cs="B Zar" w:hint="cs"/>
          <w:rtl/>
        </w:rPr>
        <w:t xml:space="preserve"> دانسته‌اند. اين عصاره در دوره بعدي جنبه مناسكي پيدا كرد و در مراسم طلسم‌هاي مذهبي ـ جادوئي به كار مي رفته است. روحاني يا كاهن، طي تلاوت اوراد و طلسم‌ها، آنرا با دو سنگ بخصوصي كه «آدي» نام داشت، فشار مي‌داده و قطراتي كه از اين عمل مي‌چكيد، در ظرفي كه «وارونا» نام داشت، گذاشته مي‌شد و سپس در مناسك عبادي ـ طلسمي آنرا به كار مي‌بردند.</w:t>
      </w:r>
      <w:r>
        <w:rPr>
          <w:rStyle w:val="FootnoteReference"/>
          <w:rFonts w:cs="B Zar"/>
          <w:rtl/>
        </w:rPr>
        <w:footnoteReference w:id="378"/>
      </w:r>
    </w:p>
    <w:p w:rsidR="0011420A" w:rsidRPr="00175A44" w:rsidP="003C0EF5">
      <w:pPr>
        <w:widowControl w:val="0"/>
        <w:spacing w:line="420" w:lineRule="exact"/>
        <w:ind w:left="0" w:right="0"/>
        <w:jc w:val="both"/>
        <w:rPr>
          <w:rFonts w:cs="B Zar" w:hint="cs"/>
          <w:rtl/>
        </w:rPr>
      </w:pPr>
      <w:r w:rsidRPr="00175A44">
        <w:rPr>
          <w:rFonts w:cs="B Zar" w:hint="cs"/>
          <w:rtl/>
        </w:rPr>
        <w:t>در مرحله سوم شرك، «سوما» به صورت رب‌النوع ماه و نيز رب النوع اشراق و الهام درآمد. در برخي سرودهاي متاخر ريگ ودا و اساطير دوره بعدي و نيز در اَتهَاروَ ودا و رسائل برهمنا، سوما به عنوان رب‌النوع ماه مطرح است. بسياري از تعبيرات و محاوره‌هاي سانسكريت كلاسيك اين امر را تائيد مي كند كه «ماه» را سوما مي‌ناميده‌اند. مثلا در شعرهاي كاليداس، تعبير «سوماكانت» را به معناي «معشوقه ماهرو» به كار گرفته است. شب‌هائي را كه ماه در آن ديده نمي‌شود، «سوما كشايا»، و خسوف ماه را سوما گرِهن مي‌گويند. درباره ريشه بعدي كلمه سوما اختلاف وجود دارد. ممكن است اين كلمه از ريشه «سو» به معناي زيبا و ظريف بوده باشد.</w:t>
      </w:r>
    </w:p>
    <w:p w:rsidR="0011420A" w:rsidRPr="00175A44" w:rsidP="003C0EF5">
      <w:pPr>
        <w:widowControl w:val="0"/>
        <w:spacing w:line="420" w:lineRule="exact"/>
        <w:ind w:left="0" w:right="0"/>
        <w:jc w:val="both"/>
        <w:rPr>
          <w:rFonts w:cs="B Zar" w:hint="cs"/>
          <w:rtl/>
        </w:rPr>
      </w:pPr>
      <w:r w:rsidRPr="00175A44">
        <w:rPr>
          <w:rFonts w:cs="B Zar" w:hint="cs"/>
          <w:rtl/>
        </w:rPr>
        <w:t>در مرحله شرك، سوما به صورت يك «شخص» و ذات الهي درمي‌آيد. او داراي دختري به نام سوماكانيا است. در برخي سرودها او را «راجون» ناميده و از جمله هشت تن از «واسوها» و يا هشت تن از «لوك پال‌ها» محسوب شده است. او به صورت رب‌النوع اشراق و الهام نيز درآمده و در اساطير بعدي او را الهام كننده ريگ ودا تلقي كرده‌اند.</w:t>
      </w:r>
      <w:r>
        <w:rPr>
          <w:rStyle w:val="FootnoteReference"/>
          <w:rFonts w:cs="B Zar"/>
          <w:rtl/>
        </w:rPr>
        <w:footnoteReference w:id="379"/>
      </w:r>
    </w:p>
    <w:p w:rsidR="0011420A" w:rsidP="003C0EF5">
      <w:pPr>
        <w:widowControl w:val="0"/>
        <w:spacing w:line="420" w:lineRule="exact"/>
        <w:ind w:left="0" w:right="0"/>
        <w:jc w:val="both"/>
        <w:rPr>
          <w:rFonts w:cs="B Zar" w:hint="cs"/>
          <w:rtl/>
        </w:rPr>
      </w:pPr>
      <w:r w:rsidRPr="00175A44">
        <w:rPr>
          <w:rFonts w:cs="B Zar" w:hint="cs"/>
          <w:rtl/>
        </w:rPr>
        <w:t>در ودا، سوما</w:t>
      </w:r>
      <w:r w:rsidRPr="00175A44">
        <w:rPr>
          <w:rFonts w:cs="B Zar"/>
        </w:rPr>
        <w:t xml:space="preserve"> (Soma)</w:t>
      </w:r>
      <w:r w:rsidRPr="00175A44">
        <w:rPr>
          <w:rFonts w:cs="B Zar" w:hint="cs"/>
          <w:rtl/>
        </w:rPr>
        <w:t xml:space="preserve"> در كنار ايندرا</w:t>
      </w:r>
      <w:r w:rsidRPr="00175A44">
        <w:rPr>
          <w:rFonts w:cs="B Zar"/>
        </w:rPr>
        <w:t xml:space="preserve"> (Indra)</w:t>
      </w:r>
      <w:r w:rsidRPr="00175A44">
        <w:rPr>
          <w:rFonts w:cs="B Zar" w:hint="cs"/>
          <w:rtl/>
        </w:rPr>
        <w:t xml:space="preserve"> و آگني</w:t>
      </w:r>
      <w:r w:rsidRPr="00175A44">
        <w:rPr>
          <w:rFonts w:cs="B Zar"/>
        </w:rPr>
        <w:t xml:space="preserve"> (Agni)</w:t>
      </w:r>
      <w:r w:rsidRPr="00175A44">
        <w:rPr>
          <w:rFonts w:cs="B Zar" w:hint="cs"/>
          <w:rtl/>
        </w:rPr>
        <w:t>، به عنوان سه تن از خدايان اصلي آريائي‌‌ها مطرح شده است. حدود چهارده سرود از كتاب‌هاي ديگر به او اختصاص داده شده ‌است. در سام ودا يازده قطعه در بخش اول و حدود سي و شش قطعه از كتاب دوم به او اختصاص دارد. در ياجور ودا طي تمام مراسم و مناسك ديني و اورادي كه در آن تلاوت مي‌شوند، سوما مطرح است. در حاليكه در ياجور ودا، از كتاب چهارم تا بيست و يكم كه بخش عمده اين مجموعه (سام هيتا) را تشكيل مي‌دهد، به مراسم تقديم سوما يا قرباني سوما اختصاص داده شده است. در بسياري از اوراد و طلسم‌هاي اَتهَاروا ودا نيز از سوما ياد شده است. از اين روي مي‌توان اهميت سوما را در وداهاي چهارگانه دريافت.</w:t>
      </w:r>
    </w:p>
    <w:p w:rsidR="0011420A" w:rsidRPr="00175A44" w:rsidP="003C0EF5">
      <w:pPr>
        <w:widowControl w:val="0"/>
        <w:spacing w:line="420" w:lineRule="exact"/>
        <w:ind w:left="0" w:right="0"/>
        <w:jc w:val="both"/>
        <w:rPr>
          <w:rFonts w:cs="B Zar"/>
          <w:b/>
          <w:bCs/>
          <w:rtl/>
        </w:rPr>
      </w:pPr>
      <w:r w:rsidRPr="00175A44">
        <w:rPr>
          <w:rFonts w:cs="B Zar" w:hint="cs"/>
          <w:b/>
          <w:bCs/>
          <w:rtl/>
        </w:rPr>
        <w:t>وچاس پاتي</w:t>
      </w:r>
      <w:r w:rsidRPr="00175A44">
        <w:rPr>
          <w:rFonts w:cs="B Zar"/>
          <w:b/>
          <w:bCs/>
        </w:rPr>
        <w:t>(Vichaspati)</w:t>
      </w:r>
    </w:p>
    <w:p w:rsidR="0011420A" w:rsidRPr="00175A44" w:rsidP="003C0EF5">
      <w:pPr>
        <w:widowControl w:val="0"/>
        <w:spacing w:line="420" w:lineRule="exact"/>
        <w:ind w:left="0" w:right="0"/>
        <w:jc w:val="both"/>
        <w:rPr>
          <w:rFonts w:cs="B Zar" w:hint="cs"/>
          <w:rtl/>
        </w:rPr>
      </w:pPr>
      <w:r w:rsidRPr="00175A44">
        <w:rPr>
          <w:rFonts w:cs="B Zar" w:hint="cs"/>
          <w:rtl/>
        </w:rPr>
        <w:t>برخي معبودان جرگة خدائي آريائي‌ها رب‌النوع قواي انسان‌اند. ملاحظه كرديم كه در اساطير متاخر، سوما رب‌النوع اشراق، الهام، آفرينندگي و خلاقيت است. از جمله اينگونه معبودها مي‌توان از «وچاس پاتي»، رب‌النوع فصاحت و سخن نام برد. اين معبود انسان را از نطق و توانائي گويائي برخوردار مي‌سازد.</w:t>
      </w:r>
    </w:p>
    <w:p w:rsidR="0011420A" w:rsidRPr="00175A44" w:rsidP="003C0EF5">
      <w:pPr>
        <w:widowControl w:val="0"/>
        <w:spacing w:line="420" w:lineRule="exact"/>
        <w:ind w:left="0" w:right="0"/>
        <w:jc w:val="both"/>
        <w:rPr>
          <w:rFonts w:cs="B Zar" w:hint="cs"/>
          <w:rtl/>
        </w:rPr>
      </w:pPr>
      <w:r w:rsidRPr="00175A44">
        <w:rPr>
          <w:rFonts w:cs="B Zar" w:hint="cs"/>
          <w:rtl/>
        </w:rPr>
        <w:t>اتهاروَ ودا با نيايش «وچاس پاتي» آغاز مي‌شود. در ريگ ودا نيز به وچاس پاتي اشاره شده است.</w:t>
      </w:r>
      <w:r>
        <w:rPr>
          <w:rStyle w:val="FootnoteReference"/>
          <w:rFonts w:cs="B Zar"/>
          <w:rtl/>
        </w:rPr>
        <w:footnoteReference w:id="380"/>
      </w:r>
      <w:r w:rsidRPr="00175A44">
        <w:rPr>
          <w:rFonts w:cs="B Zar" w:hint="cs"/>
          <w:rtl/>
        </w:rPr>
        <w:t xml:space="preserve"> در برخي سرودها اين لقب براي سوما به كار رفته است؛ چرا كه حالت مستي و جذبه كه از نوشيدن جام شراب سوما ايجاد مي شود، انسان را از فصاحت و گويائي برخوردار مي‌ساخته است.</w:t>
      </w:r>
    </w:p>
    <w:p w:rsidR="0011420A" w:rsidP="003C0EF5">
      <w:pPr>
        <w:widowControl w:val="0"/>
        <w:spacing w:line="420" w:lineRule="exact"/>
        <w:ind w:left="0" w:right="0"/>
        <w:jc w:val="both"/>
        <w:rPr>
          <w:rFonts w:cs="B Zar" w:hint="cs"/>
          <w:rtl/>
        </w:rPr>
      </w:pPr>
      <w:r w:rsidRPr="00175A44">
        <w:rPr>
          <w:rFonts w:cs="B Zar" w:hint="cs"/>
          <w:rtl/>
        </w:rPr>
        <w:t>اين كلمه از ريشه «وچ» است، كه نطق و گويائي را مي‌گويند. «وچاس پاتي»، يعني مالك و صاحب نطق و گويائي. به طور كلّي اين كلمه به جاي آنكه نام باشد، لقب به نظر مي‌رسد، و از اين‌رو باحتمال قوي در آغاز، يكي از عناوين سوما بوده، ولي در اساطير بعدي به صورت معبود مستقلي درآمده است.</w:t>
      </w:r>
    </w:p>
    <w:p w:rsidR="00FA6F84"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b/>
          <w:bCs/>
        </w:rPr>
      </w:pPr>
      <w:r w:rsidRPr="00175A44">
        <w:rPr>
          <w:rFonts w:cs="B Zar" w:hint="cs"/>
          <w:b/>
          <w:bCs/>
          <w:rtl/>
        </w:rPr>
        <w:t xml:space="preserve">ياما </w:t>
      </w:r>
      <w:r w:rsidRPr="00175A44">
        <w:rPr>
          <w:rFonts w:cs="B Zar"/>
          <w:b/>
          <w:bCs/>
        </w:rPr>
        <w:t>(Yama)</w:t>
      </w:r>
    </w:p>
    <w:p w:rsidR="0011420A" w:rsidRPr="00175A44" w:rsidP="003C0EF5">
      <w:pPr>
        <w:widowControl w:val="0"/>
        <w:spacing w:line="420" w:lineRule="exact"/>
        <w:ind w:left="0" w:right="0"/>
        <w:jc w:val="both"/>
        <w:rPr>
          <w:rFonts w:cs="B Zar" w:hint="cs"/>
          <w:rtl/>
        </w:rPr>
      </w:pPr>
      <w:r w:rsidRPr="00175A44">
        <w:rPr>
          <w:rFonts w:cs="B Zar" w:hint="cs"/>
          <w:rtl/>
        </w:rPr>
        <w:t>«ياما» خداي مردگان است. او در مرحله اول طبيعت‌پرستي مطرح نبود و به نظر مي‌رسد كه در مرحله دوم انيميسم ـ كه توجه اصلي انسان به ارواح و مردگان و معماي حيات و مرگ جلب شد ـ مطرح گرديده و سپس در مرحله بعدي شرك به صورت رب‌النوع مرگ و حاكم مطلق قلمرو مردگان و شهر خموشان و رفتگان درآمده است. او فرزند ويسواتا و با «پيما» در اوستا ـ كه فرزند «ويوان هودت» است ـ قابل تطبيق است. اين مسأله ثابت مي‌كند كه تصور «ياما» در مرحله متاخرتر اهميت كسب كرده است؛ چرا كه اوستا متعلق به يك دوره متاخرتر از سرودهاي اوليه ريگ ودا است. البته ظهور اين «رب‌النوع» ظاهراً پيش از ورود آريائي‌ها در هند و احتمالاً در زماني كه آريائي‌ها هنوز در دو جناح منشعب نشده و در منطقه‌اي از مديترانه زندگي مي‌كرده‌اند ظهور كرده است.</w:t>
      </w:r>
    </w:p>
    <w:p w:rsidR="0011420A" w:rsidRPr="00175A44" w:rsidP="003C0EF5">
      <w:pPr>
        <w:widowControl w:val="0"/>
        <w:spacing w:line="420" w:lineRule="exact"/>
        <w:ind w:left="0" w:right="0"/>
        <w:jc w:val="both"/>
        <w:rPr>
          <w:rFonts w:cs="B Zar"/>
          <w:rtl/>
        </w:rPr>
      </w:pPr>
      <w:r w:rsidRPr="00175A44">
        <w:rPr>
          <w:rFonts w:cs="B Zar" w:hint="cs"/>
          <w:rtl/>
        </w:rPr>
        <w:t>به خاطر متاخربودن «ياما»، سرودهاي زيادي در ريگ ودا به او اختصاص ندارد. تنها چهار سرود متعلق به او هستند و سامَ ودا در كتاب چهارم</w:t>
      </w:r>
      <w:r>
        <w:rPr>
          <w:rStyle w:val="FootnoteReference"/>
          <w:rFonts w:cs="B Zar"/>
          <w:rtl/>
        </w:rPr>
        <w:footnoteReference w:id="381"/>
      </w:r>
      <w:r w:rsidRPr="00175A44">
        <w:rPr>
          <w:rFonts w:cs="B Zar" w:hint="cs"/>
          <w:rtl/>
        </w:rPr>
        <w:t xml:space="preserve"> و در قسمت دوم كتاب نهم از «ياما» اسم برده شده است.</w:t>
      </w:r>
      <w:r>
        <w:rPr>
          <w:rStyle w:val="FootnoteReference"/>
          <w:rFonts w:cs="B Zar"/>
          <w:rtl/>
        </w:rPr>
        <w:footnoteReference w:id="382"/>
      </w:r>
      <w:r w:rsidRPr="00175A44">
        <w:rPr>
          <w:rFonts w:cs="B Zar" w:hint="cs"/>
          <w:rtl/>
        </w:rPr>
        <w:t xml:space="preserve"> هر دو جا «روح» به صورت پرنده ترسيم شده كه به سوي «ياما» مي‌شتابد. هم چنين ياما همسري نيز به نام «يامي» دارد.</w:t>
      </w:r>
    </w:p>
    <w:p w:rsidR="0011420A" w:rsidP="003C0EF5">
      <w:pPr>
        <w:pStyle w:val="BodyTextIndent2"/>
        <w:widowControl w:val="0"/>
        <w:spacing w:line="420" w:lineRule="exact"/>
        <w:ind w:left="0" w:right="0" w:firstLine="567"/>
        <w:jc w:val="center"/>
        <w:rPr>
          <w:rFonts w:cs="B Zar" w:hint="cs"/>
          <w:b/>
          <w:bCs/>
          <w:rtl/>
        </w:rPr>
      </w:pPr>
      <w:r w:rsidRPr="00175A44">
        <w:rPr>
          <w:rFonts w:cs="B Zar"/>
          <w:rtl/>
        </w:rPr>
        <w:br w:type="page"/>
      </w:r>
    </w:p>
    <w:p w:rsidR="00FA6F84" w:rsidRPr="00175A44" w:rsidP="003C0EF5">
      <w:pPr>
        <w:pStyle w:val="BodyTextIndent2"/>
        <w:widowControl w:val="0"/>
        <w:spacing w:line="420" w:lineRule="exact"/>
        <w:ind w:left="0" w:right="0" w:firstLine="567"/>
        <w:jc w:val="center"/>
        <w:rPr>
          <w:rFonts w:cs="B Zar" w:hint="cs"/>
          <w:b/>
          <w:bCs/>
          <w:rtl/>
        </w:rPr>
      </w:pPr>
    </w:p>
    <w:p w:rsidR="0011420A" w:rsidRPr="00175A44" w:rsidP="003C0EF5">
      <w:pPr>
        <w:pStyle w:val="BodyTextIndent2"/>
        <w:widowControl w:val="0"/>
        <w:spacing w:line="420" w:lineRule="exact"/>
        <w:ind w:left="0" w:right="0" w:firstLine="567"/>
        <w:jc w:val="center"/>
        <w:rPr>
          <w:rFonts w:cs="B Zar" w:hint="cs"/>
          <w:b/>
          <w:bCs/>
          <w:rtl/>
        </w:rPr>
      </w:pPr>
      <w:r w:rsidRPr="00175A44">
        <w:rPr>
          <w:rFonts w:cs="B Zar" w:hint="cs"/>
          <w:b/>
          <w:bCs/>
          <w:rtl/>
        </w:rPr>
        <w:t>مرحله توحيد كلامي</w:t>
      </w:r>
    </w:p>
    <w:p w:rsidR="0011420A" w:rsidRPr="00175A44" w:rsidP="003C0EF5">
      <w:pPr>
        <w:pStyle w:val="BodyTextIndent2"/>
        <w:widowControl w:val="0"/>
        <w:spacing w:line="420" w:lineRule="exact"/>
        <w:ind w:left="0" w:right="0" w:firstLine="567"/>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rtl/>
        </w:rPr>
        <w:t>پس از گذار از مرحله طبيعت‌پرستي، انيميسم و شرك، انسان به مرحله توحيد و يك خداگرائي رسيد. با بلوغ فكري و كاربرد عقل، انسان در مي‌يابد كه آئين شرك با تعقل و يا گرايشات فكري او جور در نمي‌آيد. انسان به خاطر جستجوي كمال مطلق، زيبائي مطلق و قدرت مطلق به خدايان روي آورده بود. ولي با بلوغ واقعي عقلي، دريافت كه اساساً محال است كه بيش از يك خدا، معبودي وجود داشته باشد، يا خداوند مثل و مانندي داشته باشد؛ چرا كه دو يا بيش از دو بودن از خواص موجود محدود نسبي است. درباره موجود نامحدود و مطلق، تعدد و كثرت معني ندارد. خداوند متعال وجود نامحدود و واقعيت مطلق است و بر همه اشيا احاطه دارد و هيچ زمان و مكاني از او خالي نيست و از رگ گردن به ما نزديكتر است. پس محال است كه مثل و مانندي داشته باشد؛ بلكه مثل و مانندي برايش فرض هم نمي شود. به علاوه سراسر جهان حكايت از آن دارد كه خداوند يكي است. در سراسر جهان يك اراده واحد و مشيت واحد و نظم واحد ديده مي شود. اين ثابت مي‌كند كه جهان يك كانوني است و نه دو كانوني يا چند كانوني.</w:t>
      </w:r>
      <w:r w:rsidRPr="00175A44">
        <w:rPr>
          <w:rStyle w:val="FootnoteReference"/>
          <w:rFonts w:cs="B Zar"/>
          <w:b/>
          <w:bCs/>
          <w:rtl/>
        </w:rPr>
        <w:t xml:space="preserve"> </w:t>
      </w:r>
      <w:r>
        <w:rPr>
          <w:rStyle w:val="FootnoteReference"/>
          <w:rFonts w:cs="B Zar"/>
          <w:b/>
          <w:bCs/>
          <w:rtl/>
        </w:rPr>
        <w:footnoteReference w:id="383"/>
      </w:r>
    </w:p>
    <w:p w:rsidR="0011420A" w:rsidRPr="00175A44" w:rsidP="003C0EF5">
      <w:pPr>
        <w:widowControl w:val="0"/>
        <w:spacing w:line="420" w:lineRule="exact"/>
        <w:ind w:left="0" w:right="0"/>
        <w:jc w:val="both"/>
        <w:rPr>
          <w:rFonts w:cs="B Zar" w:hint="cs"/>
          <w:rtl/>
        </w:rPr>
      </w:pPr>
      <w:r w:rsidRPr="00175A44">
        <w:rPr>
          <w:rFonts w:cs="B Zar" w:hint="cs"/>
          <w:rtl/>
        </w:rPr>
        <w:t>بدينسان وقتي انسان بدوي از پذيرش مشاهده محض و تخيل و عقل ناقص فراتر رفت و عقل به بلوغ رسيد و عقل را در درك حقائق دخالت داد، متوجّه شد كه ذات مطلق و كمال مطلق نمي تواند بيش از يكي باشد. دكتر رادا كريشنان مي‌گويد:</w:t>
      </w:r>
    </w:p>
    <w:p w:rsidR="0011420A" w:rsidRPr="00175A44" w:rsidP="003C0EF5">
      <w:pPr>
        <w:widowControl w:val="0"/>
        <w:spacing w:line="420" w:lineRule="exact"/>
        <w:ind w:left="0" w:right="0"/>
        <w:jc w:val="both"/>
        <w:rPr>
          <w:rFonts w:cs="B Zar" w:hint="cs"/>
          <w:i/>
          <w:iCs/>
          <w:rtl/>
        </w:rPr>
      </w:pPr>
      <w:r w:rsidRPr="00175A44">
        <w:rPr>
          <w:rFonts w:cs="B Zar" w:hint="cs"/>
          <w:i/>
          <w:iCs/>
          <w:rtl/>
        </w:rPr>
        <w:t>«هرچند گرايش مدارائي قوم آريا موجب شده بود، آنان با همه خدايان مدارا كنند، ولي منطق بيرحم عقل سازش ناپذير، اعتقادات و پندارهاي شرك‌آميز را بي محابا با شكست رو‌به‌رو كرد و آنان را به سوي توحيد و وحدت‌الوجود سوق داد.»</w:t>
      </w:r>
    </w:p>
    <w:p w:rsidR="0011420A" w:rsidP="003C0EF5">
      <w:pPr>
        <w:widowControl w:val="0"/>
        <w:spacing w:line="420" w:lineRule="exact"/>
        <w:ind w:left="0" w:right="0"/>
        <w:jc w:val="both"/>
        <w:rPr>
          <w:rFonts w:cs="B Zar" w:hint="cs"/>
          <w:rtl/>
        </w:rPr>
      </w:pPr>
      <w:r w:rsidRPr="00175A44">
        <w:rPr>
          <w:rFonts w:cs="B Zar" w:hint="cs"/>
          <w:rtl/>
        </w:rPr>
        <w:t xml:space="preserve">آريائي‌ها دهها، بلكه صدها خدا داشتند كه در آغاز چنانكه ديديم عبارت از پديده‌هاي طبيعت بود، ولي سپس رابطه آنان با طبيعت فراموش شد و صرفاً به عنوان خدايان مورد نظر قرار گرفتند. در آخر دوره ريگ ودا و اوائل دوره رسائل برهمانا و اَتهاروا ودا، بسياري از معبودان اقوام بومي دراويدي و استرولايدي نيز شامل جرگه خدائي آريائي‌ها درآمد و طبيعي بود كه مردم فكور جامعه از اين انبوهه معبودان و هرج و مرج عالم ملكوت خسته شوند. نخست در گرايش ايجاد شده كه معبودان را در دو يا سه دسته، نظير خدايان آسمان و خدايان زمين دسته بندي كرده بودند، يكي را به عنوان رئيس خدايان مطرح كنند. در مرحله بعدي آنان در صدد بر آمدند معبودان متعددي را در هم ادغام كنند. سپس اين گرايش بوجود آمد كه تمام صفات خدائي را به نوبه، به هر يكي از خدايان نسبت دهند. وقتي از سوريا و يا ويشنو صحبت مي‌شود، به نظر مي رسد كه او خدائي يگانه است. وقتي از ايندرا صحبت مي كنند، چنان وانمود مي شود كه گوئي صرفاً او تجسم تمام صفات والاي خداوندي است. وقتي سخن از آگني در ميان مي‌آيد، چنان به نظر مي‌رسد كه گوئي تمام صفات كمال تنها براي او ثابت‌است. وقتي از وارونا تقديس مي شود، به نظر مي رسد كه او يگانه مظهر الهي است. اين چيزي است كه ماكس مولر آنرا هنوتيسم </w:t>
      </w:r>
      <w:r w:rsidRPr="00175A44">
        <w:rPr>
          <w:rFonts w:cs="B Zar"/>
        </w:rPr>
        <w:t>(Henotheism)</w:t>
      </w:r>
      <w:r w:rsidRPr="00175A44">
        <w:rPr>
          <w:rFonts w:cs="B Zar" w:hint="cs"/>
          <w:rtl/>
        </w:rPr>
        <w:t xml:space="preserve"> ناميده است. اين حركات به مثابه تلاشهاي نيم بند براي دوري جستن از شرك و رسيدن به توحيد بوده است. از يكسو با بلوغ فكري، او نمي‌توانست مسئله تعدد خدايان را هضم كند، از سوي ديگر، نمي دانست با سي و سه و حتي سه هزار آلهه و رب‌النوع كه از پدران و اجداد به او رسيده بودند، چه كار كند؛ گاه اينان را در هم اذعام مي‌كرد، گاه يكي را به صورت خداي اصلي و ديگران را به عنوان طفيلي او درآورد. به طور كلي اين تلاش منجر به توحيد ناقص و هرهري مسلكي شد كه در آن ذهن آدمي ميان شرك و توحيد در نوسان بوده. درك نظم واحدي در جهان كه آريائي‌هاي عصر ودا آنرا «روتا» مي‌ناميده‌اند، اعتقاد به توحيد را تقويت كرد. وقتي در جهان نظم واحدي حاكم است، لابد منشاء آن يكي است. در نتيجه عوامل ياد شده، در مرحله سوم انديشه ديني آريائي به يكتانگري گرايش پيدا كرد. البته در تلاش خود براي رسيدن به اصل توحيد باز هم فكر آريائي يك سير تكامل را پيمود.</w:t>
      </w:r>
    </w:p>
    <w:p w:rsidR="0078614F"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معبودان سابق به عنوان صفات الهي يا اسماي حسنه</w:t>
      </w:r>
    </w:p>
    <w:p w:rsidR="0011420A" w:rsidRPr="00175A44" w:rsidP="003C0EF5">
      <w:pPr>
        <w:widowControl w:val="0"/>
        <w:spacing w:line="420" w:lineRule="exact"/>
        <w:ind w:left="0" w:right="0"/>
        <w:jc w:val="both"/>
        <w:rPr>
          <w:rFonts w:cs="B Zar" w:hint="cs"/>
          <w:rtl/>
        </w:rPr>
      </w:pPr>
      <w:r w:rsidRPr="00175A44">
        <w:rPr>
          <w:rFonts w:cs="B Zar" w:hint="cs"/>
          <w:rtl/>
        </w:rPr>
        <w:t>آنان نخست بدين مرحله رسيدند كه خدايان گوناگون، نظير: ايندرا، آگني، سوريا، سوما و غيره را عناوين گوناگوني براي ذات واحدي تلقي كنند. اين مرحله در سرودها و ابيات گوناگون ريگ ودا، سامَ ودا و اوراد اَتهَاروا ودا منعكس گرديده است. در آيت معروف ريگ ودا گفته شده است:</w:t>
      </w:r>
    </w:p>
    <w:p w:rsidR="0011420A" w:rsidRPr="00175A44" w:rsidP="003C0EF5">
      <w:pPr>
        <w:widowControl w:val="0"/>
        <w:spacing w:line="420" w:lineRule="exact"/>
        <w:ind w:left="0" w:right="0"/>
        <w:jc w:val="both"/>
        <w:rPr>
          <w:rFonts w:cs="B Zar" w:hint="cs"/>
          <w:i/>
          <w:iCs/>
          <w:rtl/>
        </w:rPr>
      </w:pPr>
      <w:r w:rsidRPr="00175A44">
        <w:rPr>
          <w:rFonts w:cs="B Zar" w:hint="cs"/>
          <w:i/>
          <w:iCs/>
          <w:rtl/>
        </w:rPr>
        <w:t>«روح برتر و محافظ يكي است، همان را به نام ايندرا، ميترا، وارونا و اگني مي خوانند. ذات برتر يكي است، ولي فرزانگان او را به نام‌هاي گوناگون ياد مي كنند. همان ياما و متارِش نيز هست.»</w:t>
      </w:r>
      <w:r>
        <w:rPr>
          <w:rStyle w:val="FootnoteReference"/>
          <w:rFonts w:cs="B Zar"/>
          <w:i/>
          <w:iCs/>
          <w:rtl/>
        </w:rPr>
        <w:footnoteReference w:id="384"/>
      </w:r>
    </w:p>
    <w:p w:rsidR="0011420A" w:rsidRPr="00175A44" w:rsidP="003C0EF5">
      <w:pPr>
        <w:widowControl w:val="0"/>
        <w:spacing w:line="420" w:lineRule="exact"/>
        <w:ind w:left="0" w:right="0"/>
        <w:jc w:val="both"/>
        <w:rPr>
          <w:rFonts w:cs="B Zar" w:hint="cs"/>
          <w:rtl/>
        </w:rPr>
      </w:pPr>
      <w:r w:rsidRPr="00175A44">
        <w:rPr>
          <w:rFonts w:cs="B Zar" w:hint="cs"/>
          <w:rtl/>
        </w:rPr>
        <w:t>در اين مرحله ديوتاها (معبودان) به عنوان «اسماي حسنه» خداوند واحدي محسوب مي‌شوند. ايندرا كنايه از رعد و برق و توفان در مرحله اول و رب‌النوع جنگ و حكمفرماي فضا در مرحله سوم، در اين مرحله به عنوان «القادر» يا «النور» تفسير مي‌شود. او يكي از اسامي خداي ذوالجلال است. او عبارت است از نيروي جهاني يا جهت جلالي صفات خداوند. او به عنوان «ذات قهار» ياد مي‌شود.</w:t>
      </w:r>
      <w:r>
        <w:rPr>
          <w:rStyle w:val="FootnoteReference"/>
          <w:rFonts w:cs="B Zar"/>
          <w:rtl/>
        </w:rPr>
        <w:footnoteReference w:id="385"/>
      </w:r>
      <w:r w:rsidRPr="00175A44">
        <w:rPr>
          <w:rFonts w:cs="B Zar" w:hint="cs"/>
          <w:rtl/>
        </w:rPr>
        <w:t xml:space="preserve"> او الجبار و القهار است.</w:t>
      </w:r>
      <w:r>
        <w:rPr>
          <w:rStyle w:val="FootnoteReference"/>
          <w:rFonts w:cs="B Zar"/>
          <w:rtl/>
        </w:rPr>
        <w:footnoteReference w:id="386"/>
      </w:r>
      <w:r w:rsidRPr="00175A44">
        <w:rPr>
          <w:rFonts w:cs="B Zar" w:hint="cs"/>
          <w:rtl/>
        </w:rPr>
        <w:t xml:space="preserve"> برخي معتقدند كه خداوند به ايندرا تشبيه شده</w:t>
      </w:r>
      <w:r w:rsidRPr="00175A44">
        <w:rPr>
          <w:rFonts w:cs="B Zar" w:hint="cs"/>
          <w:rtl/>
          <w:lang w:bidi="fa-IR"/>
        </w:rPr>
        <w:t xml:space="preserve"> است</w:t>
      </w:r>
      <w:r w:rsidRPr="00175A44">
        <w:rPr>
          <w:rFonts w:cs="B Zar" w:hint="cs"/>
          <w:rtl/>
        </w:rPr>
        <w:t>؛ چرا كه نور و حيات بخشي از صفات اصلي خداوند مي‌باشد و اين صفات در خورشيد منعكس‌اند. نور خورشيد همه جا را فرا مي گيرد، فيضان حرارت او دوست و دشمن نمي شناسد.</w:t>
      </w:r>
    </w:p>
    <w:p w:rsidR="0011420A" w:rsidRPr="00175A44" w:rsidP="003C0EF5">
      <w:pPr>
        <w:widowControl w:val="0"/>
        <w:spacing w:line="420" w:lineRule="exact"/>
        <w:ind w:left="0" w:right="0"/>
        <w:jc w:val="both"/>
        <w:rPr>
          <w:rFonts w:cs="B Zar" w:hint="cs"/>
          <w:rtl/>
        </w:rPr>
      </w:pPr>
      <w:r w:rsidRPr="00175A44">
        <w:rPr>
          <w:rFonts w:cs="B Zar" w:hint="cs"/>
          <w:rtl/>
        </w:rPr>
        <w:t>در اين مرحله صفات والاي خداوندي به ايندرا نسبت داده مي شوند. او خداي خدايان، معبود زمين و آسمان است؛ هرچه در آسمان و زمين و فضا است، در مقابل او سر تعظيم فرود آورده است. او خالق، رب‌النوع و نگهدارنده تمام موجودات است؛ همه دانا، همه بينا، و همه توانا، عليم، نصير و قدير است؛ هيچ جا از او خالي نيست.</w:t>
      </w:r>
      <w:r>
        <w:rPr>
          <w:rStyle w:val="FootnoteReference"/>
          <w:rFonts w:cs="B Zar"/>
          <w:rtl/>
        </w:rPr>
        <w:footnoteReference w:id="387"/>
      </w:r>
      <w:r w:rsidRPr="00175A44">
        <w:rPr>
          <w:rFonts w:cs="B Zar" w:hint="cs"/>
          <w:rtl/>
        </w:rPr>
        <w:t xml:space="preserve"> اين ديگر كاملاً يك تصور خداي توحيدي است. سام ودا او را به عنوان همه دانا، و آفريننده و طرّاح الگوي حكمت معرفي مي كند.</w:t>
      </w:r>
      <w:r>
        <w:rPr>
          <w:rStyle w:val="FootnoteReference"/>
          <w:rFonts w:cs="B Zar"/>
          <w:rtl/>
        </w:rPr>
        <w:footnoteReference w:id="388"/>
      </w:r>
      <w:r w:rsidRPr="00175A44">
        <w:rPr>
          <w:rFonts w:cs="B Zar" w:hint="cs"/>
          <w:rtl/>
        </w:rPr>
        <w:t xml:space="preserve"> او حاضر و ناظر است. در سامَ ودا مي‌خوانيم.</w:t>
      </w:r>
    </w:p>
    <w:p w:rsidR="0011420A" w:rsidRPr="00175A44" w:rsidP="003C0EF5">
      <w:pPr>
        <w:widowControl w:val="0"/>
        <w:spacing w:line="420" w:lineRule="exact"/>
        <w:ind w:left="0" w:right="0"/>
        <w:jc w:val="both"/>
        <w:rPr>
          <w:rFonts w:cs="B Zar" w:hint="cs"/>
          <w:i/>
          <w:iCs/>
          <w:rtl/>
        </w:rPr>
      </w:pPr>
      <w:r w:rsidRPr="00175A44">
        <w:rPr>
          <w:rFonts w:cs="B Zar" w:hint="cs"/>
          <w:i/>
          <w:iCs/>
          <w:rtl/>
        </w:rPr>
        <w:t>«اي فرزانگان! به تقديس ذات لامكان و همه جائي ايندرا بپردازيد، به تقديس شعاع‌هاي خورشيد معرفت كه نور آن همه عالم را دربرگرفته بپردازيد.»</w:t>
      </w:r>
      <w:r>
        <w:rPr>
          <w:rStyle w:val="FootnoteReference"/>
          <w:rFonts w:cs="B Zar"/>
          <w:i/>
          <w:iCs/>
          <w:rtl/>
        </w:rPr>
        <w:footnoteReference w:id="389"/>
      </w:r>
    </w:p>
    <w:p w:rsidR="0011420A" w:rsidRPr="00175A44" w:rsidP="003C0EF5">
      <w:pPr>
        <w:widowControl w:val="0"/>
        <w:spacing w:line="420" w:lineRule="exact"/>
        <w:ind w:left="0" w:right="0"/>
        <w:jc w:val="both"/>
        <w:rPr>
          <w:rFonts w:cs="B Zar" w:hint="cs"/>
          <w:rtl/>
        </w:rPr>
      </w:pPr>
      <w:r w:rsidRPr="00175A44">
        <w:rPr>
          <w:rFonts w:cs="B Zar" w:hint="cs"/>
          <w:rtl/>
        </w:rPr>
        <w:t>در ريگ و سام ودا هر دو گفته شده است:</w:t>
      </w:r>
    </w:p>
    <w:p w:rsidR="0011420A" w:rsidRPr="00175A44" w:rsidP="003C0EF5">
      <w:pPr>
        <w:widowControl w:val="0"/>
        <w:spacing w:line="420" w:lineRule="exact"/>
        <w:ind w:left="0" w:right="0"/>
        <w:jc w:val="both"/>
        <w:rPr>
          <w:rFonts w:cs="B Zar" w:hint="cs"/>
          <w:i/>
          <w:iCs/>
          <w:rtl/>
        </w:rPr>
      </w:pPr>
      <w:r w:rsidRPr="00175A44">
        <w:rPr>
          <w:rFonts w:cs="B Zar" w:hint="cs"/>
          <w:i/>
          <w:iCs/>
          <w:rtl/>
        </w:rPr>
        <w:t>«اي دوست! ايندرا تنها فرمانروائي است كه در مقابل او احدي نمي تواند قد علم كند، او كساني را كه مراسم نذر و قرباني به جا مي‌آورند، از وسعت و گشايش رزق برخوردار مي‌سازد».</w:t>
      </w:r>
      <w:r>
        <w:rPr>
          <w:rStyle w:val="FootnoteReference"/>
          <w:rFonts w:cs="B Zar"/>
          <w:i/>
          <w:iCs/>
          <w:rtl/>
        </w:rPr>
        <w:footnoteReference w:id="390"/>
      </w:r>
    </w:p>
    <w:p w:rsidR="0011420A" w:rsidRPr="00175A44" w:rsidP="003C0EF5">
      <w:pPr>
        <w:widowControl w:val="0"/>
        <w:spacing w:line="420" w:lineRule="exact"/>
        <w:ind w:left="0" w:right="0"/>
        <w:jc w:val="both"/>
        <w:rPr>
          <w:rFonts w:cs="B Zar" w:hint="cs"/>
          <w:rtl/>
        </w:rPr>
      </w:pPr>
      <w:r w:rsidRPr="00175A44">
        <w:rPr>
          <w:rFonts w:cs="B Zar" w:hint="cs"/>
          <w:rtl/>
        </w:rPr>
        <w:t>در ريگ ودا ايندرا به عنوان رب اعلي (اَدهي ديوا) معرفي شده است.</w:t>
      </w:r>
    </w:p>
    <w:p w:rsidR="0011420A" w:rsidRPr="00175A44" w:rsidP="003C0EF5">
      <w:pPr>
        <w:widowControl w:val="0"/>
        <w:spacing w:line="420" w:lineRule="exact"/>
        <w:ind w:left="0" w:right="0"/>
        <w:jc w:val="both"/>
        <w:rPr>
          <w:rFonts w:cs="B Zar"/>
        </w:rPr>
      </w:pPr>
      <w:r w:rsidRPr="00175A44">
        <w:rPr>
          <w:rFonts w:cs="B Zar" w:hint="cs"/>
          <w:rtl/>
        </w:rPr>
        <w:t>«او كه رب اعلي و معبود ديواها است، ما به پرستش و ستايش او مي پردازيم»</w:t>
      </w:r>
      <w:r>
        <w:rPr>
          <w:rStyle w:val="FootnoteReference"/>
          <w:rFonts w:cs="B Zar"/>
          <w:rtl/>
        </w:rPr>
        <w:footnoteReference w:id="391"/>
      </w:r>
      <w:r w:rsidRPr="00175A44">
        <w:rPr>
          <w:rFonts w:cs="B Zar" w:hint="cs"/>
          <w:rtl/>
        </w:rPr>
        <w:t xml:space="preserve"> «در ريگ ودا و سامَ ودا هر دو، اين دستور دينيِ معروفِ دين ودائي وارد شده است كه </w:t>
      </w:r>
      <w:r w:rsidRPr="00175A44">
        <w:rPr>
          <w:rFonts w:cs="B Zar" w:hint="cs"/>
          <w:i/>
          <w:iCs/>
          <w:rtl/>
        </w:rPr>
        <w:t>«اي دوست! به تجليل و تقديس هيچ ذاتي جز خداي واحد نپرداز. تنها به تقديس ايندرا، قادر متعال بپرداز.»</w:t>
      </w:r>
      <w:r>
        <w:rPr>
          <w:rStyle w:val="FootnoteReference"/>
          <w:rFonts w:cs="B Zar"/>
          <w:i/>
          <w:iCs/>
          <w:rtl/>
        </w:rPr>
        <w:footnoteReference w:id="392"/>
      </w:r>
    </w:p>
    <w:p w:rsidR="0011420A" w:rsidRPr="00175A44" w:rsidP="003C0EF5">
      <w:pPr>
        <w:widowControl w:val="0"/>
        <w:spacing w:line="420" w:lineRule="exact"/>
        <w:ind w:left="0" w:right="0"/>
        <w:jc w:val="both"/>
        <w:rPr>
          <w:rFonts w:cs="B Zar" w:hint="cs"/>
          <w:rtl/>
        </w:rPr>
      </w:pPr>
      <w:r w:rsidRPr="00175A44">
        <w:rPr>
          <w:rFonts w:cs="B Zar" w:hint="cs"/>
          <w:rtl/>
        </w:rPr>
        <w:t>در ادبيات ودائي، يكي از صفات اساسي ذوّات قدسي «نور» است. از اين جهت برخي صاحب نظران اين عقيده را پيدا كرده اند كه دين ودا به طور كلي دين خورشيدپرستي است، و سي و سه ديوتا، همه مظاهر و عناويني براي خورشيداند، ولي واقعيت اين است كه تمام اديان حتي در اديان توحيدي، ذات خداوند به صفت نور متصف گرديده است.</w:t>
      </w:r>
    </w:p>
    <w:p w:rsidR="0011420A" w:rsidRPr="00175A44" w:rsidP="003C0EF5">
      <w:pPr>
        <w:widowControl w:val="0"/>
        <w:spacing w:line="420" w:lineRule="exact"/>
        <w:ind w:left="0" w:right="0"/>
        <w:jc w:val="both"/>
        <w:rPr>
          <w:rFonts w:cs="B Zar" w:hint="cs"/>
          <w:rtl/>
        </w:rPr>
      </w:pPr>
      <w:r w:rsidRPr="00175A44">
        <w:rPr>
          <w:rFonts w:cs="B Zar" w:hint="cs"/>
          <w:rtl/>
        </w:rPr>
        <w:t>«الله هو نورالسموات والارض</w:t>
      </w:r>
      <w:r>
        <w:rPr>
          <w:rStyle w:val="FootnoteReference"/>
          <w:rFonts w:cs="B Zar"/>
          <w:rtl/>
        </w:rPr>
        <w:footnoteReference w:id="393"/>
      </w:r>
      <w:r w:rsidRPr="00175A44">
        <w:rPr>
          <w:rFonts w:cs="B Zar" w:hint="cs"/>
          <w:rtl/>
        </w:rPr>
        <w:t>»</w:t>
        <w:tab/>
        <w:tab/>
        <w:tab/>
      </w:r>
    </w:p>
    <w:p w:rsidR="0011420A" w:rsidRPr="00175A44" w:rsidP="003C0EF5">
      <w:pPr>
        <w:widowControl w:val="0"/>
        <w:spacing w:line="420" w:lineRule="exact"/>
        <w:ind w:left="0" w:right="0"/>
        <w:jc w:val="both"/>
        <w:rPr>
          <w:rFonts w:cs="B Zar" w:hint="cs"/>
          <w:rtl/>
        </w:rPr>
      </w:pPr>
      <w:r w:rsidRPr="00175A44">
        <w:rPr>
          <w:rFonts w:cs="B Zar" w:hint="cs"/>
          <w:rtl/>
        </w:rPr>
        <w:t>در ودا اين صفتِ نور بيش از همه به اندرَ نسبت داده مي‌شود:</w:t>
      </w:r>
    </w:p>
    <w:p w:rsidR="0011420A" w:rsidRPr="00175A44" w:rsidP="003C0EF5">
      <w:pPr>
        <w:widowControl w:val="0"/>
        <w:spacing w:line="420" w:lineRule="exact"/>
        <w:ind w:left="0" w:right="0"/>
        <w:jc w:val="both"/>
        <w:rPr>
          <w:rFonts w:cs="B Zar" w:hint="cs"/>
          <w:rtl/>
        </w:rPr>
      </w:pPr>
      <w:r w:rsidRPr="00175A44">
        <w:rPr>
          <w:rFonts w:cs="B Zar" w:hint="cs"/>
          <w:rtl/>
        </w:rPr>
        <w:t>«هان اي خورشيد قدسي، نابود كننده تاريكي ها»</w:t>
      </w:r>
      <w:r>
        <w:rPr>
          <w:rStyle w:val="FootnoteReference"/>
          <w:rFonts w:cs="B Zar"/>
          <w:i/>
          <w:iCs/>
          <w:rtl/>
        </w:rPr>
        <w:footnoteReference w:id="394"/>
      </w:r>
    </w:p>
    <w:p w:rsidR="0011420A" w:rsidRPr="00175A44" w:rsidP="003C0EF5">
      <w:pPr>
        <w:widowControl w:val="0"/>
        <w:spacing w:line="420" w:lineRule="exact"/>
        <w:ind w:left="0" w:right="0"/>
        <w:jc w:val="both"/>
        <w:rPr>
          <w:rFonts w:cs="B Zar" w:hint="cs"/>
          <w:rtl/>
        </w:rPr>
      </w:pPr>
      <w:r w:rsidRPr="00175A44">
        <w:rPr>
          <w:rFonts w:cs="B Zar" w:hint="cs"/>
          <w:rtl/>
        </w:rPr>
        <w:t>«اي نابود كننده جور و جهل، اي خورشيد الهي»</w:t>
      </w:r>
      <w:r>
        <w:rPr>
          <w:rStyle w:val="FootnoteReference"/>
          <w:rFonts w:cs="B Zar"/>
          <w:i/>
          <w:iCs/>
          <w:rtl/>
        </w:rPr>
        <w:footnoteReference w:id="395"/>
      </w:r>
    </w:p>
    <w:p w:rsidR="0011420A" w:rsidRPr="00175A44" w:rsidP="003C0EF5">
      <w:pPr>
        <w:widowControl w:val="0"/>
        <w:spacing w:line="420" w:lineRule="exact"/>
        <w:ind w:left="0" w:right="0"/>
        <w:jc w:val="both"/>
        <w:rPr>
          <w:rFonts w:cs="B Zar" w:hint="cs"/>
          <w:i/>
          <w:iCs/>
          <w:rtl/>
        </w:rPr>
      </w:pPr>
      <w:r w:rsidRPr="00175A44">
        <w:rPr>
          <w:rFonts w:cs="B Zar" w:hint="cs"/>
          <w:rtl/>
        </w:rPr>
        <w:t>دو ‌صفت همه دانائي «عليم»</w:t>
      </w:r>
      <w:r w:rsidRPr="00175A44">
        <w:rPr>
          <w:rFonts w:cs="B Zar"/>
        </w:rPr>
        <w:t>(Omniscience)</w:t>
      </w:r>
      <w:r w:rsidRPr="00175A44">
        <w:rPr>
          <w:rFonts w:cs="B Zar" w:hint="cs"/>
          <w:rtl/>
        </w:rPr>
        <w:t xml:space="preserve">‌و‌همه‌جا‌حضوري‌ </w:t>
      </w:r>
      <w:r w:rsidRPr="00175A44">
        <w:rPr>
          <w:rFonts w:cs="B Zar"/>
        </w:rPr>
        <w:t>(Omnipresence)</w:t>
      </w:r>
      <w:r w:rsidRPr="00175A44">
        <w:rPr>
          <w:rFonts w:cs="B Zar" w:hint="cs"/>
          <w:rtl/>
        </w:rPr>
        <w:t xml:space="preserve">، دو صفت اصلي ذات احديت در تمام اديان آسماني‌اند؛ چرا كه همين دو صفت، توام با صفات عادل و قادر است كه ضمانت اجرائي رفتار اخلاقي فرد و جامعه را تشكيل مي‌دهد. در انجيل و نيز در قرآن كريم اين صفات از جمله صفات اصلي خداي واحد مي‌باشند. البته در تورات در نتيجه تحريف، در بسياري موارد اظهاراتي ديده مي شود كه با اين صفات الهي تناقض دارد، ولي به طور كلي مي توان گفت عليم و حكيم بودن و همه دانائي و همه جا حضوري از ويژگي‌هاي خدا در نظريه توحيدي است؛ چرا كه تنها خداي واحد كه تصورش مبتني بر تنزيه باشد و نه تشبيه، كسي كه فراسوي زمان، مكان و قيود جسم باشد، مي تواند همه جا حضور داشته باشد. در برخي ابيات و سرودهاي ودا، ايندرا و آگني و پارجاپاتي چنين توصيف شده اند و شكي نيست كه اين قطعات متعلق به مرحله‌اي مي‌باشد كه انديشه آريائي اصل توحيد را درك كرده بود. در سام ودا مي خوانيم: </w:t>
      </w:r>
      <w:r w:rsidRPr="00175A44">
        <w:rPr>
          <w:rFonts w:cs="B Zar" w:hint="cs"/>
          <w:i/>
          <w:iCs/>
          <w:rtl/>
        </w:rPr>
        <w:t>«ايندرا را پرستش كن كه همه دانا و همه جا حاضر است.»</w:t>
      </w:r>
      <w:r>
        <w:rPr>
          <w:rStyle w:val="FootnoteReference"/>
          <w:rFonts w:cs="B Zar"/>
          <w:i/>
          <w:iCs/>
          <w:rtl/>
        </w:rPr>
        <w:footnoteReference w:id="396"/>
      </w:r>
    </w:p>
    <w:p w:rsidR="0011420A" w:rsidRPr="00175A44" w:rsidP="003C0EF5">
      <w:pPr>
        <w:widowControl w:val="0"/>
        <w:spacing w:line="420" w:lineRule="exact"/>
        <w:ind w:left="0" w:right="0"/>
        <w:jc w:val="both"/>
        <w:rPr>
          <w:rFonts w:cs="B Zar" w:hint="cs"/>
          <w:rtl/>
        </w:rPr>
      </w:pPr>
      <w:r w:rsidRPr="00175A44">
        <w:rPr>
          <w:rFonts w:cs="B Zar" w:hint="cs"/>
          <w:rtl/>
        </w:rPr>
        <w:t xml:space="preserve">در مرحله چهارم، همانند ايندرا، آگني نيز به جاي آنكه كنايه‌اي از آتش با نام رب‌النوع نذر و قرباني باشد، يكي از اسماي حسنه و عناوين ذات خداوند است. در ريگ ودا با  صراحت گفته شده  است: </w:t>
      </w:r>
      <w:r w:rsidRPr="00175A44">
        <w:rPr>
          <w:rFonts w:cs="B Zar" w:hint="cs"/>
          <w:i/>
          <w:iCs/>
          <w:rtl/>
        </w:rPr>
        <w:t>«معبود يكي است، ولي او را به نام آگني، ياما، متارش، وارون و ايندرا مي‌شناسيم.</w:t>
      </w:r>
      <w:r w:rsidRPr="00175A44">
        <w:rPr>
          <w:rFonts w:cs="B Zar" w:hint="cs"/>
          <w:rtl/>
        </w:rPr>
        <w:t>»</w:t>
      </w:r>
      <w:r>
        <w:rPr>
          <w:rStyle w:val="FootnoteReference"/>
          <w:rFonts w:cs="B Zar"/>
          <w:rtl/>
        </w:rPr>
        <w:footnoteReference w:id="397"/>
      </w:r>
      <w:r w:rsidRPr="00175A44">
        <w:rPr>
          <w:rFonts w:cs="B Zar" w:hint="cs"/>
          <w:rtl/>
        </w:rPr>
        <w:t xml:space="preserve"> در اين مرحله آگني منعكس كننده صفت «العظيم»، «العزيز»، «الهادي» و «المرشد» است. از همين روي </w:t>
      </w:r>
      <w:r w:rsidRPr="00175A44">
        <w:rPr>
          <w:rFonts w:cs="B Zar" w:hint="cs"/>
          <w:iCs/>
          <w:rtl/>
        </w:rPr>
        <w:t xml:space="preserve">پاسكا آچاريه </w:t>
      </w:r>
      <w:r w:rsidRPr="00175A44">
        <w:rPr>
          <w:rFonts w:cs="B Zar" w:hint="cs"/>
          <w:rtl/>
        </w:rPr>
        <w:t xml:space="preserve">در كتاب مفردات ودا، آگني را به عنوان «رهبر» ترجمه كرده است. </w:t>
      </w:r>
      <w:r w:rsidRPr="00175A44">
        <w:rPr>
          <w:rFonts w:cs="B Zar" w:hint="cs"/>
          <w:iCs/>
          <w:rtl/>
        </w:rPr>
        <w:t>دياناند سارسواتي</w:t>
      </w:r>
      <w:r w:rsidRPr="00175A44">
        <w:rPr>
          <w:rFonts w:cs="B Zar" w:hint="cs"/>
          <w:rtl/>
        </w:rPr>
        <w:t xml:space="preserve"> و </w:t>
      </w:r>
      <w:r w:rsidRPr="00175A44">
        <w:rPr>
          <w:rFonts w:cs="B Zar" w:hint="cs"/>
          <w:iCs/>
          <w:rtl/>
        </w:rPr>
        <w:t>دهارما ديوا،</w:t>
      </w:r>
      <w:r w:rsidRPr="00175A44">
        <w:rPr>
          <w:rFonts w:cs="B Zar" w:hint="cs"/>
          <w:rtl/>
        </w:rPr>
        <w:t xml:space="preserve"> در تفسير خود از ريگ ودا و سامَ ودا هرجا كلمه آگني ذكر شده آنرا به عنوان </w:t>
      </w:r>
      <w:r w:rsidRPr="00175A44">
        <w:rPr>
          <w:rFonts w:cs="B Zar" w:hint="cs"/>
          <w:i/>
          <w:iCs/>
          <w:rtl/>
        </w:rPr>
        <w:t>«اي والاترين رهبر! اي هدايت كننده</w:t>
      </w:r>
      <w:r w:rsidRPr="00175A44">
        <w:rPr>
          <w:rFonts w:cs="B Zar" w:hint="cs"/>
          <w:rtl/>
        </w:rPr>
        <w:t xml:space="preserve">!» ترجمه كرده‌اند. برخي گفته‌اند اين كلمه از ريشه «‌گيو» مي‌باشد در اينصورت معناي آن، «الحكيم» و «العليم» خواهند بود. در سام ودا و ريگ ودا آگني، «گِوم» ناميده شده است. از اين‌رو خاورشناساني همانند </w:t>
      </w:r>
      <w:r w:rsidRPr="00175A44">
        <w:rPr>
          <w:rFonts w:cs="B Zar" w:hint="cs"/>
          <w:i/>
          <w:iCs/>
          <w:rtl/>
        </w:rPr>
        <w:t>استونسون</w:t>
      </w:r>
      <w:r w:rsidRPr="00175A44">
        <w:rPr>
          <w:rFonts w:cs="B Zar"/>
        </w:rPr>
        <w:t xml:space="preserve"> (Stevenson)</w:t>
      </w:r>
      <w:r w:rsidRPr="00175A44">
        <w:rPr>
          <w:rFonts w:cs="B Zar" w:hint="cs"/>
          <w:rtl/>
        </w:rPr>
        <w:t xml:space="preserve">نيز آگني را اي حكيم! </w:t>
      </w:r>
      <w:r w:rsidRPr="00175A44">
        <w:rPr>
          <w:rFonts w:cs="B Zar"/>
        </w:rPr>
        <w:t>(Agni the Sage)</w:t>
      </w:r>
      <w:r w:rsidRPr="00175A44">
        <w:rPr>
          <w:rFonts w:cs="B Zar" w:hint="cs"/>
          <w:rtl/>
        </w:rPr>
        <w:t xml:space="preserve"> ترجمه كرده‌اند. دهارما ديوا از اين نتجيه مي گيرد كه پس (در اين مرحله) اگني كنايه اي از آتش نيست، بلكه اشاره به يك معبود صاحب اراده و حكمت است.</w:t>
      </w:r>
      <w:r>
        <w:rPr>
          <w:rStyle w:val="FootnoteReference"/>
          <w:rFonts w:cs="B Zar"/>
          <w:rtl/>
        </w:rPr>
        <w:footnoteReference w:id="398"/>
      </w:r>
    </w:p>
    <w:p w:rsidR="0011420A" w:rsidP="003C0EF5">
      <w:pPr>
        <w:widowControl w:val="0"/>
        <w:spacing w:line="420" w:lineRule="exact"/>
        <w:ind w:left="0" w:right="0"/>
        <w:jc w:val="both"/>
        <w:rPr>
          <w:rFonts w:cs="B Zar" w:hint="cs"/>
          <w:rtl/>
        </w:rPr>
      </w:pPr>
      <w:r w:rsidRPr="00175A44">
        <w:rPr>
          <w:rFonts w:cs="B Zar" w:hint="cs"/>
          <w:rtl/>
        </w:rPr>
        <w:t>در اين مرحله همچنين سوما و سوريا و ساير اسامي ديوتاها به عنوان اسمهاي حسنه و صفات و عناوين خداي واحدي به كار برده مي‌شوند. سوما كه در مرحله اول، مشروب و عصاره گياهي و در مرحله سوّم، رب‌النوع ماهتاب و اشراق بوده، در اين مرحله توحيدي يكي از اسامي خداي برتر است و صفت راجان (اكبر) را به او نسبت مي‌دهند. سوريا (خورشيد) كه عمدتاً متعلق به مرحله طبيعت‌پرستي است، در اين مرحله جنبه اخلاقي مي‌گيرد و صفت رحمانيت و نيز عدالت خداوند را منعكس مي سازد و نگران رفتار خوب و بد مردم است.</w:t>
      </w:r>
      <w:r>
        <w:rPr>
          <w:rStyle w:val="FootnoteReference"/>
          <w:rFonts w:cs="B Zar"/>
          <w:rtl/>
        </w:rPr>
        <w:footnoteReference w:id="399"/>
      </w:r>
    </w:p>
    <w:p w:rsidR="00472520" w:rsidP="003C0EF5">
      <w:pPr>
        <w:widowControl w:val="0"/>
        <w:spacing w:line="420" w:lineRule="exact"/>
        <w:ind w:left="0" w:right="0"/>
        <w:jc w:val="both"/>
        <w:rPr>
          <w:rFonts w:cs="B Zar" w:hint="cs"/>
          <w:rtl/>
        </w:rPr>
      </w:pPr>
    </w:p>
    <w:p w:rsidR="0011420A" w:rsidRPr="00175A44" w:rsidP="00874FDC">
      <w:pPr>
        <w:widowControl w:val="0"/>
        <w:spacing w:line="420" w:lineRule="exact"/>
        <w:ind w:left="0" w:right="0"/>
        <w:jc w:val="both"/>
        <w:rPr>
          <w:rFonts w:cs="B Zar" w:hint="cs"/>
          <w:b/>
          <w:bCs/>
          <w:rtl/>
        </w:rPr>
      </w:pPr>
      <w:r w:rsidRPr="00175A44">
        <w:rPr>
          <w:rFonts w:cs="B Zar" w:hint="cs"/>
          <w:b/>
          <w:bCs/>
          <w:rtl/>
        </w:rPr>
        <w:t>آئين وارون</w:t>
      </w:r>
      <w:r w:rsidR="00874FDC">
        <w:rPr>
          <w:rFonts w:cs="B Zar" w:hint="cs"/>
          <w:b/>
          <w:bCs/>
          <w:rtl/>
        </w:rPr>
        <w:t>ا</w:t>
      </w:r>
      <w:r w:rsidRPr="00175A44">
        <w:rPr>
          <w:rFonts w:cs="B Zar"/>
          <w:b/>
          <w:bCs/>
        </w:rPr>
        <w:t xml:space="preserve"> (Varuna)</w:t>
      </w:r>
      <w:r w:rsidRPr="00175A44">
        <w:rPr>
          <w:rFonts w:cs="B Zar" w:hint="cs"/>
          <w:b/>
          <w:bCs/>
          <w:rtl/>
        </w:rPr>
        <w:t>: دومين گام توحيديابي آريائي‌ها</w:t>
      </w:r>
    </w:p>
    <w:p w:rsidR="0011420A" w:rsidRPr="00175A44" w:rsidP="003C0EF5">
      <w:pPr>
        <w:widowControl w:val="0"/>
        <w:spacing w:line="420" w:lineRule="exact"/>
        <w:ind w:left="0" w:right="0"/>
        <w:jc w:val="both"/>
        <w:rPr>
          <w:rFonts w:cs="B Zar" w:hint="cs"/>
          <w:i/>
          <w:iCs/>
          <w:rtl/>
        </w:rPr>
      </w:pPr>
      <w:r w:rsidRPr="00175A44">
        <w:rPr>
          <w:rFonts w:cs="B Zar" w:hint="cs"/>
          <w:rtl/>
        </w:rPr>
        <w:t xml:space="preserve"> به نظر مي‌رسد در گام بعدي به سوي توحيد، انديشه آريایي معبودان دوره طبيعت‌پرستي، نظير: ايندرا و آگني، سوما و سوريا را به تدريج كنار زده و معبودي را كه در ادوار پيش اسم او وجود داشت، ولي داراي اهميت چنداني نبود، به عنوان مظهر تصوّر خداوند در دوره ابتدائي توحيدي علم مي كند. اين ذات </w:t>
      </w:r>
      <w:r w:rsidRPr="00175A44">
        <w:rPr>
          <w:rFonts w:cs="B Zar" w:hint="cs"/>
          <w:i/>
          <w:iCs/>
          <w:rtl/>
        </w:rPr>
        <w:t>وارونا</w:t>
      </w:r>
      <w:r w:rsidRPr="00175A44">
        <w:rPr>
          <w:rFonts w:cs="B Zar" w:hint="cs"/>
          <w:rtl/>
        </w:rPr>
        <w:t xml:space="preserve"> و سپس </w:t>
      </w:r>
      <w:r w:rsidRPr="00175A44">
        <w:rPr>
          <w:rFonts w:cs="B Zar" w:hint="cs"/>
          <w:i/>
          <w:iCs/>
          <w:rtl/>
        </w:rPr>
        <w:t>وشنو</w:t>
      </w:r>
      <w:r w:rsidRPr="00175A44">
        <w:rPr>
          <w:rFonts w:cs="B Zar" w:hint="cs"/>
          <w:rtl/>
        </w:rPr>
        <w:t xml:space="preserve"> است. در ميان معبودان ادوار ابتدائي تصوّر وارون و صفاتي كه آريایي‌ها درباره او قائل شدند با نظريه توحيد از همه نزديكتر است. دكتر رادا كريشنان مي‌گويد: </w:t>
      </w:r>
      <w:r w:rsidRPr="00175A44">
        <w:rPr>
          <w:rFonts w:cs="B Zar" w:hint="cs"/>
          <w:i/>
          <w:iCs/>
          <w:rtl/>
        </w:rPr>
        <w:t>«يك خدا گرائي بعدي هندوها را بايد در تصوّر وارونا در ودا به عنوان خداي عادل و رحيم و رحمان جستجو كرد.»</w:t>
      </w:r>
      <w:r>
        <w:rPr>
          <w:rStyle w:val="FootnoteReference"/>
          <w:rFonts w:cs="B Zar"/>
          <w:i/>
          <w:iCs/>
          <w:rtl/>
        </w:rPr>
        <w:footnoteReference w:id="400"/>
      </w:r>
    </w:p>
    <w:p w:rsidR="0011420A" w:rsidRPr="00175A44" w:rsidP="003C0EF5">
      <w:pPr>
        <w:widowControl w:val="0"/>
        <w:spacing w:line="420" w:lineRule="exact"/>
        <w:ind w:left="0" w:right="0"/>
        <w:jc w:val="both"/>
        <w:rPr>
          <w:rFonts w:cs="B Zar" w:hint="cs"/>
          <w:rtl/>
        </w:rPr>
      </w:pPr>
      <w:r w:rsidRPr="00175A44">
        <w:rPr>
          <w:rFonts w:cs="B Zar" w:hint="cs"/>
          <w:rtl/>
        </w:rPr>
        <w:t>وارونا كه در مرحله اول تا سوم، تابع ايندرا، اگني و سوما بوده است، در اين مرحله از اهميت بيشتري برخوردار مي‌گردد. در مرحله اول وارونا به عنوان خداي آسمان درنظر گرفته مي‌شد، ولي در اين مرحله او سمبل ناظم و پرودگار جهان است. او از نظم طبيعت و از نظم اخلاقي، از هر دو پاسداري مي‌كند. كل جهان تحت قيومت اوست. اوست كه بدكاران را مجازات مي كند و پرهيزگاران را جزاي نيكو مي‌دهد. خورشيد بيننده اوست. آسمان آبي، قبا و پيرهن او و توفان‌ها نفس زدن اوست.</w:t>
      </w:r>
      <w:r>
        <w:rPr>
          <w:rStyle w:val="FootnoteReference"/>
          <w:rFonts w:cs="B Zar"/>
          <w:rtl/>
        </w:rPr>
        <w:footnoteReference w:id="401"/>
      </w:r>
      <w:r w:rsidRPr="00175A44">
        <w:rPr>
          <w:rFonts w:cs="B Zar" w:hint="cs"/>
          <w:rtl/>
        </w:rPr>
        <w:t xml:space="preserve"> درياها به دستور او به طغيان در مي‌آيند؛</w:t>
      </w:r>
      <w:r>
        <w:rPr>
          <w:rStyle w:val="FootnoteReference"/>
          <w:rFonts w:cs="B Zar"/>
          <w:rtl/>
        </w:rPr>
        <w:footnoteReference w:id="402"/>
      </w:r>
      <w:r w:rsidRPr="00175A44">
        <w:rPr>
          <w:rFonts w:cs="B Zar" w:hint="cs"/>
          <w:rtl/>
        </w:rPr>
        <w:t xml:space="preserve"> ماه و ستارگان از ترس او يك لحظه نمي‌خوابند؛</w:t>
      </w:r>
      <w:r>
        <w:rPr>
          <w:rStyle w:val="FootnoteReference"/>
          <w:rFonts w:cs="B Zar"/>
          <w:rtl/>
        </w:rPr>
        <w:footnoteReference w:id="403"/>
      </w:r>
      <w:r w:rsidRPr="00175A44">
        <w:rPr>
          <w:rFonts w:cs="B Zar" w:hint="cs"/>
          <w:rtl/>
        </w:rPr>
        <w:t xml:space="preserve"> ارض و سما را اراده او برجا نگهداشته است. او حافظ نظم و نظام «آفاق» و «انفس» است. تمام خدايان تابع او هستند. او مالك مُلك است و  زمين و آسمان به او تعلق دارند. او عليم و حكيم است، و حتي از مسير پرواز مرغان هوا و جريان آب دريا، وزيدن صرصر و صبا باخبر است. يك برگ يا يك گنجشك نمي‌تواند بدون اجازه او فرود آيد. او خداي اكبر است. عدالت را اجرا مي‌كند و احدي جرئت ندارد از دستورش سرپيچي كند، او «مدبّرالامر» است. نظم را در جهان حفظ مي‌كند. او از بندگان محاسبه مي‌كند و رفتار اخلاقي را در جامعه مستقر مي‌سازد. در عين حال، رحمان و رحيم است و گنهكاران را مورد بخشش قرار مي‌دهد. رحيميت، صفت اختصاصي وارونا مي‌باشد. هرجا سخن از عفو و بخشش باشد، آريایي‌ها وارونا را صدا مي‌كنند.</w:t>
      </w:r>
      <w:r>
        <w:rPr>
          <w:rStyle w:val="FootnoteReference"/>
          <w:rFonts w:cs="B Zar"/>
          <w:rtl/>
        </w:rPr>
        <w:footnoteReference w:id="404"/>
      </w:r>
    </w:p>
    <w:p w:rsidR="0011420A" w:rsidRPr="00175A44" w:rsidP="003C0EF5">
      <w:pPr>
        <w:widowControl w:val="0"/>
        <w:spacing w:line="420" w:lineRule="exact"/>
        <w:ind w:left="0" w:right="0"/>
        <w:jc w:val="both"/>
        <w:rPr>
          <w:rFonts w:cs="B Zar" w:hint="cs"/>
          <w:rtl/>
        </w:rPr>
      </w:pPr>
      <w:r w:rsidRPr="00175A44">
        <w:rPr>
          <w:rFonts w:cs="B Zar" w:hint="cs"/>
          <w:rtl/>
        </w:rPr>
        <w:t>برخلاف صفاتي كه ودا براي معبودان ديگر قائل شده است، به وارونا صفات والاي اخلاقي و معنوي نسبت داده مي‌شود. در سرودهاي ودا به ايندرا، آگني، سوما و غيره به طور عموم، براي برآورده ساختن نيازهاي مادي و دنيوي نظير طلب باران، وسعت رزق، پيروزي بر دشمن، دفع طلسم و جادو يا رفع مرض توسل جسته، ولي از وارونا به طور عموم، آمرزش گناهان، نجات روحي و تكامل معنوي خواسته مي شود.</w:t>
      </w:r>
    </w:p>
    <w:p w:rsidR="0011420A" w:rsidRPr="00175A44" w:rsidP="003C0EF5">
      <w:pPr>
        <w:widowControl w:val="0"/>
        <w:spacing w:line="420" w:lineRule="exact"/>
        <w:ind w:left="0" w:right="0"/>
        <w:jc w:val="both"/>
        <w:rPr>
          <w:rFonts w:cs="B Zar" w:hint="cs"/>
          <w:rtl/>
        </w:rPr>
      </w:pPr>
      <w:r w:rsidRPr="00175A44">
        <w:rPr>
          <w:rFonts w:cs="B Zar" w:hint="cs"/>
          <w:rtl/>
        </w:rPr>
        <w:t>در مرحله اول، خدايان پديده‌هاي طبيعت‌اند كه به طمع استفاده از آن مورد تقديس قرار مي‌گيرند؛ در مرحله دوم، معبودان ارواحي هستند كه به خاطر ترس تمكين مي‌‌شوند. در مرحله سوم نيز  رب‌الارباب‌ها را به خاطر آنكه اهداف دنيوي را فرادست هوادارانش قرار دهند و ماديات را تامين كنند مي پرستند، ولي در مرحله توحيدي چهارم، خدا به خاطر آنكه عادل و رحيم و رحمان است، مورد پرستش قرار می گيرد. او نه تنها براي  باران و نور و روشنائي و ازدياد محصول و تكثير نسل مورد توجه است؛ بلكه به خاطر آنكه تضمين كننده رفتار درست و اخلاقي و نيز رب و خالق و مالك روز حساب است، در نظر گرفته مي‌شود. در ودا، وارونا چنين خدايي است. او نگهدارنده «رِيتَ»، يا نظم طبيعت و راه و رسم درستكاري و از صفات اصلي او عدالت است. او رتسّ يا گوپا يا مجازات كننده گنهكاران ناميده مي شود.</w:t>
      </w:r>
    </w:p>
    <w:p w:rsidR="0011420A" w:rsidP="003C0EF5">
      <w:pPr>
        <w:widowControl w:val="0"/>
        <w:spacing w:line="420" w:lineRule="exact"/>
        <w:ind w:left="0" w:right="0"/>
        <w:jc w:val="both"/>
        <w:rPr>
          <w:rFonts w:cs="B Zar" w:hint="cs"/>
          <w:rtl/>
        </w:rPr>
      </w:pPr>
      <w:r w:rsidRPr="00175A44">
        <w:rPr>
          <w:rFonts w:cs="B Zar" w:hint="cs"/>
          <w:rtl/>
        </w:rPr>
        <w:t>چنانكه دكتر رادا كريشنان خاطر نشان ساخته است، آئين زرتشتي در ايران و كيش وارونا در هند، داراي شباهت فراواني مي‌باشند، و از اين‌رو اين احتمال پيش مي‌آيد كه اوستا متعلق به دوره چهارم انديشه آريائي است. شايد از همين جهت در اوستا ايندرا به صورت يكي از ديوان (اهريمن) درآمده و وارونا به نام اهورامزدا بر اريكه قدرت ملكوتي تشريف فرما شده است. اين تماثل و تشابه ميان دين اوستائي و مرحله چهارم تكامل انديشه ديني آريائيان هند، اين گمان را تقويت مي‌كند كه پيش از اصلاح زرتشت، آريائي‌هاي ايراني نيز از مرحله اول، دوم و سوم رد شده و احتمالاً ايندرا، آگني، وسوما و غيره را با همين نام يا اسامي مشابه ديگر مي‌پرستيده‌اند. نظير آئين وارونا، آئين اوستائي نيز به طور كامل تاكيد بر رفتار درست يا رفتار نيك دارد و دين به طور عمده يك آئين اخلاقي است. هر دو آئين، مبتني بر نوعي اعتقاد توحيدي‌اند؛ البته توحيد ودائي يا اوستائي هيچگاه در سطح توحيد خالص‌و متعالي اديان سامي به خصوص اسلام نرسيد. حتي زماني كه وارونا يا پاراجاپاتي يا ويسوا كارمان به عنوان خداي برتر و يگانه درنظر گرفته شدند، معبودان ديگر نفي نگرديدند، بلكه تحت قيمومت و حاكميت او درآمدند. در دين اوستائي نيز هرچند ايندرا و غيره ديوَ تلقي گرديدند و از صحنه ملكوتي طرد شدند، و اهورامزدا به صورت خداي بلا منازع درآمد، ولي امشاسپندان و غيره نيز خدايان تابع در نظر گرفته شدند. در تاريخ بشر مرحله كامل توحيدي تنها با ظهور اسلام آغاز مي‌شود.</w:t>
      </w:r>
    </w:p>
    <w:p w:rsidR="0078614F" w:rsidP="003C0EF5">
      <w:pPr>
        <w:widowControl w:val="0"/>
        <w:spacing w:line="420" w:lineRule="exact"/>
        <w:ind w:left="0" w:right="0"/>
        <w:jc w:val="both"/>
        <w:rPr>
          <w:rFonts w:cs="B Zar" w:hint="cs"/>
          <w:rtl/>
        </w:rPr>
      </w:pPr>
    </w:p>
    <w:p w:rsidR="00325E75" w:rsidP="003C0EF5">
      <w:pPr>
        <w:widowControl w:val="0"/>
        <w:spacing w:line="420" w:lineRule="exact"/>
        <w:ind w:left="0" w:right="0"/>
        <w:jc w:val="both"/>
        <w:rPr>
          <w:rFonts w:cs="B Zar" w:hint="cs"/>
          <w:rtl/>
        </w:rPr>
      </w:pPr>
    </w:p>
    <w:p w:rsidR="00325E75" w:rsidRPr="00175A44" w:rsidP="003C0EF5">
      <w:pPr>
        <w:widowControl w:val="0"/>
        <w:spacing w:line="420" w:lineRule="exact"/>
        <w:ind w:left="0" w:right="0"/>
        <w:jc w:val="both"/>
        <w:rPr>
          <w:rFonts w:cs="B Zar" w:hint="cs"/>
          <w:rtl/>
        </w:rPr>
      </w:pPr>
    </w:p>
    <w:p w:rsidR="0011420A" w:rsidRPr="00175A44" w:rsidP="00874FDC">
      <w:pPr>
        <w:widowControl w:val="0"/>
        <w:spacing w:line="420" w:lineRule="exact"/>
        <w:ind w:left="0" w:right="0"/>
        <w:jc w:val="both"/>
        <w:rPr>
          <w:rFonts w:cs="B Zar" w:hint="cs"/>
          <w:b/>
          <w:bCs/>
          <w:rtl/>
        </w:rPr>
      </w:pPr>
      <w:r w:rsidR="00874FDC">
        <w:rPr>
          <w:rFonts w:cs="B Zar" w:hint="cs"/>
          <w:b/>
          <w:bCs/>
          <w:rtl/>
        </w:rPr>
        <w:t>تصور پ</w:t>
      </w:r>
      <w:r w:rsidRPr="00175A44">
        <w:rPr>
          <w:rFonts w:cs="B Zar" w:hint="cs"/>
          <w:b/>
          <w:bCs/>
          <w:rtl/>
        </w:rPr>
        <w:t>رجاپاتي</w:t>
      </w:r>
      <w:r w:rsidRPr="00175A44">
        <w:rPr>
          <w:rFonts w:cs="B Zar"/>
          <w:b/>
          <w:bCs/>
        </w:rPr>
        <w:t>(Parjapati)</w:t>
      </w:r>
      <w:r w:rsidRPr="00175A44">
        <w:rPr>
          <w:rFonts w:cs="B Zar" w:hint="cs"/>
          <w:b/>
          <w:bCs/>
          <w:rtl/>
        </w:rPr>
        <w:t xml:space="preserve"> و ويشوكارمان</w:t>
      </w:r>
      <w:r w:rsidRPr="00175A44">
        <w:rPr>
          <w:rFonts w:cs="B Zar"/>
          <w:b/>
          <w:bCs/>
        </w:rPr>
        <w:t>(Vishwa</w:t>
      </w:r>
      <w:r w:rsidRPr="00175A44">
        <w:rPr>
          <w:rFonts w:cs="B Zar"/>
          <w:b/>
          <w:bCs/>
        </w:rPr>
        <w:t>karmana)</w:t>
      </w:r>
      <w:r w:rsidRPr="00175A44">
        <w:rPr>
          <w:rFonts w:cs="B Zar" w:hint="cs"/>
          <w:b/>
          <w:bCs/>
          <w:rtl/>
        </w:rPr>
        <w:t>: سومين گام در جهت توحيد:</w:t>
      </w:r>
    </w:p>
    <w:p w:rsidR="0011420A" w:rsidRPr="00175A44" w:rsidP="003C0EF5">
      <w:pPr>
        <w:widowControl w:val="0"/>
        <w:spacing w:line="420" w:lineRule="exact"/>
        <w:ind w:left="0" w:right="0"/>
        <w:jc w:val="both"/>
        <w:rPr>
          <w:rFonts w:cs="B Zar" w:hint="cs"/>
          <w:rtl/>
        </w:rPr>
      </w:pPr>
      <w:r w:rsidRPr="00175A44">
        <w:rPr>
          <w:rFonts w:cs="B Zar" w:hint="cs"/>
          <w:rtl/>
        </w:rPr>
        <w:t xml:space="preserve">سومين گام بلند آريایي‌ها در جهت توحيد، ايجاد تصوّر معبود يگانه و اكبر به نام پاراجا پاتي يا ويشوكارمان بود. كلمه پرجا </w:t>
      </w:r>
      <w:r w:rsidRPr="00175A44">
        <w:rPr>
          <w:rFonts w:cs="B Zar"/>
        </w:rPr>
        <w:t>(Parja)</w:t>
      </w:r>
      <w:r w:rsidRPr="00175A44">
        <w:rPr>
          <w:rFonts w:cs="B Zar" w:hint="cs"/>
          <w:rtl/>
        </w:rPr>
        <w:t>، به معناي زائيده و نژاد مخلوقات را مي‌گويند. پاتي</w:t>
      </w:r>
      <w:r w:rsidRPr="00175A44">
        <w:rPr>
          <w:rFonts w:cs="B Zar"/>
        </w:rPr>
        <w:t>(Pati)</w:t>
      </w:r>
      <w:r w:rsidRPr="00175A44">
        <w:rPr>
          <w:rFonts w:cs="B Zar" w:hint="cs"/>
          <w:rtl/>
        </w:rPr>
        <w:t xml:space="preserve">، شوهر، صاحب، مالك و رب را مي‌گويند. بدينسان معناي پاراجاپاتي، رب‌العالمين است. در آغاز اين عنوان به صورت لقب، نظير: ايندرا، آگني و غيره به كار مي‌رفت و نمودار گرايش خدايان هنوتيسم </w:t>
      </w:r>
      <w:r w:rsidRPr="00175A44">
        <w:rPr>
          <w:rFonts w:cs="B Zar"/>
        </w:rPr>
        <w:t>(Henotheism)</w:t>
      </w:r>
      <w:r w:rsidRPr="00175A44">
        <w:rPr>
          <w:rFonts w:cs="B Zar" w:hint="cs"/>
          <w:rtl/>
        </w:rPr>
        <w:t xml:space="preserve"> بود، ولي بعد، در دوره متاخر، پاراجاپاتي به عنوان نام خداي خدايان، بلكه يگانه خدا به كار برده شد كه ساير معبودان از جمله مخلوقات و بندگان او محسوب گرديدند. پاراجاپاتي در كتاب دهم ريگ ودا كه ظاهراً از ملحقات دوره متأخر عصر  وداست، به عنوان «رب اعلي» مطرح شده، به تمام صفاتي كه اديان توحيدي به خداي واحد نسبت مي‌دهند، متصف گرديد. از همين‌رو رادا كريشنان</w:t>
      </w:r>
      <w:r>
        <w:rPr>
          <w:rStyle w:val="FootnoteReference"/>
          <w:rFonts w:cs="B Zar"/>
          <w:rtl/>
        </w:rPr>
        <w:footnoteReference w:id="405"/>
      </w:r>
      <w:r w:rsidRPr="00175A44">
        <w:rPr>
          <w:rFonts w:cs="B Zar" w:hint="cs"/>
          <w:rtl/>
        </w:rPr>
        <w:t xml:space="preserve"> پاراجاپاتي را خداي مرحله توحيد انديشه آريایي قلمداد مي‌كند و مي‌نويسد:</w:t>
      </w:r>
    </w:p>
    <w:p w:rsidR="0011420A" w:rsidRPr="00175A44" w:rsidP="003C0EF5">
      <w:pPr>
        <w:widowControl w:val="0"/>
        <w:spacing w:line="420" w:lineRule="exact"/>
        <w:ind w:left="0" w:right="0"/>
        <w:jc w:val="both"/>
        <w:rPr>
          <w:rFonts w:cs="B Zar" w:hint="cs"/>
          <w:i/>
          <w:iCs/>
          <w:rtl/>
        </w:rPr>
      </w:pPr>
      <w:r w:rsidRPr="00175A44">
        <w:rPr>
          <w:rFonts w:cs="B Zar" w:hint="cs"/>
          <w:i/>
          <w:iCs/>
          <w:rtl/>
        </w:rPr>
        <w:t>«دياؤس خداي برتر مرحله طبيعت‌پرستي است.</w:t>
      </w:r>
    </w:p>
    <w:p w:rsidR="0011420A" w:rsidRPr="00175A44" w:rsidP="003C0EF5">
      <w:pPr>
        <w:widowControl w:val="0"/>
        <w:spacing w:line="420" w:lineRule="exact"/>
        <w:ind w:left="0" w:right="0"/>
        <w:jc w:val="both"/>
        <w:rPr>
          <w:rFonts w:cs="B Zar" w:hint="cs"/>
          <w:i/>
          <w:iCs/>
          <w:rtl/>
        </w:rPr>
      </w:pPr>
      <w:r w:rsidRPr="00175A44">
        <w:rPr>
          <w:rFonts w:cs="B Zar" w:hint="cs"/>
          <w:i/>
          <w:iCs/>
          <w:rtl/>
        </w:rPr>
        <w:t>ايندرا خداي خودخواه مرحله فتح و جهان گشائي،</w:t>
      </w:r>
    </w:p>
    <w:p w:rsidR="0011420A" w:rsidRPr="00175A44" w:rsidP="003C0EF5">
      <w:pPr>
        <w:widowControl w:val="0"/>
        <w:spacing w:line="420" w:lineRule="exact"/>
        <w:ind w:left="0" w:right="0"/>
        <w:jc w:val="both"/>
        <w:rPr>
          <w:rFonts w:cs="B Zar" w:hint="cs"/>
          <w:i/>
          <w:iCs/>
          <w:rtl/>
        </w:rPr>
      </w:pPr>
      <w:r w:rsidRPr="00175A44">
        <w:rPr>
          <w:rFonts w:cs="B Zar" w:hint="cs"/>
          <w:i/>
          <w:iCs/>
          <w:rtl/>
        </w:rPr>
        <w:t>وارونا خداي مرحله نگرش اخلاقي،</w:t>
      </w:r>
    </w:p>
    <w:p w:rsidR="0011420A" w:rsidRPr="00175A44" w:rsidP="003C0EF5">
      <w:pPr>
        <w:widowControl w:val="0"/>
        <w:spacing w:line="420" w:lineRule="exact"/>
        <w:ind w:left="0" w:right="0"/>
        <w:jc w:val="both"/>
        <w:rPr>
          <w:rFonts w:cs="B Zar" w:hint="cs"/>
          <w:i/>
          <w:iCs/>
          <w:rtl/>
        </w:rPr>
      </w:pPr>
      <w:r w:rsidRPr="00175A44">
        <w:rPr>
          <w:rFonts w:cs="B Zar" w:hint="cs"/>
          <w:i/>
          <w:iCs/>
          <w:rtl/>
        </w:rPr>
        <w:t>و پاراجاپاتي خداي موحد آريایي مي‌باشد».</w:t>
      </w:r>
    </w:p>
    <w:p w:rsidR="0011420A" w:rsidRPr="00175A44" w:rsidP="003C0EF5">
      <w:pPr>
        <w:widowControl w:val="0"/>
        <w:spacing w:line="420" w:lineRule="exact"/>
        <w:ind w:left="0" w:right="0"/>
        <w:jc w:val="both"/>
        <w:rPr>
          <w:rFonts w:cs="B Zar" w:hint="cs"/>
          <w:rtl/>
        </w:rPr>
      </w:pPr>
      <w:r w:rsidRPr="00175A44">
        <w:rPr>
          <w:rFonts w:cs="B Zar" w:hint="cs"/>
          <w:rtl/>
        </w:rPr>
        <w:t>سرودهاي كتاب دهم ريگ ودا به پاراجاپاتي اختصاص دارند.</w:t>
      </w:r>
      <w:r>
        <w:rPr>
          <w:rStyle w:val="FootnoteReference"/>
          <w:rFonts w:cs="B Zar"/>
          <w:rtl/>
        </w:rPr>
        <w:footnoteReference w:id="406"/>
      </w:r>
      <w:r w:rsidRPr="00175A44">
        <w:rPr>
          <w:rFonts w:cs="B Zar" w:hint="cs"/>
          <w:rtl/>
        </w:rPr>
        <w:t xml:space="preserve"> در سام ودا نيز در چندين جا از پاراجاپاتي سخن در ميان است. او را با ماتو يا منشأ خلقت يكي دانسته است.</w:t>
      </w:r>
      <w:r>
        <w:rPr>
          <w:rStyle w:val="FootnoteReference"/>
          <w:rFonts w:cs="B Zar"/>
          <w:rtl/>
        </w:rPr>
        <w:footnoteReference w:id="407"/>
      </w:r>
      <w:r w:rsidRPr="00175A44">
        <w:rPr>
          <w:rFonts w:cs="B Zar" w:hint="cs"/>
          <w:rtl/>
        </w:rPr>
        <w:t xml:space="preserve"> در اتهَاروا ودا گفته شده است: ارض و سما را پاراجاپاتي نگهداشته است.</w:t>
      </w:r>
      <w:r>
        <w:rPr>
          <w:rStyle w:val="FootnoteReference"/>
          <w:rFonts w:cs="B Zar"/>
          <w:rtl/>
        </w:rPr>
        <w:footnoteReference w:id="408"/>
      </w:r>
      <w:r w:rsidRPr="00175A44">
        <w:rPr>
          <w:rFonts w:cs="B Zar" w:hint="cs"/>
          <w:rtl/>
        </w:rPr>
        <w:t xml:space="preserve"> نيز صفت خالقيت به او نسبت داده شده است.</w:t>
      </w:r>
      <w:r>
        <w:rPr>
          <w:rStyle w:val="FootnoteReference"/>
          <w:rFonts w:cs="B Zar"/>
          <w:rtl/>
        </w:rPr>
        <w:footnoteReference w:id="409"/>
      </w:r>
      <w:r w:rsidRPr="00175A44">
        <w:rPr>
          <w:rFonts w:cs="B Zar" w:hint="cs"/>
          <w:rtl/>
        </w:rPr>
        <w:t xml:space="preserve"> در يك سرود، او به گاو نر تشبيه گرديده</w:t>
      </w:r>
      <w:r>
        <w:rPr>
          <w:rStyle w:val="FootnoteReference"/>
          <w:rFonts w:cs="B Zar"/>
          <w:rtl/>
        </w:rPr>
        <w:footnoteReference w:id="410"/>
      </w:r>
      <w:r w:rsidRPr="00175A44">
        <w:rPr>
          <w:rFonts w:cs="B Zar" w:hint="cs"/>
          <w:rtl/>
        </w:rPr>
        <w:t xml:space="preserve"> كه كنايه اي از قدرت او است. در اَتهاروا ودا پاريشان تهان و كسياپا، به عنوان معادل پاراجاپاتي به كار رفته‌اند. بلوم فيلد مي گويد:«</w:t>
      </w:r>
      <w:r w:rsidRPr="00175A44">
        <w:rPr>
          <w:rFonts w:cs="B Zar" w:hint="cs"/>
          <w:i/>
          <w:iCs/>
          <w:rtl/>
        </w:rPr>
        <w:t>پارميشان تهان يكي از عناوين خداي برتر است كه تقريباً ماهيت توحيدي دارد و نمودار انتقال از مرحله شرك ودائي به مرحله وحدت‌الوجودي اوپانيشاد است</w:t>
      </w:r>
      <w:r w:rsidRPr="00175A44">
        <w:rPr>
          <w:rFonts w:cs="B Zar" w:hint="cs"/>
          <w:rtl/>
        </w:rPr>
        <w:t>».</w:t>
      </w:r>
      <w:r>
        <w:rPr>
          <w:rStyle w:val="FootnoteReference"/>
          <w:rFonts w:cs="B Zar"/>
          <w:rtl/>
        </w:rPr>
        <w:footnoteReference w:id="411"/>
      </w:r>
      <w:r w:rsidRPr="00175A44">
        <w:rPr>
          <w:rFonts w:cs="B Zar" w:hint="cs"/>
          <w:rtl/>
        </w:rPr>
        <w:t xml:space="preserve"> در چندوگيا اوپانيشاد</w:t>
      </w:r>
      <w:r w:rsidRPr="00175A44">
        <w:rPr>
          <w:rFonts w:cs="B Zar"/>
        </w:rPr>
        <w:t>(Chandogya Upanishad)</w:t>
      </w:r>
      <w:r w:rsidRPr="00175A44">
        <w:rPr>
          <w:rFonts w:cs="B Zar" w:hint="cs"/>
          <w:rtl/>
        </w:rPr>
        <w:t>، مكالمه‌اي ميان ايندرا و پاراجاپاتي نقل گرديده است. ايندرا و وارچانا در محضر پاراجاپاتي رسيدند و درست نظير شاگردان درگاه ربوبيت، از او درباره ماهيت نفس سوال كردند. در اين مكالمه پاراجاپاتي به عنوان استاد ديوَتاها معرفي شده كه آنان در درگاه او حاضر مي‌شوند. در اين مرحله توحيديِ فكرِ آريایي معبودان سابق، همانند ايندرا به صورت «تلاميذالرحمان»، مشابه تصوّري كه ما از فرشتگان داريم در آمده‌اند.</w:t>
      </w:r>
      <w:r>
        <w:rPr>
          <w:rStyle w:val="FootnoteReference"/>
          <w:rFonts w:cs="B Zar"/>
          <w:rtl/>
        </w:rPr>
        <w:footnoteReference w:id="412"/>
      </w:r>
      <w:r w:rsidRPr="00175A44">
        <w:rPr>
          <w:rFonts w:cs="B Zar" w:hint="cs"/>
          <w:rtl/>
        </w:rPr>
        <w:t>در رسائل براهمانا، پاراجاپاتي به عنوان خالق كل مطرح شده است. در تيتاريا برهمانا گفته شده است كه در آغاز هيچ چيزي وجود نداشت، نه ارض و نه سما. در پاراجاپاتي ميل به ظهور ايجاد شد. اين ميل به ظهور سبب خلقت گرديد.</w:t>
      </w:r>
      <w:r>
        <w:rPr>
          <w:rStyle w:val="FootnoteReference"/>
          <w:rFonts w:cs="B Zar"/>
          <w:rtl/>
        </w:rPr>
        <w:footnoteReference w:id="413"/>
      </w:r>
      <w:r w:rsidRPr="00175A44">
        <w:rPr>
          <w:rFonts w:cs="B Zar" w:hint="cs"/>
          <w:rtl/>
        </w:rPr>
        <w:t xml:space="preserve"> در جاي ديگر گفته شده است پاراجاپاتي از تنهائي لاهوتي خسته شد و وجود خود را بسط داد و در دو بخش نيمه نرينه، نيمه مادينه تقسيم کرد و موجودات را بوجود آورد.</w:t>
      </w:r>
      <w:r>
        <w:rPr>
          <w:rStyle w:val="FootnoteReference"/>
          <w:rFonts w:cs="B Zar"/>
          <w:rtl/>
        </w:rPr>
        <w:footnoteReference w:id="414"/>
      </w:r>
      <w:r w:rsidRPr="00175A44">
        <w:rPr>
          <w:rFonts w:cs="B Zar" w:hint="cs"/>
          <w:rtl/>
        </w:rPr>
        <w:t xml:space="preserve"> اين اظهارات به مرحله بعدي وحدت‌الوجودي تعلق دارد و به طور تمثيلي بيان مي‌دارد كه آفريده، جدا از آفريدگار نيست، بلكه عين او است. در ودا و برهمانا، پاراجاپاتي را با ويشواكارمان يكي دانسته‌اند.</w:t>
      </w:r>
    </w:p>
    <w:p w:rsidR="0011420A" w:rsidRPr="00175A44" w:rsidP="003C0EF5">
      <w:pPr>
        <w:widowControl w:val="0"/>
        <w:spacing w:line="420" w:lineRule="exact"/>
        <w:ind w:left="0" w:right="0"/>
        <w:jc w:val="both"/>
        <w:rPr>
          <w:rFonts w:cs="B Zar" w:hint="cs"/>
          <w:rtl/>
        </w:rPr>
      </w:pPr>
      <w:r w:rsidRPr="00175A44">
        <w:rPr>
          <w:rFonts w:cs="B Zar" w:hint="cs"/>
          <w:rtl/>
        </w:rPr>
        <w:t>ويشواكارمان به معناي خالق و طراح جهان است.</w:t>
      </w:r>
      <w:r>
        <w:rPr>
          <w:rStyle w:val="FootnoteReference"/>
          <w:rFonts w:cs="B Zar"/>
          <w:rtl/>
        </w:rPr>
        <w:footnoteReference w:id="415"/>
      </w:r>
      <w:r w:rsidRPr="00175A44">
        <w:rPr>
          <w:rFonts w:cs="B Zar" w:hint="cs"/>
          <w:rtl/>
        </w:rPr>
        <w:t xml:space="preserve"> ويشوا به معناي كل، سراسر هستي، كيهان و جهان است. كارمان به معناي عمل است. معنايش يگانه ذاتي است كه حوزه عمل او در سراسر هستي گسترده است. معناي ديگرش اين است كه او كسي است كه از طريق  عمل و دستكاري، همانند يك آهنگر و مجسمه‌ساز، كيهان را خلق كرده است. كارامان اشاره به بيش مكانيستي نسبت به جهان دارد. گوئي خداوند يا صنّّاع جهان نيز، درست نظير يك آهنگر از مواد اوليه جهان را ساخته است. در اساطير بعدي او با تاويشتاري، آهنگر آفاقي، يكي دانسته شده است. در دوره پيران، او به عنوان معبود صاحبان صنايع  مطرح گرديد.</w:t>
      </w:r>
    </w:p>
    <w:p w:rsidR="0011420A" w:rsidRPr="00175A44" w:rsidP="003C0EF5">
      <w:pPr>
        <w:widowControl w:val="0"/>
        <w:spacing w:line="420" w:lineRule="exact"/>
        <w:ind w:left="0" w:right="0"/>
        <w:jc w:val="both"/>
        <w:rPr>
          <w:rFonts w:cs="B Zar" w:hint="cs"/>
          <w:rtl/>
        </w:rPr>
      </w:pPr>
      <w:r w:rsidRPr="00175A44">
        <w:rPr>
          <w:rFonts w:cs="B Zar" w:hint="cs"/>
          <w:rtl/>
        </w:rPr>
        <w:t>در ريگ ودا ويشواكارمان يكي از لقب‌هاي پاراجاپاتي</w:t>
      </w:r>
      <w:r w:rsidRPr="00175A44">
        <w:rPr>
          <w:rFonts w:cs="B Zar"/>
        </w:rPr>
        <w:t>(Parjapati)</w:t>
      </w:r>
      <w:r w:rsidRPr="00175A44">
        <w:rPr>
          <w:rFonts w:cs="B Zar" w:hint="cs"/>
          <w:rtl/>
        </w:rPr>
        <w:t xml:space="preserve"> است. در سرود 81 و 82 كتاب دهم، او به عنوان پدر عالمان مطرح شده است كه داراي چندين چهره، چندين دست و چندين پا است و در هر چهره خود و در هر سو چشم دارد. اين سمبل بصير، عليم و نيز قدير و مدبر بودن خداي لايزال است.</w:t>
      </w:r>
      <w:r>
        <w:rPr>
          <w:rStyle w:val="FootnoteReference"/>
          <w:rFonts w:cs="B Zar"/>
          <w:rtl/>
        </w:rPr>
        <w:footnoteReference w:id="416"/>
      </w:r>
      <w:r w:rsidRPr="00175A44">
        <w:rPr>
          <w:rFonts w:cs="B Zar" w:hint="cs"/>
          <w:rtl/>
        </w:rPr>
        <w:t xml:space="preserve"> در ريگ ودا تمثيل معروف آفرينش نقل شده كه در آن چنان وانمود شده است؛ نخست در جهان يك بيضه طلائي يا هسته اصلي آفرينش به نام هيرانهاگاربا</w:t>
      </w:r>
      <w:r w:rsidRPr="00175A44">
        <w:rPr>
          <w:rFonts w:cs="B Zar"/>
        </w:rPr>
        <w:t>(Hirangarbha)</w:t>
      </w:r>
      <w:r w:rsidRPr="00175A44">
        <w:rPr>
          <w:rFonts w:cs="B Zar" w:hint="cs"/>
          <w:rtl/>
        </w:rPr>
        <w:t xml:space="preserve"> وجود داشت. وقتي اين بيضه شكافته شد از آن ويشواكارمان بيرون آمد،  سپس منشاء كل جهان گرديد.</w:t>
      </w:r>
      <w:r>
        <w:rPr>
          <w:rStyle w:val="FootnoteReference"/>
          <w:rFonts w:cs="B Zar"/>
          <w:rtl/>
        </w:rPr>
        <w:footnoteReference w:id="417"/>
      </w:r>
      <w:r w:rsidRPr="00175A44">
        <w:rPr>
          <w:rFonts w:cs="B Zar" w:hint="cs"/>
          <w:rtl/>
        </w:rPr>
        <w:t xml:space="preserve"> در اين تمثيل ممكن است بيضه طلائي، صفت خالقيت و ربوبيت نهفته خداوند در دوره ما پيش از خلقت باشد و ويشواكارمان آن جنبه الهي باشد كه به صورت خلقت تجسم يافته و يا رحمانيت و خالقيت بالفعل باشد و يا ممكن است انديشه آريائي هنوز در نوسان ميان شرك و توحيد و خلق شدن و يا خلق نشدن خداوند براي ذهن آدمي معما گونه بوده است.</w:t>
      </w:r>
    </w:p>
    <w:p w:rsidR="0011420A" w:rsidRPr="00175A44" w:rsidP="00874FDC">
      <w:pPr>
        <w:widowControl w:val="0"/>
        <w:spacing w:line="420" w:lineRule="exact"/>
        <w:ind w:left="0" w:right="0"/>
        <w:jc w:val="both"/>
        <w:rPr>
          <w:rFonts w:cs="B Zar" w:hint="cs"/>
          <w:rtl/>
        </w:rPr>
      </w:pPr>
      <w:r w:rsidRPr="00175A44">
        <w:rPr>
          <w:rFonts w:cs="B Zar" w:hint="cs"/>
          <w:rtl/>
        </w:rPr>
        <w:t xml:space="preserve"> در سامَ ودا</w:t>
      </w:r>
      <w:r w:rsidRPr="00175A44">
        <w:rPr>
          <w:rFonts w:cs="B Zar"/>
        </w:rPr>
        <w:t xml:space="preserve"> (Samaveda)</w:t>
      </w:r>
      <w:r w:rsidRPr="00175A44">
        <w:rPr>
          <w:rFonts w:cs="B Zar" w:hint="cs"/>
          <w:rtl/>
        </w:rPr>
        <w:t xml:space="preserve"> از ويشواكارمان به عنوان كسي كه براي ايجاد آفرينش، مراسم آفاقي قرباني را ترتيب داد و حتي خود را قرباني كرد، نام برده شده است.</w:t>
      </w:r>
      <w:r>
        <w:rPr>
          <w:rStyle w:val="FootnoteReference"/>
          <w:rFonts w:cs="B Zar"/>
          <w:rtl/>
        </w:rPr>
        <w:footnoteReference w:id="418"/>
      </w:r>
      <w:r w:rsidRPr="00175A44">
        <w:rPr>
          <w:rFonts w:cs="B Zar" w:hint="cs"/>
          <w:rtl/>
        </w:rPr>
        <w:t xml:space="preserve"> در هر دو تمثيل فوق، ايده وحدت‌الوجودي منعكس گرديده، خداوند و تجليات او هبوط كرده تا به صورت جهان و انسان درآمده است. در رسائل برهمانا اكثراً لقب ويشواكارمان به عنوان پارجاپاتي به كار رفته است.</w:t>
      </w:r>
      <w:r>
        <w:rPr>
          <w:rStyle w:val="FootnoteReference"/>
          <w:rFonts w:cs="B Zar"/>
          <w:rtl/>
        </w:rPr>
        <w:footnoteReference w:id="419"/>
      </w:r>
      <w:r w:rsidRPr="00175A44">
        <w:rPr>
          <w:rFonts w:cs="B Zar" w:hint="cs"/>
          <w:rtl/>
        </w:rPr>
        <w:t xml:space="preserve"> به نظر مي رسد در اين مرحله توحيدي سير انديشه ديني آريایي، </w:t>
      </w:r>
      <w:r w:rsidRPr="00175A44">
        <w:rPr>
          <w:rFonts w:cs="B Zar" w:hint="cs"/>
          <w:i/>
          <w:iCs/>
          <w:rtl/>
        </w:rPr>
        <w:t>پاراجاپاتي ويشواكارمان پوروش</w:t>
      </w:r>
      <w:r w:rsidRPr="00175A44">
        <w:rPr>
          <w:rFonts w:cs="B Zar"/>
          <w:i/>
          <w:iCs/>
        </w:rPr>
        <w:t xml:space="preserve"> (</w:t>
      </w:r>
      <w:r w:rsidRPr="00175A44">
        <w:rPr>
          <w:rFonts w:cs="B Zar"/>
        </w:rPr>
        <w:t>Purush</w:t>
      </w:r>
      <w:r w:rsidRPr="00175A44">
        <w:rPr>
          <w:rFonts w:cs="B Zar"/>
          <w:i/>
          <w:iCs/>
        </w:rPr>
        <w:t>)</w:t>
      </w:r>
      <w:r w:rsidRPr="00175A44">
        <w:rPr>
          <w:rFonts w:cs="B Zar" w:hint="cs"/>
          <w:i/>
          <w:iCs/>
          <w:rtl/>
        </w:rPr>
        <w:t xml:space="preserve">، هيران </w:t>
      </w:r>
      <w:r w:rsidRPr="00175A44">
        <w:rPr>
          <w:rFonts w:cs="B Zar" w:hint="cs"/>
          <w:rtl/>
        </w:rPr>
        <w:t>گاربا</w:t>
      </w:r>
      <w:r w:rsidRPr="00175A44">
        <w:rPr>
          <w:rFonts w:cs="B Zar"/>
        </w:rPr>
        <w:t xml:space="preserve"> (Hirangarbha</w:t>
      </w:r>
      <w:r w:rsidRPr="00175A44">
        <w:rPr>
          <w:rFonts w:cs="B Zar"/>
          <w:i/>
          <w:iCs/>
        </w:rPr>
        <w:t>)</w:t>
      </w:r>
      <w:r w:rsidRPr="00175A44">
        <w:rPr>
          <w:rFonts w:cs="B Zar" w:hint="cs"/>
          <w:i/>
          <w:iCs/>
          <w:rtl/>
        </w:rPr>
        <w:t>، پَرَمِش تهِن</w:t>
      </w:r>
      <w:r w:rsidRPr="00175A44">
        <w:rPr>
          <w:rFonts w:cs="B Zar"/>
          <w:i/>
          <w:iCs/>
        </w:rPr>
        <w:t xml:space="preserve"> </w:t>
      </w:r>
      <w:r w:rsidRPr="00175A44">
        <w:rPr>
          <w:rFonts w:cs="B Zar"/>
        </w:rPr>
        <w:t>Parameshthan</w:t>
      </w:r>
      <w:r w:rsidRPr="00175A44">
        <w:rPr>
          <w:rFonts w:cs="B Zar"/>
          <w:i/>
          <w:iCs/>
        </w:rPr>
        <w:t>)</w:t>
      </w:r>
      <w:r w:rsidRPr="00175A44">
        <w:rPr>
          <w:rFonts w:cs="B Zar" w:hint="cs"/>
          <w:i/>
          <w:iCs/>
          <w:rtl/>
        </w:rPr>
        <w:t xml:space="preserve">، </w:t>
      </w:r>
      <w:r w:rsidRPr="00175A44">
        <w:rPr>
          <w:rFonts w:cs="B Zar" w:hint="cs"/>
          <w:rtl/>
        </w:rPr>
        <w:t>همه عناوين مختلف آفريدگار جهان می‌باشند و چهره‌هاي مختلف چرخه آفرينش را نشان مي‌دهند. چنانكه بلوم فيلد و ماكس مولر گفته‌اند ادبيات ودا براي منشاء خلقت، عناوين گوناگون فوق را در جاهاي مختلف به كار برده است.</w:t>
      </w:r>
      <w:r>
        <w:rPr>
          <w:rStyle w:val="FootnoteReference"/>
          <w:rFonts w:cs="B Zar"/>
          <w:rtl/>
        </w:rPr>
        <w:footnoteReference w:id="420"/>
      </w:r>
      <w:r w:rsidRPr="00175A44">
        <w:rPr>
          <w:rFonts w:cs="B Zar" w:hint="cs"/>
          <w:rtl/>
        </w:rPr>
        <w:t xml:space="preserve"> هيران گاربا، بيضه طلائي يا صفت خالقيت و ربوبيت بالقوه است. ويشواكارمان صفت خالقيت و ربوبيت بالفعل، پوروش «نفخه الهي» يا جوهر ملكوتي در انسان است. سِوي يام بهو نيز جوهر نهفته خلقت است.</w:t>
      </w:r>
    </w:p>
    <w:p w:rsidR="0011420A" w:rsidRPr="00175A44" w:rsidP="003C0EF5">
      <w:pPr>
        <w:widowControl w:val="0"/>
        <w:spacing w:line="420" w:lineRule="exact"/>
        <w:ind w:left="0" w:right="0"/>
        <w:jc w:val="both"/>
        <w:rPr>
          <w:rFonts w:cs="B Zar" w:hint="cs"/>
          <w:rtl/>
        </w:rPr>
      </w:pPr>
      <w:r w:rsidRPr="00175A44">
        <w:rPr>
          <w:rFonts w:cs="B Zar" w:hint="cs"/>
          <w:rtl/>
        </w:rPr>
        <w:t>در ريگ ودا، انديشه توحيدي راجع به پارجاپاتي و ويشواكارمان در كتاب دهم، آخرين بخش اين مجموعه، به اوج رسيده است. تصوري كه از پاراجاپاتي و ويشواكارمان ارائه شده، با تعاليم توحيدي اديان پيشرفته هيچ تفاوتي ندارند. ما اينك سرود بسيار معروف كتاب دهم (سرود 121) را براي پارسي زبانان ترجمه مي‌كنيم.</w:t>
      </w:r>
    </w:p>
    <w:p w:rsidR="0011420A" w:rsidRPr="00175A44" w:rsidP="003C0EF5">
      <w:pPr>
        <w:widowControl w:val="0"/>
        <w:spacing w:line="420" w:lineRule="exact"/>
        <w:ind w:left="0" w:right="0"/>
        <w:jc w:val="both"/>
        <w:rPr>
          <w:rFonts w:cs="B Zar" w:hint="cs"/>
          <w:rtl/>
        </w:rPr>
      </w:pPr>
      <w:r w:rsidRPr="00175A44">
        <w:rPr>
          <w:rFonts w:cs="B Zar" w:hint="cs"/>
          <w:rtl/>
        </w:rPr>
        <w:t>در آغاز هيران يا گاربها ظهور كرد.</w:t>
      </w:r>
    </w:p>
    <w:p w:rsidR="0011420A" w:rsidRPr="00175A44" w:rsidP="003C0EF5">
      <w:pPr>
        <w:widowControl w:val="0"/>
        <w:spacing w:line="420" w:lineRule="exact"/>
        <w:ind w:left="0" w:right="0"/>
        <w:jc w:val="both"/>
        <w:rPr>
          <w:rFonts w:cs="B Zar" w:hint="cs"/>
          <w:rtl/>
        </w:rPr>
      </w:pPr>
      <w:r w:rsidRPr="00175A44">
        <w:rPr>
          <w:rFonts w:cs="B Zar" w:hint="cs"/>
          <w:rtl/>
        </w:rPr>
        <w:t>او به عنوان يگانه رب كل خلقت جلوه نمود.</w:t>
      </w:r>
    </w:p>
    <w:p w:rsidR="0011420A" w:rsidRPr="00175A44" w:rsidP="003C0EF5">
      <w:pPr>
        <w:widowControl w:val="0"/>
        <w:spacing w:line="420" w:lineRule="exact"/>
        <w:ind w:left="0" w:right="0"/>
        <w:jc w:val="both"/>
        <w:rPr>
          <w:rFonts w:cs="B Zar" w:hint="cs"/>
          <w:rtl/>
        </w:rPr>
      </w:pPr>
      <w:r w:rsidRPr="00175A44">
        <w:rPr>
          <w:rFonts w:cs="B Zar" w:hint="cs"/>
          <w:rtl/>
        </w:rPr>
        <w:t>او زمين را قرار بخشيد و آسمان را مستقر ساخت.</w:t>
      </w:r>
    </w:p>
    <w:p w:rsidR="0011420A" w:rsidRPr="00175A44" w:rsidP="003C0EF5">
      <w:pPr>
        <w:widowControl w:val="0"/>
        <w:spacing w:line="420" w:lineRule="exact"/>
        <w:ind w:left="0" w:right="0"/>
        <w:jc w:val="both"/>
        <w:rPr>
          <w:rFonts w:cs="B Zar" w:hint="cs"/>
          <w:rtl/>
        </w:rPr>
      </w:pPr>
      <w:r w:rsidRPr="00175A44">
        <w:rPr>
          <w:rFonts w:cs="B Zar" w:hint="cs"/>
          <w:rtl/>
        </w:rPr>
        <w:t>ما چه كسي را با نذور خود بپرستيم؟</w:t>
      </w:r>
    </w:p>
    <w:p w:rsidR="0011420A" w:rsidRPr="00175A44" w:rsidP="003C0EF5">
      <w:pPr>
        <w:widowControl w:val="0"/>
        <w:spacing w:line="420" w:lineRule="exact"/>
        <w:ind w:left="0" w:right="0"/>
        <w:jc w:val="both"/>
        <w:rPr>
          <w:rFonts w:cs="B Zar" w:hint="cs"/>
          <w:rtl/>
        </w:rPr>
      </w:pPr>
      <w:r w:rsidRPr="00175A44">
        <w:rPr>
          <w:rFonts w:cs="B Zar" w:hint="cs"/>
          <w:rtl/>
        </w:rPr>
        <w:t>او را كه به ما نعمت هستي ارزاني داد، او كه به ما نيرو داد،</w:t>
      </w:r>
    </w:p>
    <w:p w:rsidR="0011420A" w:rsidRPr="00175A44" w:rsidP="003C0EF5">
      <w:pPr>
        <w:widowControl w:val="0"/>
        <w:spacing w:line="420" w:lineRule="exact"/>
        <w:ind w:left="0" w:right="0"/>
        <w:jc w:val="both"/>
        <w:rPr>
          <w:rFonts w:cs="B Zar" w:hint="cs"/>
          <w:rtl/>
        </w:rPr>
      </w:pPr>
      <w:r w:rsidRPr="00175A44">
        <w:rPr>
          <w:rFonts w:cs="B Zar" w:hint="cs"/>
          <w:rtl/>
        </w:rPr>
        <w:t>او كه هيچ موجودي از حيطه فرمان او بيرون نيست،</w:t>
      </w:r>
    </w:p>
    <w:p w:rsidR="0011420A" w:rsidRPr="00175A44" w:rsidP="003C0EF5">
      <w:pPr>
        <w:widowControl w:val="0"/>
        <w:spacing w:line="420" w:lineRule="exact"/>
        <w:ind w:left="0" w:right="0"/>
        <w:jc w:val="both"/>
        <w:rPr>
          <w:rFonts w:cs="B Zar" w:hint="cs"/>
          <w:rtl/>
        </w:rPr>
      </w:pPr>
      <w:r w:rsidRPr="00175A44">
        <w:rPr>
          <w:rFonts w:cs="B Zar" w:hint="cs"/>
          <w:rtl/>
        </w:rPr>
        <w:t>حتي دَيوَتاها!</w:t>
      </w:r>
    </w:p>
    <w:p w:rsidR="0011420A" w:rsidRPr="00175A44" w:rsidP="003C0EF5">
      <w:pPr>
        <w:widowControl w:val="0"/>
        <w:spacing w:line="420" w:lineRule="exact"/>
        <w:ind w:left="0" w:right="0"/>
        <w:jc w:val="both"/>
        <w:rPr>
          <w:rFonts w:cs="B Zar" w:hint="cs"/>
          <w:rtl/>
        </w:rPr>
      </w:pPr>
      <w:r w:rsidRPr="00175A44">
        <w:rPr>
          <w:rFonts w:cs="B Zar" w:hint="cs"/>
          <w:rtl/>
        </w:rPr>
        <w:t>مرگ چيست؟ جز از سايه او، زيست جاويدان چيست؟ جز سايه او.</w:t>
      </w:r>
    </w:p>
    <w:p w:rsidR="0011420A" w:rsidRPr="00175A44" w:rsidP="003C0EF5">
      <w:pPr>
        <w:widowControl w:val="0"/>
        <w:spacing w:line="420" w:lineRule="exact"/>
        <w:ind w:left="0" w:right="0"/>
        <w:jc w:val="both"/>
        <w:rPr>
          <w:rFonts w:cs="B Zar" w:hint="cs"/>
          <w:rtl/>
        </w:rPr>
      </w:pPr>
      <w:r w:rsidRPr="00175A44">
        <w:rPr>
          <w:rFonts w:cs="B Zar" w:hint="cs"/>
          <w:rtl/>
        </w:rPr>
        <w:t>ما چه كسي را با نذور خود بپرستيم؟</w:t>
      </w:r>
    </w:p>
    <w:p w:rsidR="0011420A" w:rsidRPr="00175A44" w:rsidP="003C0EF5">
      <w:pPr>
        <w:widowControl w:val="0"/>
        <w:spacing w:line="420" w:lineRule="exact"/>
        <w:ind w:left="0" w:right="0"/>
        <w:jc w:val="both"/>
        <w:rPr>
          <w:rFonts w:cs="B Zar" w:hint="cs"/>
          <w:rtl/>
        </w:rPr>
      </w:pPr>
      <w:r w:rsidRPr="00175A44">
        <w:rPr>
          <w:rFonts w:cs="B Zar" w:hint="cs"/>
          <w:rtl/>
        </w:rPr>
        <w:t>او كه قدرت شگرف او،</w:t>
      </w:r>
    </w:p>
    <w:p w:rsidR="0011420A" w:rsidRPr="00175A44" w:rsidP="003C0EF5">
      <w:pPr>
        <w:widowControl w:val="0"/>
        <w:spacing w:line="420" w:lineRule="exact"/>
        <w:ind w:left="0" w:right="0"/>
        <w:jc w:val="both"/>
        <w:rPr>
          <w:rFonts w:cs="B Zar" w:hint="cs"/>
          <w:rtl/>
        </w:rPr>
      </w:pPr>
      <w:r w:rsidRPr="00175A44">
        <w:rPr>
          <w:rFonts w:cs="B Zar" w:hint="cs"/>
          <w:rtl/>
        </w:rPr>
        <w:t>بر قله كوههاي پر از برف، بر اقيانوس‌‌هاي پهناور و رودهاي روان نقش بسته است.</w:t>
      </w:r>
    </w:p>
    <w:p w:rsidR="0011420A" w:rsidRPr="00175A44" w:rsidP="003C0EF5">
      <w:pPr>
        <w:widowControl w:val="0"/>
        <w:spacing w:line="420" w:lineRule="exact"/>
        <w:ind w:left="0" w:right="0"/>
        <w:jc w:val="both"/>
        <w:rPr>
          <w:rFonts w:cs="B Zar" w:hint="cs"/>
          <w:rtl/>
        </w:rPr>
      </w:pPr>
      <w:r w:rsidRPr="00175A44">
        <w:rPr>
          <w:rFonts w:cs="B Zar" w:hint="cs"/>
          <w:rtl/>
        </w:rPr>
        <w:t>او كه بازوهاي گسترده او صحراهاي وسيع‌اند.</w:t>
      </w:r>
    </w:p>
    <w:p w:rsidR="0011420A" w:rsidRPr="00175A44" w:rsidP="003C0EF5">
      <w:pPr>
        <w:widowControl w:val="0"/>
        <w:spacing w:line="420" w:lineRule="exact"/>
        <w:ind w:left="0" w:right="0"/>
        <w:jc w:val="both"/>
        <w:rPr>
          <w:rFonts w:cs="B Zar" w:hint="cs"/>
          <w:rtl/>
        </w:rPr>
      </w:pPr>
      <w:r w:rsidRPr="00175A44">
        <w:rPr>
          <w:rFonts w:cs="B Zar" w:hint="cs"/>
          <w:rtl/>
        </w:rPr>
        <w:t>ما چه كسي را  با نذور خود بپرستيم؟</w:t>
      </w:r>
    </w:p>
    <w:p w:rsidR="0011420A" w:rsidRPr="00175A44" w:rsidP="003C0EF5">
      <w:pPr>
        <w:widowControl w:val="0"/>
        <w:spacing w:line="420" w:lineRule="exact"/>
        <w:ind w:left="0" w:right="0"/>
        <w:jc w:val="both"/>
        <w:rPr>
          <w:rFonts w:cs="B Zar" w:hint="cs"/>
          <w:rtl/>
        </w:rPr>
      </w:pPr>
      <w:r w:rsidRPr="00175A44">
        <w:rPr>
          <w:rFonts w:cs="B Zar" w:hint="cs"/>
          <w:rtl/>
        </w:rPr>
        <w:t>او كه آسمان را پر نور و درخشان ساخت، او كه زمين را مستقر كرد.</w:t>
      </w:r>
    </w:p>
    <w:p w:rsidR="0011420A" w:rsidRPr="00175A44" w:rsidP="003C0EF5">
      <w:pPr>
        <w:widowControl w:val="0"/>
        <w:spacing w:line="420" w:lineRule="exact"/>
        <w:ind w:left="0" w:right="0"/>
        <w:jc w:val="both"/>
        <w:rPr>
          <w:rFonts w:cs="B Zar" w:hint="cs"/>
          <w:rtl/>
        </w:rPr>
      </w:pPr>
      <w:r w:rsidRPr="00175A44">
        <w:rPr>
          <w:rFonts w:cs="B Zar" w:hint="cs"/>
          <w:rtl/>
        </w:rPr>
        <w:t>او كه اجرام فلكي و كهكشانها را آويزان كرد.</w:t>
      </w:r>
    </w:p>
    <w:p w:rsidR="0011420A" w:rsidRPr="00175A44" w:rsidP="003C0EF5">
      <w:pPr>
        <w:widowControl w:val="0"/>
        <w:spacing w:line="420" w:lineRule="exact"/>
        <w:ind w:left="0" w:right="0"/>
        <w:jc w:val="both"/>
        <w:rPr>
          <w:rFonts w:cs="B Zar" w:hint="cs"/>
          <w:rtl/>
        </w:rPr>
      </w:pPr>
      <w:r w:rsidRPr="00175A44">
        <w:rPr>
          <w:rFonts w:cs="B Zar" w:hint="cs"/>
          <w:rtl/>
        </w:rPr>
        <w:t>او كه ملكوت اعلي را مستقر ساخت.</w:t>
      </w:r>
    </w:p>
    <w:p w:rsidR="0011420A" w:rsidRPr="00175A44" w:rsidP="003C0EF5">
      <w:pPr>
        <w:widowControl w:val="0"/>
        <w:spacing w:line="420" w:lineRule="exact"/>
        <w:ind w:left="0" w:right="0"/>
        <w:jc w:val="both"/>
        <w:rPr>
          <w:rFonts w:cs="B Zar" w:hint="cs"/>
          <w:rtl/>
        </w:rPr>
      </w:pPr>
      <w:r w:rsidRPr="00175A44">
        <w:rPr>
          <w:rFonts w:cs="B Zar" w:hint="cs"/>
          <w:rtl/>
        </w:rPr>
        <w:t>او كه پهنه فضا را اندازه گرفت.</w:t>
      </w:r>
    </w:p>
    <w:p w:rsidR="0011420A" w:rsidRPr="00175A44" w:rsidP="003C0EF5">
      <w:pPr>
        <w:widowControl w:val="0"/>
        <w:spacing w:line="420" w:lineRule="exact"/>
        <w:ind w:left="0" w:right="0"/>
        <w:jc w:val="both"/>
        <w:rPr>
          <w:rFonts w:cs="B Zar" w:hint="cs"/>
          <w:rtl/>
        </w:rPr>
      </w:pPr>
      <w:r w:rsidRPr="00175A44">
        <w:rPr>
          <w:rFonts w:cs="B Zar" w:hint="cs"/>
          <w:rtl/>
        </w:rPr>
        <w:t>اينچنين معبودي را با نذور خود مورد پرستش قرار مي‌دهيم</w:t>
      </w:r>
      <w:r>
        <w:rPr>
          <w:rStyle w:val="FootnoteReference"/>
          <w:rFonts w:cs="B Zar"/>
          <w:rtl/>
        </w:rPr>
        <w:footnoteReference w:id="421"/>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اين ديگر يك تصور متعالي خداي توحيدي است. در سرود ديگر پارجاپاتي چنين توصيف شده است:</w:t>
      </w:r>
    </w:p>
    <w:p w:rsidR="0011420A" w:rsidRPr="00175A44" w:rsidP="003C0EF5">
      <w:pPr>
        <w:widowControl w:val="0"/>
        <w:spacing w:line="420" w:lineRule="exact"/>
        <w:ind w:left="0" w:right="0"/>
        <w:jc w:val="both"/>
        <w:rPr>
          <w:rFonts w:cs="B Zar" w:hint="cs"/>
          <w:rtl/>
        </w:rPr>
      </w:pPr>
      <w:r w:rsidRPr="00175A44">
        <w:rPr>
          <w:rFonts w:cs="B Zar" w:hint="cs"/>
          <w:rtl/>
        </w:rPr>
        <w:t>او كه پدر ما، خالق ما، آفريننده ماست.</w:t>
      </w:r>
    </w:p>
    <w:p w:rsidR="0011420A" w:rsidRPr="00175A44" w:rsidP="003C0EF5">
      <w:pPr>
        <w:widowControl w:val="0"/>
        <w:spacing w:line="420" w:lineRule="exact"/>
        <w:ind w:left="0" w:right="0"/>
        <w:jc w:val="both"/>
        <w:rPr>
          <w:rFonts w:cs="B Zar" w:hint="cs"/>
          <w:rtl/>
        </w:rPr>
      </w:pPr>
      <w:r w:rsidRPr="00175A44">
        <w:rPr>
          <w:rFonts w:cs="B Zar" w:hint="cs"/>
          <w:rtl/>
        </w:rPr>
        <w:t>او كه بر  همه مكانها، و اشياء محيط است.</w:t>
      </w:r>
    </w:p>
    <w:p w:rsidR="0011420A" w:rsidRPr="00175A44" w:rsidP="003C0EF5">
      <w:pPr>
        <w:widowControl w:val="0"/>
        <w:spacing w:line="420" w:lineRule="exact"/>
        <w:ind w:left="0" w:right="0"/>
        <w:jc w:val="both"/>
        <w:rPr>
          <w:rFonts w:cs="B Zar" w:hint="cs"/>
          <w:rtl/>
        </w:rPr>
      </w:pPr>
      <w:r w:rsidRPr="00175A44">
        <w:rPr>
          <w:rFonts w:cs="B Zar" w:hint="cs"/>
          <w:rtl/>
        </w:rPr>
        <w:t>دَيوَتاها اسامي و عناوين خود را از او گرفته‌اند.</w:t>
      </w:r>
    </w:p>
    <w:p w:rsidR="0011420A" w:rsidRPr="00175A44" w:rsidP="003C0EF5">
      <w:pPr>
        <w:widowControl w:val="0"/>
        <w:spacing w:line="420" w:lineRule="exact"/>
        <w:ind w:left="0" w:right="0"/>
        <w:jc w:val="both"/>
        <w:rPr>
          <w:rFonts w:cs="B Zar" w:hint="cs"/>
          <w:rtl/>
        </w:rPr>
      </w:pPr>
      <w:r w:rsidRPr="00175A44">
        <w:rPr>
          <w:rFonts w:cs="B Zar" w:hint="cs"/>
          <w:rtl/>
        </w:rPr>
        <w:t>به درگاه او تمام موجودات سرفرود مي‌آورند.</w:t>
      </w:r>
      <w:r>
        <w:rPr>
          <w:rStyle w:val="FootnoteReference"/>
          <w:rFonts w:cs="B Zar"/>
          <w:rtl/>
        </w:rPr>
        <w:footnoteReference w:id="422"/>
      </w:r>
    </w:p>
    <w:p w:rsidR="0011420A" w:rsidRPr="00175A44" w:rsidP="003C0EF5">
      <w:pPr>
        <w:widowControl w:val="0"/>
        <w:spacing w:line="420" w:lineRule="exact"/>
        <w:ind w:left="0" w:right="0"/>
        <w:jc w:val="both"/>
        <w:rPr>
          <w:rFonts w:cs="B Zar" w:hint="cs"/>
          <w:rtl/>
        </w:rPr>
      </w:pPr>
      <w:r w:rsidRPr="00175A44">
        <w:rPr>
          <w:rFonts w:cs="B Zar" w:hint="cs"/>
          <w:rtl/>
        </w:rPr>
        <w:t>در اين دوره لحن توحيدي گاه بسيار صريح مي‌گردد. در ياجور ودا مي‌خوانيم: خداوند در همه جا حضور دارد، داراي وجود نوراني است، شكل و هيئتي ندارد و مقدس مطلق، معصوم مطلق، قادر و عالم مطلق و قائم با لذات است. او پديده‌هاي جهاني را آفريده است.</w:t>
      </w:r>
    </w:p>
    <w:p w:rsidR="0011420A" w:rsidRPr="00175A44" w:rsidP="003C0EF5">
      <w:pPr>
        <w:widowControl w:val="0"/>
        <w:spacing w:line="420" w:lineRule="exact"/>
        <w:ind w:left="0" w:right="0"/>
        <w:jc w:val="both"/>
        <w:rPr>
          <w:rFonts w:cs="B Zar" w:hint="cs"/>
          <w:rtl/>
        </w:rPr>
      </w:pPr>
      <w:r w:rsidRPr="00175A44">
        <w:rPr>
          <w:rFonts w:cs="B Zar" w:hint="cs"/>
          <w:rtl/>
        </w:rPr>
        <w:t>در جاي ديگر ودا خاطر نشان مي‌سازد:</w:t>
      </w:r>
    </w:p>
    <w:p w:rsidR="0011420A" w:rsidRPr="00175A44" w:rsidP="003C0EF5">
      <w:pPr>
        <w:widowControl w:val="0"/>
        <w:spacing w:line="420" w:lineRule="exact"/>
        <w:ind w:left="0" w:right="0"/>
        <w:jc w:val="both"/>
        <w:rPr>
          <w:rFonts w:cs="B Zar" w:hint="cs"/>
          <w:i/>
          <w:iCs/>
          <w:rtl/>
        </w:rPr>
      </w:pPr>
      <w:r w:rsidRPr="00175A44">
        <w:rPr>
          <w:rFonts w:cs="B Zar" w:hint="cs"/>
          <w:i/>
          <w:iCs/>
          <w:rtl/>
        </w:rPr>
        <w:t>«اي انسان! خدا را تقديس كن، كسي كه واحد و احد است. عالم و قادر مطلق و رب همه موجودات است. تنها خداي واحدي را بايد پرستش كنيم.»</w:t>
      </w:r>
    </w:p>
    <w:p w:rsidR="0011420A" w:rsidRPr="00175A44" w:rsidP="003C0EF5">
      <w:pPr>
        <w:widowControl w:val="0"/>
        <w:spacing w:line="420" w:lineRule="exact"/>
        <w:ind w:left="0" w:right="0"/>
        <w:jc w:val="both"/>
        <w:rPr>
          <w:rFonts w:cs="B Zar" w:hint="cs"/>
          <w:i/>
          <w:iCs/>
          <w:rtl/>
        </w:rPr>
      </w:pPr>
      <w:r w:rsidRPr="00175A44">
        <w:rPr>
          <w:rFonts w:cs="B Zar" w:hint="cs"/>
          <w:i/>
          <w:iCs/>
          <w:rtl/>
        </w:rPr>
        <w:t>«هيچكس را جز خداي يگانه پرستش نكن كه او بخشنده مهربان و عطا كننده آرامش است. اي دوست! كسي را به طور جلي و خفي با او همباز نگير.</w:t>
      </w:r>
      <w:r>
        <w:rPr>
          <w:rStyle w:val="FootnoteReference"/>
          <w:rFonts w:cs="B Zar"/>
          <w:i/>
          <w:iCs/>
          <w:rtl/>
        </w:rPr>
        <w:footnoteReference w:id="423"/>
      </w:r>
    </w:p>
    <w:p w:rsidR="0011420A" w:rsidRPr="00175A44" w:rsidP="003C0EF5">
      <w:pPr>
        <w:widowControl w:val="0"/>
        <w:spacing w:line="420" w:lineRule="exact"/>
        <w:ind w:left="0" w:right="0"/>
        <w:jc w:val="both"/>
        <w:rPr>
          <w:rFonts w:cs="B Zar" w:hint="cs"/>
          <w:rtl/>
        </w:rPr>
      </w:pPr>
      <w:r w:rsidRPr="00175A44">
        <w:rPr>
          <w:rFonts w:cs="B Zar" w:hint="cs"/>
          <w:rtl/>
        </w:rPr>
        <w:t>و سرانجام در اَتهَاروَ ودا فرمول توحيد با صراحت تام اعلام گرديده است.</w:t>
      </w:r>
    </w:p>
    <w:p w:rsidR="0011420A" w:rsidP="003C0EF5">
      <w:pPr>
        <w:widowControl w:val="0"/>
        <w:spacing w:line="420" w:lineRule="exact"/>
        <w:ind w:left="0" w:right="0"/>
        <w:jc w:val="both"/>
        <w:rPr>
          <w:rFonts w:cs="B Zar" w:hint="cs"/>
          <w:i/>
          <w:iCs/>
          <w:rtl/>
        </w:rPr>
      </w:pPr>
      <w:r w:rsidRPr="00175A44">
        <w:rPr>
          <w:rFonts w:cs="B Zar" w:hint="cs"/>
          <w:i/>
          <w:iCs/>
          <w:rtl/>
        </w:rPr>
        <w:t>«خداوند نه ثاني دارد، نه ثالث، نه چهارمين نه پنجمين، او را نه ششمين مي توان ناميد نه هفتمين، نه هشتمين مي توان  قلمداد كرد، نه نهمين. او نگهدارنده تمام موجودات و اشياء است، او يكي است ، صرفاً يكي است».</w:t>
      </w:r>
      <w:r>
        <w:rPr>
          <w:rStyle w:val="FootnoteReference"/>
          <w:rFonts w:cs="B Zar"/>
          <w:i/>
          <w:iCs/>
          <w:rtl/>
        </w:rPr>
        <w:footnoteReference w:id="424"/>
      </w:r>
    </w:p>
    <w:p w:rsidR="0078614F" w:rsidRPr="00175A44" w:rsidP="003C0EF5">
      <w:pPr>
        <w:widowControl w:val="0"/>
        <w:spacing w:line="420" w:lineRule="exact"/>
        <w:ind w:left="0" w:right="0"/>
        <w:jc w:val="both"/>
        <w:rPr>
          <w:rFonts w:cs="B Zar" w:hint="cs"/>
          <w:i/>
          <w:i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رابطه شرك و توحيد: بررسي نظريه‌هاي گوناگون</w:t>
      </w:r>
    </w:p>
    <w:p w:rsidR="0011420A" w:rsidRPr="00175A44" w:rsidP="003C0EF5">
      <w:pPr>
        <w:widowControl w:val="0"/>
        <w:spacing w:line="420" w:lineRule="exact"/>
        <w:ind w:left="0" w:right="0"/>
        <w:jc w:val="both"/>
        <w:rPr>
          <w:rFonts w:cs="B Zar" w:hint="cs"/>
          <w:rtl/>
        </w:rPr>
      </w:pPr>
      <w:r w:rsidRPr="00175A44">
        <w:rPr>
          <w:rFonts w:cs="B Zar" w:hint="cs"/>
          <w:rtl/>
        </w:rPr>
        <w:t xml:space="preserve">اينگونه اظهارات صريح وداهاي چهارگانه موجب شده است، تمام وداشناسان بدين نكته اعتراف كنند كه در عصر ودا، آريائي‌ها به مرحله توحيد رسيده بودند؛ ولي هنوز ابرهاي شرك اين خورشيد را زير سايه قرار مي دهد، تبيين رابطه شرك و توحيد در اين مرحله امر ساده‌اي نيست.. پكتت </w:t>
      </w:r>
      <w:r w:rsidRPr="00175A44">
        <w:rPr>
          <w:rFonts w:cs="B Zar"/>
        </w:rPr>
        <w:t>(Pictet)</w:t>
      </w:r>
      <w:r w:rsidRPr="00175A44">
        <w:rPr>
          <w:rFonts w:cs="B Zar" w:hint="cs"/>
          <w:rtl/>
        </w:rPr>
        <w:t xml:space="preserve"> مي‌گويد: «آريائي‌‌هاي عصر ودا به اصل توحيد اعتقاد پيدا كرده بودند؛ ولي اين اعتقاد هنوز حالت ابتدائي بسيط داشت و فاقد دقت و صراحت بود. روث </w:t>
      </w:r>
      <w:r w:rsidRPr="00175A44">
        <w:rPr>
          <w:rFonts w:cs="B Zar"/>
        </w:rPr>
        <w:t>(Roth)</w:t>
      </w:r>
      <w:r w:rsidRPr="00175A44">
        <w:rPr>
          <w:rFonts w:cs="B Zar" w:hint="cs"/>
          <w:rtl/>
        </w:rPr>
        <w:t xml:space="preserve"> نيز اين امر را تاييد مي‌كند. ماكس مولر كه نظريه هنوتيسم </w:t>
      </w:r>
      <w:r w:rsidRPr="00175A44">
        <w:rPr>
          <w:rFonts w:cs="B Zar"/>
        </w:rPr>
        <w:t>(Henotheism)</w:t>
      </w:r>
      <w:r w:rsidRPr="00175A44">
        <w:rPr>
          <w:rFonts w:cs="B Zar" w:hint="cs"/>
          <w:rtl/>
        </w:rPr>
        <w:t xml:space="preserve"> را عنوان كرده و معتقد بود كه تعاليم ودا نه مبتني بر شرك است و نه توحيد، بلكه هنوتيسم است، در آثار اخير خود اعتراف كرده است كه در برخي سرودها و ابيات، اعتقاد توحيد منعكس شده است. او مي نگارد: «چنان به نظر مي رسد دو دوره اخير عصر ودا آريائي‌ها بدين اصل دست پيدا كرده بودند كه معبود ذات احد است كه نه نر است و نه مادينه و فراسوي محدوديت‌هاي شخصيت ناقص قرار دارد، و تمام عناوين گوناگون از جمله ايندرا، آگني، سوما و غيره، صفات و مظاهر ذات واحدي‌اند. آنان، آن ذاتِ احدي را، پارجاپاتي يا «رب‌العالمين» مي‌‌ناميده‌اند. در برخي سرودها به خصوص در سرود صد و بيست و يكم كتاب دهم، چنان تاكيد روي اين نكته صورت گرفته است كه انكار آن دشوار است».</w:t>
      </w:r>
      <w:r>
        <w:rPr>
          <w:rStyle w:val="FootnoteReference"/>
          <w:rFonts w:cs="B Zar"/>
          <w:rtl/>
        </w:rPr>
        <w:footnoteReference w:id="425"/>
      </w:r>
    </w:p>
    <w:p w:rsidR="0011420A" w:rsidRPr="00175A44" w:rsidP="003C0EF5">
      <w:pPr>
        <w:widowControl w:val="0"/>
        <w:spacing w:line="420" w:lineRule="exact"/>
        <w:ind w:left="0" w:right="0"/>
        <w:jc w:val="both"/>
        <w:rPr>
          <w:rFonts w:cs="B Zar" w:hint="cs"/>
          <w:rtl/>
        </w:rPr>
      </w:pPr>
      <w:r w:rsidRPr="00175A44">
        <w:rPr>
          <w:rFonts w:cs="B Zar" w:hint="cs"/>
          <w:rtl/>
        </w:rPr>
        <w:t xml:space="preserve">سريندَر ناتهـ داس گوپتا </w:t>
      </w:r>
      <w:r w:rsidRPr="00175A44">
        <w:rPr>
          <w:rFonts w:cs="B Zar"/>
        </w:rPr>
        <w:t>(Das Gupta)</w:t>
      </w:r>
      <w:r w:rsidRPr="00175A44">
        <w:rPr>
          <w:rFonts w:cs="B Zar" w:hint="cs"/>
          <w:rtl/>
        </w:rPr>
        <w:t xml:space="preserve">، يكي از صاحب نظران معتبر دين و فلسفه هند، به طور كلي با نظر ماكس مولر ـ كه دين هند باستاني منعكس كننده هنوتيسم </w:t>
      </w:r>
      <w:r w:rsidRPr="00175A44">
        <w:rPr>
          <w:rFonts w:cs="B Zar"/>
        </w:rPr>
        <w:t>(Henotheism)</w:t>
      </w:r>
      <w:r w:rsidRPr="00175A44">
        <w:rPr>
          <w:rFonts w:cs="B Zar" w:hint="cs"/>
          <w:rtl/>
        </w:rPr>
        <w:t xml:space="preserve"> است و نه شرك يا توحيد ـ موافق است. او مي‌نگارد:</w:t>
      </w:r>
    </w:p>
    <w:p w:rsidR="0011420A" w:rsidRPr="00175A44" w:rsidP="003C0EF5">
      <w:pPr>
        <w:widowControl w:val="0"/>
        <w:spacing w:line="420" w:lineRule="exact"/>
        <w:ind w:left="0" w:right="0"/>
        <w:jc w:val="both"/>
        <w:rPr>
          <w:rFonts w:cs="B Zar" w:hint="cs"/>
          <w:i/>
          <w:iCs/>
          <w:rtl/>
        </w:rPr>
      </w:pPr>
      <w:r w:rsidRPr="00175A44">
        <w:rPr>
          <w:rFonts w:cs="B Zar" w:hint="cs"/>
          <w:i/>
          <w:iCs/>
          <w:rtl/>
        </w:rPr>
        <w:t>«دين ودا منعكس كننده يك مرحله ابتدائي است كه نه آنرا مي‌توان شرك ناميد و نه توحيد»</w:t>
      </w:r>
      <w:r>
        <w:rPr>
          <w:rStyle w:val="FootnoteReference"/>
          <w:rFonts w:cs="B Zar"/>
          <w:i/>
          <w:iCs/>
          <w:rtl/>
        </w:rPr>
        <w:footnoteReference w:id="426"/>
      </w:r>
    </w:p>
    <w:p w:rsidR="0011420A" w:rsidRPr="00175A44" w:rsidP="003C0EF5">
      <w:pPr>
        <w:widowControl w:val="0"/>
        <w:spacing w:line="420" w:lineRule="exact"/>
        <w:ind w:left="0" w:right="0"/>
        <w:jc w:val="both"/>
        <w:rPr>
          <w:rFonts w:cs="B Zar" w:hint="cs"/>
          <w:rtl/>
        </w:rPr>
      </w:pPr>
      <w:r w:rsidRPr="00175A44">
        <w:rPr>
          <w:rFonts w:cs="B Zar" w:hint="cs"/>
          <w:rtl/>
        </w:rPr>
        <w:t>اما پس از چند صفحه، داس گوپتا اعتراف مي كند:</w:t>
      </w:r>
    </w:p>
    <w:p w:rsidR="0011420A" w:rsidRPr="00175A44" w:rsidP="003C0EF5">
      <w:pPr>
        <w:widowControl w:val="0"/>
        <w:spacing w:line="420" w:lineRule="exact"/>
        <w:ind w:left="0" w:right="0"/>
        <w:jc w:val="both"/>
        <w:rPr>
          <w:rFonts w:cs="B Zar" w:hint="cs"/>
          <w:i/>
          <w:iCs/>
          <w:rtl/>
        </w:rPr>
      </w:pPr>
      <w:r w:rsidRPr="00175A44">
        <w:rPr>
          <w:rFonts w:cs="B Zar" w:hint="cs"/>
          <w:i/>
          <w:iCs/>
          <w:rtl/>
        </w:rPr>
        <w:t>«گرايش هنوتيستي (يعني به هر يكي از خدايان به نوبه صفات والاي الهي نسبت دادن)، به تدريج منجر به ايجاد نوعي تصوّر يك خداي برتر گرديد كه او را «پارجاپاتي» مي‌خوانده‌اند.»</w:t>
      </w:r>
    </w:p>
    <w:p w:rsidR="0011420A" w:rsidRPr="00175A44" w:rsidP="003C0EF5">
      <w:pPr>
        <w:widowControl w:val="0"/>
        <w:spacing w:line="420" w:lineRule="exact"/>
        <w:ind w:left="0" w:right="0"/>
        <w:jc w:val="both"/>
        <w:rPr>
          <w:rFonts w:cs="B Zar" w:hint="cs"/>
          <w:i/>
          <w:iCs/>
          <w:rtl/>
        </w:rPr>
      </w:pPr>
      <w:r w:rsidRPr="00175A44">
        <w:rPr>
          <w:rFonts w:cs="B Zar" w:hint="cs"/>
          <w:i/>
          <w:iCs/>
          <w:rtl/>
        </w:rPr>
        <w:t>«انديشه آريائيان از طريق روش قياس و انتزاع عقلاني بدين مرحله توحيدي نرسيد، بلكه اين مرحله  يك مقصد محتوم و مرحله الزامي و تكامل ذهني بشر است».</w:t>
      </w:r>
      <w:r>
        <w:rPr>
          <w:rStyle w:val="FootnoteReference"/>
          <w:rFonts w:cs="B Zar"/>
          <w:i/>
          <w:iCs/>
          <w:rtl/>
        </w:rPr>
        <w:footnoteReference w:id="427"/>
      </w:r>
    </w:p>
    <w:p w:rsidR="0011420A" w:rsidRPr="00175A44" w:rsidP="003C0EF5">
      <w:pPr>
        <w:widowControl w:val="0"/>
        <w:spacing w:line="420" w:lineRule="exact"/>
        <w:ind w:left="0" w:right="0"/>
        <w:jc w:val="both"/>
        <w:rPr>
          <w:rFonts w:cs="B Zar" w:hint="cs"/>
          <w:rtl/>
        </w:rPr>
      </w:pPr>
      <w:r w:rsidRPr="00175A44">
        <w:rPr>
          <w:rFonts w:cs="B Zar" w:hint="cs"/>
          <w:rtl/>
        </w:rPr>
        <w:t>دكتر رادا كريشنان، مرجع ديگر فلسفه و اديان هند، معتقد به تفسير مرحله‌اي است و به گمان او توحيد مرحله تكاملي انديشه ديني آريائي‌ها را تشكيل مي‌دهد كه آنان در دوره متأخر عصر ودا بدين مرحله رسيده بودند. او مي‌نويسد:</w:t>
      </w:r>
    </w:p>
    <w:p w:rsidR="0011420A" w:rsidRPr="00175A44" w:rsidP="003C0EF5">
      <w:pPr>
        <w:widowControl w:val="0"/>
        <w:spacing w:line="420" w:lineRule="exact"/>
        <w:ind w:left="0" w:right="0"/>
        <w:jc w:val="both"/>
        <w:rPr>
          <w:rFonts w:cs="B Zar" w:hint="cs"/>
          <w:i/>
          <w:iCs/>
          <w:rtl/>
        </w:rPr>
      </w:pPr>
      <w:r w:rsidRPr="00175A44">
        <w:rPr>
          <w:rFonts w:cs="B Zar" w:hint="cs"/>
          <w:i/>
          <w:iCs/>
          <w:rtl/>
        </w:rPr>
        <w:t xml:space="preserve">«هر نظريه درست و حسابي درباره ماهيت خداوند، سرانجام ‌بايد به توحيد منتهي ‌شود؛ چرا كه ذات مطلق و اكبر نمي‌تواند بيش از يكي باشد، امكان ندارد ما بيش از يك ذات مطلق و اكبر داشته باشيم </w:t>
      </w:r>
      <w:r w:rsidRPr="00175A44">
        <w:rPr>
          <w:rFonts w:hint="eastAsia"/>
          <w:i/>
          <w:iCs/>
          <w:rtl/>
        </w:rPr>
        <w:t>…</w:t>
      </w:r>
      <w:r w:rsidRPr="00175A44">
        <w:rPr>
          <w:rFonts w:cs="B Zar" w:hint="cs"/>
          <w:i/>
          <w:iCs/>
          <w:rtl/>
        </w:rPr>
        <w:t xml:space="preserve"> اگر ما معتقد به بيش از خداي واحد باشيم، اين مسئله پيش مي‌آيد كه كدام يكي ديگري را خلق كرده است؛ چرا كه خدائي كه خلق شده ديگر خدا نيست. انديشه و تأمل بيشتر در چگونگي عملكرد جهان و ماهيت الوهيت تمايل وحدت طلبي را تقويت كرد و روند ادغام خدايان كثير در معبود واحدي آغاز گرديد.</w:t>
      </w:r>
    </w:p>
    <w:p w:rsidR="0011420A" w:rsidRPr="00175A44" w:rsidP="003C0EF5">
      <w:pPr>
        <w:widowControl w:val="0"/>
        <w:spacing w:line="420" w:lineRule="exact"/>
        <w:ind w:left="0" w:right="0"/>
        <w:jc w:val="both"/>
        <w:rPr>
          <w:rFonts w:cs="B Zar" w:hint="cs"/>
          <w:i/>
          <w:iCs/>
          <w:rtl/>
        </w:rPr>
      </w:pPr>
      <w:r w:rsidRPr="00175A44">
        <w:rPr>
          <w:rFonts w:cs="B Zar" w:hint="cs"/>
          <w:i/>
          <w:iCs/>
          <w:rtl/>
        </w:rPr>
        <w:t xml:space="preserve">«همين گرايش وحدت خواهي منجر به ايجاد هنوتيسم </w:t>
      </w:r>
      <w:r w:rsidRPr="00175A44">
        <w:rPr>
          <w:rFonts w:cs="B Zar"/>
          <w:i/>
          <w:iCs/>
        </w:rPr>
        <w:t>(Henotheism)</w:t>
      </w:r>
      <w:r w:rsidRPr="00175A44">
        <w:rPr>
          <w:rFonts w:cs="B Zar" w:hint="cs"/>
          <w:i/>
          <w:iCs/>
          <w:rtl/>
        </w:rPr>
        <w:t xml:space="preserve"> گرديدو هنوتيسم به مثابه دست و پا زدن در تاريكي براي نيل به اصل توحيد است.»</w:t>
      </w:r>
      <w:r>
        <w:rPr>
          <w:rStyle w:val="FootnoteReference"/>
          <w:rFonts w:cs="B Zar"/>
          <w:i/>
          <w:iCs/>
          <w:rtl/>
        </w:rPr>
        <w:footnoteReference w:id="428"/>
      </w:r>
    </w:p>
    <w:p w:rsidR="0011420A" w:rsidRPr="00175A44" w:rsidP="003C0EF5">
      <w:pPr>
        <w:widowControl w:val="0"/>
        <w:spacing w:line="420" w:lineRule="exact"/>
        <w:ind w:left="0" w:right="0"/>
        <w:jc w:val="both"/>
        <w:rPr>
          <w:rFonts w:cs="B Zar" w:hint="cs"/>
          <w:rtl/>
        </w:rPr>
      </w:pPr>
      <w:r w:rsidRPr="00175A44">
        <w:rPr>
          <w:rFonts w:cs="B Zar" w:hint="cs"/>
          <w:rtl/>
        </w:rPr>
        <w:t xml:space="preserve">اكثر وداشناسان ديگر نيز معتقدند كه آريائي‌هاي عصر ودا به اصل توحيد رسيده و اين اصل در برخي از سرودها، به ويژه در سرودهاي كتاب دهم ريگ ودا يكي از بخش‌هاي ملحقاتي متأخر، منعكس شده است، ولي شديدترين تاكيد را روي اين نكته سوامي دياناند سارسواتي، بنيانگذار آريا سماج و پيروانش داشته‌اند. سارسواتي شعار بازگشت و به ودا را سرداد و خاطرنشان ساخت كه جوهر اصلي تعاليم ودا توحيد است. در پنج جلد تفسير ريگ ودا كه به عنوان ريگ ودا بهاسيه منتشر شده است. او تمام سرودهاي ريگ ودا را از ديدگاه توحيدي تفسير و تاويل كرده است. يكي از انديشمندان ديگر نهضت آريا سماج كه در تفسير ودا روش دياناند سارسواتي را پيش گرفت، آچاريه دهارام ديو است. او در مقدمه بر تفسير سام ودا مي‌نويسد: </w:t>
      </w:r>
      <w:r w:rsidRPr="00175A44">
        <w:rPr>
          <w:rFonts w:cs="B Zar" w:hint="cs"/>
          <w:i/>
          <w:iCs/>
          <w:rtl/>
        </w:rPr>
        <w:t>«اين پندار كه تعاليم ودا مبتني بر شرك است، به خاطر تفسير و درك نادرستِ كلمه دَيوَ يا ديوتا است كه آن را به معناي خدا و معبود ترجمه كرده‌اند، چون در ريگ ودا لااقل از سي و سه ديوتا نام برده شده است. از اين‌رو ترديدي باقي نمي ماند كه تعاليم ودا مبتني بر شرك محض است و ديگر اينكه در آن پرستش سي و سه تن از معبودان تجويز مي‌شود</w:t>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 xml:space="preserve">آچاريه دهارام ديوا، خاطر نشان مي‌سازد: </w:t>
      </w:r>
      <w:r w:rsidRPr="00175A44">
        <w:rPr>
          <w:rFonts w:cs="B Zar" w:hint="cs"/>
          <w:i/>
          <w:iCs/>
          <w:rtl/>
        </w:rPr>
        <w:t xml:space="preserve">«واژه ديو </w:t>
      </w:r>
      <w:r w:rsidRPr="00175A44">
        <w:rPr>
          <w:rFonts w:cs="B Zar"/>
          <w:i/>
          <w:iCs/>
        </w:rPr>
        <w:t>(Dev)</w:t>
      </w:r>
      <w:r w:rsidRPr="00175A44">
        <w:rPr>
          <w:rFonts w:cs="B Zar" w:hint="cs"/>
          <w:i/>
          <w:iCs/>
          <w:rtl/>
        </w:rPr>
        <w:t xml:space="preserve"> ار ريشه «دي‌و» منشعب شده است. زبان شناسان براي واژه «دِي وَ » ده معنا ذكر كرده‌اند، از جمله آنها: نور، ستايش و حركت مي‌باشد. بدينسان دَيوَ يا ديوتا را ‌بايد به عنوان موجودات نوراني، ذات قابل ستايش و يا عوامل حركت دهنده ترجمه كنيم. اين عناوين را مي توانيم براي فرشتگان كه اداره امور طبيعت را به دست دارند و پديده‌هاي گوناگون را به حركت در مي‌آورند، و يا براي خود اين پديده‌ها ـ كه هر يك از آنان عوامل حركت‌بخش هستي‌اند ـ به كار ببريم. حتي انسان‌هاي عارف و اقطاب و ائمه را مي‌توانيم به عنوان موجودات و ذوات قابل ستايش توصيف كنيم»</w:t>
      </w:r>
      <w:r w:rsidRPr="00175A44">
        <w:rPr>
          <w:rFonts w:cs="B Zar" w:hint="cs"/>
          <w:rtl/>
        </w:rPr>
        <w:t xml:space="preserve">. بدينسان آچاريه معتقد است كه ترجمه كلمه ديوَ يا ديوتا به عنوان معبود يا خدا، نادرست و گمراه كننده است. اگر نظريه دياناند سارسواتي و آچاريه دهارام ديو را بپذيريم، در آن صورت نه تنها سرودهاي كتاب دهم، بلكه سراسر ريگ ودا منعكس كننده تعاليم توحيدي است. </w:t>
      </w:r>
    </w:p>
    <w:p w:rsidR="0011420A" w:rsidRPr="00175A44" w:rsidP="003C0EF5">
      <w:pPr>
        <w:widowControl w:val="0"/>
        <w:spacing w:line="420" w:lineRule="exact"/>
        <w:ind w:left="0" w:right="0"/>
        <w:jc w:val="both"/>
        <w:rPr>
          <w:rFonts w:cs="B Zar" w:hint="cs"/>
          <w:rtl/>
        </w:rPr>
      </w:pPr>
      <w:r w:rsidRPr="00175A44">
        <w:rPr>
          <w:rFonts w:cs="B Zar" w:hint="cs"/>
          <w:rtl/>
        </w:rPr>
        <w:t>البته بيش از دويست سال پيش از اين، انديشمندان اخير هندو، شاهزاده داراشكوه فرزند شاهجهان، موسس و تعمير كننده تاج محل و امپراطور بزرگ مغولهاي مسلمان هند، در كتاب «مجمع البحرين» اين نظريه را مطرح كرده بود كه تعاليم اصيل ودا مبتني بر توحيد خالص بوده، ولي با گذشت زمان باورهاي شرك‌آميز وارد دين هندوئيسم گرديده است. داراشكوه خاطر نشان مي‌سازد، چنانكه معارف اسلامي بر آن تكيه دارند، بشر از نظر گرايش فطري موحد و يكتاپرست بوده است. پيامبران نيز در تمام اقوام و ملل مبعوث گرديدند و پيام توحيد را سردادند، ولي با گذشت زمان، تعاليم توحيدي پيامبران دستخوش تحريف و ابتذال عاميانه گرديدند و به صورت شرك درآمدند و آب زلال توحيدي با كثافت شرك،‌آلود شد. داراشكوه معتقد است كه بسياري از ريشي‌هاي اوليه كه ودا، و رسائل اوپانيشاد و گيتا و غيره را اشراق كردند، در زمره پيامبران و رسولان قوم آريائي بودند. مقصود آنان از دَيوَها، فرشتگان الهي بودند كه عالم غيب و شهود را به عنوان ماموران الهي اداره مي كنند؛ در حاليكه خداوند به عنوان رب اعلي و واحد، احد و صمد در نظر گرفته مي‌شده است. با گذشت زمان در باورها و پندارهاي عاميانه توده‌ها، ديوَها به صورت خدايان و رب‌الانواع‌ها در آمدند.</w:t>
      </w:r>
    </w:p>
    <w:p w:rsidR="0011420A" w:rsidRPr="00175A44" w:rsidP="003C0EF5">
      <w:pPr>
        <w:widowControl w:val="0"/>
        <w:spacing w:line="420" w:lineRule="exact"/>
        <w:ind w:left="0" w:right="0"/>
        <w:jc w:val="both"/>
        <w:rPr>
          <w:rFonts w:cs="B Zar" w:hint="cs"/>
          <w:rtl/>
        </w:rPr>
      </w:pPr>
      <w:r w:rsidRPr="00175A44">
        <w:rPr>
          <w:rFonts w:cs="B Zar" w:hint="cs"/>
          <w:rtl/>
        </w:rPr>
        <w:t>تفسير داراشكوه از دين هندو متأثر از ملاحظات سياسي نيز بود؛ چرا كه امپراتوران مسلمان مغول مجبور بودند كشوري را اداره كنند كه هشتاد درصد آنان را غير مسلمانان تشكيل مي‌داده‌اند. از زمان شاه اكبر اين گرايش ايجاد شده بود كه به هر شكلي شده نوعي تقريب ميان اعتقادات هندوئي و اسلامي به عمل آيد. اگر ما نظريه داراشكوه را بپذيريم، در آن صورت مجبور خواهيم شد بسياري از ديدگاه‌ها و مواضع قبلي را تغيير دهيم، از جمله آنكه هندوها به جاي شرك، در دسته اهل كتاب قرار خواهند گرفت و اين امر موجب تجديد نظر در برخي مسائل فقهي پيرامون احكام ازدواج و نجاست و غيره خواهد شد</w:t>
      </w:r>
      <w:r>
        <w:rPr>
          <w:rStyle w:val="FootnoteReference"/>
          <w:rFonts w:cs="B Zar"/>
          <w:rtl/>
        </w:rPr>
        <w:footnoteReference w:id="429"/>
      </w:r>
      <w:r w:rsidRPr="00175A44">
        <w:rPr>
          <w:rFonts w:cs="B Zar" w:hint="cs"/>
          <w:rtl/>
        </w:rPr>
        <w:t xml:space="preserve">. </w:t>
      </w:r>
    </w:p>
    <w:p w:rsidR="0011420A" w:rsidRPr="00175A44" w:rsidP="003C0EF5">
      <w:pPr>
        <w:widowControl w:val="0"/>
        <w:spacing w:line="420" w:lineRule="exact"/>
        <w:ind w:left="0" w:right="0"/>
        <w:jc w:val="both"/>
        <w:rPr>
          <w:rFonts w:cs="B Zar" w:hint="cs"/>
          <w:rtl/>
        </w:rPr>
      </w:pPr>
      <w:r w:rsidRPr="00175A44">
        <w:rPr>
          <w:rFonts w:cs="B Zar" w:hint="cs"/>
          <w:rtl/>
        </w:rPr>
        <w:t>نظريه داراشكوه از نظر جامعه‌شناسي ديني يك جنبه فرضيه‌اي و تفسير اعتقادي دارد و با توجه به شواهد و اسناد تاريخي موجود، آريائي‌ها اگر از تعاليم پيامبران الهي برخوردار شده بودند، آنرا به كلّي فراموش ساخته و به طور كامل در ورطه پرستش خدايان متعدد افتاده بودند و با بلوغ فكري، مجدّداً اصل توحيد را باز يافتند. اين امر مرحله چهارم سير انديشه ديني آنان را تشكيل مي‌دهد. در مرحله بعدي كه پنجمين و آخرين مرحله سير انديشه ديني بود، آريائي‌ها به وحدت‌الوجود رسيدند. در اين دوره، رسائل آريان ياكا آغاز گرديد و اين نگرش در اوپانيشاد، برهماسوتر و گيتا به اوج رسيد. ما در بخش بعدي به بررسي اين مرحله و به شرح اصول فلسفه و عرفان هند خواهيم پرداخت.</w:t>
      </w:r>
    </w:p>
    <w:p w:rsidR="0011420A" w:rsidRPr="00175A44" w:rsidP="003C0EF5">
      <w:pPr>
        <w:widowControl w:val="0"/>
        <w:spacing w:line="420" w:lineRule="exact"/>
        <w:ind w:left="0" w:right="0"/>
        <w:jc w:val="both"/>
        <w:rPr>
          <w:rFonts w:cs="B Zar" w:hint="cs"/>
          <w:rtl/>
        </w:rPr>
      </w:pPr>
      <w:r w:rsidRPr="00175A44">
        <w:rPr>
          <w:rFonts w:cs="B Zar" w:hint="cs"/>
          <w:rtl/>
        </w:rPr>
        <w:t xml:space="preserve">از مراحل پنجگانه طبيعت‌پرستي، انيميسم، شرك و بت‌پرستي، توحيد و وحدت‌الوجود در هند معاصر به طور صريح تنها سه جريان اخير باقي مانده و باشكوه تمام ادامه دارند. توده عامي هند، اكثراً در مرحله شرك قرار دارند و بت‌پرست‌اند. اينان به ديني پايبندند كه در بخش شرك‌آميز و خرافاتي ودا، و بيش از آن در مجموعه سنن پورانا و نيز در حماسه مذهبي مهابهارات و رامايان منعكس گرديده است، مردان انديشمند، صاحبان فلسقه و حكمت، همانند راما كريشنا، سوامي وویكاناند، رادا كريشنان، داس گوپتا و غيره از ديني كه در مرحله وحدت‌الوجودي در اوپانيشاد و برهما سوتَرَ منعكس شده است، پيروي مي‌كنند. فلسفه هند، حتي در دانشگاه‌ها و كل مكتب مرتاضين كه در هند نفوذ بسياري دارد و غربيان را نيز به سوي خود مي كشد، متأثر از مكتب عرفاني اوپانيشاد است. اصلاح طلبان هندو كه برخي از آنان را جنبش‌هاي افراطي و به اصطلاح بنيادگرا به وجود آوردند و در راس آنها نهضت رادا سوامي ـ كه در اكثر شهرهاي هند مراكزي دارد و معبد بزرگي را به عنوان مركز اصلي خود در آگرا به نام ديال باغ، تعمير مي‌كند ـ است، از تعاليم توحيدي ودا تبعيت مي‌كنند. آنان شعار بازگشت به ودا را سرداده اند، و بسياري از جوانان و روشنفكران متدين، متاثر از اين جريان‌اند. هر سه جريان فوق، ودا را كتاب آسماني تلقي مي‌كنند؛ ولي در عمل در هند، گيتا به عنوان كتاب مقدس اصلي هندوان كه مورد پذيرش و قبول و استناد هر سه جريان است، مد نظر قرار مي گيرد. </w:t>
      </w:r>
    </w:p>
    <w:p w:rsidR="0011420A" w:rsidP="003C0EF5">
      <w:pPr>
        <w:pStyle w:val="BodyTextIndent2"/>
        <w:widowControl w:val="0"/>
        <w:spacing w:line="420" w:lineRule="exact"/>
        <w:ind w:left="0" w:right="0" w:firstLine="567"/>
        <w:jc w:val="center"/>
        <w:rPr>
          <w:rFonts w:cs="B Zar" w:hint="cs"/>
          <w:b/>
          <w:bCs/>
          <w:rtl/>
        </w:rPr>
      </w:pPr>
      <w:r w:rsidRPr="00175A44">
        <w:rPr>
          <w:rFonts w:cs="B Zar"/>
          <w:rtl/>
        </w:rPr>
        <w:br w:type="page"/>
      </w:r>
    </w:p>
    <w:p w:rsidR="00BB0446" w:rsidRPr="00175A44" w:rsidP="003C0EF5">
      <w:pPr>
        <w:pStyle w:val="BodyTextIndent2"/>
        <w:widowControl w:val="0"/>
        <w:spacing w:line="420" w:lineRule="exact"/>
        <w:ind w:left="0" w:right="0" w:firstLine="567"/>
        <w:jc w:val="center"/>
        <w:rPr>
          <w:rFonts w:cs="B Zar" w:hint="cs"/>
          <w:b/>
          <w:bCs/>
          <w:rtl/>
        </w:rPr>
      </w:pPr>
    </w:p>
    <w:p w:rsidR="0011420A" w:rsidRPr="00175A44" w:rsidP="003C0EF5">
      <w:pPr>
        <w:pStyle w:val="BodyTextIndent2"/>
        <w:widowControl w:val="0"/>
        <w:spacing w:line="420" w:lineRule="exact"/>
        <w:ind w:left="0" w:right="0" w:firstLine="567"/>
        <w:jc w:val="center"/>
        <w:rPr>
          <w:rFonts w:cs="B Zar" w:hint="cs"/>
          <w:b/>
          <w:bCs/>
          <w:rtl/>
        </w:rPr>
      </w:pPr>
      <w:r w:rsidRPr="00175A44">
        <w:rPr>
          <w:rFonts w:cs="B Zar" w:hint="cs"/>
          <w:b/>
          <w:bCs/>
          <w:rtl/>
        </w:rPr>
        <w:t>توحيد عرفاني</w:t>
      </w:r>
    </w:p>
    <w:p w:rsidR="0011420A" w:rsidRPr="00175A44" w:rsidP="003C0EF5">
      <w:pPr>
        <w:pStyle w:val="BodyTextIndent2"/>
        <w:widowControl w:val="0"/>
        <w:spacing w:line="420" w:lineRule="exact"/>
        <w:ind w:left="0" w:right="0" w:firstLine="567"/>
        <w:jc w:val="both"/>
        <w:rPr>
          <w:rFonts w:cs="B Zar" w:hint="cs"/>
          <w:b/>
          <w:b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رابطه توحيد عرفاني با مراحل پيش</w:t>
      </w:r>
    </w:p>
    <w:p w:rsidR="0011420A" w:rsidRPr="00175A44" w:rsidP="003C0EF5">
      <w:pPr>
        <w:widowControl w:val="0"/>
        <w:spacing w:line="420" w:lineRule="exact"/>
        <w:ind w:left="0" w:right="0"/>
        <w:jc w:val="both"/>
        <w:rPr>
          <w:rFonts w:cs="B Zar" w:hint="cs"/>
          <w:rtl/>
        </w:rPr>
      </w:pPr>
      <w:r w:rsidRPr="00175A44">
        <w:rPr>
          <w:rFonts w:cs="B Zar" w:hint="cs"/>
          <w:rtl/>
        </w:rPr>
        <w:t>پس از نيل به مرحله توحيد كلامي و دريافتن بزرگترين اصل وجود كه اصل توحيد است، افق‌هاي وسيع و راه‌هاي تازه اي براي انسان گشوده شد</w:t>
      </w:r>
      <w:r w:rsidRPr="00175A44">
        <w:rPr>
          <w:rFonts w:cs="B Zar"/>
        </w:rPr>
        <w:t>.</w:t>
      </w:r>
      <w:r w:rsidRPr="00175A44">
        <w:rPr>
          <w:rFonts w:cs="B Zar" w:hint="cs"/>
          <w:rtl/>
        </w:rPr>
        <w:t xml:space="preserve"> روح او عمق بيشتري پيدا كرد و مرحله تفكر فلسفي آغاز گرديد كه آن را «توحيد عرفاني» ناميده‌ايم. انسان با ژرف تر شدن انديشه، ديگر به «علم» قانع نيست، بلكه در صدد كسب «حكمت» بر مي‌آيد. او در صدد كشف معناي وجود و درصدد كشف ماهيت اشياء است. احساس مي‌كند كه زندگي در «روز مرگي» و قبول اصول فكري فرموله شده، هدر مي‌رود و براي پرسشهاي حياتيِ وجود، پاسخي نيافته است: ما از كجا آمده‌ايم؟ كجا هستيم؟ كجا خواهيم رفت؟ اين جهان چگونه خلق شد؟ مواد اوليه‌اش از كجا آمد؟ اگر از نيستي مطلق «هست» شده است، «ماده» از كجا نشأت گرفت؟ اين پيكره گوشت و پوست از كجا بوجود آمد؟ رابطه جهان و انسان با آفريدگار و خداي واحد چيست؟ آيا رابطه معمار با خانه است؟ يا رابطه قطره با دريا؟ يا شعاع خورشيد با خورشيد؟ حقيقت نفس انسان چيست؟ حقيقت روح چيست؟ «روح» از كجا آمده و به كجا مي‌رود؟ اصلاً در رؤيا چه اتفاقي مي‌افتد؟ آيا روح موقتاً خانه جسم را ترك مي‌كند و به گشت و گذار مي‌پردازد؟ حالت خواب عميق بدون رؤيا چيست؟ در اين حالت روح كجا مي‌رود؟ آيا روح نيز مي‌خوابد؟ ماهيت مرگ چگونه است؟ جوهر و فلسفه مراسم عبادت چيست؟ هدف نيايش‌ها چيست؟ از طريق مراسم نيايش، آيا مي‌خواهيم راه نياكان را ادامه دهيم يا در شاهراه سير به سوي ذات يگانه قرار گيريم؟ پس سرانجام اين سير ما چيست؟ آيا طرق ديگري نيز براي نيل به ذات حق تعالي وجود دارد؟</w:t>
      </w:r>
    </w:p>
    <w:p w:rsidR="0011420A" w:rsidRPr="00175A44" w:rsidP="003C0EF5">
      <w:pPr>
        <w:widowControl w:val="0"/>
        <w:spacing w:line="420" w:lineRule="exact"/>
        <w:ind w:left="0" w:right="0"/>
        <w:jc w:val="both"/>
        <w:rPr>
          <w:rFonts w:cs="B Zar" w:hint="cs"/>
          <w:rtl/>
        </w:rPr>
      </w:pPr>
      <w:r w:rsidRPr="00175A44">
        <w:rPr>
          <w:rFonts w:cs="B Zar" w:hint="cs"/>
          <w:rtl/>
        </w:rPr>
        <w:t>در مراحل چهارگانه سابق، توجه انسان معطوف به «خارج» و «آفاق» بود. در اين مرحله توجه او به داخل نفس معطوف مي‌شود و به «انفس» مبذول مي‌گردد. او از «برون» به «درون»، از «علم» به «حكمت»، از «مراسم» به «روح مراسم»، از «ظاهر عقائد و احكام» به «باطن آنان»، از «شناخت جهان» به «شناسائي رابطه جهان با جان جهان» و «آفريدگار عالميان» و بيش از همه به كشف رابطه «نفس» خود با «خالق نفس» و رابطه «عبد» با «معبود» و «ساجد» و «مسجود» روي مي آورد. در مراحل پيشين، شرايط دشوار زندگي توجه او را معطوف به «عمل» نمود، ولي در اين امر توجه او معطوف به «معرفت» است. او لذت «معرفت» را دريافته است؛ لذتي كه در سراب بيابانهاي زندگي مادي نبوده، در انجام مناسك «قرباني» و مراسم نذور و حتي انجام خشك عبادات نيز نبوده است. افلاطون اين امر را لذت گرامي و گرانبهاي «فلسفه» مي‌نامد و ابن سينا در نمط نهم كتاب اشارات، فصول متعددي به آن اختصاص داده و ثابت كرده است كه اين لذت والاتر از هر لذت ديگر است.</w:t>
      </w:r>
      <w:r>
        <w:rPr>
          <w:rStyle w:val="FootnoteReference"/>
          <w:rFonts w:cs="B Zar"/>
          <w:rtl/>
        </w:rPr>
        <w:footnoteReference w:id="430"/>
      </w:r>
    </w:p>
    <w:p w:rsidR="0011420A" w:rsidRPr="00175A44" w:rsidP="003C0EF5">
      <w:pPr>
        <w:widowControl w:val="0"/>
        <w:spacing w:line="420" w:lineRule="exact"/>
        <w:ind w:left="0" w:right="0"/>
        <w:jc w:val="both"/>
        <w:rPr>
          <w:rFonts w:cs="B Zar" w:hint="cs"/>
          <w:rtl/>
        </w:rPr>
      </w:pPr>
      <w:r w:rsidRPr="00175A44">
        <w:rPr>
          <w:rFonts w:cs="B Zar" w:hint="cs"/>
          <w:rtl/>
        </w:rPr>
        <w:t>انسان بدين نتيجه مي‌رسد كه بدون درك مفهوم وجود و يافتن راه سعادت جاودان، تلاش براي آلاف و الوف و شاهد و مشروب و اشربه و اطعمه، حتي انجام مراسم عبادي، هدر دادن زندگي است؛ چرا كه در آخر، همه با خاك يكسان مي‌شوند. اسكندرها با دست خالي به گور مي‌روند و جز يك پارچه لباس چيزي با خود نمي‌برند، و انجام مراسم عبادي و تمجيد و تجليل از كناره‌‌هاي دريا فايده‌اي ندارد؛ بايد در دريايِ معرفتِ ذاتِ معبود شناور شد، بايد به «معرفت» دست يافت تا «عبادت» معنا پيدا كند. او درصدد بر مي‌آيد «گذرا» را از «ابدي»، «وسيله» را از «هدف»، «قالب» را از «جوهر» و «فرعي» را از «اساسي» جدا كند.</w:t>
      </w:r>
    </w:p>
    <w:p w:rsidR="0011420A" w:rsidRPr="00175A44" w:rsidP="003C0EF5">
      <w:pPr>
        <w:widowControl w:val="0"/>
        <w:spacing w:line="420" w:lineRule="exact"/>
        <w:ind w:left="0" w:right="0"/>
        <w:jc w:val="both"/>
        <w:rPr>
          <w:rFonts w:cs="B Zar" w:hint="cs"/>
          <w:rtl/>
        </w:rPr>
      </w:pPr>
      <w:r w:rsidRPr="00175A44">
        <w:rPr>
          <w:rFonts w:cs="B Zar" w:hint="cs"/>
          <w:rtl/>
        </w:rPr>
        <w:t xml:space="preserve">اين مرحله عرفان و فلسفه است؛ البته مقصود ما فلسفه الهي است كه از داخل بطن توحيد زاده مي شود، نه فلسفه‌اي گسيخته از اشراق ملكوتي و توحيد الهي كه به قول ويل دورانت، همه اقسام حكمت را دارا مي‌باشد. جز عقل سليم، فلسفه اي كه درباره آن سيسرون گفته است كه </w:t>
      </w:r>
      <w:r w:rsidRPr="00175A44">
        <w:rPr>
          <w:rFonts w:cs="B Zar" w:hint="cs"/>
          <w:i/>
          <w:iCs/>
          <w:rtl/>
        </w:rPr>
        <w:t>«هيچ چيز پوچ و بي معنا نيست كه در كتب فلاسفه پيدا نشود</w:t>
      </w:r>
      <w:r w:rsidRPr="00175A44">
        <w:rPr>
          <w:rFonts w:cs="B Zar" w:hint="cs"/>
          <w:rtl/>
        </w:rPr>
        <w:t>». عرفاني كه ما در نظر داريم، عرفان دكاندارانه و تجاري و مبتذل برخي خرقه پوشان نيست و يا عرفاني نيست كه بهانه‌اي براي شانه خالي كردن از وظايف ديني و احكام شرايع آسماني باشد، بلكه عرفاني است كه زاده توحيد و  نشأت گرفته از مرحله چهارم و مكمل آن است، نه ناسخ آن. ميان مرحله توحيد كلامي و توحيد عرفاني هيچ تضادي وجود ندارد. عرفان واقعي نشأت گرفته از توحيد و روح و باطن آن و فرو رفتن در ژرفناي توحيد است. با بلوغ فكري، انسان اين اصل را دريافت كه خدا  جز يكي نيست؛ با بلوغ روحي و باطني پي برد كه «هيچ» چيز جز يكي نيست. عارف هيچ چيز جز نور ملكوتي را نمي بيند. در مرحله توحيد كلامي خدا را واحد مي بيند و به هيچ يك از موجودات، ديگر الوهيت را نسبت نمي‌دهد، ولي در مرحله توحيد عرفاني او جز خدا را نمي نگرد و به هيچ يك از موجودات، وجود «واقعي» را نسبت نمي دهد. هرچه غير از خداست «نبود» است و نه «بود». «بود» حقيقي تنها اوست. يك موحد كه در مرحله چهارم توحيد كلامي قرار دارد، هم خدا را اصالت مي‌دهد، و هم غير خدا را، تنها با اين تفاوت كه خدا واجب‌الوجود و قائم به ذات است و غير خدا ممكن‌الوجود و قائم به غير. عارفي كه در مرحله پنجم قرار دارد، عينيت جهان خارج را انكار نمي‌كند، ولي «وجود» آنرا «نسبي» مي داند؛ نظير وجود «شعاع» در برابر خورشيد. وجود شعاع، يك وجود عيني دارد و نشأت گرفته از خورشيد. وجودش بسته به وجود خورشيد است. اصولاً شعاع خورشيد نتيجه صفت نور افشاني خورشيد و وجودش نسبي است. اصلاً خورشيد، انعكاس صفت تاباني خورشيد است و وجودش نسبي است. «هست»، ولي در مقايسه با خورشيد نيست و هرچه هست، خود «خورشيد» است.</w:t>
      </w:r>
    </w:p>
    <w:p w:rsidR="0011420A" w:rsidRPr="00175A44" w:rsidP="003C0EF5">
      <w:pPr>
        <w:widowControl w:val="0"/>
        <w:spacing w:line="420" w:lineRule="exact"/>
        <w:ind w:left="0" w:right="0"/>
        <w:jc w:val="both"/>
        <w:rPr>
          <w:rFonts w:cs="B Zar" w:hint="cs"/>
          <w:rtl/>
        </w:rPr>
      </w:pPr>
      <w:r w:rsidRPr="00175A44">
        <w:rPr>
          <w:rFonts w:cs="B Zar" w:hint="cs"/>
          <w:rtl/>
        </w:rPr>
        <w:t>در مرحله توحيد كلامي، اقرار به وجود خدا با «لسان» و «جنان» و «اركان» مورد تأييد است، ولي در مرحله توحيد عرفاني، مسئله «اقرار» مطرح نيست و مسئله اشراق و «نيل» به اوست. در مرحله توحيد كلامي، انسان از نظر اعتقادي به تصور خدا مي‌رسد، ولي در مرحله توحيد عرفاني، فراسوي آن مي‌رود. براي يك عارف كافي نيست تصوري از خدا داشته باشد و با عقل او را «تصديق» كند، بلكه درصدد بر مي‌آيد از طريق  سير و سلوك خود را به او برساند، و در «بساط قرب، از خود فاني و به او باقي گردد.»</w:t>
      </w:r>
      <w:r>
        <w:rPr>
          <w:rStyle w:val="FootnoteReference"/>
          <w:rFonts w:cs="B Zar"/>
          <w:rtl/>
        </w:rPr>
        <w:footnoteReference w:id="431"/>
      </w:r>
    </w:p>
    <w:p w:rsidR="0011420A" w:rsidRPr="00175A44" w:rsidP="003C0EF5">
      <w:pPr>
        <w:widowControl w:val="0"/>
        <w:spacing w:line="420" w:lineRule="exact"/>
        <w:ind w:left="0" w:right="0"/>
        <w:jc w:val="both"/>
        <w:rPr>
          <w:rFonts w:cs="B Zar" w:hint="cs"/>
          <w:rtl/>
        </w:rPr>
      </w:pPr>
      <w:r w:rsidRPr="00175A44">
        <w:rPr>
          <w:rFonts w:cs="B Zar" w:hint="cs"/>
          <w:rtl/>
        </w:rPr>
        <w:t>در مرحلة توحيد كلامي، معرفت نظري ذات احديت مورد تأكيد قرار دارد و در مرحله توحيد عرفاني، «قرب»، «نيل و فنا» در ذات احديت. كمال انسان در مرحله چهارم، معرفت حق و كمال انسان در مرحله پنجم، وصال به حق است. مرحله چهارم مرحله «حق اليقين» است. در مرحلة توحيد كلامي يك موحد، نظير آب نهري است كه با پيمودن راه دراز و گذار از موانع بيشمار، خود را «قائم بالذات» مي پنداشته و تنها حصار ديوارهاي مادي را دور و بر خود درك مي‌نموده است. گذر از بيابان و صحرا و مناظر طبيعت اين نهر را مجذوب كرده، هنوز خبري از اصل خود نداشت. پس از گذر از اين مراحل، به «اقيانوس آرام» هستي مي‌رسد و به وجود اين اقيانوس پي مي‌برد. به عظمت، ازليت، ابديت، وحدانيت، قدرت و احاطه آن اقرار مي‌نمايد و در جاي خود به پرستش آن مي‌پردازد، ولي در مرحله توحيد عرفاني، اين «آب نهر» در صدد بر مي‌آيد خود را به اين اقيانوس برساند، در آن فنا شود، و با اين فناء، بقاء يابد. در مرحله چهارم، مرحله تماشاي اقيانوس حقيقت از ساحل و مرحله پنجم، مرحله شناور شدن در اين دريا است. توحيد نظري گواهي بر وجود خورشيد با ديدن نور آن از داخل حجره خود است، و توحيد عرفاني قرار گرفتن در اشعه تابناك خورشيد است.</w:t>
      </w:r>
    </w:p>
    <w:p w:rsidR="0011420A" w:rsidRPr="00175A44" w:rsidP="003C0EF5">
      <w:pPr>
        <w:widowControl w:val="0"/>
        <w:spacing w:line="420" w:lineRule="exact"/>
        <w:ind w:left="720" w:right="0" w:hanging="720"/>
        <w:jc w:val="both"/>
        <w:rPr>
          <w:rFonts w:cs="B Zar" w:hint="cs"/>
          <w:rtl/>
        </w:rPr>
      </w:pPr>
      <w:r w:rsidRPr="00175A44">
        <w:rPr>
          <w:rFonts w:cs="B Zar" w:hint="cs"/>
          <w:rtl/>
        </w:rPr>
        <w:t>در مرحلة توحيد كلامي نگرش ديني مشتمل بر سه عنصر است:</w:t>
      </w:r>
    </w:p>
    <w:p w:rsidR="0011420A" w:rsidRPr="00175A44" w:rsidP="003C0EF5">
      <w:pPr>
        <w:widowControl w:val="0"/>
        <w:spacing w:line="420" w:lineRule="exact"/>
        <w:ind w:left="0" w:right="0"/>
        <w:jc w:val="both"/>
        <w:rPr>
          <w:rFonts w:cs="B Zar" w:hint="cs"/>
          <w:rtl/>
        </w:rPr>
      </w:pPr>
      <w:r w:rsidRPr="00175A44">
        <w:rPr>
          <w:rFonts w:cs="B Zar" w:hint="cs"/>
          <w:rtl/>
        </w:rPr>
        <w:t>الف: اعتقاد؛</w:t>
      </w:r>
    </w:p>
    <w:p w:rsidR="0011420A" w:rsidRPr="00175A44" w:rsidP="003C0EF5">
      <w:pPr>
        <w:widowControl w:val="0"/>
        <w:spacing w:line="420" w:lineRule="exact"/>
        <w:ind w:left="0" w:right="0"/>
        <w:jc w:val="both"/>
        <w:rPr>
          <w:rFonts w:cs="B Zar" w:hint="cs"/>
          <w:rtl/>
        </w:rPr>
      </w:pPr>
      <w:r w:rsidRPr="00175A44">
        <w:rPr>
          <w:rFonts w:cs="B Zar" w:hint="cs"/>
          <w:rtl/>
        </w:rPr>
        <w:t>ب: اخلاق؛</w:t>
      </w:r>
    </w:p>
    <w:p w:rsidR="0011420A" w:rsidRPr="00175A44" w:rsidP="003C0EF5">
      <w:pPr>
        <w:widowControl w:val="0"/>
        <w:spacing w:line="420" w:lineRule="exact"/>
        <w:ind w:left="0" w:right="0"/>
        <w:jc w:val="both"/>
        <w:rPr>
          <w:rFonts w:cs="B Zar" w:hint="cs"/>
          <w:rtl/>
        </w:rPr>
      </w:pPr>
      <w:r w:rsidRPr="00175A44">
        <w:rPr>
          <w:rFonts w:cs="B Zar" w:hint="cs"/>
          <w:rtl/>
        </w:rPr>
        <w:t>ج: احكام.</w:t>
      </w:r>
    </w:p>
    <w:p w:rsidR="0011420A" w:rsidRPr="00175A44" w:rsidP="003C0EF5">
      <w:pPr>
        <w:widowControl w:val="0"/>
        <w:spacing w:line="420" w:lineRule="exact"/>
        <w:ind w:left="0" w:right="0"/>
        <w:jc w:val="both"/>
        <w:rPr>
          <w:rFonts w:cs="B Zar" w:hint="cs"/>
          <w:rtl/>
        </w:rPr>
      </w:pPr>
      <w:r w:rsidRPr="00175A44">
        <w:rPr>
          <w:rFonts w:cs="B Zar" w:hint="cs"/>
          <w:rtl/>
        </w:rPr>
        <w:t>در مرحلة توحيد عرفاني هيچ يك از عناصر فوق رد نمي شوند، ولي به آن عمق بيشتري داده مي شود. در اين مرحله اعتقادات تنها حفظ كردن و اقرار كردن به فرمول هاي خاص و باورهاي ويژه نيست، بلكه چنان كه گفتيم عرفا درصدد اشراق و مشاهده حقايق و درصدد تقرب به آن بر مي‌آيند. نه تنها خدا را بايد اثبات كنيم، بلكه با ديده بصيرت بنگريم. با عشق، گوئي در محضر پيامبر و اوليا و ائمه اطهار عليهم السلام حضور پيدا مي‌كنيم. معاد را گوئي نظاره مي‌كنيم. اخلاق نيز در اين مرحله تنها تكيه بر نظام ارزشي خشك و تزريق كردن آن در اطفال و تحميل آن بر خود نيست، بلكه تلاش به عمل مي‌آيد از طريق ايجاد جاذبه عشق به خداوند متعال و صفت رحمانيت و رحيميت نسبت به افراد بشر و ساير موجودات، تزكيه نفس و كشتن هواها و «نفس اماره» و نيل به مرحله نفس مطمئنه اخلاق، جزو ذات گردد نه تحميل شده بر ذات. در امر احكام نيز در  مرحله توحيد عرفاني به خاطر خوف و ترس جهنم و يا طمع بهشت، احكام خداوندي رعايت نمي شوند، بلكه به خاطر علاقه و عشق به ذات خداوندي و شارع اين احكام از آنان تبعيت مي شود. «عارف هيچ چيزي را، حتي بهشت و جهنم را، انگيزه اصلي عمل خود قرار نمي‌دهد. انگيزه واحد او عشق به ذات احديت است. ابن سينا در شرح اشارات، «عرفان» را به عنوان بريدن از غير و منصرف ساختن ذهن از «ماسوي الله» و توجه كامل به ذات حق براي تابش نور حق بر قلب تعريف كرده است.</w:t>
      </w:r>
    </w:p>
    <w:p w:rsidR="0011420A" w:rsidRPr="00175A44" w:rsidP="003C0EF5">
      <w:pPr>
        <w:widowControl w:val="0"/>
        <w:spacing w:line="420" w:lineRule="exact"/>
        <w:ind w:left="0" w:right="0"/>
        <w:jc w:val="both"/>
        <w:rPr>
          <w:rFonts w:cs="B Zar" w:hint="cs"/>
          <w:rtl/>
        </w:rPr>
      </w:pPr>
      <w:r w:rsidRPr="00175A44">
        <w:rPr>
          <w:rFonts w:cs="B Zar" w:hint="cs"/>
          <w:rtl/>
        </w:rPr>
        <w:t>عارف جز ذات حق به هيچ چيز و هيچ امري توجه ندارد و پيروي از احكام الهي نيز به خاطر توجه او به ذات حق است. براي او همين امر بزرگترين جزا و پاداش عمل است. ابن سينا در نمط هشتم «اشارات و تنبيهات» مي نويسد</w:t>
      </w:r>
      <w:r w:rsidRPr="00175A44">
        <w:rPr>
          <w:rFonts w:cs="B Zar" w:hint="cs"/>
          <w:i/>
          <w:iCs/>
          <w:rtl/>
        </w:rPr>
        <w:t>: «لذات معنوي كه يك عارف هنگام توجه به حق، معرفت حق و سير به سوي حق احساس مي‌كند، برتر و پرتوان تر از لذات حسي است. لذت‌هاي باطني بر لذت هاي حسي برتري دارد</w:t>
      </w:r>
      <w:r w:rsidRPr="00175A44">
        <w:rPr>
          <w:rFonts w:cs="B Zar" w:hint="cs"/>
          <w:rtl/>
        </w:rPr>
        <w:t>».</w:t>
      </w:r>
      <w:r>
        <w:rPr>
          <w:rStyle w:val="FootnoteReference"/>
          <w:rFonts w:cs="B Zar"/>
          <w:rtl/>
        </w:rPr>
        <w:footnoteReference w:id="432"/>
      </w:r>
      <w:r w:rsidRPr="00175A44">
        <w:rPr>
          <w:rFonts w:cs="B Zar" w:hint="cs"/>
          <w:rtl/>
        </w:rPr>
        <w:t xml:space="preserve"> هر قوه‌اي به سوي كمالات متناسب خود مشتاق است. انسان داراي قوه روحاني است. اين قوه با كسب معرفت حق و نيل به حق تسكين مي يابد. اين بزرگترين انگيزه عمل است و والاترين لذت را در پي دارد. براي كسي كه از مدار جاذبه حسيات و ماديات فرا رفت، ديگر نيازي به انگيزه عقاب و ثواب نيست. اين انگيزه براي مردم عادي است كه تنها به مرحله چهارم سير فكري و روحاني رسيده اند و براي انجام اعمال، نياز به ترس يا طمع دارند. امير مومنان، علي(ع)، همين مطلب را با فصاحت خاص خود در نهج البلاغه بيان فرموده است كه: </w:t>
      </w:r>
      <w:r w:rsidRPr="00175A44">
        <w:rPr>
          <w:rFonts w:cs="B Zar" w:hint="cs"/>
          <w:i/>
          <w:iCs/>
          <w:rtl/>
        </w:rPr>
        <w:t>«بارالها! ما ترا نه از ترس جهنم مي‌پرستيم و نه به طمع بهشت، بلكه به خاطر آن مي‌پرستيم كه ذات ترا شايسته آن مي‌دانيم»</w:t>
      </w:r>
      <w:r w:rsidRPr="00175A44">
        <w:rPr>
          <w:rFonts w:cs="B Zar" w:hint="cs"/>
          <w:rtl/>
        </w:rPr>
        <w:t>. اميرمومنان عبادت كساني را كه به خاطر جهنم و عذاب اخروي به آن مي‌پردازند، عبادت بردگان، و عبادت كساني را كه به خاطر پاداش و طمع بهشت بدان مي پردازند، عبادت تاجران مي‌شمارد و تنها عبادت كساني را که به خاطر عشق به حق به آن دست مي زنند، عبادت «آزادگان» قلمداد مي كند.</w:t>
      </w:r>
      <w:r>
        <w:rPr>
          <w:rStyle w:val="FootnoteReference"/>
          <w:rFonts w:cs="B Zar"/>
          <w:rtl/>
        </w:rPr>
        <w:footnoteReference w:id="433"/>
      </w:r>
    </w:p>
    <w:p w:rsidR="0011420A" w:rsidRPr="00175A44" w:rsidP="003C0EF5">
      <w:pPr>
        <w:widowControl w:val="0"/>
        <w:spacing w:line="420" w:lineRule="exact"/>
        <w:ind w:left="0" w:right="0"/>
        <w:jc w:val="both"/>
        <w:rPr>
          <w:rFonts w:cs="B Zar" w:hint="cs"/>
          <w:rtl/>
        </w:rPr>
      </w:pPr>
      <w:r w:rsidRPr="00175A44">
        <w:rPr>
          <w:rFonts w:cs="B Zar" w:hint="cs"/>
          <w:rtl/>
        </w:rPr>
        <w:t>گذشته از تفاوت در انگيزه عبادت، در مرحله توحيد عرفاني در كنار احكام شريعت، سير و سلوك طريقت نيز مطرح مي‌شود. احكام يك ظاهر دارند و يك باطن. هدف نهايي شارع آسماني، آمادگي زمينه براي سير انسان به سوي الله است. از اين رو نه تنها بايد از ظاهر احكام تبعيت نمود، بلكه مي بايستي باطن آن را نيز در نظر بگيريم. اكثر عرفاي معتبر، شريعت را در تمام احوال و مقامات و حالات و «اوقات» لازم مي‌دانسته‌اند، ولي در كنار عمل به احكام شريعت و انجام فرائض عبادي يك سلسله طرق ذكر، فكر و مراقبه را نيز تجويز مي‌نموده‌اند كه براي «سير الي‌الله» لازم است. ابن سينا «در نمط نهم» كتاب اشارات به عنوان «في مقامات العارفين»، اين مراحل سير و سلوك را شرح داده است. اين نمط از دقيق ترين و مهمترين قسمتهاي كتاب اشارت است.</w:t>
      </w:r>
      <w:r>
        <w:rPr>
          <w:rStyle w:val="FootnoteReference"/>
          <w:rFonts w:cs="B Zar"/>
          <w:rtl/>
        </w:rPr>
        <w:footnoteReference w:id="434"/>
      </w:r>
      <w:r w:rsidRPr="00175A44">
        <w:rPr>
          <w:rFonts w:cs="B Zar" w:hint="cs"/>
          <w:rtl/>
        </w:rPr>
        <w:t xml:space="preserve"> فخر رازي نيز اين باب را مهمترين و باارزش ترين مطالب اين كتاب دانسته است؛ چرا كه ابن سينا در آن علوم و معارف صوفيه را به نحوي مرتب نمود كه پيش از او كسي چنين نكرده است.</w:t>
      </w:r>
      <w:r>
        <w:rPr>
          <w:rStyle w:val="FootnoteReference"/>
          <w:rFonts w:cs="B Zar"/>
          <w:rtl/>
        </w:rPr>
        <w:footnoteReference w:id="435"/>
      </w:r>
    </w:p>
    <w:p w:rsidR="0011420A" w:rsidP="003C0EF5">
      <w:pPr>
        <w:widowControl w:val="0"/>
        <w:spacing w:line="420" w:lineRule="exact"/>
        <w:ind w:left="0" w:right="0"/>
        <w:jc w:val="both"/>
        <w:rPr>
          <w:rFonts w:cs="B Zar" w:hint="cs"/>
          <w:i/>
          <w:iCs/>
          <w:rtl/>
        </w:rPr>
      </w:pPr>
      <w:r w:rsidRPr="00175A44">
        <w:rPr>
          <w:rFonts w:cs="B Zar" w:hint="cs"/>
          <w:rtl/>
        </w:rPr>
        <w:t xml:space="preserve">او مي گويد: </w:t>
      </w:r>
      <w:r w:rsidRPr="00175A44">
        <w:rPr>
          <w:rFonts w:cs="B Zar" w:hint="cs"/>
          <w:i/>
          <w:iCs/>
          <w:rtl/>
        </w:rPr>
        <w:t>«عارف حق را مي خواهد، نه براي چيزي غير حق و هيچ چيزي را بر معرفت حق ترجيح نمي دهد</w:t>
      </w:r>
      <w:r w:rsidRPr="00175A44">
        <w:rPr>
          <w:rFonts w:cs="B Zar" w:hint="cs"/>
          <w:rtl/>
        </w:rPr>
        <w:t xml:space="preserve">.» عبادت عارف تنها به خاطر آن است كه او را شايسته عبادت مي‌داند و به خاطر آن است كه عبادت في ذاته لذت بخش و امر ستوده‌اي است، نه به خاطر ميل و طمع در چيزي و يا ترس از چيزي. سپس ابن سينا در فصل سوم نمط نهم در شرح گفته‌هاي خود مي نويسد: </w:t>
      </w:r>
      <w:r w:rsidRPr="00175A44">
        <w:rPr>
          <w:rFonts w:cs="B Zar" w:hint="cs"/>
          <w:i/>
          <w:iCs/>
          <w:rtl/>
        </w:rPr>
        <w:t>«زهد غير عارف معامله است، گوئي در برابر كالاي دنيوي، كالاي اخروي را مي خرد؛ اما زهد نزد عارف نوعي تنزه و پاكي از چيزهائي است كه او را از حق دور نگه مي‌دارد. عبادت نيز نزد غير عارف نوعي معامله است، گوئي براي اجرا و ثوابي كه در آخرت خواهد گرفت در دنيا عمل مي‌كند، اما نزد عارف رياضت است.</w:t>
      </w:r>
      <w:r>
        <w:rPr>
          <w:rStyle w:val="FootnoteReference"/>
          <w:rFonts w:cs="B Zar"/>
          <w:i/>
          <w:iCs/>
          <w:rtl/>
        </w:rPr>
        <w:footnoteReference w:id="436"/>
      </w:r>
      <w:r w:rsidRPr="00175A44">
        <w:rPr>
          <w:rFonts w:cs="B Zar" w:hint="cs"/>
          <w:i/>
          <w:iCs/>
          <w:rtl/>
        </w:rPr>
        <w:t>»</w:t>
      </w:r>
    </w:p>
    <w:p w:rsidR="00CB65C7" w:rsidRPr="00175A44" w:rsidP="003C0EF5">
      <w:pPr>
        <w:widowControl w:val="0"/>
        <w:spacing w:line="420" w:lineRule="exact"/>
        <w:ind w:left="0" w:right="0"/>
        <w:jc w:val="both"/>
        <w:rPr>
          <w:rFonts w:cs="B Zar" w:hint="cs"/>
          <w:i/>
          <w:i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روابط توحيد و عرفان؛ ضد همديگر يا مكمل همديگر</w:t>
      </w:r>
    </w:p>
    <w:p w:rsidR="0011420A" w:rsidRPr="00175A44" w:rsidP="003C0EF5">
      <w:pPr>
        <w:widowControl w:val="0"/>
        <w:spacing w:line="420" w:lineRule="exact"/>
        <w:ind w:left="0" w:right="0"/>
        <w:jc w:val="both"/>
        <w:rPr>
          <w:rFonts w:cs="B Zar" w:hint="cs"/>
          <w:rtl/>
        </w:rPr>
      </w:pPr>
      <w:r w:rsidRPr="00175A44">
        <w:rPr>
          <w:rFonts w:cs="B Zar" w:hint="cs"/>
          <w:rtl/>
        </w:rPr>
        <w:t>بين مرحله چهارم و مرحله پنجم (توحيد و عرفان)، تضادي نيست، بلكه عرفان مكمل توحيد است؛ توحيد كلامي به توحيد فلسفي و عرفاني مي‌انجامد، عرفان روح و باطن توحيد است؛ البته فلسفه و عرفاني كه براساس توحيد و شريعت قرار دارد،  نه آنچه بريده و گسيخته از آن باشد. عرفاني كه در راستاي توحيد به دست مي‌آيد، جوهر و خلاصة توحيد است نه مخالف و ضد آن. در واقع عرفان فرو رفتن در ژرفاي توحيد، و توحيد مقصد نهائي سير و سلوك عارف است.</w:t>
      </w:r>
    </w:p>
    <w:p w:rsidR="0011420A" w:rsidRPr="00175A44" w:rsidP="003C0EF5">
      <w:pPr>
        <w:widowControl w:val="0"/>
        <w:spacing w:line="420" w:lineRule="exact"/>
        <w:ind w:left="0" w:right="0"/>
        <w:jc w:val="both"/>
        <w:rPr>
          <w:rFonts w:cs="B Zar" w:hint="cs"/>
          <w:rtl/>
        </w:rPr>
      </w:pPr>
      <w:r w:rsidRPr="00175A44">
        <w:rPr>
          <w:rFonts w:cs="B Zar" w:hint="cs"/>
          <w:rtl/>
        </w:rPr>
        <w:t>توحيد بريده از عرفان به سوي فرمولهاي خشك و قالبي در مي‌آيد؛ روح عرفاني در آن جان مي‌دمد و آن را با وجود انسان عجين مي‌سازد. عرفا و بسياري از علمای اسلامي نيز اين نكته را مورد تأكيد قرار داده‌اند كه بين عرفان سالم راستين و توحيد، نه تنها تضادي نيست، بلكه عرفان بدين معنا جوهر توحيد است. صدرالدين شيرازي، فيض كاشاني، قاضي سعيد قمي، محمد رضا قمشه اي و ميرزا هاشم رشتي، از علمائي بودند كه اين نكته را مورد تأكيد قرار داده اند. در زمان علامه طباطبائي، امام خميني (ره) و شاگرد رشيد آنان مرحوم مرتضي مطهري، بر عرفان اصيل به عنوان روح و جوهر تكيه داشته اند.</w:t>
      </w:r>
    </w:p>
    <w:p w:rsidR="0011420A" w:rsidRPr="00175A44" w:rsidP="003C0EF5">
      <w:pPr>
        <w:widowControl w:val="0"/>
        <w:spacing w:line="420" w:lineRule="exact"/>
        <w:ind w:left="0" w:right="0"/>
        <w:jc w:val="both"/>
        <w:rPr>
          <w:rFonts w:cs="B Zar" w:hint="cs"/>
          <w:rtl/>
        </w:rPr>
      </w:pPr>
      <w:r w:rsidRPr="00175A44">
        <w:rPr>
          <w:rFonts w:cs="B Zar" w:hint="cs"/>
          <w:rtl/>
        </w:rPr>
        <w:t xml:space="preserve">البته برخي محافل روشنفكري و قشري درصدد بوده اند توحيد و عرفان را به صورت دو اصل مخالف و متضاد درآورند. شهيد مرتضي مطهري كه بينش عميق فقاهتي او مورد ترديد هيچكس نيست، در رساله «عرفان»، بدين ايرادا پاسخ داده است. او مي‌گويد: </w:t>
      </w:r>
      <w:r w:rsidRPr="00175A44">
        <w:rPr>
          <w:rFonts w:cs="B Zar" w:hint="cs"/>
          <w:i/>
          <w:iCs/>
          <w:rtl/>
        </w:rPr>
        <w:t>«قهراً اينجا اين سئوال پيش مي‌آيد كه ميان آنچه كه عرفان عرضه مي كند با آنچه اسلام بيان داشته است، چه نسبتي برقرار است؟»</w:t>
      </w:r>
      <w:r w:rsidRPr="00175A44">
        <w:rPr>
          <w:rFonts w:cs="B Zar" w:hint="cs"/>
          <w:rtl/>
        </w:rPr>
        <w:t xml:space="preserve"> عرفاي اسلامي هرگز مدعي نيستند كه سخن ماوراء اسلام دارند و از چنين نسبتي سخت‌تبري مي‌جويند. برعكس، آنان مدعي‌اند كه حقايق اسلامي را بهتر از ديگران كشف كرده‌اند و مسلمان واقعي آنان مي باشند. ولي ديگران دربارة آنان نظريه‌هائي دارند:</w:t>
      </w:r>
    </w:p>
    <w:p w:rsidR="0011420A" w:rsidRPr="00175A44" w:rsidP="003C0EF5">
      <w:pPr>
        <w:widowControl w:val="0"/>
        <w:spacing w:line="420" w:lineRule="exact"/>
        <w:ind w:left="0" w:right="0"/>
        <w:jc w:val="both"/>
        <w:rPr>
          <w:rFonts w:cs="B Zar" w:hint="cs"/>
          <w:rtl/>
        </w:rPr>
      </w:pPr>
      <w:r w:rsidRPr="00175A44">
        <w:rPr>
          <w:rFonts w:cs="B Zar" w:hint="cs"/>
          <w:rtl/>
        </w:rPr>
        <w:t>الف: نظريه گروهي از محدثان و فقهاي اسلامي كه به عقيده آنان عرفا عملاً پايبند به اسلام نيستند؛</w:t>
      </w:r>
    </w:p>
    <w:p w:rsidR="0011420A" w:rsidRPr="00175A44" w:rsidP="003C0EF5">
      <w:pPr>
        <w:widowControl w:val="0"/>
        <w:spacing w:line="420" w:lineRule="exact"/>
        <w:ind w:left="0" w:right="0"/>
        <w:jc w:val="both"/>
        <w:rPr>
          <w:rFonts w:cs="B Zar" w:hint="cs"/>
          <w:rtl/>
        </w:rPr>
      </w:pPr>
      <w:r w:rsidRPr="00175A44">
        <w:rPr>
          <w:rFonts w:cs="B Zar" w:hint="cs"/>
          <w:rtl/>
        </w:rPr>
        <w:t>ب: نظريه گروهي از متجددان عصر حاضر كه با اسلام ميانه خوبي ندارند. معتقدند عرفا عملاً ايمان و اعتقادي به اسلام ندارند و تصوف، نهضتي بوده است از ناحيه ملل غير عرب بر ضد اسلام.</w:t>
      </w:r>
    </w:p>
    <w:p w:rsidR="0011420A" w:rsidRPr="00175A44" w:rsidP="003C0EF5">
      <w:pPr>
        <w:widowControl w:val="0"/>
        <w:spacing w:line="420" w:lineRule="exact"/>
        <w:ind w:left="0" w:right="0"/>
        <w:jc w:val="both"/>
        <w:rPr>
          <w:rFonts w:cs="B Zar" w:hint="cs"/>
          <w:i/>
          <w:iCs/>
          <w:rtl/>
        </w:rPr>
      </w:pPr>
      <w:r w:rsidRPr="00175A44">
        <w:rPr>
          <w:rFonts w:cs="B Zar" w:hint="cs"/>
          <w:rtl/>
        </w:rPr>
        <w:t xml:space="preserve">اين دو گروه در ضديت عرفان و اسلام وحدت نظر دارند، منتهي اينكه نخست با تكيه بر اسلام مي خواهند عرفان را از صحنه معارف اسلامي خارج نمايند و دوم با تكيه بر عرفان مي خواهند اسلام را بكوبند. سپس مرحوم مطهري سه نظريه راجع به اينكه آيا عرفان از بطن توحيد زاده شده يا عنصر خارجي است، بررسي مي كند و باز نشان مي دهد كه متجددان ضد اسلامي و برخي محدثان و فقهاي قشري در اين مورد نيز وحدت نظر دارند و معتقدند كه اسلام پيچيدگي فلسفه الهي و عرفان را نداشته و زهد اسلامي صرفاً به معناي اعراض از متاعهاي فاني دنيا براي وصول به نعيم جاودان بوده و نيكان صحابه زاهداني بيش نبودند و روح آنها از سير و سلوك عرفاني و از توحيد عرفاني بيخبر بوده است. سپس استاد مطهري نظر مي دهد و مي نگارد: </w:t>
      </w:r>
      <w:r w:rsidRPr="00175A44">
        <w:rPr>
          <w:rFonts w:cs="B Zar" w:hint="cs"/>
          <w:i/>
          <w:iCs/>
          <w:rtl/>
        </w:rPr>
        <w:t>«حقيقت اين است كه نظريه اين گروه به هيچ وجه قابل تأئيد نيست، مايه‌هاي اوليه اسلامي بسي غني تر است از آنچه اين گروه به جهل و يا به عمد فرض كرده‌اند، نه توحيد اسلامي به آن سادگي و بي محتوائي است، كه اينها فرض كرده اند و نه معنويت انسان در اسلام منحصر به زهد خشك است و نه نيكان صحابه كرام آنچنان بودند كه اينان توصيف مي نمايند، و نه اعمال و آداب اسلامي محدود است به اعمال جوارح و اعضا</w:t>
      </w:r>
      <w:r w:rsidRPr="00175A44">
        <w:rPr>
          <w:rFonts w:cs="Yagut" w:hint="eastAsia"/>
          <w:i/>
          <w:iCs/>
          <w:rtl/>
        </w:rPr>
        <w:t>…</w:t>
      </w:r>
      <w:r w:rsidRPr="00175A44">
        <w:rPr>
          <w:rFonts w:cs="B Zar" w:hint="eastAsia"/>
          <w:i/>
          <w:iCs/>
          <w:rtl/>
        </w:rPr>
        <w:t xml:space="preserve">» </w:t>
      </w:r>
    </w:p>
    <w:p w:rsidR="0011420A" w:rsidRPr="00175A44" w:rsidP="003C0EF5">
      <w:pPr>
        <w:widowControl w:val="0"/>
        <w:spacing w:line="420" w:lineRule="exact"/>
        <w:ind w:left="0" w:right="0"/>
        <w:jc w:val="both"/>
        <w:rPr>
          <w:rFonts w:cs="B Zar" w:hint="cs"/>
          <w:i/>
          <w:iCs/>
          <w:rtl/>
        </w:rPr>
      </w:pPr>
      <w:r w:rsidRPr="00175A44">
        <w:rPr>
          <w:rFonts w:cs="B Zar" w:hint="eastAsia"/>
          <w:i/>
          <w:iCs/>
          <w:rtl/>
        </w:rPr>
        <w:t>قرآن كريم در باب توحيد هرگز خدا و خلقت را به سازنده خانه و خانه ق</w:t>
      </w:r>
      <w:r w:rsidRPr="00175A44">
        <w:rPr>
          <w:rFonts w:cs="B Zar" w:hint="cs"/>
          <w:i/>
          <w:iCs/>
          <w:rtl/>
        </w:rPr>
        <w:t>ي</w:t>
      </w:r>
      <w:r w:rsidRPr="00175A44">
        <w:rPr>
          <w:rFonts w:cs="B Zar" w:hint="eastAsia"/>
          <w:i/>
          <w:iCs/>
          <w:rtl/>
        </w:rPr>
        <w:t xml:space="preserve">اس نمي كند. </w:t>
      </w:r>
      <w:r w:rsidRPr="00175A44">
        <w:rPr>
          <w:rFonts w:cs="B Zar" w:hint="cs"/>
          <w:i/>
          <w:iCs/>
          <w:rtl/>
        </w:rPr>
        <w:t>قرآن خدا را خالق و آفريننده جهان معرفي مي كند، در همين حال مي گويد كه ذات مقدس او در همه جا و يا همه چيز هست و مي فرمايد: «هوالاول والاخر و الظاهر و الباطن» اول و آخر همه اشيا و ظاهر و باطن آنان اوست. بديهي است اينگونه آيات افكار و انديشه‌ها را به سوي توحيدي برتر و عاليتر از توحيد عوام مي خوانده است</w:t>
      </w:r>
      <w:r w:rsidRPr="00175A44">
        <w:rPr>
          <w:rFonts w:cs="Yagut" w:hint="eastAsia"/>
          <w:i/>
          <w:iCs/>
          <w:rtl/>
        </w:rPr>
        <w:t>…</w:t>
      </w:r>
      <w:r w:rsidRPr="00175A44">
        <w:rPr>
          <w:rFonts w:cs="B Zar" w:hint="eastAsia"/>
          <w:i/>
          <w:iCs/>
          <w:rtl/>
        </w:rPr>
        <w:t xml:space="preserve"> در مورد سير </w:t>
      </w:r>
      <w:r w:rsidRPr="00175A44">
        <w:rPr>
          <w:rFonts w:cs="B Zar" w:hint="cs"/>
          <w:i/>
          <w:iCs/>
          <w:rtl/>
        </w:rPr>
        <w:t>و سلوك و طي مراحل قرب حق تا آخرين منزل كافي است، برخي آيات مربوط به «لقاء‌الله» و «رضوان الله» و آيات مربوط به وحي و الهام و مكالمه با ملائكه يا غير پيغمبران را مورد نظر قرار دهيم.»</w:t>
      </w:r>
      <w:r>
        <w:rPr>
          <w:rStyle w:val="FootnoteReference"/>
          <w:rFonts w:cs="B Zar"/>
          <w:i/>
          <w:iCs/>
          <w:sz w:val="28"/>
          <w:szCs w:val="28"/>
          <w:rtl/>
        </w:rPr>
        <w:footnoteReference w:id="437"/>
      </w:r>
    </w:p>
    <w:p w:rsidR="0011420A" w:rsidP="003C0EF5">
      <w:pPr>
        <w:widowControl w:val="0"/>
        <w:spacing w:line="420" w:lineRule="exact"/>
        <w:ind w:left="0" w:right="0"/>
        <w:jc w:val="both"/>
        <w:rPr>
          <w:rFonts w:cs="B Zar" w:hint="cs"/>
          <w:rtl/>
        </w:rPr>
      </w:pPr>
      <w:r w:rsidRPr="00175A44">
        <w:rPr>
          <w:rFonts w:cs="B Zar" w:hint="cs"/>
          <w:rtl/>
        </w:rPr>
        <w:t>بدينسان هيچ تضادي ميان مرحله چهارم «توحيد كلامي» و مرحله نهائي «توحيد عرفاني» وجود ندارد؛ مرحله پنجم، نه ناسخ، بلكه مكمل مرحله پيشين است.</w:t>
      </w:r>
    </w:p>
    <w:p w:rsidR="0042327B"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چگونگي آغاز انديشة فلسفي ـ عرفاني</w:t>
      </w:r>
    </w:p>
    <w:p w:rsidR="0011420A" w:rsidRPr="00175A44" w:rsidP="003C0EF5">
      <w:pPr>
        <w:widowControl w:val="0"/>
        <w:spacing w:line="420" w:lineRule="exact"/>
        <w:ind w:left="0" w:right="0"/>
        <w:jc w:val="both"/>
        <w:rPr>
          <w:rFonts w:cs="B Zar" w:hint="cs"/>
          <w:rtl/>
        </w:rPr>
      </w:pPr>
      <w:r w:rsidRPr="00175A44">
        <w:rPr>
          <w:rFonts w:cs="B Zar" w:hint="cs"/>
          <w:rtl/>
        </w:rPr>
        <w:t>چنانكه گفتيم بشر به تدريج اصل توحيد كلامي را دريافت. از بدو تاريخ خود در نتيجه گرايش فطري و نيز هدايت پيامبران الهي، گوهر توحيد را دريافته، ليكن مجدداً فراموش مي‌كرده است، و تنها پس از بلوغ فكري،  جامعه انساني به طور عمومي به مرحله توحيد كلامي رسيد. همين امر در چگونگي آغاز مرحله توحيد عرفاني و طلوع فلسفه و عرفان نيز ديده مي شود. ظهور انديشه فلسفي و عرفاني در يك معناي عام با آغاز تاريخ بشر در صحنه گيتي همزمان بوده است. انسان بنا به صفت ناطق بودن خود، بنا به فطرت خويش، از درك سطحي اشياء قانع نيست، و درصدد بر مي آيد با كنه و ماهيت اشياء آشنا شود. چنانكه استاد مطهري خاطر نشان ساخته است، يكي از ويژگي‌هاي انسان اين است كه آگاهي او از ظواهر اشياء عبور مي‌كند تا در درون ذات و ماهيت آنها و روابط و وابستگي‌هاي آنها و ضرورت‌هاي حاكم بر آنها نفوذ نمايد. آدمي از شناخت فرديت و جزئيت پا فراتر مي‌نهد، قوانين كلي و حقایق عمومي و فراگيرنده جهان را كشف مي‌كند. فلسفه در نهايت جز اين نيست.</w:t>
      </w:r>
    </w:p>
    <w:p w:rsidR="0011420A" w:rsidRPr="00175A44" w:rsidP="003C0EF5">
      <w:pPr>
        <w:widowControl w:val="0"/>
        <w:spacing w:line="420" w:lineRule="exact"/>
        <w:ind w:left="0" w:right="0"/>
        <w:jc w:val="both"/>
        <w:rPr>
          <w:rFonts w:cs="B Zar" w:hint="cs"/>
          <w:rtl/>
        </w:rPr>
      </w:pPr>
      <w:r w:rsidRPr="00175A44">
        <w:rPr>
          <w:rFonts w:cs="B Zar" w:hint="cs"/>
          <w:rtl/>
        </w:rPr>
        <w:t>از نظر خواسته‌ها و مطلوب ها نيز انسان از نظر نهادي، سطح والاتري دارد؛ موجودي است ارزشجو، كمال خواه، زيبائي پرست و «عاشق»؛ آرمانهائي را جستجو مي كند كه مادي و يا از نوع «سود» نيستند.</w:t>
      </w:r>
      <w:r>
        <w:rPr>
          <w:rStyle w:val="FootnoteReference"/>
          <w:rFonts w:cs="B Zar"/>
          <w:sz w:val="28"/>
          <w:szCs w:val="28"/>
          <w:rtl/>
        </w:rPr>
        <w:footnoteReference w:id="438"/>
      </w:r>
      <w:r w:rsidRPr="00175A44">
        <w:rPr>
          <w:rFonts w:cs="B Zar" w:hint="cs"/>
          <w:rtl/>
        </w:rPr>
        <w:t xml:space="preserve"> اين ويژگي هاي فطري انسان به «عرفان» منتهي شده اند.</w:t>
      </w:r>
    </w:p>
    <w:p w:rsidR="0011420A" w:rsidRPr="00175A44" w:rsidP="003C0EF5">
      <w:pPr>
        <w:widowControl w:val="0"/>
        <w:spacing w:line="420" w:lineRule="exact"/>
        <w:ind w:left="0" w:right="0"/>
        <w:jc w:val="both"/>
        <w:rPr>
          <w:rFonts w:cs="B Zar" w:hint="cs"/>
          <w:i/>
          <w:iCs/>
          <w:rtl/>
        </w:rPr>
      </w:pPr>
      <w:r w:rsidRPr="00175A44">
        <w:rPr>
          <w:rFonts w:cs="B Zar" w:hint="cs"/>
          <w:rtl/>
        </w:rPr>
        <w:t xml:space="preserve">از همين رو به طور عمومي عرفان و فلسفه از طليعة ظهور تمدن اسلامي وجود داشته است. فلسفه به معناي انديشيدن وراي خواب و خور و وراي «فرديت» و «جزئيت»، و عرفان، به معناي سوز و گداز و عشق به حقيقت و «كمال» و تجسم كمال؛ حتي نگريستن به وحدت در وراي مظاهر كثرت در جهان، از بدو تاريخ بشر وجود داشته است. نخستين انسان بدوي يك فيلسوف و عارف بود (سخن از آدم، نخستين نبي است كه بلاشك سرچشمه عرفان بوده است)، هيچ انساني در ابتدائي ترين جوامع نيست كه يك جهانبيني نداشته باشد؛ يك تصور از جهان غيب نداشته باشد و «شهود» را بر مبناي غيب تفسير و توجيه نكند. الدوس هكسلي درست گفته است: </w:t>
      </w:r>
      <w:r w:rsidRPr="00175A44">
        <w:rPr>
          <w:rFonts w:cs="B Zar" w:hint="cs"/>
          <w:i/>
          <w:iCs/>
          <w:rtl/>
        </w:rPr>
        <w:t>«انتخابي كه انسان مي تواند ميان داشتن يا نداشتن بكند، يك فلسفه و متافيزيك نيست، بلكه ميان داشتن فلسفه و متافيزيك خوب يا بد است.»</w:t>
      </w:r>
    </w:p>
    <w:p w:rsidR="0011420A" w:rsidRPr="00175A44" w:rsidP="003C0EF5">
      <w:pPr>
        <w:widowControl w:val="0"/>
        <w:spacing w:line="420" w:lineRule="exact"/>
        <w:ind w:left="0" w:right="0"/>
        <w:jc w:val="both"/>
        <w:rPr>
          <w:rFonts w:cs="B Zar" w:hint="cs"/>
          <w:rtl/>
        </w:rPr>
      </w:pPr>
      <w:r w:rsidRPr="00175A44">
        <w:rPr>
          <w:rFonts w:cs="B Zar" w:hint="cs"/>
          <w:rtl/>
        </w:rPr>
        <w:t>ولي اگر فلسفه و عرفان را به معناي خاص به عنوان تكيه گاه نظري مشخص، آگاهانه و مدون شده سيستم متافيزيك و نظريه وحدت‌الوجودي و وحدت الموجودي بدانيم، اين مرحله در تاريخ بشر در حوالي هزار سال قبل از مسيح و پس از نيل انسان به اصل توحيد مي‌رسد. در واقع نظريه توحيد بوده كه بشر را به عرفان و فلسفه الهي رهنمون گرديده است. مقصود ما از فلسفه و عرفان به معناي خاص چيست؟ حكيمان اسلامي، فلسفه را به عنوان علم شناخت موجودات، آنگونه كه هستند، معرفي كرده‌اند: «العلم باحوال اعيان الموجودات علي ماهي عليها</w:t>
      </w:r>
      <w:r>
        <w:rPr>
          <w:rStyle w:val="FootnoteReference"/>
          <w:rFonts w:cs="B Zar"/>
          <w:sz w:val="28"/>
          <w:szCs w:val="28"/>
          <w:rtl/>
        </w:rPr>
        <w:footnoteReference w:id="439"/>
      </w:r>
      <w:r w:rsidRPr="00175A44">
        <w:rPr>
          <w:rFonts w:cs="B Zar" w:hint="cs"/>
          <w:rtl/>
        </w:rPr>
        <w:t>». اين تعريف اعم بوده و علوم طبيعي، ادبي، رياضي، منطق و روانشناسي و غيره را در بر مي گرفته است؛ زيرا هريك از اين علوم، بخشي از دسته اي از «اعيان موجود است» و احوال و اوصاف و احكام آنان را دارا مي باشد. از اين رو بعداً فلاسفه تخصيص كرده اند و تنها امور عامه، طبيعات، علم النفس و فلسفه الهي را شامل آن دانسته اند. ملاصدرا بزرگترين فيلسوف و حكيم اسلامي، فلسفه شناخت را معرفت وجود دانسته است. ما از فلسفه همين را مي گيريم: انديشه منظم انسان راجع به معماهاي وجود و هستي خويش. ما كيستيم؟ كجائيم؟ براي چيستيم؟ و به كجا مي رويم؟ رابطه ما با ساير موجودات چيست؟ و رابطه انسان با جهان چيست؟ و يا «جوهر» و جان جهان و خالق عالميان چگونه است؟</w:t>
      </w:r>
    </w:p>
    <w:p w:rsidR="0011420A" w:rsidRPr="00175A44" w:rsidP="003C0EF5">
      <w:pPr>
        <w:widowControl w:val="0"/>
        <w:spacing w:line="420" w:lineRule="exact"/>
        <w:ind w:left="0" w:right="0"/>
        <w:jc w:val="both"/>
        <w:rPr>
          <w:rFonts w:cs="B Zar" w:hint="cs"/>
          <w:rtl/>
        </w:rPr>
      </w:pPr>
      <w:r w:rsidRPr="00175A44">
        <w:rPr>
          <w:rFonts w:cs="B Zar" w:hint="cs"/>
          <w:rtl/>
        </w:rPr>
        <w:t>عرفان نيز دو بخش دارد، بخش عرفان عملي و بخش عرفان نظري. عرفان با فلسفه توأم است. نخست عرفان نظري به وجود مي آيد كه با فلسفه رابطه تنگاتنگي دارد و سپس عرفان عملي در پي آن مي آيد. عرفان نظري عبارت است از: مشاهده وحدت وراي پديده‌ها و مظاهر كثرت در جهان و درك رابطه حياتي ميان عالم لاهوت، ملكوت و عالم ناسوت  و شامل اين باور است كه در انسان يك جوهر ملكوتي وجود دارد كه در سایر ابعاد جهان و در وادي مظاهر و عالم «شهود» نيز هست و عالم «شهود» جز تجلي، تجسم، انعكاس يا سايه او نيست. عرفان عملي عبارت است از تلاش وجودي انسان براي نزديك تر شدن، تقرب جستن و واصل شدن به اين حقيقت و جوهر هستي، در تجسم كمال مطلق و در «معشوق» نهائي وجود و تاب و تب و سوز و گداز و جذبه شديد عشق و محبت براي «مطلوب» خود. چنانكه انديشمندان اسلامي خاطرنشان ساخته‌اند، فلسفه و عرفان برخي وجوه تشابه و نيز برخي وجوه تفاوت و تباين دارند. براي فلسفه، هدف اصلي معرفت نظام هستي است كه معرفت حق نيز از جمله آن است، ولي براي عرفان، هدف اصلي معرفت حق است كه ضمناً ممكن است نوعي جهان بيني نيز مطرح شود و مطرح مي شود. عملاً در اين زمينه تفاوت ميان اين دو، تفاوت ميزان تاكيد و «محدوديت» است، نه تفاوت كلي موضوع و محتوي. مقايسه فصوص الحكم ابن عربي با شواهد الربوبيه صدرا و يا حكمه الاشراق سهروردي و حتي با اشارت ابن سينا اين نكته را نمايان مي سازد. در فلسفه ودانتاي هند در اين زمينه تا اندازه‌اي تفاوت وجود ندارد و تفكيك موضوع فلسفه شانكارا و ودانتا با عرفان اوپانيشاد كار بسيار دشوار، بلكه بي سودي است.</w:t>
      </w:r>
    </w:p>
    <w:p w:rsidR="0011420A" w:rsidRPr="00175A44" w:rsidP="003C0EF5">
      <w:pPr>
        <w:widowControl w:val="0"/>
        <w:spacing w:line="420" w:lineRule="exact"/>
        <w:ind w:left="0" w:right="0"/>
        <w:jc w:val="both"/>
        <w:rPr>
          <w:rFonts w:cs="B Zar" w:hint="cs"/>
          <w:rtl/>
        </w:rPr>
      </w:pPr>
      <w:r w:rsidRPr="00175A44">
        <w:rPr>
          <w:rFonts w:cs="B Zar" w:hint="cs"/>
          <w:rtl/>
        </w:rPr>
        <w:t>گفته اند تفاوت ديگر ميان فلسفه و عرفان اين است كه، هدف حكيم معرفت نظري است؛ در حاليكه براي عارف، معرفت نظري، مقدمه تلاش براي «وصال» و سير به سوي حقيقت و ذات مطلق است. به تعبير ديگر هدف حكيم «معرفت» حق، و هدف عارف «وصال به حق» است. اين تفاوت به طور عمومي يك تمايز گذاري بجا است. البته مسأله شگفت‌آور اين است كه در عرفان هندو، به ويژه «اوپانيشاد»، محور«وصال به حق» نيست، بلكه «معرفت حق» است. «معرفت» در اوپانيشاد طريق نجات است. پس انسان هيچگاه از «اصل» خود جدا نشده كه براي وصل به آن بيقراري كند، بلكه بيقراري او براي دريافتن اين نكته است و ديدن و اشراق اين حقيقت است. «ني» از نيستان و «قطره» از دريا جدا نيست كه به آن وصل شود، بلكه نجات آن دريافتن حقيقت و ماهيت واقعي خويش است و بس. در نظر ما تنها تفاوت واقعي و سراسري ميان فلسفه الهي و اشراقي و عرفان نظري اين است كه هدف هر دو معرفت حق (با تفاوت در تأكيد و محدوديت) است. هر دو بر «معرفت» محض تاكيد مي‌ورزند، ولي عارف تنها اشراق خود را گزارش مي دهد و حكيم با كمك منطق و استدلال آن را ثابت مي كند. از اين ديدگاه است كه «فتوحات مكيه» و «فصوص‌الحكم» ابن عربي و يا كتاب «عوارف‌المعارف» و يا «اوپانيشاد» و «گيتا»، اثر عرفاني محسوب مي‌شوند؛ در حاليكه «حكمه‌الاشراق» سهروردي و «شواهدالربوبيه» و «اسفار» ملاصدرا و يا آثار شانكارا، راما‌نوج و ودانت سوترا فلسفه الهي محسوب مي شوند. در عين حال به استثناي اوپانيشاد، در مورد سائر آثار ديگر نمي‌توان گفت كه هدف حكيم «علم اليقين» و  هدف عارف «عين اليقين» است. حافظ مي گويد:</w:t>
      </w:r>
    </w:p>
    <w:p w:rsidR="0011420A" w:rsidRPr="00175A44" w:rsidP="003C0EF5">
      <w:pPr>
        <w:widowControl w:val="0"/>
        <w:spacing w:line="420" w:lineRule="exact"/>
        <w:ind w:left="0" w:right="0"/>
        <w:jc w:val="center"/>
        <w:rPr>
          <w:rFonts w:cs="B Zar" w:hint="cs"/>
          <w:sz w:val="26"/>
          <w:rtl/>
        </w:rPr>
      </w:pPr>
      <w:r w:rsidRPr="00175A44">
        <w:rPr>
          <w:rFonts w:cs="B Zar" w:hint="cs"/>
          <w:sz w:val="26"/>
          <w:rtl/>
        </w:rPr>
        <w:t>نه حافظ را حضور درس خلوت</w:t>
      </w:r>
    </w:p>
    <w:p w:rsidR="0011420A" w:rsidRPr="00175A44" w:rsidP="003C0EF5">
      <w:pPr>
        <w:pStyle w:val="Heading2"/>
        <w:keepNext w:val="0"/>
        <w:widowControl w:val="0"/>
        <w:spacing w:line="420" w:lineRule="exact"/>
        <w:ind w:left="0" w:right="0"/>
        <w:jc w:val="center"/>
        <w:rPr>
          <w:rFonts w:cs="B Zar" w:hint="cs"/>
          <w:b w:val="0"/>
          <w:bCs w:val="0"/>
          <w:spacing w:val="20"/>
          <w:rtl/>
        </w:rPr>
      </w:pPr>
      <w:r w:rsidRPr="00175A44">
        <w:rPr>
          <w:rFonts w:cs="B Zar" w:hint="cs"/>
          <w:b w:val="0"/>
          <w:bCs w:val="0"/>
          <w:spacing w:val="20"/>
          <w:sz w:val="26"/>
          <w:szCs w:val="26"/>
          <w:rtl/>
        </w:rPr>
        <w:t>نه دانشمند را علم اليقيني</w:t>
      </w:r>
    </w:p>
    <w:p w:rsidR="0011420A" w:rsidRPr="00175A44" w:rsidP="003C0EF5">
      <w:pPr>
        <w:widowControl w:val="0"/>
        <w:spacing w:line="420" w:lineRule="exact"/>
        <w:ind w:left="0" w:right="0" w:firstLine="567"/>
        <w:jc w:val="both"/>
        <w:rPr>
          <w:rFonts w:cs="B Zar" w:hint="cs"/>
          <w:b/>
          <w:bCs/>
          <w:sz w:val="28"/>
          <w:szCs w:val="28"/>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منشأ و آغاز جريان عرفان نظري</w:t>
      </w:r>
    </w:p>
    <w:p w:rsidR="0011420A" w:rsidRPr="00175A44" w:rsidP="003C0EF5">
      <w:pPr>
        <w:widowControl w:val="0"/>
        <w:spacing w:line="420" w:lineRule="exact"/>
        <w:ind w:left="0" w:right="0"/>
        <w:jc w:val="both"/>
        <w:rPr>
          <w:rFonts w:cs="B Zar" w:hint="cs"/>
          <w:rtl/>
        </w:rPr>
      </w:pPr>
      <w:r w:rsidRPr="00175A44">
        <w:rPr>
          <w:rFonts w:cs="B Zar" w:hint="cs"/>
          <w:rtl/>
        </w:rPr>
        <w:t xml:space="preserve">حكيمان اسلامي معتقد بوده‌اند كه حكمت و فلسفه وديعه انبياء است و نخستين معلم حكمت، شعيب نبي و ادريس نبي بودند. هندوها «جنان» يا معرفت نظري را «پارجاپاتي» يا «ويشنو» مي‌دانند. از نظر شواهد تاريخي كه باستان شناسان كشف كرده اند، نخستين جرقه‌هاي انديشه متعالي فلسفي در بين‌النهرين، و مصر و چين زده شد؛ سپس اين جرقه‌ها در هند و ايران به صورت شعله به گونه اي زبانه كشيدند، كه در تاريخ انديشه </w:t>
      </w:r>
      <w:r w:rsidRPr="00175A44">
        <w:rPr>
          <w:rFonts w:cs="B Zar" w:hint="cs"/>
          <w:rtl/>
        </w:rPr>
        <w:t xml:space="preserve">بشر از دور ديده مي‌‌شود، سپس در دوره‌هاي بعدي فلاسفه يونان و حكيمان اسلامي از آن مشعل‌هايي روشن كردند و در فانوس‌ها قرار دادند و فلسفه را مدون ساختند. عرفان اگر به معناي جريان وحدت‌الوجودي و وحدت الموجودي و نگرش «همه اوست» باشد، چنانكه اشاره كرديم برخي نشانه‌هاي آن را حتي در سپيده دم تاريخ در ميان قبائل ابتدائي مي‌توان سراغ گرفت. قبائل مالزي </w:t>
      </w:r>
      <w:r w:rsidRPr="00175A44">
        <w:rPr>
          <w:rFonts w:cs="B Zar"/>
        </w:rPr>
        <w:t>(Malensians)</w:t>
      </w:r>
      <w:r w:rsidRPr="00175A44">
        <w:rPr>
          <w:rFonts w:cs="B Zar" w:hint="cs"/>
          <w:rtl/>
        </w:rPr>
        <w:t xml:space="preserve"> و پولنزي </w:t>
      </w:r>
      <w:r w:rsidRPr="00175A44">
        <w:rPr>
          <w:rFonts w:cs="B Zar"/>
        </w:rPr>
        <w:t>(Polynesians)</w:t>
      </w:r>
      <w:r w:rsidRPr="00175A44">
        <w:rPr>
          <w:rFonts w:cs="B Zar" w:hint="cs"/>
          <w:rtl/>
        </w:rPr>
        <w:t xml:space="preserve"> معتقد به «مانا»  به صورت روح كلي جهان‌اند كه در ساير موجودات جاري و ساري است. قبيله «انامي»  </w:t>
      </w:r>
      <w:r w:rsidRPr="00175A44">
        <w:rPr>
          <w:rFonts w:cs="B Zar"/>
        </w:rPr>
        <w:t>(Anamese)</w:t>
      </w:r>
      <w:r w:rsidRPr="00175A44">
        <w:rPr>
          <w:rFonts w:cs="B Zar" w:hint="cs"/>
          <w:rtl/>
        </w:rPr>
        <w:t xml:space="preserve"> آنرا تنه </w:t>
      </w:r>
      <w:r w:rsidRPr="00175A44">
        <w:rPr>
          <w:rFonts w:cs="B Zar"/>
        </w:rPr>
        <w:t>(Tineh)</w:t>
      </w:r>
      <w:r w:rsidRPr="00175A44">
        <w:rPr>
          <w:rFonts w:cs="B Zar" w:hint="cs"/>
          <w:rtl/>
        </w:rPr>
        <w:t xml:space="preserve"> مي‌نامند؛ قبيله تلنگ </w:t>
      </w:r>
      <w:r w:rsidRPr="00175A44">
        <w:rPr>
          <w:rFonts w:cs="B Zar"/>
        </w:rPr>
        <w:t>(Tiling)</w:t>
      </w:r>
      <w:r w:rsidRPr="00175A44">
        <w:rPr>
          <w:rFonts w:cs="B Zar" w:hint="cs"/>
          <w:rtl/>
        </w:rPr>
        <w:t xml:space="preserve">، اين حقيقت كلي و روح جهاني را ير </w:t>
      </w:r>
      <w:r w:rsidRPr="00175A44">
        <w:rPr>
          <w:rFonts w:cs="B Zar"/>
        </w:rPr>
        <w:t>(Yer)</w:t>
      </w:r>
      <w:r w:rsidRPr="00175A44">
        <w:rPr>
          <w:rFonts w:cs="B Zar" w:hint="cs"/>
          <w:rtl/>
        </w:rPr>
        <w:t xml:space="preserve"> مي‌نامند كه به معناي مخزن نيروي ماورائي است. اين «روح كلي» در برخي موجودات و انسان‌ها بيشتر است و در برخي كمتر، و سلسله مراتب موجودات بر حسب ميزان  وجود اين عنصر ملكوتي صورت مي گيرد. قبيله اروكويس‌</w:t>
      </w:r>
      <w:r w:rsidRPr="00175A44">
        <w:rPr>
          <w:rFonts w:cs="B Zar"/>
        </w:rPr>
        <w:t>(Iroquis)</w:t>
      </w:r>
      <w:r w:rsidRPr="00175A44">
        <w:rPr>
          <w:rFonts w:cs="B Zar" w:hint="cs"/>
          <w:rtl/>
        </w:rPr>
        <w:t xml:space="preserve">، ‌معتقد به ارندا </w:t>
      </w:r>
      <w:r w:rsidRPr="00175A44">
        <w:rPr>
          <w:rFonts w:cs="B Zar"/>
        </w:rPr>
        <w:t>(Orenda)</w:t>
      </w:r>
      <w:r w:rsidRPr="00175A44">
        <w:rPr>
          <w:rFonts w:cs="B Zar" w:hint="cs"/>
          <w:rtl/>
        </w:rPr>
        <w:t xml:space="preserve">‌  ـ نيروي ماورائي ـ است كه در جهان جريان دارد. قبيله اومه‌ها </w:t>
      </w:r>
      <w:r w:rsidRPr="00175A44">
        <w:rPr>
          <w:rFonts w:cs="B Zar"/>
        </w:rPr>
        <w:t>(Omeha)</w:t>
      </w:r>
      <w:r w:rsidRPr="00175A44">
        <w:rPr>
          <w:rFonts w:cs="B Zar" w:hint="cs"/>
          <w:rtl/>
        </w:rPr>
        <w:t>، آن را وكندا</w:t>
      </w:r>
      <w:r w:rsidRPr="00175A44">
        <w:rPr>
          <w:rFonts w:cs="B Zar"/>
        </w:rPr>
        <w:t>(Wakanda)</w:t>
      </w:r>
      <w:r w:rsidRPr="00175A44">
        <w:rPr>
          <w:rFonts w:cs="B Zar" w:hint="cs"/>
          <w:rtl/>
        </w:rPr>
        <w:t xml:space="preserve"> مي‌نامند كه به معناي نيروي حياط‌بخش مرموز است. قوم الگوكوين </w:t>
      </w:r>
      <w:r w:rsidRPr="00175A44">
        <w:rPr>
          <w:rFonts w:cs="B Zar"/>
        </w:rPr>
        <w:t>(Algaquin)</w:t>
      </w:r>
      <w:r w:rsidRPr="00175A44">
        <w:rPr>
          <w:rFonts w:cs="B Zar" w:hint="cs"/>
          <w:rtl/>
        </w:rPr>
        <w:t xml:space="preserve"> به اصل «مانيتو» معتقدند كه يك نيروي همه جا حاضر است و ياوها آن را مولنگو مي‌نامند.</w:t>
      </w:r>
    </w:p>
    <w:p w:rsidR="0011420A" w:rsidRPr="00175A44" w:rsidP="003C0EF5">
      <w:pPr>
        <w:widowControl w:val="0"/>
        <w:spacing w:line="420" w:lineRule="exact"/>
        <w:ind w:left="0" w:right="0"/>
        <w:jc w:val="both"/>
        <w:rPr>
          <w:rFonts w:cs="B Zar" w:hint="cs"/>
          <w:rtl/>
        </w:rPr>
      </w:pPr>
      <w:r w:rsidRPr="00175A44">
        <w:rPr>
          <w:rFonts w:cs="B Zar" w:hint="cs"/>
          <w:rtl/>
        </w:rPr>
        <w:t>البته هيچكس ترديد ندارد كه نگرش عرفاني به صورت مدون و منظم نخستين بار در هند، در مكتب ويدانت و اوپانيشاد عنوان شد؛ سپس برخي حكيمان اشراقي يونان كه گفته مي‌شود تحت تأثير انديشه هند و ايران بودند، جريان عرفاني را اقتباس نموده، روند انديشه عرفاني در تصوف و عرفان و حكمت اشراق را به اوج خود رساندند. آنچه مسلم است، آئين توحيد، جريان فلسفه و عرفان از خاور آغاز گرديد و سپس به باختر رسيد. «خورشيد» هميشه از خاور برآمده، سپس به باختر رسيده و در آنجا غروب كرده و مجدداً از مشرق زمين طلوع نموده است. اين روند كلي تاريخ است.</w:t>
      </w:r>
    </w:p>
    <w:p w:rsidR="0011420A" w:rsidRPr="00175A44" w:rsidP="003C0EF5">
      <w:pPr>
        <w:widowControl w:val="0"/>
        <w:spacing w:line="420" w:lineRule="exact"/>
        <w:ind w:left="0" w:right="0"/>
        <w:jc w:val="both"/>
        <w:rPr>
          <w:rFonts w:cs="B Zar" w:hint="cs"/>
          <w:rtl/>
        </w:rPr>
      </w:pPr>
      <w:r w:rsidRPr="00175A44">
        <w:rPr>
          <w:rFonts w:cs="B Zar" w:hint="cs"/>
          <w:rtl/>
        </w:rPr>
        <w:t xml:space="preserve">در يونان مرحله انديشه فلسفي و عرفاني، لااقل چهارصد سال پس از تدوين نخستين رسائل اوپانيشاد و آغاز انديشه فلسفي در چين و ايران، شروع شده است. ويل دورانت گفته است:‌ </w:t>
      </w:r>
      <w:r w:rsidRPr="00175A44">
        <w:rPr>
          <w:rFonts w:cs="B Zar" w:hint="cs"/>
          <w:i/>
          <w:iCs/>
          <w:rtl/>
        </w:rPr>
        <w:t>«آغاز انديشه فلسفي در يونان پس از پيروزي يونان بر ايران بوده است</w:t>
      </w:r>
      <w:r w:rsidRPr="00175A44">
        <w:rPr>
          <w:rFonts w:cs="B Zar" w:hint="cs"/>
          <w:rtl/>
        </w:rPr>
        <w:t>». ارسطو مي گويد:</w:t>
      </w:r>
      <w:r w:rsidRPr="00175A44">
        <w:rPr>
          <w:rFonts w:cs="B Zar" w:hint="cs"/>
          <w:i/>
          <w:iCs/>
          <w:rtl/>
        </w:rPr>
        <w:t xml:space="preserve"> «پس از جنگ با ايرانيان، يونانيان از فتوحات خود سرمست شده و به كسب انواع علوم و دانش‌ها پرداختند»</w:t>
      </w:r>
      <w:r w:rsidRPr="00175A44">
        <w:rPr>
          <w:rFonts w:cs="B Zar" w:hint="cs"/>
          <w:rtl/>
        </w:rPr>
        <w:t>. از اين اظهارات طبيعتاً اين احتمال پيش مي‌آيد كه يونانيان فلسفه را نخست از ايران آموختند، و چه بسا ملت هاي مغلوب كه اقوام غالب و حاكم را به شاگردي خود درآورده اند. ايران به خصوص در اين امر يد طولاني داشته است. پس از  پيروزي بر ايران ممكن است يونانيان به فراگرفتن معارف آنان پرداخته، و يا ممكن است ايرانيان جرقه انديشه فلسفي را در يونان زده باشند. در غير اين صورت ميان پيروزي بر ايران و نهضت فلسفي در يونان چه مناسبتي ممكن است وجود داشته باشد؟ قاعدتاً در آن زمان فلسفه و حكمت و عرفان بايد در ايران رواج داشته باشد. بسيار بعيد است در دوره‌اي كه برادران آريائي هندي رسائل آرن ياكان، اوپانيشاد و گيتا را به وجود مي‌آورده‌اند، آريائي‌هاي ايران دست روي دست گذارده، از جنبش فلسفي و عرفاني آريائي بر كنار باشند؛ بلكه احتمال قوي آن است كه تأثير فلسفه ويدانتي هند نيز به طور غير مستقيم از طريق ايران به يونان راه پيدا كرده باشد. ويليام جونز معتقد است كه فلسفه فيثاغورث و افلاطون متاثر از حكمت اوپانيشاد و حكمت انديشه اوپانيشاد در شرق بوده است.</w:t>
      </w:r>
      <w:r>
        <w:rPr>
          <w:rStyle w:val="FootnoteReference"/>
          <w:rFonts w:cs="B Zar"/>
          <w:rtl/>
        </w:rPr>
        <w:footnoteReference w:id="440"/>
      </w:r>
      <w:r w:rsidRPr="00175A44">
        <w:rPr>
          <w:rFonts w:cs="B Zar" w:hint="cs"/>
          <w:rtl/>
        </w:rPr>
        <w:t xml:space="preserve"> ماكس مولر مي‌گويد:</w:t>
      </w:r>
      <w:r w:rsidRPr="00175A44">
        <w:rPr>
          <w:rFonts w:cs="B Zar" w:hint="cs"/>
          <w:i/>
          <w:iCs/>
          <w:rtl/>
        </w:rPr>
        <w:t xml:space="preserve"> «شباهت چشمگيري ميان نظريه برهمن در اوپانيشاد و نظريه مثل افلاطون وجود دارد</w:t>
      </w:r>
      <w:r w:rsidRPr="00175A44">
        <w:rPr>
          <w:rFonts w:cs="B Zar" w:hint="cs"/>
          <w:rtl/>
        </w:rPr>
        <w:t>» و نيز نظريه «لاگوس» رواقيون متأثر از انديشه هند است</w:t>
      </w:r>
      <w:r>
        <w:rPr>
          <w:rStyle w:val="FootnoteReference"/>
          <w:rFonts w:cs="B Zar"/>
          <w:rtl/>
        </w:rPr>
        <w:footnoteReference w:id="441"/>
      </w:r>
      <w:r w:rsidRPr="00175A44">
        <w:rPr>
          <w:rFonts w:cs="B Zar" w:hint="cs"/>
          <w:rtl/>
        </w:rPr>
        <w:t>. هوپكن نيز خاطر نشان مي‌سازد كه تأثير فلسفه شرق از طريق فيثاغورث به ايران راه پيدا كرده است. فيثاغورث از شرق ديدن كرد و فلسفه اشراق را فرا گرفته بود. بسياري از عناصر سام كهيا و حكمت شرقي (احتمالاً ايراني) در فلسفه فيثاغورث ديده مي شوند</w:t>
      </w:r>
      <w:r>
        <w:rPr>
          <w:rStyle w:val="FootnoteReference"/>
          <w:rFonts w:cs="B Zar"/>
          <w:rtl/>
        </w:rPr>
        <w:footnoteReference w:id="442"/>
      </w:r>
      <w:r w:rsidRPr="00175A44">
        <w:rPr>
          <w:rFonts w:cs="B Zar" w:hint="cs"/>
          <w:rtl/>
        </w:rPr>
        <w:t>.</w:t>
      </w:r>
    </w:p>
    <w:p w:rsidR="0011420A" w:rsidRPr="00175A44" w:rsidP="003C0EF5">
      <w:pPr>
        <w:widowControl w:val="0"/>
        <w:spacing w:line="420" w:lineRule="exact"/>
        <w:ind w:left="0" w:right="0"/>
        <w:jc w:val="both"/>
        <w:rPr>
          <w:rFonts w:cs="B Zar" w:hint="cs"/>
          <w:rtl/>
        </w:rPr>
      </w:pPr>
      <w:r w:rsidRPr="00175A44">
        <w:rPr>
          <w:rFonts w:cs="B Zar" w:hint="cs"/>
          <w:rtl/>
        </w:rPr>
        <w:t xml:space="preserve">رينان </w:t>
      </w:r>
      <w:r w:rsidRPr="00175A44">
        <w:rPr>
          <w:rFonts w:cs="B Zar"/>
        </w:rPr>
        <w:t>(Renan)</w:t>
      </w:r>
      <w:r w:rsidRPr="00175A44">
        <w:rPr>
          <w:rFonts w:cs="B Zar" w:hint="cs"/>
          <w:rtl/>
        </w:rPr>
        <w:t xml:space="preserve"> كه از جمله پرچمداران برتري غرب بر شرق است، مي گويد: </w:t>
      </w:r>
      <w:r w:rsidRPr="00175A44">
        <w:rPr>
          <w:rFonts w:cs="B Zar" w:hint="cs"/>
          <w:i/>
          <w:iCs/>
          <w:rtl/>
        </w:rPr>
        <w:t>«سقراط به بشر فلسفه آموخت و ارسطو به او علم</w:t>
      </w:r>
      <w:r w:rsidRPr="00175A44">
        <w:rPr>
          <w:rFonts w:cs="B Zar" w:hint="cs"/>
          <w:rtl/>
        </w:rPr>
        <w:t>»</w:t>
      </w:r>
      <w:r>
        <w:rPr>
          <w:rStyle w:val="FootnoteReference"/>
          <w:rFonts w:cs="B Zar"/>
          <w:sz w:val="28"/>
          <w:szCs w:val="28"/>
          <w:rtl/>
        </w:rPr>
        <w:footnoteReference w:id="443"/>
      </w:r>
      <w:r w:rsidRPr="00175A44">
        <w:rPr>
          <w:rFonts w:cs="B Zar" w:hint="cs"/>
          <w:rtl/>
        </w:rPr>
        <w:t>. ولي واقعيت اين است كه صدها سال پيش از تولد سقراط بساط فلسفه و حكمت در شرق رواج پيدا كرده بود و يوناني ها نيز از جمله خوشه چينان اين درخت پربار دانش و انديشه بوده اند. البته اين درست است كه فلسفه در شرق همواره با الهيات و عرفان آميخته بود و خود را دنباله انديشه ديني مي دانست. حكيمان مشرق زمين «وجود» را در بخش‌ها تجزيه نمي‌كرده‌اند. گذشته از اين محور عمده انديشه فلسفي در هند «طبعيات» نبوده، بلكه «ماوراء‌الطبيعه» بوده است. اگر مقصود از ايجاد فلسفه‌الحادي و ماترياليستي نظير مكتب ديمقراطيس و يا فلسفه گسيخته از دين باشد، ما حرفي نداريم. اگر غرب جايزه اولويت را ببرد و انجام اين «امر عظيم‌الشأن» به آن نسبت داده شود، در آن صورت آنان نبايد اسم سقراط، افلاطون، يا ارسوط را در ميان بكشند؛ چرا كه حكمت در نزد آنان گسيخته از دين نبوده است. واقعيت اين است كه از آغاز فلسفه در يونان بسيار متأخرتر از رواج آن در مشرق زمين بوده است. تالس، در ميان سالهاي 640 ـ 550 ق.م پدر فلسفه يونان بوده است؛ در حاليكه (اوپانيشادها) ميان 1000- 800 ق.م تدوين گرديده‌اند. تالس مردم ملطيه را با اظهار اينكه آفتاب و ستارگان خدا نيستند، بلكه گويهاي آتش هستند، به حيرت انداخت. شاگرد او، انكسميداس، ميان سالهاي 610ـ540ق.م زيسته است. او اين عقيده را اظهار كرد كه جهان نامتعين و غيرمتشكل است و تمام اشياء با جداشدن اضداد از آن پديد آمده‌اند. انكسيمايوس نيز از اهالي ملطيه بوده است و علت خسوف و كسوف را بيان داشت. هر قليطوس ميان 470-530 ق.م زندگي كرده است. او بر اصل حركت و تغيير دائم اشياء تأكيد داشت و عنصر اصلي جهان را آتش مي‌دانست. انباذقلس، در حدود 445 ق.م بوده و درباره زيست شناسي نظريه‌اي را عنوان كرد . لوسيپوش ميان 469 و 360 ق.م بوده است. ذيمقراطيس اين نظريه را عنوان كرد كه عالم از اجزاي لايتجزي و خلأ درست شده است</w:t>
      </w:r>
      <w:r>
        <w:rPr>
          <w:rStyle w:val="FootnoteReference"/>
          <w:rFonts w:cs="B Zar"/>
          <w:sz w:val="28"/>
          <w:szCs w:val="28"/>
          <w:rtl/>
        </w:rPr>
        <w:footnoteReference w:id="444"/>
      </w:r>
      <w:r w:rsidRPr="00175A44">
        <w:rPr>
          <w:rFonts w:cs="B Zar" w:hint="cs"/>
          <w:rtl/>
        </w:rPr>
        <w:t xml:space="preserve">. </w:t>
      </w:r>
    </w:p>
    <w:p w:rsidR="0011420A" w:rsidRPr="00175A44" w:rsidP="003C0EF5">
      <w:pPr>
        <w:widowControl w:val="0"/>
        <w:spacing w:line="420" w:lineRule="exact"/>
        <w:ind w:left="0" w:right="0"/>
        <w:jc w:val="both"/>
        <w:rPr>
          <w:rFonts w:cs="B Zar" w:hint="cs"/>
          <w:rtl/>
        </w:rPr>
      </w:pPr>
      <w:r w:rsidRPr="00175A44">
        <w:rPr>
          <w:rFonts w:cs="B Zar" w:hint="cs"/>
          <w:rtl/>
        </w:rPr>
        <w:t xml:space="preserve">در اين مرحله، آشكاراست كه محور انديشه فلسفي يونان در مرحله اول «طبيعت» بوده است و نه ماوراء الطبيعه. در واقع انديشه غرب فلسفه طبيعي يا «فيزيك» ماقبل علمي است و نه حكمت الهي، در حاليكه در شرق آغاز مرحله انديشه فلسفي با «ماورالطبيعه» و حكمت الهي بوده است. در واقع مرحله‌اي كه در هند هزار سال قبل از مسيح آغاز گرديده بود، در يونان تنها با سقراط شروع شد. با سقراط مرحله پنجم عرفان توحيدي و حكمت، به معناي واقعي، در يونان آغاز گرديد. ميان آنچه در هند در مرحله تدوين رسائل آرن‌ياكا و اوپانيشاد اتفاق افتاد و آنچه در دوره سقراط در يونان ديده مي‌شود، شباهت‌هاي بسياري وجود دارد. همچنانكه ريشي‌هاي آريائي، هزار سال قبل از ميلاد در گوشه و كنار شهرها و در انزواي جنگلها، جلسه بحث و درس تشكيل داده و به كند و كاو مسائل فلسفه و عرفان مي‌پرداختند، در يونان نيز حلقه‌هاي مشابه را سوفسطائيان و سپس سقراط تشكيل دادند. همچنانكه تمام مكاتب شش گانه فلسفي افلاطون، ارسطو، مكتب نو افلاطونيان، همه در حلقه‌هاي بحث سقراط ريشه دارند، باز همچنانكه در دوره ويد، انديشه انسان معطوف به «طبيعت» و «آفاق» بوده و اوپانيشاد نخستين بار توجه را از «برون» به «درون» و از آفاق به «انفس» معطوف داشت. در تاريخ انديشه يونان نيز پيش از سقراط فيلسوفاني نظير هرقليطوس، پارميندس، زنون ايليائي، امپيدوكس و حتي فيثاغورث عمدتاً متوجه فيزيك و جهان برون بوده‌اند و سقراط محور انديشه فلسفي را از برون به درون تغيير داده و تائيد كرده است. سپس افلاطون و ارسطو فلسفه را به اوج رسانيدند و هيچ ترديدي نيست كه هيچگاه به اين امر نرسيده بودند و براي قرنها امير كاروان فيلسوفان و حكيمان جهان محسوب شده و هنوز از اعتبار فوق العاده‌اي برخوردارند. </w:t>
      </w:r>
    </w:p>
    <w:p w:rsidR="0011420A" w:rsidP="003C0EF5">
      <w:pPr>
        <w:widowControl w:val="0"/>
        <w:spacing w:line="420" w:lineRule="exact"/>
        <w:ind w:left="0" w:right="0"/>
        <w:jc w:val="both"/>
        <w:rPr>
          <w:rFonts w:cs="B Zar" w:hint="cs"/>
          <w:rtl/>
        </w:rPr>
      </w:pPr>
      <w:r w:rsidRPr="00175A44">
        <w:rPr>
          <w:rFonts w:cs="B Zar" w:hint="cs"/>
          <w:rtl/>
        </w:rPr>
        <w:t xml:space="preserve">چنانكه اشاره كرديم برخي صاحبنظران خرد غربي معتقدند كه افلاطون تحت تأثير فلسفه ويدانت و انديشه شرقي بوده است، ولي مكتبي در يونان كه بيش از همه با انديشه اوپانيشاد و ويدانت سنخيت دارد، فلسفه نوافلاطونيان يونان است. افلاطون و ارسطو هر دو در بخش الهيات، خدا را در مقوله تنزيهي محض تصور كرده و ماوراي جهان قرار داده‌اند؛ در حاليكه رواقيون خدا را تنها در بعد «تشبيهي» تصور كرده، او را در حصار جهان محدود و در واقع با جهان يكي دانستند. اوپانيشاد، نظير ابن عربي در فصوص الحكم براي خداوند دو بعد «تنزيه» و «تشبيه» به طور توأم، قائل شده است. «جهان» منفصل و بريده از او نيست و در عين حال او در جهان «محدود» نيست. مكتب نو افلاطوني در يونان همين ديدگاه را دارند. البته در برخي جهات، آنان راهي را پيموده اند كه با اوپانيشاد مختلف است. آنان جوهر و قدرت خداوند را تفكيك كرده‌اند. آنان مقوله نفس و روح عالم </w:t>
      </w:r>
      <w:r w:rsidRPr="00175A44">
        <w:rPr>
          <w:rFonts w:cs="B Zar"/>
        </w:rPr>
        <w:t>(Pneuma)</w:t>
      </w:r>
      <w:r w:rsidRPr="00175A44">
        <w:rPr>
          <w:rFonts w:cs="B Zar" w:hint="cs"/>
          <w:rtl/>
        </w:rPr>
        <w:t xml:space="preserve"> را با تصور ارسطوئي خدا تلفيق، و جهان را نوعي ريزش نور ايزدي تلقي كردند كه البته تغييري در ذات خداوندي ايجاد نمي‌كند و كاهش و نقصاني در آن صورت نمي‌گيرد؛ همچنان كه اشعه از خورشيد صادر مي شود، ولي كاهشي در خورشيد صورت نمي‌گيرد. اين نظريه با نظريه اوپانيشاد بسيار شبيه است.</w:t>
      </w:r>
      <w:r>
        <w:rPr>
          <w:rStyle w:val="FootnoteReference"/>
          <w:rFonts w:cs="B Zar"/>
          <w:rtl/>
        </w:rPr>
        <w:footnoteReference w:id="445"/>
      </w:r>
    </w:p>
    <w:p w:rsidR="0042327B"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توحيد عرفاني در اسلام</w:t>
      </w:r>
    </w:p>
    <w:p w:rsidR="0011420A" w:rsidRPr="00175A44" w:rsidP="003C0EF5">
      <w:pPr>
        <w:widowControl w:val="0"/>
        <w:spacing w:line="420" w:lineRule="exact"/>
        <w:ind w:left="0" w:right="0"/>
        <w:jc w:val="both"/>
        <w:rPr>
          <w:rFonts w:cs="B Zar" w:hint="cs"/>
          <w:rtl/>
        </w:rPr>
      </w:pPr>
      <w:r w:rsidRPr="00175A44">
        <w:rPr>
          <w:rFonts w:cs="B Zar" w:hint="cs"/>
          <w:rtl/>
        </w:rPr>
        <w:t>در اسلام جريان توحيد عرفاني از خود قرآن كريم آغاز شد. بسياري از آيات قرآن كريم به رابطه حياتي خدا و انسان كه جوهر توحيد عرفاني است اشاره دارد.</w:t>
      </w:r>
    </w:p>
    <w:p w:rsidR="0011420A" w:rsidRPr="00175A44" w:rsidP="003C0EF5">
      <w:pPr>
        <w:widowControl w:val="0"/>
        <w:spacing w:line="420" w:lineRule="exact"/>
        <w:ind w:left="0" w:right="0"/>
        <w:jc w:val="both"/>
        <w:rPr>
          <w:rFonts w:cs="B Zar" w:hint="cs"/>
          <w:rtl/>
        </w:rPr>
      </w:pPr>
      <w:r w:rsidRPr="00175A44">
        <w:rPr>
          <w:rFonts w:cs="B Zar" w:hint="cs"/>
          <w:rtl/>
        </w:rPr>
        <w:t>هوالاول والآخر والظاهر والباطن</w:t>
      </w:r>
    </w:p>
    <w:p w:rsidR="0011420A" w:rsidRPr="00175A44" w:rsidP="003C0EF5">
      <w:pPr>
        <w:widowControl w:val="0"/>
        <w:spacing w:line="420" w:lineRule="exact"/>
        <w:ind w:left="0" w:right="0"/>
        <w:jc w:val="both"/>
        <w:rPr>
          <w:rFonts w:cs="B Zar" w:hint="cs"/>
          <w:rtl/>
        </w:rPr>
      </w:pPr>
      <w:r w:rsidRPr="00175A44">
        <w:rPr>
          <w:rFonts w:cs="B Zar" w:hint="cs"/>
          <w:rtl/>
        </w:rPr>
        <w:t>خداوند اول و آخر همه اشياء است، او ظاهر و باطن، پيدا و پنهان كل وجود است.</w:t>
      </w:r>
    </w:p>
    <w:p w:rsidR="0011420A" w:rsidRPr="00175A44" w:rsidP="003C0EF5">
      <w:pPr>
        <w:widowControl w:val="0"/>
        <w:spacing w:line="420" w:lineRule="exact"/>
        <w:ind w:left="0" w:right="0"/>
        <w:jc w:val="both"/>
        <w:rPr>
          <w:rFonts w:cs="B Zar" w:hint="cs"/>
          <w:rtl/>
        </w:rPr>
      </w:pPr>
      <w:r w:rsidRPr="00175A44">
        <w:rPr>
          <w:rFonts w:cs="B Zar" w:hint="cs"/>
          <w:rtl/>
        </w:rPr>
        <w:t>اينما تولوا فثم وجه‌الله</w:t>
      </w:r>
    </w:p>
    <w:p w:rsidR="0011420A" w:rsidRPr="00175A44" w:rsidP="003C0EF5">
      <w:pPr>
        <w:widowControl w:val="0"/>
        <w:spacing w:line="420" w:lineRule="exact"/>
        <w:ind w:left="0" w:right="0"/>
        <w:jc w:val="both"/>
        <w:rPr>
          <w:rFonts w:cs="B Zar" w:hint="cs"/>
          <w:rtl/>
        </w:rPr>
      </w:pPr>
      <w:r w:rsidRPr="00175A44">
        <w:rPr>
          <w:rFonts w:cs="B Zar" w:hint="cs"/>
          <w:rtl/>
        </w:rPr>
        <w:t>شما به هر سو رو كنيد چهره خدا را خواهيد يافت.</w:t>
      </w:r>
    </w:p>
    <w:p w:rsidR="0011420A" w:rsidRPr="00175A44" w:rsidP="003C0EF5">
      <w:pPr>
        <w:widowControl w:val="0"/>
        <w:spacing w:line="420" w:lineRule="exact"/>
        <w:ind w:left="0" w:right="0"/>
        <w:jc w:val="both"/>
        <w:rPr>
          <w:rFonts w:cs="B Zar" w:hint="cs"/>
          <w:rtl/>
        </w:rPr>
      </w:pPr>
      <w:r w:rsidRPr="00175A44">
        <w:rPr>
          <w:rFonts w:cs="B Zar" w:hint="cs"/>
          <w:rtl/>
        </w:rPr>
        <w:t>و در جاي ديگر قرآن مي‌فرمايد:</w:t>
      </w:r>
    </w:p>
    <w:p w:rsidR="0011420A" w:rsidRPr="00175A44" w:rsidP="003C0EF5">
      <w:pPr>
        <w:widowControl w:val="0"/>
        <w:spacing w:line="420" w:lineRule="exact"/>
        <w:ind w:left="0" w:right="0"/>
        <w:jc w:val="both"/>
        <w:rPr>
          <w:rFonts w:cs="B Zar" w:hint="cs"/>
          <w:rtl/>
        </w:rPr>
      </w:pPr>
      <w:r w:rsidRPr="00175A44">
        <w:rPr>
          <w:rFonts w:cs="B Zar" w:hint="cs"/>
          <w:rtl/>
        </w:rPr>
        <w:t>الله نورالسموات والارض</w:t>
      </w:r>
    </w:p>
    <w:p w:rsidR="0011420A" w:rsidRPr="00175A44" w:rsidP="003C0EF5">
      <w:pPr>
        <w:widowControl w:val="0"/>
        <w:spacing w:line="420" w:lineRule="exact"/>
        <w:ind w:left="0" w:right="0"/>
        <w:jc w:val="both"/>
        <w:rPr>
          <w:rFonts w:cs="B Zar" w:hint="cs"/>
          <w:rtl/>
        </w:rPr>
      </w:pPr>
      <w:r w:rsidRPr="00175A44">
        <w:rPr>
          <w:rFonts w:cs="B Zar" w:hint="cs"/>
          <w:rtl/>
        </w:rPr>
        <w:t>خداوند نور آسمان و زمين است.</w:t>
      </w:r>
    </w:p>
    <w:p w:rsidR="0011420A" w:rsidRPr="00175A44" w:rsidP="003C0EF5">
      <w:pPr>
        <w:widowControl w:val="0"/>
        <w:spacing w:line="420" w:lineRule="exact"/>
        <w:ind w:left="0" w:right="0"/>
        <w:jc w:val="both"/>
        <w:rPr>
          <w:rFonts w:cs="B Zar" w:hint="cs"/>
          <w:rtl/>
        </w:rPr>
      </w:pPr>
      <w:r w:rsidRPr="00175A44">
        <w:rPr>
          <w:rFonts w:cs="B Zar" w:hint="cs"/>
          <w:rtl/>
        </w:rPr>
        <w:t>جهان نظير فانوسي است كه در آن نور الهي قرار دارد، آنچه همه هستي را نوراني ساخته، اين روشنائي است. هرچه اوپانيشاد، گيتا و ساير متون عرفاني جهان در مورد رابطه خدا و جهان گفته‌اند، از اين جمله قرآن كريم فراتر نمي رود. اينكه قرآن كريم فرمود: «او اول و آخر، آغاز و انجام، ظاهر و باطن وجود و موجودات است»، در يك جمله خلاصة كل ديد عرفاني و اشراقي است كه تنزيه و تشبيه، ماوراي جهان قرار داشتن او و تجلي در جهان وجود، هر دو را بيان مي دارد. هرچه بوده خواهد بود، صفري است كه با بودن او عدد مي‌شود وگرنه هيچ نيست. «كل من عليها فان و يبقي وجه ربك ذوالجلال و الاكرام» هرچه هست، در نهايت فنا مي شود و تنها چهره حقيقت مطلق و ذات خداوندي باقي خواهد ماند؛ هرچه باقي خواهد ماند، اوست. قرآن كريم به عميق ترين وجه رابطه عبد و معبود «انسان» و خدا را بيان داشته است. در سرشت انسان علاوه بر عناصر مادي كه در جمادات و گياهان و حيوانات هست، يك عنصر ملكوتي نيز وجود دارد. انسان تركيبي است از طبيعت و ماوراء طبيعت، از ماده و معني، از خاك و نفخه الهي، نفس و دم الهي. قرآن كريم مي فرمايد:</w:t>
      </w:r>
    </w:p>
    <w:p w:rsidR="0011420A" w:rsidRPr="00175A44" w:rsidP="003C0EF5">
      <w:pPr>
        <w:widowControl w:val="0"/>
        <w:spacing w:line="420" w:lineRule="exact"/>
        <w:ind w:left="0" w:right="0"/>
        <w:jc w:val="both"/>
        <w:rPr>
          <w:rFonts w:cs="B Zar" w:hint="cs"/>
          <w:i/>
          <w:iCs/>
          <w:rtl/>
        </w:rPr>
      </w:pPr>
      <w:r w:rsidRPr="00175A44">
        <w:rPr>
          <w:rFonts w:cs="B Zar" w:hint="cs"/>
          <w:i/>
          <w:iCs/>
          <w:rtl/>
        </w:rPr>
        <w:t>«(خداوند) هرچه را آفريد نيكو آفريد و آفرينش انسان را از گل آغاز كرد، سپس نسل او را از شيره كشيده‌اي كه آبي پست است، قرار داد. آنگاه او را  بياراست و سپس از روح خود در او دميد.»</w:t>
      </w:r>
      <w:r>
        <w:rPr>
          <w:rStyle w:val="FootnoteReference"/>
          <w:rFonts w:cs="B Zar"/>
          <w:i/>
          <w:iCs/>
          <w:sz w:val="28"/>
          <w:szCs w:val="28"/>
          <w:rtl/>
        </w:rPr>
        <w:footnoteReference w:id="446"/>
      </w:r>
    </w:p>
    <w:p w:rsidR="0011420A" w:rsidRPr="00175A44" w:rsidP="003C0EF5">
      <w:pPr>
        <w:widowControl w:val="0"/>
        <w:spacing w:line="420" w:lineRule="exact"/>
        <w:ind w:left="0" w:right="0"/>
        <w:jc w:val="both"/>
        <w:rPr>
          <w:rFonts w:cs="B Zar" w:hint="cs"/>
          <w:rtl/>
        </w:rPr>
      </w:pPr>
      <w:r w:rsidRPr="00175A44">
        <w:rPr>
          <w:rFonts w:cs="B Zar" w:hint="cs"/>
          <w:rtl/>
        </w:rPr>
        <w:t>اين عنصر ملكوتي در انسان امانت الهي است كه زمين و آسمان از پذيرش آن سرباز زدند؛ چرا كه در انسان صفات خدائي را منعكس مي‌ساخت؛ او را از «انتخاب» و «اختيار»، از علم، معرفت و آگاهي برخوردار مي ساخت كه اساساً از صفات الهي‌اند:</w:t>
      </w:r>
    </w:p>
    <w:p w:rsidR="0011420A" w:rsidRPr="00175A44" w:rsidP="003C0EF5">
      <w:pPr>
        <w:pStyle w:val="BodyText3"/>
        <w:widowControl w:val="0"/>
        <w:spacing w:line="420" w:lineRule="exact"/>
        <w:ind w:left="0" w:right="0"/>
        <w:jc w:val="both"/>
        <w:rPr>
          <w:rFonts w:cs="B Zar" w:hint="cs"/>
          <w:rtl/>
        </w:rPr>
      </w:pPr>
      <w:r w:rsidRPr="00175A44">
        <w:rPr>
          <w:rFonts w:cs="B Zar" w:hint="cs"/>
          <w:rtl/>
        </w:rPr>
        <w:t>«همانا امانت خويش را بر آسمان، زمين و كوه‌ها عرضه كرديم، همه از پذيرش آن سرباز زدند و گرفتار دلهره شدند، اما انسان آنرا به دوش كشيد.»2</w:t>
      </w:r>
    </w:p>
    <w:p w:rsidR="0011420A" w:rsidRPr="00175A44" w:rsidP="003C0EF5">
      <w:pPr>
        <w:widowControl w:val="0"/>
        <w:spacing w:line="420" w:lineRule="exact"/>
        <w:ind w:left="0" w:right="0"/>
        <w:jc w:val="both"/>
        <w:rPr>
          <w:rFonts w:cs="B Zar" w:hint="cs"/>
          <w:rtl/>
        </w:rPr>
      </w:pPr>
      <w:r w:rsidRPr="00175A44">
        <w:rPr>
          <w:rFonts w:cs="B Zar" w:hint="cs"/>
          <w:rtl/>
        </w:rPr>
        <w:t>برحسب فرموده قرآن، انسان از خدا است، براي خداست و به او باز مي گردد: «انالله و انا اليه راجعون»3 ما براي خدا و از خدا هستيم و بسوي او بازگشت مي نمائيم.</w:t>
      </w:r>
    </w:p>
    <w:p w:rsidR="0011420A" w:rsidRPr="00175A44" w:rsidP="003C0EF5">
      <w:pPr>
        <w:widowControl w:val="0"/>
        <w:spacing w:line="420" w:lineRule="exact"/>
        <w:ind w:left="0" w:right="0"/>
        <w:jc w:val="both"/>
        <w:rPr>
          <w:rFonts w:cs="B Zar" w:hint="cs"/>
          <w:rtl/>
        </w:rPr>
      </w:pPr>
      <w:r w:rsidRPr="00175A44">
        <w:rPr>
          <w:rFonts w:cs="B Zar" w:hint="cs"/>
          <w:rtl/>
        </w:rPr>
        <w:t>انسان با خدا از وجود خود و به تعبير قرآن از رگ گردن نيز به او نزديك تر است: «نحن اقرب اليكم من حيل الوريد»4 ما از رگ گردن خود شما، به شما نزديك‌تريم.</w:t>
      </w:r>
    </w:p>
    <w:p w:rsidR="0011420A" w:rsidRPr="00175A44" w:rsidP="003C0EF5">
      <w:pPr>
        <w:widowControl w:val="0"/>
        <w:spacing w:line="420" w:lineRule="exact"/>
        <w:ind w:left="0" w:right="0"/>
        <w:jc w:val="both"/>
        <w:rPr>
          <w:rFonts w:cs="B Zar" w:hint="cs"/>
          <w:rtl/>
        </w:rPr>
      </w:pPr>
      <w:r w:rsidRPr="00175A44">
        <w:rPr>
          <w:rFonts w:cs="B Zar" w:hint="cs"/>
          <w:rtl/>
        </w:rPr>
        <w:t>انسان براي اين خلق شده است كه به او عشق بورزد، او را پرستش كند و براي او خالص گردد: جن و انس را نيافريديم، مگر براي پرستش5، دل آرام گيرد، با ذكر خدا6. او دائماً با خود سير مي كند و همين هدف زندگي اوست: «والذين جاهدوا فينا لنهدينهم سبلنا7» آنان كه دست به مجاهدت مي زنند، به راهائي كه به معبود مي‌رسند، هدايت مي‌شوند. در حديث قدسي وارد شده است: «لايزال العبد يتقرب الّي بالنوافل، حتي اذا حببته فاذا احببته كنت سمعه يسمع به  و بصره الذي يبصر به و لسانه الذي ينطق به ويده الذي يبطش بها»</w:t>
      </w:r>
    </w:p>
    <w:p w:rsidR="0011420A" w:rsidRPr="00175A44" w:rsidP="003C0EF5">
      <w:pPr>
        <w:widowControl w:val="0"/>
        <w:spacing w:line="420" w:lineRule="exact"/>
        <w:ind w:left="0" w:right="0"/>
        <w:jc w:val="both"/>
        <w:rPr>
          <w:rFonts w:cs="B Zar" w:hint="cs"/>
          <w:i/>
          <w:iCs/>
          <w:rtl/>
        </w:rPr>
      </w:pPr>
      <w:r w:rsidRPr="00175A44">
        <w:rPr>
          <w:rFonts w:cs="B Zar" w:hint="cs"/>
          <w:i/>
          <w:iCs/>
          <w:rtl/>
        </w:rPr>
        <w:t>«چون بنده من، در اثر عبادت و اعمال نيك ديگر به من نزديك شود، من او را دوست مي‌دارم و هنگامي كه او را دوست داشته باشم، من گوش او مي‌گردم كه از من مي‌شنود. چشم او هستم كه از من مي نگرد، زبان و دست او هستم كه از من حرف مي زند و با من عمل مي كند.</w:t>
      </w:r>
      <w:r w:rsidRPr="00175A44">
        <w:rPr>
          <w:rStyle w:val="FootnoteReference"/>
          <w:rFonts w:cs="B Zar" w:hint="cs"/>
          <w:i/>
          <w:iCs/>
          <w:sz w:val="28"/>
          <w:szCs w:val="28"/>
          <w:rtl/>
        </w:rPr>
        <w:t>8</w:t>
      </w:r>
      <w:r w:rsidRPr="00175A44">
        <w:rPr>
          <w:rFonts w:cs="B Zar" w:hint="cs"/>
          <w:i/>
          <w:iCs/>
          <w:rtl/>
        </w:rPr>
        <w:t>»</w:t>
      </w:r>
    </w:p>
    <w:p w:rsidR="0011420A" w:rsidRPr="00175A44" w:rsidP="003C0EF5">
      <w:pPr>
        <w:widowControl w:val="0"/>
        <w:spacing w:line="420" w:lineRule="exact"/>
        <w:ind w:left="0" w:right="0"/>
        <w:jc w:val="both"/>
        <w:rPr>
          <w:rFonts w:cs="B Zar" w:hint="cs"/>
          <w:rtl/>
        </w:rPr>
      </w:pPr>
      <w:r w:rsidRPr="00175A44">
        <w:rPr>
          <w:rFonts w:cs="B Zar" w:hint="cs"/>
          <w:rtl/>
        </w:rPr>
        <w:t>هرچه اوپانيشاد در زمينه رابطه حياتي جيو (انسان) و آتمان و برهمان گفته، از اين حديث قدسي فراتر نرفته است. اينگونه آيات و احاديث جوهره و عصاره عرفاني دارد. عرفان آنست كه خداوند را حقيقت هستي و انسان بدانيم، انسان و جهان وجود مستقل ندارد، بلكه رابطه اي همچون رابطه شعاع و خورشيد دارند. براي خداوند خالص شويم و هيچ انگيزه عمل جز عشق و علاقه به محبوب حقيقي نباشد. بدينسان، مي توان گفت كه اسلام نه تنها با توحيد كه با «توحيد عرفاني» آغاز گرديد. البته چون براي توده‌هاي مردم، درك رموز عرفان، كار دشواري است، آنچه ميان خاص و عام و جمهور و صحابه رواج پيدا كرد، توحيد كلامي بوده است.</w:t>
      </w:r>
    </w:p>
    <w:p w:rsidR="0011420A" w:rsidRPr="00175A44" w:rsidP="003C0EF5">
      <w:pPr>
        <w:widowControl w:val="0"/>
        <w:spacing w:line="420" w:lineRule="exact"/>
        <w:ind w:left="0" w:right="0"/>
        <w:jc w:val="both"/>
        <w:rPr>
          <w:rFonts w:cs="B Zar" w:hint="cs"/>
          <w:rtl/>
        </w:rPr>
      </w:pPr>
      <w:r w:rsidRPr="00175A44">
        <w:rPr>
          <w:rFonts w:cs="B Zar" w:hint="cs"/>
          <w:rtl/>
        </w:rPr>
        <w:t>آنان به سطح والاي توحيد عرفاني نرسيده اند، ولي خود پيامبر و سپس اولياء و ائمه اطهار كه امير مؤمنين علي (ع)، منشأ تمام سلسله‌هاي آنان بوده و هيچ حلقه عرفاني در ميان شيعه و سني نيست كه خود را به او منسوب نداند (باستثناي نقشبنديه كه سلسله خود را به ابوبكر مي‌رسانند). او اسوه و تجسم عرفاني و روح عشق الهي بوده، عبادات علي، زهد علي، تقواي علي و گفتارهاي او در نهج البلاغه، همه حكايت از آن دارد. نهج البلاغه و نيز صحيفه سجاديه، مي‌بايستي از صحف مقدس مكتب عرفان در جهان تلقي شوند. هر دعاي صحيفه كامل سجاديه، حكايت از توحيد عرفاني دارد. ادعيه و حالات بزرگان صدر اسلام از يك سلسله هيجانات روحي و واردات باطني حكايت دارد و حاكي از سوز و گداز و بيقراريهاي عشق معنوي است، كه از خصائص توحيد عرفاني بوده است.</w:t>
      </w:r>
    </w:p>
    <w:p w:rsidR="0011420A" w:rsidRPr="00175A44" w:rsidP="003C0EF5">
      <w:pPr>
        <w:widowControl w:val="0"/>
        <w:spacing w:line="420" w:lineRule="exact"/>
        <w:ind w:left="0" w:right="0"/>
        <w:jc w:val="both"/>
        <w:rPr>
          <w:rFonts w:cs="B Zar" w:hint="cs"/>
          <w:rtl/>
        </w:rPr>
      </w:pPr>
      <w:r w:rsidRPr="00175A44">
        <w:rPr>
          <w:rFonts w:cs="B Zar" w:hint="cs"/>
          <w:rtl/>
        </w:rPr>
        <w:t>گذشته از ائمه و اولياءالله، از مردم عادي نيز در تاريخ اسلام عرفاي برجسته و  بنامي ظهور كرده‌اند. حسن بصري صاحب رساله‌اي در علم تصوف، ابراهيم ادهم كه سرگذشتي نظير (بودا) داشت، رابعه عدويه، يكي از بزرگترين چهره‌هاي زن در تاريخ عرفان، معروف كرخي، شاگرد حضرت رضا(ع)، از جمله آنان هستند. سپس در قرن سوم، با يزيد بسطامي، جنيد بغدادي، منصور حلاج، ابوبكر شبلي، در قرن پنجم، ابوالحسن خرقاني، ابوسعيد ابوالخير، عين‌‌القضاه همداني، در قرن هفتم، فريدالدين عطار، شيخ شهاب الدين سهروردي، (غير از شيخ‌الاشراق)، ابن‌الفارص، محي‌الدين ابن عربي، جلال‌الدين رومي، حافظ شيرازي، شاه نعمت‌الله ولي، خواجه اجميري، نظام الدين اولياء، جيلاني، شاه فريد گنج، شكر از جمله اقطاب بزرگ تاريخ عرفان جهان محسوب مي‌شوند.</w:t>
      </w:r>
    </w:p>
    <w:p w:rsidR="0011420A" w:rsidP="006F31C6">
      <w:pPr>
        <w:widowControl w:val="0"/>
        <w:spacing w:line="410" w:lineRule="exact"/>
        <w:ind w:left="0" w:right="0"/>
        <w:jc w:val="both"/>
        <w:rPr>
          <w:rFonts w:cs="B Zar" w:hint="cs"/>
          <w:rtl/>
        </w:rPr>
      </w:pPr>
      <w:r w:rsidRPr="00175A44">
        <w:rPr>
          <w:rFonts w:cs="B Zar" w:hint="cs"/>
          <w:rtl/>
        </w:rPr>
        <w:t>مسلمين ادبيات غني و پربار عرفاني را نيز بوجود آورده‌اند. شيخ يحيي بن معاذ رازي، در اوائل قرن سوم هجري، كتاب «المريدين» را نوشت؛ شيخ حارث بن اسدالمعروف محاسبي، متوفي سال 273‌، دو كتاب التفكر و الاعتبار را برشته تحرير درآورد؛ جنيد بغدادي كتاب الرسائل، متاب الورع و كتاب المحبه را نگاشت؛ منصور حلاج كتاب‌اليقين، كتاب‌التوحيد را نوشت؛ شيخ ابوالحسن علي هجويري، متوفي سال 470، كتاب معروف «كشف المحجوب» را به زبان پارسي برشته تحرير درآورد؛ امام غزالي احياء العلوم و كيمياي سعادت را بجا گذاشت؛ برادرش احمدبن محمدالغزالي كتاب سوانح العشاق، تازيانه سلوك و  مكاتب غزالي را نگاشت؛ ابي سعيد، اسرالتوحيد، عبدالقادر جيلاني (561 هـ)، كتاب فتوح‌الغيب، غنيه‌الطالبين و الفتح‌الرباني را تصنيف كرد؛ فريدالدين عطار، تذكره الاوليا را و شيخ الشيوخ عمربن محمد شهاب الدين سهروردي عوارف‌المعارف، جذب‌القلوب الي‌موالصله تا محجوب و ابن‌عربي، فتوحان مكيه و فصوص‌الحكم را برشته تحرير درآورد؛ جلال الدين رومي، (672هـ) فيه مافيه، مثنوي و مجالس سبعه، فخرالدين عراقي، لمعات را و نورالدين جامي، تفحات‌انس را برشته تحرير در آوردند. اين كتابها غير از متون فلسفه اشراق است كه حكيمان متاله، همانند شيخ الاشراق شهاب‌الدين سهروردي و ملاصدرا تأليف نموده‌اند. اگر ما ادبيات عرفاني اشراقي مسلمين را با ساير ملل، حتي با ادبيات عرفاني هند مقايسه كنيم، مي توانيم بگوئيم اوج انديشه عرفان نه در هند، نه در چين و مصر و يونان، بلكه در اندلس و ايران اسلامي بوده است. در ادبيات عرفاني جهان هيچكس عرفان نظري را بهتر از ابن عربي تدوين نكرده است و هيچكس نظام اشراقي را بهتر از سهروردي و ملاصدرا بيان نداشته است و در ادبيات عرفاني هيچيك به پاي جلال‌الدين رومي و خواجه شمس‌الدين حافظ نمي‌رسد. اين چهره‌هاي پنجگانه را مي‌توانيم ائمه انديشه عرفاني در جهان تلقي كنيم. حتي شانكارا، حكيم بزرگ هندو، تنها بر مسلمين فضل تقدم دارد و نه غير از آن. مسلمين در اين حوزه نيز پيشتاز سائر ملل  بوده‌اند.</w:t>
      </w:r>
    </w:p>
    <w:p w:rsidR="0042327B" w:rsidRPr="00175A44" w:rsidP="003C0EF5">
      <w:pPr>
        <w:widowControl w:val="0"/>
        <w:spacing w:line="420" w:lineRule="exact"/>
        <w:ind w:left="0" w:right="0"/>
        <w:jc w:val="both"/>
        <w:rPr>
          <w:rFonts w:cs="B Zar" w:hint="cs"/>
          <w:rtl/>
        </w:rPr>
      </w:pPr>
    </w:p>
    <w:p w:rsidR="0011420A" w:rsidRPr="00175A44" w:rsidP="003C0EF5">
      <w:pPr>
        <w:widowControl w:val="0"/>
        <w:spacing w:line="420" w:lineRule="exact"/>
        <w:ind w:left="0" w:right="0"/>
        <w:jc w:val="both"/>
        <w:rPr>
          <w:rFonts w:cs="B Zar" w:hint="cs"/>
          <w:b/>
          <w:bCs/>
          <w:rtl/>
        </w:rPr>
      </w:pPr>
      <w:r w:rsidRPr="00175A44">
        <w:rPr>
          <w:rFonts w:cs="B Zar" w:hint="cs"/>
          <w:b/>
          <w:bCs/>
          <w:rtl/>
        </w:rPr>
        <w:t>مسلمين امت فرهنگي وسط</w:t>
      </w:r>
    </w:p>
    <w:p w:rsidR="0011420A" w:rsidRPr="00175A44" w:rsidP="003C0EF5">
      <w:pPr>
        <w:widowControl w:val="0"/>
        <w:spacing w:line="420" w:lineRule="exact"/>
        <w:ind w:left="0" w:right="0"/>
        <w:jc w:val="both"/>
        <w:rPr>
          <w:rFonts w:cs="B Zar" w:hint="cs"/>
          <w:rtl/>
        </w:rPr>
      </w:pPr>
      <w:r w:rsidRPr="00175A44">
        <w:rPr>
          <w:rFonts w:cs="B Zar" w:hint="cs"/>
          <w:rtl/>
        </w:rPr>
        <w:t xml:space="preserve">يك نكته در مورد فرهنگ مسلمين اين است كه در حوزه فرهنگي نيز «امة وسط» بوده اند (چنانكه قرآن كريم آنان را توصيف كرده است). شكوفائي فلسفه در آغاز و در قرون اخير در غرب (يونان و اروپا) بوده است، ولي در قرون ميانه، پس از انقراض روم، خورشيد انديشه فلسفي در غرب غروب كرد و در افق جهان اسلام طلوع نمود. كندي، فارابي، ابن سينا، شهاب‌الدين سهروردي، ابن رشد، خواجه طوسي و ملاصدرا، فلسفه را به اوجي رسانيدند كه سابقه نداشت. برخي انديشمندان، به حق، صدرالدين شيرازي را بزرگترين فيلسوف تاريخ بشر دانسته اند، سپس از قرن هفدهم به بعد، بدنبال ظهور بيكن،  دكارت، اسپينوزا و غيره، مغرب زمين كانون فلسفه گرديد و مجدداً در جهان اسلام مضمون شد. همچنين آغاز انديشه عرفاني در هند بوده و با تدوين اوپانيشاد، گيتا، ويدانت سوتر و ظهور </w:t>
      </w:r>
      <w:r w:rsidRPr="00175A44">
        <w:rPr>
          <w:rFonts w:cs="B Zar" w:hint="cs"/>
          <w:rtl/>
          <w:lang w:bidi="fa-IR"/>
        </w:rPr>
        <w:t>شانکارا</w:t>
      </w:r>
      <w:r w:rsidRPr="00175A44">
        <w:rPr>
          <w:rFonts w:cs="B Zar" w:hint="cs"/>
          <w:rtl/>
        </w:rPr>
        <w:t>، بدراين، رام نوج و غيره، پيش از اسلام  انديشه عرفاني در هند اوج گرفت. ولي پس از ظهور اسلام جريان توحيد عرفاني در هند مضمحل گرديد و مكتب بهاگتي و يا ولايت و پرستش رونق پيدا كرد. در اين هنگام خورشيد عرفان نيز در جان اسلام دميدن گرفت و قهرمانان بزرگ تصوف و عرفان در ايران و اندلس ظهور كردند. در هنگامي كه ابي عربي، سهروردي، جلال الدين رومي، حافظ و ملاصدرا آثار خود را برشته تحرير در مي آورده اند و نگرش توحيد را تدوين مي نموده اند، در هند خبري نبوده است، سپس از قرن نوزدهم به بعد انديشمندان و حكيمان اشراقي بزرگتري، مانند رام موهن راي، راما كريشنا، سوامي وويكاناند، سري اربيندو، رادا كريشنان، كماراسوامي و غيره در هند قد علم ‌كردند، و حكمت اشراق و عرفان در هند نضج تازه‌‌اي ‌گرفت. در قروني كه غرب از نظر فلسفي و هند از نظر عرفاني دچار ركود و در فعاليت آنها وقفه ايجاد شده بود، مسلمانان اين رشته را به دست گرفتند و آن را به اوج تازه‌اي رسانيدند. بدين معنا مسلمين در قلمرو فرهنگي نيز «امه وسط» بوده اند.</w:t>
      </w:r>
    </w:p>
    <w:p w:rsidR="0011420A" w:rsidRPr="00175A44" w:rsidP="003C0EF5">
      <w:pPr>
        <w:widowControl w:val="0"/>
        <w:spacing w:line="420" w:lineRule="exact"/>
        <w:ind w:left="0" w:right="0"/>
        <w:jc w:val="both"/>
        <w:rPr>
          <w:rFonts w:cs="B Zar"/>
          <w:sz w:val="28"/>
          <w:szCs w:val="28"/>
        </w:rPr>
      </w:pPr>
    </w:p>
    <w:p w:rsidR="0011420A" w:rsidRPr="00175A44" w:rsidP="003C0EF5">
      <w:pPr>
        <w:widowControl w:val="0"/>
        <w:spacing w:line="420" w:lineRule="exact"/>
        <w:ind w:left="0" w:right="0"/>
        <w:jc w:val="both"/>
        <w:rPr>
          <w:rFonts w:cs="B Zar"/>
          <w:sz w:val="28"/>
          <w:szCs w:val="28"/>
        </w:rPr>
      </w:pPr>
    </w:p>
    <w:p w:rsidR="0011420A" w:rsidRPr="00175A44" w:rsidP="003C0EF5">
      <w:pPr>
        <w:pStyle w:val="Heading2"/>
        <w:keepNext w:val="0"/>
        <w:widowControl w:val="0"/>
        <w:spacing w:line="420" w:lineRule="exact"/>
        <w:ind w:left="0" w:right="0"/>
        <w:jc w:val="center"/>
        <w:rPr>
          <w:rFonts w:cs="B Zar"/>
          <w:b w:val="0"/>
          <w:bCs w:val="0"/>
        </w:rPr>
      </w:pPr>
    </w:p>
    <w:p w:rsidR="0011420A" w:rsidRPr="00CB65C7" w:rsidP="003C0EF5">
      <w:pPr>
        <w:pStyle w:val="Heading2"/>
        <w:keepNext w:val="0"/>
        <w:widowControl w:val="0"/>
        <w:spacing w:line="420" w:lineRule="exact"/>
        <w:ind w:left="0" w:right="0"/>
        <w:jc w:val="center"/>
        <w:rPr>
          <w:rFonts w:cs="B Zar"/>
          <w:sz w:val="28"/>
          <w:szCs w:val="28"/>
        </w:rPr>
      </w:pPr>
      <w:r w:rsidRPr="00CB65C7">
        <w:rPr>
          <w:rFonts w:cs="B Zar" w:hint="eastAsia"/>
          <w:sz w:val="28"/>
          <w:szCs w:val="28"/>
          <w:rtl/>
        </w:rPr>
        <w:t>مآخذ</w:t>
      </w:r>
      <w:r w:rsidRPr="00CB65C7">
        <w:rPr>
          <w:rFonts w:cs="B Zar"/>
          <w:sz w:val="28"/>
          <w:szCs w:val="28"/>
          <w:rtl/>
        </w:rPr>
        <w:t xml:space="preserve"> </w:t>
      </w:r>
      <w:r w:rsidRPr="00CB65C7">
        <w:rPr>
          <w:rFonts w:cs="B Zar" w:hint="eastAsia"/>
          <w:sz w:val="28"/>
          <w:szCs w:val="28"/>
          <w:rtl/>
        </w:rPr>
        <w:t>بخش</w:t>
      </w:r>
    </w:p>
    <w:p w:rsidR="0011420A" w:rsidRPr="00175A44" w:rsidP="003C0EF5">
      <w:pPr>
        <w:widowControl w:val="0"/>
        <w:bidi w:val="0"/>
        <w:spacing w:line="420" w:lineRule="exact"/>
        <w:rPr>
          <w:rFonts w:cs="B Zar"/>
          <w:sz w:val="28"/>
          <w:szCs w:val="28"/>
        </w:rPr>
      </w:pPr>
    </w:p>
    <w:tbl>
      <w:tblPr>
        <w:tblStyle w:val="TableNormal"/>
        <w:tblW w:w="5000" w:type="pct"/>
        <w:tblLook w:val="0000"/>
      </w:tblPr>
      <w:tblGrid>
        <w:gridCol w:w="6453"/>
      </w:tblGrid>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VEDAS:</w:t>
            </w:r>
          </w:p>
          <w:p w:rsidR="0011420A" w:rsidRPr="00175A44" w:rsidP="00C02987">
            <w:pPr>
              <w:widowControl w:val="0"/>
              <w:bidi w:val="0"/>
              <w:spacing w:line="360" w:lineRule="exact"/>
              <w:rPr>
                <w:rFonts w:cs="B Zar"/>
              </w:rPr>
            </w:pPr>
            <w:r w:rsidRPr="00175A44">
              <w:rPr>
                <w:rFonts w:cs="B Zar"/>
              </w:rPr>
              <w:t>Rig Veda Samhitta with pada Text, with Sayana’s Commentary,  4. vol, 1933, Poone</w:t>
            </w:r>
          </w:p>
          <w:p w:rsidR="0011420A" w:rsidRPr="00175A44" w:rsidP="00C02987">
            <w:pPr>
              <w:widowControl w:val="0"/>
              <w:bidi w:val="0"/>
              <w:spacing w:line="360" w:lineRule="exact"/>
              <w:rPr>
                <w:rFonts w:cs="B Zar"/>
              </w:rPr>
            </w:pPr>
            <w:r w:rsidRPr="00175A44">
              <w:rPr>
                <w:rFonts w:cs="B Zar"/>
              </w:rPr>
              <w:t>Rig Veda ed by Max Muller, 2</w:t>
            </w:r>
            <w:r w:rsidRPr="00175A44">
              <w:rPr>
                <w:rFonts w:cs="B Zar"/>
                <w:vertAlign w:val="superscript"/>
              </w:rPr>
              <w:t>nd</w:t>
            </w:r>
            <w:r w:rsidRPr="00175A44">
              <w:rPr>
                <w:rFonts w:cs="B Zar"/>
              </w:rPr>
              <w:t xml:space="preserve"> ed 1890</w:t>
            </w:r>
          </w:p>
          <w:p w:rsidR="0011420A" w:rsidRPr="00175A44" w:rsidP="00C02987">
            <w:pPr>
              <w:widowControl w:val="0"/>
              <w:bidi w:val="0"/>
              <w:spacing w:line="360" w:lineRule="exact"/>
              <w:rPr>
                <w:rFonts w:cs="B Zar"/>
              </w:rPr>
            </w:pPr>
            <w:r w:rsidRPr="00175A44">
              <w:rPr>
                <w:rFonts w:cs="B Zar"/>
              </w:rPr>
              <w:t xml:space="preserve">Rig Veda Tr by H. Grassman, </w:t>
            </w:r>
            <w:smartTag w:uri="urn:schemas-microsoft-com:office:smarttags" w:element="place">
              <w:smartTag w:uri="urn:schemas-microsoft-com:office:smarttags" w:element="City">
                <w:r w:rsidRPr="00175A44">
                  <w:rPr>
                    <w:rFonts w:cs="B Zar"/>
                  </w:rPr>
                  <w:t>Leipzig</w:t>
                </w:r>
              </w:smartTag>
            </w:smartTag>
            <w:r w:rsidRPr="00175A44">
              <w:rPr>
                <w:rFonts w:cs="B Zar"/>
              </w:rPr>
              <w:t>, 1876</w:t>
            </w:r>
          </w:p>
          <w:p w:rsidR="0011420A" w:rsidRPr="00175A44" w:rsidP="00C02987">
            <w:pPr>
              <w:widowControl w:val="0"/>
              <w:bidi w:val="0"/>
              <w:spacing w:line="360" w:lineRule="exact"/>
              <w:rPr>
                <w:rFonts w:cs="B Zar"/>
              </w:rPr>
            </w:pPr>
            <w:r w:rsidRPr="00175A44">
              <w:rPr>
                <w:rFonts w:cs="B Zar"/>
              </w:rPr>
              <w:t>Rig Veda for the Layman Tr and selected by Shyam Ghosh, Cacutta, 1952</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Hymns of the Rigveda Tr by  R.T.H. Griffith, Benarus, 1896</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Rig-Veda Samhita, Tr by H.H. Wilson, </w:t>
            </w:r>
            <w:smartTag w:uri="urn:schemas-microsoft-com:office:smarttags" w:element="place">
              <w:smartTag w:uri="urn:schemas-microsoft-com:office:smarttags" w:element="City">
                <w:r w:rsidRPr="00175A44">
                  <w:rPr>
                    <w:rFonts w:cs="B Zar"/>
                  </w:rPr>
                  <w:t>New Delhi</w:t>
                </w:r>
              </w:smartTag>
            </w:smartTag>
            <w:r w:rsidRPr="00175A44">
              <w:rPr>
                <w:rFonts w:cs="B Zar"/>
              </w:rPr>
              <w:t>, 1965</w:t>
            </w:r>
          </w:p>
        </w:tc>
      </w:tr>
      <w:tr>
        <w:tblPrEx>
          <w:tblW w:w="5000" w:type="pct"/>
          <w:tblLook w:val="0000"/>
        </w:tblPrEx>
        <w:tc>
          <w:tcPr>
            <w:tcW w:w="5000" w:type="pct"/>
          </w:tcPr>
          <w:p w:rsidR="0011420A" w:rsidRPr="00175A44" w:rsidP="00C02987">
            <w:pPr>
              <w:widowControl w:val="0"/>
              <w:bidi w:val="0"/>
              <w:spacing w:line="360" w:lineRule="exact"/>
              <w:rPr>
                <w:rFonts w:cs="B Zar"/>
              </w:rPr>
            </w:pPr>
            <w:r w:rsidRPr="00175A44">
              <w:rPr>
                <w:rFonts w:cs="B Zar"/>
              </w:rPr>
              <w:t xml:space="preserve">Sama Veda Tr by T.H. Benfey, </w:t>
            </w:r>
            <w:smartTag w:uri="urn:schemas-microsoft-com:office:smarttags" w:element="place">
              <w:smartTag w:uri="urn:schemas-microsoft-com:office:smarttags" w:element="City">
                <w:r w:rsidRPr="00175A44">
                  <w:rPr>
                    <w:rFonts w:cs="B Zar"/>
                  </w:rPr>
                  <w:t>Leipzig</w:t>
                </w:r>
              </w:smartTag>
            </w:smartTag>
            <w:r w:rsidRPr="00175A44">
              <w:rPr>
                <w:rFonts w:cs="B Zar"/>
              </w:rPr>
              <w:t>, 1848</w:t>
            </w:r>
          </w:p>
          <w:p w:rsidR="0011420A" w:rsidRPr="00175A44" w:rsidP="00C02987">
            <w:pPr>
              <w:widowControl w:val="0"/>
              <w:bidi w:val="0"/>
              <w:spacing w:line="360" w:lineRule="exact"/>
              <w:rPr>
                <w:rFonts w:cs="B Zar"/>
              </w:rPr>
            </w:pPr>
            <w:r w:rsidRPr="00175A44">
              <w:rPr>
                <w:rFonts w:cs="B Zar"/>
              </w:rPr>
              <w:t xml:space="preserve">Sama Veda with Text, </w:t>
            </w:r>
            <w:smartTag w:uri="urn:schemas-microsoft-com:office:smarttags" w:element="place">
              <w:smartTag w:uri="urn:schemas-microsoft-com:office:smarttags" w:element="City">
                <w:r w:rsidRPr="00175A44">
                  <w:rPr>
                    <w:rFonts w:cs="B Zar"/>
                  </w:rPr>
                  <w:t>Calcutta</w:t>
                </w:r>
              </w:smartTag>
            </w:smartTag>
            <w:r w:rsidRPr="00175A44">
              <w:rPr>
                <w:rFonts w:cs="B Zar"/>
              </w:rPr>
              <w:t>, 1872</w:t>
            </w:r>
          </w:p>
          <w:p w:rsidR="0011420A" w:rsidRPr="00175A44" w:rsidP="00C02987">
            <w:pPr>
              <w:widowControl w:val="0"/>
              <w:bidi w:val="0"/>
              <w:spacing w:line="360" w:lineRule="exact"/>
              <w:rPr>
                <w:rFonts w:cs="B Zar"/>
              </w:rPr>
            </w:pPr>
            <w:r w:rsidRPr="00175A44">
              <w:rPr>
                <w:rFonts w:cs="B Zar"/>
              </w:rPr>
              <w:t xml:space="preserve">Sama-Veda  Tr by S.V. Ganapati, Benarsi Das, </w:t>
            </w:r>
            <w:smartTag w:uri="urn:schemas-microsoft-com:office:smarttags" w:element="place">
              <w:smartTag w:uri="urn:schemas-microsoft-com:office:smarttags" w:element="City">
                <w:r w:rsidRPr="00175A44">
                  <w:rPr>
                    <w:rFonts w:cs="B Zar"/>
                  </w:rPr>
                  <w:t>New Delhi</w:t>
                </w:r>
              </w:smartTag>
            </w:smartTag>
          </w:p>
        </w:tc>
      </w:tr>
      <w:tr>
        <w:tblPrEx>
          <w:tblW w:w="5000" w:type="pct"/>
          <w:tblLook w:val="0000"/>
        </w:tblPrEx>
        <w:tc>
          <w:tcPr>
            <w:tcW w:w="5000" w:type="pct"/>
          </w:tcPr>
          <w:p w:rsidR="0011420A" w:rsidRPr="00175A44" w:rsidP="00C02987">
            <w:pPr>
              <w:widowControl w:val="0"/>
              <w:bidi w:val="0"/>
              <w:spacing w:line="360" w:lineRule="exact"/>
              <w:rPr>
                <w:rFonts w:cs="B Zar"/>
              </w:rPr>
            </w:pPr>
            <w:r w:rsidRPr="00175A44">
              <w:rPr>
                <w:rFonts w:cs="B Zar"/>
              </w:rPr>
              <w:t xml:space="preserve">Samaveda Samhita Tr by Ravi Prakash, Munshiram, </w:t>
            </w:r>
            <w:smartTag w:uri="urn:schemas-microsoft-com:office:smarttags" w:element="place">
              <w:smartTag w:uri="urn:schemas-microsoft-com:office:smarttags" w:element="City">
                <w:r w:rsidRPr="00175A44">
                  <w:rPr>
                    <w:rFonts w:cs="B Zar"/>
                  </w:rPr>
                  <w:t>New Delhi</w:t>
                </w:r>
              </w:smartTag>
            </w:smartTag>
          </w:p>
          <w:p w:rsidR="0011420A" w:rsidRPr="00175A44" w:rsidP="00C02987">
            <w:pPr>
              <w:widowControl w:val="0"/>
              <w:bidi w:val="0"/>
              <w:spacing w:line="360" w:lineRule="exact"/>
              <w:rPr>
                <w:rFonts w:cs="B Zar"/>
              </w:rPr>
            </w:pPr>
            <w:r w:rsidRPr="00175A44">
              <w:rPr>
                <w:rFonts w:cs="B Zar"/>
              </w:rPr>
              <w:t>Samaveda, ed Acharya Dharama Deva, Banarus, 1969</w:t>
            </w:r>
          </w:p>
        </w:tc>
      </w:tr>
      <w:tr>
        <w:tblPrEx>
          <w:tblW w:w="5000" w:type="pct"/>
          <w:tblLook w:val="0000"/>
        </w:tblPrEx>
        <w:tc>
          <w:tcPr>
            <w:tcW w:w="5000" w:type="pct"/>
          </w:tcPr>
          <w:p w:rsidR="0011420A" w:rsidRPr="00175A44" w:rsidP="00C02987">
            <w:pPr>
              <w:widowControl w:val="0"/>
              <w:bidi w:val="0"/>
              <w:spacing w:line="360" w:lineRule="exact"/>
              <w:rPr>
                <w:rFonts w:cs="B Zar"/>
              </w:rPr>
            </w:pPr>
            <w:r w:rsidRPr="00175A44">
              <w:rPr>
                <w:rFonts w:cs="B Zar"/>
              </w:rPr>
              <w:t xml:space="preserve">Atharva-Veda Samhita, with Sayana’s Commentary, ed S. P. Pandit, </w:t>
            </w:r>
            <w:smartTag w:uri="urn:schemas-microsoft-com:office:smarttags" w:element="place">
              <w:smartTag w:uri="urn:schemas-microsoft-com:office:smarttags" w:element="City">
                <w:r w:rsidRPr="00175A44">
                  <w:rPr>
                    <w:rFonts w:cs="B Zar"/>
                  </w:rPr>
                  <w:t>Bombay</w:t>
                </w:r>
              </w:smartTag>
            </w:smartTag>
            <w:r w:rsidRPr="00175A44">
              <w:rPr>
                <w:rFonts w:cs="B Zar"/>
              </w:rPr>
              <w:t>, 1898</w:t>
            </w:r>
          </w:p>
          <w:p w:rsidR="0011420A" w:rsidRPr="00175A44" w:rsidP="00C02987">
            <w:pPr>
              <w:widowControl w:val="0"/>
              <w:bidi w:val="0"/>
              <w:spacing w:line="360" w:lineRule="exact"/>
              <w:rPr>
                <w:rFonts w:cs="B Zar"/>
              </w:rPr>
            </w:pPr>
            <w:r w:rsidRPr="00175A44">
              <w:rPr>
                <w:rFonts w:cs="B Zar"/>
              </w:rPr>
              <w:t xml:space="preserve">Atharva-Veda Samhita, Tr by William Dwight, </w:t>
            </w:r>
            <w:smartTag w:uri="urn:schemas-microsoft-com:office:smarttags" w:element="place">
              <w:smartTag w:uri="urn:schemas-microsoft-com:office:smarttags" w:element="City">
                <w:r w:rsidRPr="00175A44">
                  <w:rPr>
                    <w:rFonts w:cs="B Zar"/>
                  </w:rPr>
                  <w:t>London</w:t>
                </w:r>
              </w:smartTag>
            </w:smartTag>
            <w:r w:rsidRPr="00175A44">
              <w:rPr>
                <w:rFonts w:cs="B Zar"/>
              </w:rPr>
              <w:t>, 1952</w:t>
            </w:r>
          </w:p>
        </w:tc>
      </w:tr>
      <w:tr>
        <w:tblPrEx>
          <w:tblW w:w="5000" w:type="pct"/>
          <w:tblLook w:val="0000"/>
        </w:tblPrEx>
        <w:tc>
          <w:tcPr>
            <w:tcW w:w="5000" w:type="pct"/>
          </w:tcPr>
          <w:p w:rsidR="0011420A" w:rsidRPr="00175A44" w:rsidP="00C02987">
            <w:pPr>
              <w:widowControl w:val="0"/>
              <w:bidi w:val="0"/>
              <w:spacing w:line="360" w:lineRule="exact"/>
              <w:rPr>
                <w:rFonts w:cs="B Zar"/>
              </w:rPr>
            </w:pPr>
            <w:r w:rsidRPr="00175A44">
              <w:rPr>
                <w:rFonts w:cs="B Zar"/>
              </w:rPr>
              <w:t xml:space="preserve">Hymns of the Atharva-Veda, Tr by M. Bloomfield, </w:t>
            </w:r>
            <w:smartTag w:uri="urn:schemas-microsoft-com:office:smarttags" w:element="place">
              <w:smartTag w:uri="urn:schemas-microsoft-com:office:smarttags" w:element="City">
                <w:r w:rsidRPr="00175A44">
                  <w:rPr>
                    <w:rFonts w:cs="B Zar"/>
                  </w:rPr>
                  <w:t>Oxford</w:t>
                </w:r>
              </w:smartTag>
            </w:smartTag>
            <w:r w:rsidRPr="00175A44">
              <w:rPr>
                <w:rFonts w:cs="B Zar"/>
              </w:rPr>
              <w:t>, 1897</w:t>
            </w:r>
          </w:p>
          <w:p w:rsidR="0011420A" w:rsidRPr="00175A44" w:rsidP="00C02987">
            <w:pPr>
              <w:widowControl w:val="0"/>
              <w:bidi w:val="0"/>
              <w:spacing w:line="360" w:lineRule="exact"/>
              <w:rPr>
                <w:rFonts w:cs="B Zar"/>
              </w:rPr>
            </w:pPr>
            <w:r w:rsidRPr="00175A44">
              <w:rPr>
                <w:rFonts w:cs="B Zar"/>
              </w:rPr>
              <w:t xml:space="preserve">Atharvaveda, ed by R.Roth and W.D. </w:t>
            </w:r>
            <w:smartTag w:uri="urn:schemas-microsoft-com:office:smarttags" w:element="place">
              <w:smartTag w:uri="urn:schemas-microsoft-com:office:smarttags" w:element="City">
                <w:r w:rsidRPr="00175A44">
                  <w:rPr>
                    <w:rFonts w:cs="B Zar"/>
                  </w:rPr>
                  <w:t>Whitney</w:t>
                </w:r>
              </w:smartTag>
              <w:r w:rsidRPr="00175A44">
                <w:rPr>
                  <w:rFonts w:cs="B Zar"/>
                </w:rPr>
                <w:t xml:space="preserve">, </w:t>
              </w:r>
              <w:smartTag w:uri="urn:schemas-microsoft-com:office:smarttags" w:element="State">
                <w:r w:rsidRPr="00175A44">
                  <w:rPr>
                    <w:rFonts w:cs="B Zar"/>
                  </w:rPr>
                  <w:t>Berlin</w:t>
                </w:r>
              </w:smartTag>
            </w:smartTag>
            <w:r w:rsidRPr="00175A44">
              <w:rPr>
                <w:rFonts w:cs="B Zar"/>
              </w:rPr>
              <w:t>, 1856</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Bruce: Seer of the Fifth Veda, </w:t>
            </w:r>
            <w:smartTag w:uri="urn:schemas-microsoft-com:office:smarttags" w:element="place">
              <w:smartTag w:uri="urn:schemas-microsoft-com:office:smarttags" w:element="City">
                <w:r w:rsidRPr="00175A44">
                  <w:rPr>
                    <w:rFonts w:cs="B Zar"/>
                  </w:rPr>
                  <w:t>Bombay</w:t>
                </w:r>
              </w:smartTag>
            </w:smartTag>
            <w:r w:rsidRPr="00175A44">
              <w:rPr>
                <w:rFonts w:cs="B Zar"/>
              </w:rPr>
              <w:t>, 1996</w:t>
            </w:r>
          </w:p>
        </w:tc>
      </w:tr>
      <w:tr>
        <w:tblPrEx>
          <w:tblW w:w="5000" w:type="pct"/>
          <w:tblLook w:val="0000"/>
        </w:tblPrEx>
        <w:tc>
          <w:tcPr>
            <w:tcW w:w="5000" w:type="pct"/>
          </w:tcPr>
          <w:p w:rsidR="0011420A" w:rsidRPr="00175A44" w:rsidP="003C0EF5">
            <w:pPr>
              <w:widowControl w:val="0"/>
              <w:bidi w:val="0"/>
              <w:spacing w:line="420" w:lineRule="exact"/>
              <w:rPr>
                <w:rFonts w:cs="B Zar"/>
              </w:rPr>
            </w:pPr>
          </w:p>
          <w:p w:rsidR="0011420A" w:rsidRPr="00175A44" w:rsidP="003C0EF5">
            <w:pPr>
              <w:widowControl w:val="0"/>
              <w:bidi w:val="0"/>
              <w:spacing w:line="420" w:lineRule="exact"/>
              <w:rPr>
                <w:rFonts w:cs="B Zar"/>
              </w:rPr>
            </w:pPr>
            <w:r w:rsidRPr="00175A44">
              <w:rPr>
                <w:rFonts w:cs="B Zar"/>
              </w:rPr>
              <w:t>BRAHMANAS:</w:t>
            </w:r>
          </w:p>
          <w:p w:rsidR="0011420A" w:rsidRPr="00175A44" w:rsidP="00D77902">
            <w:pPr>
              <w:widowControl w:val="0"/>
              <w:bidi w:val="0"/>
              <w:spacing w:line="360" w:lineRule="exact"/>
              <w:rPr>
                <w:rFonts w:cs="B Zar"/>
              </w:rPr>
            </w:pPr>
            <w:r w:rsidRPr="00175A44">
              <w:rPr>
                <w:rFonts w:cs="B Zar"/>
              </w:rPr>
              <w:t xml:space="preserve">Satapatha Brahmana, ed A. Weber, </w:t>
            </w:r>
            <w:smartTag w:uri="urn:schemas-microsoft-com:office:smarttags" w:element="place">
              <w:smartTag w:uri="urn:schemas-microsoft-com:office:smarttags" w:element="City">
                <w:r w:rsidRPr="00175A44">
                  <w:rPr>
                    <w:rFonts w:cs="B Zar"/>
                  </w:rPr>
                  <w:t>London</w:t>
                </w:r>
              </w:smartTag>
            </w:smartTag>
            <w:r w:rsidRPr="00175A44">
              <w:rPr>
                <w:rFonts w:cs="B Zar"/>
              </w:rPr>
              <w:t>, 1885</w:t>
            </w:r>
          </w:p>
          <w:p w:rsidR="0011420A" w:rsidRPr="00175A44" w:rsidP="00D77902">
            <w:pPr>
              <w:widowControl w:val="0"/>
              <w:bidi w:val="0"/>
              <w:spacing w:line="360" w:lineRule="exact"/>
              <w:rPr>
                <w:rFonts w:cs="B Zar"/>
              </w:rPr>
            </w:pPr>
            <w:r w:rsidRPr="00175A44">
              <w:rPr>
                <w:rFonts w:cs="B Zar"/>
              </w:rPr>
              <w:t xml:space="preserve">Satapatha Brahmana in the Kanviya Recension, Tr by Caland,       </w:t>
            </w:r>
            <w:smartTag w:uri="urn:schemas-microsoft-com:office:smarttags" w:element="place">
              <w:smartTag w:uri="urn:schemas-microsoft-com:office:smarttags" w:element="City">
                <w:r w:rsidRPr="00175A44">
                  <w:rPr>
                    <w:rFonts w:cs="B Zar"/>
                  </w:rPr>
                  <w:t>New Delhi</w:t>
                </w:r>
              </w:smartTag>
            </w:smartTag>
            <w:r w:rsidRPr="00175A44">
              <w:rPr>
                <w:rFonts w:cs="B Zar"/>
              </w:rPr>
              <w:t xml:space="preserve">, </w:t>
            </w:r>
          </w:p>
        </w:tc>
      </w:tr>
      <w:tr>
        <w:tblPrEx>
          <w:tblW w:w="5000" w:type="pct"/>
          <w:tblLook w:val="0000"/>
        </w:tblPrEx>
        <w:tc>
          <w:tcPr>
            <w:tcW w:w="5000" w:type="pct"/>
          </w:tcPr>
          <w:p w:rsidR="0011420A" w:rsidRPr="00175A44" w:rsidP="00D77902">
            <w:pPr>
              <w:widowControl w:val="0"/>
              <w:bidi w:val="0"/>
              <w:spacing w:line="360" w:lineRule="exact"/>
              <w:rPr>
                <w:rFonts w:cs="B Zar"/>
              </w:rPr>
            </w:pPr>
            <w:r w:rsidRPr="00175A44">
              <w:rPr>
                <w:rFonts w:cs="B Zar"/>
              </w:rPr>
              <w:t>Satapatha Brahmana, Tr by J. Eggeling, Leipzig, 1895 S.B.E., No. 12, 22, 41. 43</w:t>
            </w:r>
          </w:p>
          <w:p w:rsidR="0011420A" w:rsidRPr="00175A44" w:rsidP="00D77902">
            <w:pPr>
              <w:widowControl w:val="0"/>
              <w:bidi w:val="0"/>
              <w:spacing w:line="360" w:lineRule="exact"/>
              <w:rPr>
                <w:rFonts w:cs="B Zar"/>
              </w:rPr>
            </w:pPr>
            <w:r w:rsidRPr="00175A44">
              <w:rPr>
                <w:rFonts w:cs="B Zar"/>
              </w:rPr>
              <w:t xml:space="preserve">Artareya Brahmana, ed T.H. Aufrecht, </w:t>
            </w:r>
            <w:smartTag w:uri="urn:schemas-microsoft-com:office:smarttags" w:element="place">
              <w:smartTag w:uri="urn:schemas-microsoft-com:office:smarttags" w:element="City">
                <w:r w:rsidRPr="00175A44">
                  <w:rPr>
                    <w:rFonts w:cs="B Zar"/>
                  </w:rPr>
                  <w:t>Bonn</w:t>
                </w:r>
              </w:smartTag>
            </w:smartTag>
            <w:r w:rsidRPr="00175A44">
              <w:rPr>
                <w:rFonts w:cs="B Zar"/>
              </w:rPr>
              <w:t>, 1879</w:t>
            </w:r>
          </w:p>
          <w:p w:rsidR="0011420A" w:rsidRPr="00175A44" w:rsidP="00D77902">
            <w:pPr>
              <w:widowControl w:val="0"/>
              <w:bidi w:val="0"/>
              <w:spacing w:line="360" w:lineRule="exact"/>
              <w:rPr>
                <w:rFonts w:cs="B Zar"/>
              </w:rPr>
            </w:pPr>
            <w:r w:rsidRPr="00175A44">
              <w:rPr>
                <w:rFonts w:cs="B Zar"/>
              </w:rPr>
              <w:t>Arsheya Brahmana, ed A. C. Burnell, , Manglore, 1876</w:t>
            </w:r>
          </w:p>
          <w:p w:rsidR="0011420A" w:rsidRPr="00175A44" w:rsidP="00D77902">
            <w:pPr>
              <w:widowControl w:val="0"/>
              <w:bidi w:val="0"/>
              <w:spacing w:line="360" w:lineRule="exact"/>
              <w:rPr>
                <w:rFonts w:cs="B Zar"/>
              </w:rPr>
            </w:pPr>
            <w:r w:rsidRPr="00175A44">
              <w:rPr>
                <w:rFonts w:cs="B Zar"/>
              </w:rPr>
              <w:t xml:space="preserve">Gopatha Brahmana, ed Rajendra Lal Mitra, </w:t>
            </w:r>
            <w:smartTag w:uri="urn:schemas-microsoft-com:office:smarttags" w:element="place">
              <w:smartTag w:uri="urn:schemas-microsoft-com:office:smarttags" w:element="City">
                <w:r w:rsidRPr="00175A44">
                  <w:rPr>
                    <w:rFonts w:cs="B Zar"/>
                  </w:rPr>
                  <w:t>Calcutta</w:t>
                </w:r>
              </w:smartTag>
            </w:smartTag>
            <w:r w:rsidRPr="00175A44">
              <w:rPr>
                <w:rFonts w:cs="B Zar"/>
              </w:rPr>
              <w:t>, 1872</w:t>
            </w:r>
          </w:p>
          <w:p w:rsidR="0011420A" w:rsidRPr="00175A44" w:rsidP="00D77902">
            <w:pPr>
              <w:widowControl w:val="0"/>
              <w:bidi w:val="0"/>
              <w:spacing w:line="360" w:lineRule="exact"/>
              <w:rPr>
                <w:rFonts w:cs="B Zar"/>
              </w:rPr>
            </w:pPr>
            <w:r w:rsidRPr="00175A44">
              <w:rPr>
                <w:rFonts w:cs="B Zar"/>
              </w:rPr>
              <w:t xml:space="preserve">Kaushitaki Brahmana, ed E. B. Cowell, </w:t>
            </w:r>
            <w:smartTag w:uri="urn:schemas-microsoft-com:office:smarttags" w:element="place">
              <w:smartTag w:uri="urn:schemas-microsoft-com:office:smarttags" w:element="City">
                <w:r w:rsidRPr="00175A44">
                  <w:rPr>
                    <w:rFonts w:cs="B Zar"/>
                  </w:rPr>
                  <w:t>Calcutta</w:t>
                </w:r>
              </w:smartTag>
            </w:smartTag>
            <w:r w:rsidRPr="00175A44">
              <w:rPr>
                <w:rFonts w:cs="B Zar"/>
              </w:rPr>
              <w:t>, 1861</w:t>
            </w:r>
          </w:p>
          <w:p w:rsidR="0011420A" w:rsidRPr="00175A44" w:rsidP="00D77902">
            <w:pPr>
              <w:widowControl w:val="0"/>
              <w:bidi w:val="0"/>
              <w:spacing w:line="360" w:lineRule="exact"/>
              <w:rPr>
                <w:rFonts w:cs="B Zar"/>
              </w:rPr>
            </w:pPr>
            <w:r w:rsidRPr="00175A44">
              <w:rPr>
                <w:rFonts w:cs="B Zar"/>
              </w:rPr>
              <w:t xml:space="preserve">Panchavimsa Brahmana, </w:t>
            </w:r>
            <w:smartTag w:uri="urn:schemas-microsoft-com:office:smarttags" w:element="place">
              <w:smartTag w:uri="urn:schemas-microsoft-com:office:smarttags" w:element="City">
                <w:r w:rsidRPr="00175A44">
                  <w:rPr>
                    <w:rFonts w:cs="B Zar"/>
                  </w:rPr>
                  <w:t>Calcutta</w:t>
                </w:r>
              </w:smartTag>
            </w:smartTag>
            <w:r w:rsidRPr="00175A44">
              <w:rPr>
                <w:rFonts w:cs="B Zar"/>
              </w:rPr>
              <w:t>, 1869</w:t>
            </w:r>
          </w:p>
          <w:p w:rsidR="0011420A" w:rsidRPr="00175A44" w:rsidP="00D77902">
            <w:pPr>
              <w:widowControl w:val="0"/>
              <w:bidi w:val="0"/>
              <w:spacing w:line="360" w:lineRule="exact"/>
              <w:rPr>
                <w:rFonts w:cs="B Zar"/>
              </w:rPr>
            </w:pPr>
            <w:r w:rsidRPr="00175A44">
              <w:rPr>
                <w:rFonts w:cs="B Zar"/>
              </w:rPr>
              <w:t xml:space="preserve">Samavidhana Brahmana, ed A. C. Burnell, </w:t>
            </w:r>
            <w:smartTag w:uri="urn:schemas-microsoft-com:office:smarttags" w:element="place">
              <w:smartTag w:uri="urn:schemas-microsoft-com:office:smarttags" w:element="City">
                <w:r w:rsidRPr="00175A44">
                  <w:rPr>
                    <w:rFonts w:cs="B Zar"/>
                  </w:rPr>
                  <w:t>London</w:t>
                </w:r>
              </w:smartTag>
            </w:smartTag>
            <w:r w:rsidRPr="00175A44">
              <w:rPr>
                <w:rFonts w:cs="B Zar"/>
              </w:rPr>
              <w:t xml:space="preserve"> 1873</w:t>
            </w:r>
          </w:p>
          <w:p w:rsidR="0011420A" w:rsidRPr="00175A44" w:rsidP="00D77902">
            <w:pPr>
              <w:widowControl w:val="0"/>
              <w:bidi w:val="0"/>
              <w:spacing w:line="360" w:lineRule="exact"/>
              <w:rPr>
                <w:rFonts w:cs="B Zar"/>
              </w:rPr>
            </w:pPr>
            <w:r w:rsidRPr="00175A44">
              <w:rPr>
                <w:rFonts w:cs="B Zar"/>
              </w:rPr>
              <w:t xml:space="preserve">Taitirya Brahmana, ed R. Mitra, </w:t>
            </w:r>
            <w:smartTag w:uri="urn:schemas-microsoft-com:office:smarttags" w:element="place">
              <w:smartTag w:uri="urn:schemas-microsoft-com:office:smarttags" w:element="City">
                <w:r w:rsidRPr="00175A44">
                  <w:rPr>
                    <w:rFonts w:cs="B Zar"/>
                  </w:rPr>
                  <w:t>Calcutta</w:t>
                </w:r>
              </w:smartTag>
            </w:smartTag>
            <w:r w:rsidRPr="00175A44">
              <w:rPr>
                <w:rFonts w:cs="B Zar"/>
              </w:rPr>
              <w:t>, 1855</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Rigveda Brahmanas, Tr by A.B. Keith, </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Jaiminiya Brahmana of the Samaveda, Tr by Raghuvira</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UPANISHADS</w:t>
            </w:r>
          </w:p>
          <w:p w:rsidR="0011420A" w:rsidRPr="00175A44" w:rsidP="00D77902">
            <w:pPr>
              <w:widowControl w:val="0"/>
              <w:bidi w:val="0"/>
              <w:spacing w:line="360" w:lineRule="exact"/>
              <w:rPr>
                <w:rFonts w:cs="B Zar"/>
              </w:rPr>
            </w:pPr>
            <w:r w:rsidRPr="00175A44">
              <w:rPr>
                <w:rFonts w:cs="B Zar"/>
              </w:rPr>
              <w:t xml:space="preserve">Brihadaranyaka Upanishad, ed O. Bohtink, </w:t>
            </w:r>
            <w:smartTag w:uri="urn:schemas-microsoft-com:office:smarttags" w:element="place">
              <w:smartTag w:uri="urn:schemas-microsoft-com:office:smarttags" w:element="City">
                <w:r w:rsidRPr="00175A44">
                  <w:rPr>
                    <w:rFonts w:cs="B Zar"/>
                  </w:rPr>
                  <w:t>Leipzig</w:t>
                </w:r>
              </w:smartTag>
            </w:smartTag>
            <w:r w:rsidRPr="00175A44">
              <w:rPr>
                <w:rFonts w:cs="B Zar"/>
              </w:rPr>
              <w:t>, 1889</w:t>
            </w:r>
          </w:p>
          <w:p w:rsidR="0011420A" w:rsidRPr="00175A44" w:rsidP="00D77902">
            <w:pPr>
              <w:widowControl w:val="0"/>
              <w:bidi w:val="0"/>
              <w:spacing w:line="360" w:lineRule="exact"/>
              <w:rPr>
                <w:rFonts w:cs="B Zar"/>
              </w:rPr>
            </w:pPr>
            <w:r w:rsidRPr="00175A44">
              <w:rPr>
                <w:rFonts w:cs="B Zar"/>
              </w:rPr>
              <w:t xml:space="preserve">Chandogya Upanishad, ed O. Bohtink, </w:t>
            </w:r>
            <w:smartTag w:uri="urn:schemas-microsoft-com:office:smarttags" w:element="place">
              <w:smartTag w:uri="urn:schemas-microsoft-com:office:smarttags" w:element="City">
                <w:r w:rsidRPr="00175A44">
                  <w:rPr>
                    <w:rFonts w:cs="B Zar"/>
                  </w:rPr>
                  <w:t>Leipzig</w:t>
                </w:r>
              </w:smartTag>
            </w:smartTag>
            <w:r w:rsidRPr="00175A44">
              <w:rPr>
                <w:rFonts w:cs="B Zar"/>
              </w:rPr>
              <w:t>,  1889</w:t>
            </w:r>
          </w:p>
          <w:p w:rsidR="0011420A" w:rsidRPr="00175A44" w:rsidP="00D77902">
            <w:pPr>
              <w:widowControl w:val="0"/>
              <w:bidi w:val="0"/>
              <w:spacing w:line="360" w:lineRule="exact"/>
              <w:rPr>
                <w:rFonts w:cs="B Zar"/>
              </w:rPr>
            </w:pPr>
            <w:r w:rsidRPr="00175A44">
              <w:rPr>
                <w:rFonts w:cs="B Zar"/>
              </w:rPr>
              <w:t xml:space="preserve">The Principle Upanishads, ed and tr by Dr Radhakrishnan, </w:t>
            </w:r>
            <w:smartTag w:uri="urn:schemas-microsoft-com:office:smarttags" w:element="place">
              <w:smartTag w:uri="urn:schemas-microsoft-com:office:smarttags" w:element="City">
                <w:r w:rsidRPr="00175A44">
                  <w:rPr>
                    <w:rFonts w:cs="B Zar"/>
                  </w:rPr>
                  <w:t>New Delhi</w:t>
                </w:r>
              </w:smartTag>
            </w:smartTag>
            <w:r w:rsidRPr="00175A44">
              <w:rPr>
                <w:rFonts w:cs="B Zar"/>
              </w:rPr>
              <w:t>, 1982</w:t>
            </w:r>
          </w:p>
          <w:p w:rsidR="0011420A" w:rsidRPr="00175A44" w:rsidP="00D77902">
            <w:pPr>
              <w:widowControl w:val="0"/>
              <w:bidi w:val="0"/>
              <w:spacing w:line="360" w:lineRule="exact"/>
              <w:rPr>
                <w:rFonts w:cs="B Zar"/>
              </w:rPr>
            </w:pPr>
            <w:r w:rsidRPr="00175A44">
              <w:rPr>
                <w:rFonts w:cs="B Zar"/>
              </w:rPr>
              <w:t xml:space="preserve">Sixty Upanishads of Veda, ed and Tr by Paul Deusson, Benarsidas. </w:t>
            </w:r>
            <w:smartTag w:uri="urn:schemas-microsoft-com:office:smarttags" w:element="place">
              <w:smartTag w:uri="urn:schemas-microsoft-com:office:smarttags" w:element="City">
                <w:r w:rsidRPr="00175A44">
                  <w:rPr>
                    <w:rFonts w:cs="B Zar"/>
                  </w:rPr>
                  <w:t>New Delhi</w:t>
                </w:r>
              </w:smartTag>
            </w:smartTag>
            <w:r w:rsidRPr="00175A44">
              <w:rPr>
                <w:rFonts w:cs="B Zar"/>
              </w:rPr>
              <w:t>. 1984</w:t>
            </w:r>
          </w:p>
          <w:p w:rsidR="0011420A" w:rsidRPr="00175A44" w:rsidP="00D77902">
            <w:pPr>
              <w:widowControl w:val="0"/>
              <w:bidi w:val="0"/>
              <w:spacing w:line="360" w:lineRule="exact"/>
              <w:rPr>
                <w:rFonts w:cs="B Zar"/>
              </w:rPr>
            </w:pPr>
            <w:r w:rsidRPr="00175A44">
              <w:rPr>
                <w:rFonts w:cs="B Zar"/>
              </w:rPr>
              <w:t xml:space="preserve">Brahdaranyaka Upanishad, Banarsidas, </w:t>
            </w:r>
            <w:smartTag w:uri="urn:schemas-microsoft-com:office:smarttags" w:element="place">
              <w:smartTag w:uri="urn:schemas-microsoft-com:office:smarttags" w:element="City">
                <w:r w:rsidRPr="00175A44">
                  <w:rPr>
                    <w:rFonts w:cs="B Zar"/>
                  </w:rPr>
                  <w:t>New Delhi</w:t>
                </w:r>
              </w:smartTag>
            </w:smartTag>
            <w:r w:rsidRPr="00175A44">
              <w:rPr>
                <w:rFonts w:cs="B Zar"/>
              </w:rPr>
              <w:t>, 1975, Ramakrishna Mission, 1982</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Isa Upanishad,  </w:t>
            </w:r>
            <w:smartTag w:uri="urn:schemas-microsoft-com:office:smarttags" w:element="City">
              <w:r w:rsidRPr="00175A44">
                <w:rPr>
                  <w:rFonts w:cs="B Zar"/>
                </w:rPr>
                <w:t>New Delhi</w:t>
              </w:r>
            </w:smartTag>
            <w:r w:rsidRPr="00175A44">
              <w:rPr>
                <w:rFonts w:cs="B Zar"/>
              </w:rPr>
              <w:t xml:space="preserve"> , RM </w:t>
            </w:r>
            <w:smartTag w:uri="urn:schemas-microsoft-com:office:smarttags" w:element="City">
              <w:r w:rsidRPr="00175A44">
                <w:rPr>
                  <w:rFonts w:cs="B Zar"/>
                </w:rPr>
                <w:t>Mission</w:t>
              </w:r>
            </w:smartTag>
            <w:r w:rsidRPr="00175A44">
              <w:rPr>
                <w:rFonts w:cs="B Zar"/>
              </w:rPr>
              <w:t xml:space="preserve">, </w:t>
            </w:r>
            <w:smartTag w:uri="urn:schemas-microsoft-com:office:smarttags" w:element="place">
              <w:smartTag w:uri="urn:schemas-microsoft-com:office:smarttags" w:element="City">
                <w:r w:rsidRPr="00175A44">
                  <w:rPr>
                    <w:rFonts w:cs="B Zar"/>
                  </w:rPr>
                  <w:t>New Delhi</w:t>
                </w:r>
              </w:smartTag>
            </w:smartTag>
            <w:r w:rsidRPr="00175A44">
              <w:rPr>
                <w:rFonts w:cs="B Zar"/>
              </w:rPr>
              <w:t>, 1978</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Katha Upanishad, in Sixty Upanishads of Veda, ed and Tr by Paul Deusson</w:t>
            </w:r>
          </w:p>
        </w:tc>
      </w:tr>
      <w:tr>
        <w:tblPrEx>
          <w:tblW w:w="5000" w:type="pct"/>
          <w:tblLook w:val="0000"/>
        </w:tblPrEx>
        <w:tc>
          <w:tcPr>
            <w:tcW w:w="5000" w:type="pct"/>
          </w:tcPr>
          <w:p w:rsidR="0011420A" w:rsidRPr="00175A44" w:rsidP="00B83AE3">
            <w:pPr>
              <w:widowControl w:val="0"/>
              <w:bidi w:val="0"/>
              <w:spacing w:line="360" w:lineRule="exact"/>
              <w:rPr>
                <w:rFonts w:cs="B Zar"/>
              </w:rPr>
            </w:pPr>
            <w:r w:rsidRPr="00175A44">
              <w:rPr>
                <w:rFonts w:cs="B Zar"/>
              </w:rPr>
              <w:t>Mundaka Upanishad, in The Principle Upanishads, ed and tr by Dr Radhakrishnan</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PURANAS:</w:t>
            </w:r>
          </w:p>
          <w:p w:rsidR="0011420A" w:rsidRPr="00175A44" w:rsidP="003C0EF5">
            <w:pPr>
              <w:widowControl w:val="0"/>
              <w:bidi w:val="0"/>
              <w:spacing w:line="420" w:lineRule="exact"/>
              <w:rPr>
                <w:rFonts w:cs="B Zar"/>
              </w:rPr>
            </w:pPr>
            <w:r w:rsidR="000221BE">
              <w:rPr>
                <w:rFonts w:cs="B Zar"/>
              </w:rPr>
              <w:t>Mahabharata Gorakhpur, Gita Press, 1987</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Bhagvata Gita, </w:t>
            </w:r>
            <w:smartTag w:uri="urn:schemas-microsoft-com:office:smarttags" w:element="place">
              <w:smartTag w:uri="urn:schemas-microsoft-com:office:smarttags" w:element="City">
                <w:r w:rsidRPr="00175A44">
                  <w:rPr>
                    <w:rFonts w:cs="B Zar"/>
                  </w:rPr>
                  <w:t>New Delhi</w:t>
                </w:r>
              </w:smartTag>
            </w:smartTag>
            <w:r w:rsidRPr="00175A44">
              <w:rPr>
                <w:rFonts w:cs="B Zar"/>
              </w:rPr>
              <w:t>, 1980</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b/>
                <w:bCs/>
              </w:rPr>
              <w:t>OTHER SOURCSE:</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(E.Clodd: Pre Animistic Stages in Religion, </w:t>
            </w:r>
            <w:smartTag w:uri="urn:schemas-microsoft-com:office:smarttags" w:element="place">
              <w:smartTag w:uri="urn:schemas-microsoft-com:office:smarttags" w:element="City">
                <w:r w:rsidRPr="00175A44">
                  <w:rPr>
                    <w:rFonts w:cs="B Zar"/>
                  </w:rPr>
                  <w:t>London</w:t>
                </w:r>
              </w:smartTag>
            </w:smartTag>
            <w:r w:rsidRPr="00175A44">
              <w:rPr>
                <w:rFonts w:cs="B Zar"/>
              </w:rPr>
              <w:t>, 1952</w:t>
            </w:r>
          </w:p>
        </w:tc>
      </w:tr>
      <w:tr>
        <w:tblPrEx>
          <w:tblW w:w="5000" w:type="pct"/>
          <w:tblLook w:val="0000"/>
        </w:tblPrEx>
        <w:tc>
          <w:tcPr>
            <w:tcW w:w="5000" w:type="pct"/>
          </w:tcPr>
          <w:p w:rsidR="0011420A" w:rsidRPr="00175A44" w:rsidP="003C0EF5">
            <w:pPr>
              <w:widowControl w:val="0"/>
              <w:bidi w:val="0"/>
              <w:spacing w:line="420" w:lineRule="exact"/>
              <w:rPr>
                <w:rFonts w:cs="B Zar"/>
                <w:rtl/>
              </w:rPr>
            </w:pPr>
            <w:r w:rsidRPr="00175A44">
              <w:rPr>
                <w:rFonts w:cs="B Zar"/>
              </w:rPr>
              <w:t xml:space="preserve">H.I.Bleak: A Brief account of Bushmen Folklore, </w:t>
            </w:r>
            <w:smartTag w:uri="urn:schemas-microsoft-com:office:smarttags" w:element="place">
              <w:smartTag w:uri="urn:schemas-microsoft-com:office:smarttags" w:element="City">
                <w:r w:rsidRPr="00175A44">
                  <w:rPr>
                    <w:rFonts w:cs="B Zar"/>
                  </w:rPr>
                  <w:t>Oxford</w:t>
                </w:r>
              </w:smartTag>
            </w:smartTag>
            <w:r w:rsidRPr="00175A44">
              <w:rPr>
                <w:rFonts w:cs="B Zar"/>
              </w:rPr>
              <w:t>, 1952)</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Baikie, James: Encyclopedia. Of Religion, </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 xml:space="preserve">Blum, Richard: Evolution of Religion, in </w:t>
            </w:r>
            <w:r w:rsidRPr="00175A44">
              <w:rPr>
                <w:rFonts w:ascii="IPT.Lotus" w:hAnsi="IPT.Lotus" w:cs="B Zar" w:hint="cs"/>
                <w:rtl/>
              </w:rPr>
              <w:t xml:space="preserve"> </w:t>
            </w:r>
            <w:r w:rsidRPr="00175A44">
              <w:rPr>
                <w:rFonts w:cs="B Zar"/>
              </w:rPr>
              <w:t>American Socioloical Review Vol.29, 1964,</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 xml:space="preserve">Breasted, B.: Development of Religion and Thought in the Ancient </w:t>
            </w:r>
            <w:smartTag w:uri="urn:schemas-microsoft-com:office:smarttags" w:element="country-region">
              <w:r w:rsidRPr="00175A44">
                <w:rPr>
                  <w:rFonts w:cs="B Zar"/>
                </w:rPr>
                <w:t>Egypt</w:t>
              </w:r>
            </w:smartTag>
            <w:r w:rsidRPr="00175A44">
              <w:rPr>
                <w:rFonts w:cs="B Zar"/>
              </w:rPr>
              <w:t xml:space="preserve">, </w:t>
            </w:r>
            <w:smartTag w:uri="urn:schemas-microsoft-com:office:smarttags" w:element="place">
              <w:r w:rsidRPr="00175A44">
                <w:rPr>
                  <w:rFonts w:cs="B Zar"/>
                </w:rPr>
                <w:t>Princeton</w:t>
              </w:r>
            </w:smartTag>
            <w:r w:rsidRPr="00175A44">
              <w:rPr>
                <w:rFonts w:cs="B Zar"/>
              </w:rPr>
              <w:t>, 1968</w:t>
            </w:r>
          </w:p>
        </w:tc>
      </w:tr>
      <w:tr>
        <w:tblPrEx>
          <w:tblW w:w="5000" w:type="pct"/>
          <w:tblLook w:val="0000"/>
        </w:tblPrEx>
        <w:tc>
          <w:tcPr>
            <w:tcW w:w="5000" w:type="pct"/>
          </w:tcPr>
          <w:p w:rsidR="0011420A" w:rsidRPr="00175A44" w:rsidP="003E1E24">
            <w:pPr>
              <w:widowControl w:val="0"/>
              <w:bidi w:val="0"/>
              <w:spacing w:line="360" w:lineRule="exact"/>
              <w:rPr>
                <w:rFonts w:cs="B Zar" w:hint="cs"/>
                <w:rtl/>
              </w:rPr>
            </w:pPr>
            <w:r w:rsidRPr="00175A44">
              <w:rPr>
                <w:rFonts w:cs="B Zar"/>
              </w:rPr>
              <w:t xml:space="preserve">Carry, M. and T.J.Haarhof: Life and Thought in the Greek and Roman </w:t>
            </w:r>
            <w:r w:rsidR="00F120D8">
              <w:rPr>
                <w:rFonts w:cs="B Zar"/>
              </w:rPr>
              <w:t>W</w:t>
            </w:r>
            <w:r w:rsidRPr="00175A44">
              <w:rPr>
                <w:rFonts w:cs="B Zar"/>
              </w:rPr>
              <w:t xml:space="preserve">orld. University Paperback. </w:t>
            </w:r>
            <w:smartTag w:uri="urn:schemas-microsoft-com:office:smarttags" w:element="place">
              <w:smartTag w:uri="urn:schemas-microsoft-com:office:smarttags" w:element="City">
                <w:r w:rsidRPr="00175A44">
                  <w:rPr>
                    <w:rFonts w:cs="B Zar"/>
                  </w:rPr>
                  <w:t>London</w:t>
                </w:r>
              </w:smartTag>
            </w:smartTag>
            <w:r w:rsidRPr="00175A44">
              <w:rPr>
                <w:rFonts w:cs="B Zar"/>
              </w:rPr>
              <w:t xml:space="preserve"> 1961</w:t>
            </w:r>
          </w:p>
        </w:tc>
      </w:tr>
      <w:tr>
        <w:tblPrEx>
          <w:tblW w:w="5000" w:type="pct"/>
          <w:tblLook w:val="0000"/>
        </w:tblPrEx>
        <w:tc>
          <w:tcPr>
            <w:tcW w:w="5000" w:type="pct"/>
          </w:tcPr>
          <w:p w:rsidR="0011420A" w:rsidRPr="00175A44" w:rsidP="003C0EF5">
            <w:pPr>
              <w:widowControl w:val="0"/>
              <w:bidi w:val="0"/>
              <w:spacing w:line="420" w:lineRule="exact"/>
              <w:rPr>
                <w:rFonts w:cs="B Zar"/>
                <w:bCs/>
              </w:rPr>
            </w:pPr>
            <w:r w:rsidRPr="00175A44">
              <w:rPr>
                <w:rFonts w:cs="B Zar"/>
              </w:rPr>
              <w:t>Comans, Michael</w:t>
            </w:r>
            <w:r w:rsidRPr="00175A44">
              <w:rPr>
                <w:rFonts w:cs="B Zar"/>
                <w:bCs/>
              </w:rPr>
              <w:t>:  Extracting the Essence of the Sruti</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 xml:space="preserve">Das Gupta, S:  Histoy of the Indian Philososphy, </w:t>
            </w:r>
            <w:smartTag w:uri="urn:schemas-microsoft-com:office:smarttags" w:element="PlaceName">
              <w:r w:rsidRPr="00175A44">
                <w:rPr>
                  <w:rFonts w:cs="B Zar"/>
                </w:rPr>
                <w:t>Cambridge</w:t>
              </w:r>
            </w:smartTag>
            <w:r w:rsidRPr="00175A44">
              <w:rPr>
                <w:rFonts w:cs="B Zar"/>
              </w:rPr>
              <w:t xml:space="preserve"> </w:t>
            </w:r>
            <w:smartTag w:uri="urn:schemas-microsoft-com:office:smarttags" w:element="PlaceType">
              <w:r w:rsidRPr="00175A44">
                <w:rPr>
                  <w:rFonts w:cs="B Zar"/>
                </w:rPr>
                <w:t>University</w:t>
              </w:r>
            </w:smartTag>
            <w:r w:rsidRPr="00175A44">
              <w:rPr>
                <w:rFonts w:cs="B Zar"/>
              </w:rPr>
              <w:t xml:space="preserve"> Press, </w:t>
            </w:r>
            <w:smartTag w:uri="urn:schemas-microsoft-com:office:smarttags" w:element="place">
              <w:smartTag w:uri="urn:schemas-microsoft-com:office:smarttags" w:element="City">
                <w:r w:rsidRPr="00175A44">
                  <w:rPr>
                    <w:rFonts w:cs="B Zar"/>
                  </w:rPr>
                  <w:t>London</w:t>
                </w:r>
              </w:smartTag>
            </w:smartTag>
            <w:r w:rsidRPr="00175A44">
              <w:rPr>
                <w:rFonts w:cs="B Zar"/>
              </w:rPr>
              <w:t>, 1969</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Datta, N.K.:  Philosophy od Vedanta, Cacutta University Publications, 1976</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Dayananda Sa</w:t>
            </w:r>
            <w:r w:rsidR="00F120D8">
              <w:rPr>
                <w:rFonts w:cs="B Zar"/>
              </w:rPr>
              <w:t>r</w:t>
            </w:r>
            <w:r w:rsidRPr="00175A44">
              <w:rPr>
                <w:rFonts w:cs="B Zar"/>
              </w:rPr>
              <w:t xml:space="preserve">swati, Swami: Rig Veda Bhasiya, Aya Parastandi Sabha, </w:t>
            </w:r>
            <w:smartTag w:uri="urn:schemas-microsoft-com:office:smarttags" w:element="place">
              <w:smartTag w:uri="urn:schemas-microsoft-com:office:smarttags" w:element="City">
                <w:r w:rsidRPr="00175A44">
                  <w:rPr>
                    <w:rFonts w:cs="B Zar"/>
                  </w:rPr>
                  <w:t>New Delhi</w:t>
                </w:r>
              </w:smartTag>
            </w:smartTag>
            <w:r w:rsidRPr="00175A44">
              <w:rPr>
                <w:rFonts w:cs="B Zar"/>
              </w:rPr>
              <w:t>, 1978</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 xml:space="preserve">Durkheim, Emile: The Elementary Forms of Religious Life, English Translation, </w:t>
            </w:r>
            <w:smartTag w:uri="urn:schemas-microsoft-com:office:smarttags" w:element="place">
              <w:smartTag w:uri="urn:schemas-microsoft-com:office:smarttags" w:element="City">
                <w:r w:rsidRPr="00175A44">
                  <w:rPr>
                    <w:rFonts w:cs="B Zar"/>
                  </w:rPr>
                  <w:t>London</w:t>
                </w:r>
              </w:smartTag>
            </w:smartTag>
            <w:r w:rsidRPr="00175A44">
              <w:rPr>
                <w:rFonts w:cs="B Zar"/>
              </w:rPr>
              <w:t>, 1947</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Eman, A.: A Hand-Book of Egyptian Religion, </w:t>
            </w:r>
            <w:smartTag w:uri="urn:schemas-microsoft-com:office:smarttags" w:element="place">
              <w:smartTag w:uri="urn:schemas-microsoft-com:office:smarttags" w:element="City">
                <w:r w:rsidRPr="00175A44">
                  <w:rPr>
                    <w:rFonts w:cs="B Zar"/>
                  </w:rPr>
                  <w:t>London</w:t>
                </w:r>
              </w:smartTag>
            </w:smartTag>
            <w:r w:rsidRPr="00175A44">
              <w:rPr>
                <w:rFonts w:cs="B Zar"/>
              </w:rPr>
              <w:t>, 1907</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Encyclopedia of Religions, </w:t>
            </w:r>
            <w:smartTag w:uri="urn:schemas-microsoft-com:office:smarttags" w:element="place">
              <w:smartTag w:uri="urn:schemas-microsoft-com:office:smarttags" w:element="State">
                <w:r w:rsidRPr="00175A44">
                  <w:rPr>
                    <w:rFonts w:cs="B Zar"/>
                  </w:rPr>
                  <w:t>New York</w:t>
                </w:r>
              </w:smartTag>
            </w:smartTag>
            <w:r w:rsidRPr="00175A44">
              <w:rPr>
                <w:rFonts w:cs="B Zar"/>
              </w:rPr>
              <w:t xml:space="preserve">, 1952   , </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Encyclopedia.  of Religions, Article by Revon,</w:t>
            </w:r>
            <w:r w:rsidRPr="00175A44">
              <w:rPr>
                <w:rFonts w:ascii="IPT.Lotus" w:hAnsi="IPT.Lotus" w:cs="B Zar" w:hint="cs"/>
                <w:rtl/>
              </w:rPr>
              <w:t xml:space="preserve"> </w:t>
            </w:r>
            <w:r w:rsidRPr="00175A44">
              <w:rPr>
                <w:rFonts w:cs="B Zar"/>
              </w:rPr>
              <w:t>R.:</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Encyclopedia. Of Religion, Article by  Famell, L.R</w:t>
            </w:r>
          </w:p>
        </w:tc>
      </w:tr>
      <w:tr>
        <w:tblPrEx>
          <w:tblW w:w="5000" w:type="pct"/>
          <w:tblLook w:val="0000"/>
        </w:tblPrEx>
        <w:tc>
          <w:tcPr>
            <w:tcW w:w="5000" w:type="pct"/>
          </w:tcPr>
          <w:p w:rsidR="0011420A" w:rsidRPr="00175A44" w:rsidP="003C0EF5">
            <w:pPr>
              <w:widowControl w:val="0"/>
              <w:bidi w:val="0"/>
              <w:spacing w:line="420" w:lineRule="exact"/>
              <w:rPr>
                <w:rFonts w:cs="B Zar"/>
                <w:rtl/>
              </w:rPr>
            </w:pPr>
            <w:r w:rsidRPr="00175A44">
              <w:rPr>
                <w:rFonts w:cs="B Zar"/>
              </w:rPr>
              <w:t xml:space="preserve">Famell, L.R.: Culture of Greek States, </w:t>
            </w:r>
            <w:smartTag w:uri="urn:schemas-microsoft-com:office:smarttags" w:element="place">
              <w:smartTag w:uri="urn:schemas-microsoft-com:office:smarttags" w:element="City">
                <w:r w:rsidRPr="00175A44">
                  <w:rPr>
                    <w:rFonts w:cs="B Zar"/>
                  </w:rPr>
                  <w:t>Oxford</w:t>
                </w:r>
              </w:smartTag>
            </w:smartTag>
            <w:r w:rsidRPr="00175A44">
              <w:rPr>
                <w:rFonts w:cs="B Zar"/>
              </w:rPr>
              <w:t>, 1909</w:t>
            </w:r>
          </w:p>
        </w:tc>
      </w:tr>
      <w:tr>
        <w:tblPrEx>
          <w:tblW w:w="5000" w:type="pct"/>
          <w:tblLook w:val="0000"/>
        </w:tblPrEx>
        <w:tc>
          <w:tcPr>
            <w:tcW w:w="5000" w:type="pct"/>
          </w:tcPr>
          <w:p w:rsidR="0011420A" w:rsidRPr="00175A44" w:rsidP="003C0EF5">
            <w:pPr>
              <w:widowControl w:val="0"/>
              <w:bidi w:val="0"/>
              <w:spacing w:line="420" w:lineRule="exact"/>
              <w:rPr>
                <w:rFonts w:cs="B Zar"/>
              </w:rPr>
            </w:pPr>
            <w:smartTag w:uri="urn:schemas-microsoft-com:office:smarttags" w:element="City">
              <w:r w:rsidRPr="00175A44">
                <w:rPr>
                  <w:rFonts w:cs="B Zar"/>
                </w:rPr>
                <w:t>Frankfort</w:t>
              </w:r>
            </w:smartTag>
            <w:r w:rsidRPr="00175A44">
              <w:rPr>
                <w:rFonts w:cs="B Zar"/>
              </w:rPr>
              <w:t xml:space="preserve">, Henry: Kingship and God,  </w:t>
            </w:r>
            <w:smartTag w:uri="urn:schemas-microsoft-com:office:smarttags" w:element="place">
              <w:smartTag w:uri="urn:schemas-microsoft-com:office:smarttags" w:element="City">
                <w:r w:rsidRPr="00175A44">
                  <w:rPr>
                    <w:rFonts w:cs="B Zar"/>
                  </w:rPr>
                  <w:t>Chicago</w:t>
                </w:r>
              </w:smartTag>
            </w:smartTag>
            <w:r w:rsidRPr="00175A44">
              <w:rPr>
                <w:rFonts w:cs="B Zar"/>
              </w:rPr>
              <w:t xml:space="preserve"> Press 1958</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Frazor, J.G.: The Golden Bough, </w:t>
            </w:r>
            <w:smartTag w:uri="urn:schemas-microsoft-com:office:smarttags" w:element="place">
              <w:smartTag w:uri="urn:schemas-microsoft-com:office:smarttags" w:element="City">
                <w:r w:rsidRPr="00175A44">
                  <w:rPr>
                    <w:rFonts w:cs="B Zar"/>
                  </w:rPr>
                  <w:t>London</w:t>
                </w:r>
              </w:smartTag>
            </w:smartTag>
            <w:r w:rsidRPr="00175A44">
              <w:rPr>
                <w:rFonts w:cs="B Zar"/>
              </w:rPr>
              <w:t>, 1945</w:t>
            </w:r>
          </w:p>
        </w:tc>
      </w:tr>
      <w:tr>
        <w:tblPrEx>
          <w:tblW w:w="5000" w:type="pct"/>
          <w:tblLook w:val="0000"/>
        </w:tblPrEx>
        <w:tc>
          <w:tcPr>
            <w:tcW w:w="5000" w:type="pct"/>
          </w:tcPr>
          <w:p w:rsidR="0011420A" w:rsidRPr="00175A44" w:rsidP="003C0EF5">
            <w:pPr>
              <w:widowControl w:val="0"/>
              <w:bidi w:val="0"/>
              <w:spacing w:line="420" w:lineRule="exact"/>
              <w:rPr>
                <w:rStyle w:val="FootnoteReference"/>
                <w:rFonts w:cs="B Zar"/>
                <w:sz w:val="28"/>
                <w:szCs w:val="28"/>
              </w:rPr>
            </w:pPr>
            <w:r w:rsidRPr="00175A44">
              <w:rPr>
                <w:rFonts w:cs="B Zar"/>
              </w:rPr>
              <w:t xml:space="preserve">Ginsberg, M: Essays in Sociology and Social Philososphy, </w:t>
            </w:r>
            <w:smartTag w:uri="urn:schemas-microsoft-com:office:smarttags" w:element="place">
              <w:smartTag w:uri="urn:schemas-microsoft-com:office:smarttags" w:element="City">
                <w:r w:rsidRPr="00175A44">
                  <w:rPr>
                    <w:rFonts w:cs="B Zar"/>
                  </w:rPr>
                  <w:t>London</w:t>
                </w:r>
              </w:smartTag>
            </w:smartTag>
            <w:r w:rsidRPr="00175A44">
              <w:rPr>
                <w:rFonts w:cs="B Zar"/>
              </w:rPr>
              <w:t>, 1957</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Hermann: The Religion of the Veda</w:t>
            </w:r>
          </w:p>
        </w:tc>
      </w:tr>
      <w:tr>
        <w:tblPrEx>
          <w:tblW w:w="5000" w:type="pct"/>
          <w:tblLook w:val="0000"/>
        </w:tblPrEx>
        <w:tc>
          <w:tcPr>
            <w:tcW w:w="5000" w:type="pct"/>
          </w:tcPr>
          <w:p w:rsidR="0011420A" w:rsidRPr="00175A44" w:rsidP="003C0EF5">
            <w:pPr>
              <w:widowControl w:val="0"/>
              <w:bidi w:val="0"/>
              <w:spacing w:line="420" w:lineRule="exact"/>
              <w:rPr>
                <w:rStyle w:val="FootnoteReference"/>
                <w:rFonts w:cs="B Zar"/>
                <w:sz w:val="28"/>
                <w:szCs w:val="28"/>
              </w:rPr>
            </w:pPr>
            <w:r w:rsidRPr="00175A44">
              <w:rPr>
                <w:rFonts w:cs="B Zar"/>
              </w:rPr>
              <w:t xml:space="preserve">Hobhouse, Wheeler and Ginsenberg, Material Culture and Social Institutions,  of the Simpler People,  </w:t>
            </w:r>
            <w:smartTag w:uri="urn:schemas-microsoft-com:office:smarttags" w:element="place">
              <w:smartTag w:uri="urn:schemas-microsoft-com:office:smarttags" w:element="City">
                <w:r w:rsidRPr="00175A44">
                  <w:rPr>
                    <w:rFonts w:cs="B Zar"/>
                  </w:rPr>
                  <w:t>London</w:t>
                </w:r>
              </w:smartTag>
            </w:smartTag>
            <w:r w:rsidRPr="00175A44">
              <w:rPr>
                <w:rFonts w:cs="B Zar"/>
              </w:rPr>
              <w:t>,1915</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Jones, William: Collected Works, </w:t>
            </w:r>
            <w:smartTag w:uri="urn:schemas-microsoft-com:office:smarttags" w:element="place">
              <w:smartTag w:uri="urn:schemas-microsoft-com:office:smarttags" w:element="City">
                <w:r w:rsidRPr="00175A44">
                  <w:rPr>
                    <w:rFonts w:cs="B Zar"/>
                  </w:rPr>
                  <w:t>Calcutta</w:t>
                </w:r>
              </w:smartTag>
            </w:smartTag>
            <w:r w:rsidRPr="00175A44">
              <w:rPr>
                <w:rFonts w:cs="B Zar"/>
              </w:rPr>
              <w:t>, 1955</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Keith, A.B.: Religion and Philosophy of the Veda</w:t>
            </w:r>
            <w:r w:rsidR="00F120D8">
              <w:rPr>
                <w:rFonts w:cs="B Zar"/>
              </w:rPr>
              <w:t xml:space="preserve">, Benarsidas, </w:t>
            </w:r>
            <w:smartTag w:uri="urn:schemas-microsoft-com:office:smarttags" w:element="place">
              <w:smartTag w:uri="urn:schemas-microsoft-com:office:smarttags" w:element="City">
                <w:r w:rsidR="00F120D8">
                  <w:rPr>
                    <w:rFonts w:cs="B Zar"/>
                  </w:rPr>
                  <w:t>Delhi</w:t>
                </w:r>
              </w:smartTag>
            </w:smartTag>
            <w:r w:rsidR="00F120D8">
              <w:rPr>
                <w:rFonts w:cs="B Zar"/>
              </w:rPr>
              <w:t xml:space="preserve">, 1983 </w:t>
            </w:r>
          </w:p>
        </w:tc>
      </w:tr>
      <w:tr>
        <w:tblPrEx>
          <w:tblW w:w="5000" w:type="pct"/>
          <w:tblLook w:val="0000"/>
        </w:tblPrEx>
        <w:tc>
          <w:tcPr>
            <w:tcW w:w="5000" w:type="pct"/>
          </w:tcPr>
          <w:p w:rsidR="0011420A" w:rsidRPr="00175A44" w:rsidP="003E1E24">
            <w:pPr>
              <w:widowControl w:val="0"/>
              <w:bidi w:val="0"/>
              <w:spacing w:line="360" w:lineRule="exact"/>
              <w:rPr>
                <w:rStyle w:val="FootnoteReference"/>
                <w:rFonts w:cs="B Zar"/>
                <w:sz w:val="28"/>
                <w:szCs w:val="28"/>
              </w:rPr>
            </w:pPr>
            <w:r w:rsidRPr="00175A44">
              <w:rPr>
                <w:rFonts w:cs="B Zar"/>
              </w:rPr>
              <w:t>Levi-Strauss: Social Structure in Anthropology Today, 9 ed A L Kroeber</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Malinowski,B: Magic, Science and Religion, , </w:t>
            </w:r>
            <w:smartTag w:uri="urn:schemas-microsoft-com:office:smarttags" w:element="place">
              <w:smartTag w:uri="urn:schemas-microsoft-com:office:smarttags" w:element="City">
                <w:r w:rsidRPr="00175A44">
                  <w:rPr>
                    <w:rFonts w:cs="B Zar"/>
                  </w:rPr>
                  <w:t>London</w:t>
                </w:r>
              </w:smartTag>
            </w:smartTag>
            <w:r w:rsidRPr="00175A44">
              <w:rPr>
                <w:rFonts w:cs="B Zar"/>
              </w:rPr>
              <w:t>, 1948</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Malinowsky, B: A Scientiific Theory of Culture, Chappel Hill, 1944</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Mann, E.H.: Jai, Xii, 1883, 158, Andaman</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Manzies, A.: History of Religions, </w:t>
            </w:r>
            <w:smartTag w:uri="urn:schemas-microsoft-com:office:smarttags" w:element="place">
              <w:smartTag w:uri="urn:schemas-microsoft-com:office:smarttags" w:element="City">
                <w:r w:rsidRPr="00175A44">
                  <w:rPr>
                    <w:rFonts w:cs="B Zar"/>
                  </w:rPr>
                  <w:t>London</w:t>
                </w:r>
              </w:smartTag>
            </w:smartTag>
            <w:r w:rsidRPr="00175A44">
              <w:rPr>
                <w:rFonts w:cs="B Zar"/>
              </w:rPr>
              <w:t xml:space="preserve">, 1911, </w:t>
            </w:r>
          </w:p>
        </w:tc>
      </w:tr>
      <w:tr>
        <w:tblPrEx>
          <w:tblW w:w="5000" w:type="pct"/>
          <w:tblLook w:val="0000"/>
        </w:tblPrEx>
        <w:tc>
          <w:tcPr>
            <w:tcW w:w="5000" w:type="pct"/>
          </w:tcPr>
          <w:p w:rsidR="0011420A" w:rsidRPr="00175A44" w:rsidP="003C0EF5">
            <w:pPr>
              <w:widowControl w:val="0"/>
              <w:bidi w:val="0"/>
              <w:spacing w:line="420" w:lineRule="exact"/>
              <w:rPr>
                <w:rFonts w:cs="B Zar" w:hint="cs"/>
                <w:rtl/>
              </w:rPr>
            </w:pPr>
            <w:r w:rsidRPr="00175A44">
              <w:rPr>
                <w:rFonts w:cs="B Zar"/>
              </w:rPr>
              <w:t xml:space="preserve">Marett, R.R.: The Thershold of Religion, </w:t>
            </w:r>
            <w:smartTag w:uri="urn:schemas-microsoft-com:office:smarttags" w:element="place">
              <w:smartTag w:uri="urn:schemas-microsoft-com:office:smarttags" w:element="City">
                <w:r w:rsidRPr="00175A44">
                  <w:rPr>
                    <w:rFonts w:cs="B Zar"/>
                  </w:rPr>
                  <w:t>London</w:t>
                </w:r>
              </w:smartTag>
            </w:smartTag>
            <w:r w:rsidRPr="00175A44">
              <w:rPr>
                <w:rFonts w:cs="B Zar"/>
              </w:rPr>
              <w:t>, 1914</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Max Muller: What We Lean From </w:t>
            </w:r>
            <w:smartTag w:uri="urn:schemas-microsoft-com:office:smarttags" w:element="country-region">
              <w:r w:rsidRPr="00175A44">
                <w:rPr>
                  <w:rFonts w:cs="B Zar"/>
                </w:rPr>
                <w:t>India</w:t>
              </w:r>
            </w:smartTag>
            <w:r w:rsidRPr="00175A44">
              <w:rPr>
                <w:rFonts w:cs="B Zar"/>
              </w:rPr>
              <w:t xml:space="preserve">, </w:t>
            </w:r>
            <w:smartTag w:uri="urn:schemas-microsoft-com:office:smarttags" w:element="place">
              <w:smartTag w:uri="urn:schemas-microsoft-com:office:smarttags" w:element="City">
                <w:r w:rsidRPr="00175A44">
                  <w:rPr>
                    <w:rFonts w:cs="B Zar"/>
                  </w:rPr>
                  <w:t>New Delhi</w:t>
                </w:r>
              </w:smartTag>
            </w:smartTag>
            <w:r w:rsidRPr="00175A44">
              <w:rPr>
                <w:rFonts w:cs="B Zar"/>
              </w:rPr>
              <w:t>. 1962</w:t>
            </w:r>
          </w:p>
        </w:tc>
      </w:tr>
      <w:tr>
        <w:tblPrEx>
          <w:tblW w:w="5000" w:type="pct"/>
          <w:tblLook w:val="0000"/>
        </w:tblPrEx>
        <w:tc>
          <w:tcPr>
            <w:tcW w:w="5000" w:type="pct"/>
          </w:tcPr>
          <w:p w:rsidR="0011420A" w:rsidRPr="00175A44" w:rsidP="003C0EF5">
            <w:pPr>
              <w:widowControl w:val="0"/>
              <w:bidi w:val="0"/>
              <w:spacing w:line="420" w:lineRule="exact"/>
              <w:rPr>
                <w:rStyle w:val="FootnoteReference"/>
                <w:rFonts w:cs="B Zar"/>
                <w:sz w:val="28"/>
                <w:szCs w:val="28"/>
              </w:rPr>
            </w:pPr>
            <w:r w:rsidRPr="00175A44">
              <w:rPr>
                <w:rFonts w:cs="B Zar"/>
              </w:rPr>
              <w:t>Morgan,</w:t>
            </w:r>
            <w:r w:rsidR="00F120D8">
              <w:rPr>
                <w:rFonts w:cs="B Zar"/>
              </w:rPr>
              <w:t xml:space="preserve"> </w:t>
            </w:r>
            <w:r w:rsidRPr="00175A44">
              <w:rPr>
                <w:rFonts w:cs="B Zar"/>
              </w:rPr>
              <w:t>L.H.: Ancient Society,</w:t>
            </w:r>
            <w:smartTag w:uri="urn:schemas-microsoft-com:office:smarttags" w:element="place">
              <w:smartTag w:uri="urn:schemas-microsoft-com:office:smarttags" w:element="City">
                <w:r w:rsidRPr="00175A44">
                  <w:rPr>
                    <w:rFonts w:cs="B Zar"/>
                  </w:rPr>
                  <w:t>London</w:t>
                </w:r>
              </w:smartTag>
            </w:smartTag>
            <w:r w:rsidRPr="00175A44">
              <w:rPr>
                <w:rFonts w:cs="B Zar"/>
              </w:rPr>
              <w:t>, 1877</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 xml:space="preserve">Mujumdar,  A.Kumar: Early Hindu </w:t>
            </w:r>
            <w:smartTag w:uri="urn:schemas-microsoft-com:office:smarttags" w:element="country-region">
              <w:r w:rsidRPr="00175A44">
                <w:rPr>
                  <w:rFonts w:cs="B Zar"/>
                </w:rPr>
                <w:t>India</w:t>
              </w:r>
            </w:smartTag>
            <w:r w:rsidRPr="00175A44">
              <w:rPr>
                <w:rFonts w:cs="B Zar"/>
              </w:rPr>
              <w:t xml:space="preserve">,Cosmo Publishers, </w:t>
            </w:r>
            <w:smartTag w:uri="urn:schemas-microsoft-com:office:smarttags" w:element="place">
              <w:smartTag w:uri="urn:schemas-microsoft-com:office:smarttags" w:element="City">
                <w:r w:rsidRPr="00175A44">
                  <w:rPr>
                    <w:rFonts w:cs="B Zar"/>
                  </w:rPr>
                  <w:t>Delhi</w:t>
                </w:r>
              </w:smartTag>
            </w:smartTag>
            <w:r w:rsidRPr="00175A44">
              <w:rPr>
                <w:rFonts w:cs="B Zar"/>
              </w:rPr>
              <w:t>, 1981</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 xml:space="preserve">Muller: Lecture, On the Origin and Growth of Religion, </w:t>
            </w:r>
            <w:smartTag w:uri="urn:schemas-microsoft-com:office:smarttags" w:element="place">
              <w:smartTag w:uri="urn:schemas-microsoft-com:office:smarttags" w:element="City">
                <w:r w:rsidRPr="00175A44">
                  <w:rPr>
                    <w:rFonts w:cs="B Zar"/>
                  </w:rPr>
                  <w:t>London</w:t>
                </w:r>
              </w:smartTag>
            </w:smartTag>
            <w:r w:rsidRPr="00175A44">
              <w:rPr>
                <w:rFonts w:cs="B Zar"/>
              </w:rPr>
              <w:t xml:space="preserve">, 1878 </w:t>
            </w:r>
          </w:p>
        </w:tc>
      </w:tr>
      <w:tr>
        <w:tblPrEx>
          <w:tblW w:w="5000" w:type="pct"/>
          <w:tblLook w:val="0000"/>
        </w:tblPrEx>
        <w:tc>
          <w:tcPr>
            <w:tcW w:w="5000" w:type="pct"/>
          </w:tcPr>
          <w:p w:rsidR="0011420A" w:rsidRPr="00175A44" w:rsidP="003C0EF5">
            <w:pPr>
              <w:widowControl w:val="0"/>
              <w:bidi w:val="0"/>
              <w:spacing w:line="420" w:lineRule="exact"/>
              <w:rPr>
                <w:rStyle w:val="FootnoteReference"/>
                <w:rFonts w:cs="B Zar"/>
                <w:sz w:val="28"/>
                <w:szCs w:val="28"/>
              </w:rPr>
            </w:pPr>
            <w:r w:rsidRPr="00175A44">
              <w:rPr>
                <w:rFonts w:cs="B Zar"/>
              </w:rPr>
              <w:t>Nadel, S</w:t>
            </w:r>
            <w:r w:rsidR="00F120D8">
              <w:rPr>
                <w:rFonts w:cs="B Zar"/>
              </w:rPr>
              <w:t xml:space="preserve">. </w:t>
            </w:r>
            <w:r w:rsidRPr="00175A44">
              <w:rPr>
                <w:rFonts w:cs="B Zar"/>
              </w:rPr>
              <w:t xml:space="preserve">F.: The Theory of Social Structure, </w:t>
            </w:r>
            <w:smartTag w:uri="urn:schemas-microsoft-com:office:smarttags" w:element="place">
              <w:smartTag w:uri="urn:schemas-microsoft-com:office:smarttags" w:element="City">
                <w:r w:rsidRPr="00175A44">
                  <w:rPr>
                    <w:rFonts w:cs="B Zar"/>
                  </w:rPr>
                  <w:t>London</w:t>
                </w:r>
              </w:smartTag>
            </w:smartTag>
            <w:r w:rsidRPr="00175A44">
              <w:rPr>
                <w:rFonts w:cs="B Zar"/>
              </w:rPr>
              <w:t>, 1958</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Ogburn,W.</w:t>
            </w:r>
            <w:r w:rsidR="00F120D8">
              <w:rPr>
                <w:rFonts w:cs="B Zar"/>
              </w:rPr>
              <w:t xml:space="preserve"> </w:t>
            </w:r>
            <w:r w:rsidRPr="00175A44">
              <w:rPr>
                <w:rFonts w:cs="B Zar"/>
              </w:rPr>
              <w:t xml:space="preserve">F.: The Social  Change, </w:t>
            </w:r>
            <w:smartTag w:uri="urn:schemas-microsoft-com:office:smarttags" w:element="place">
              <w:smartTag w:uri="urn:schemas-microsoft-com:office:smarttags" w:element="State">
                <w:r w:rsidRPr="00175A44">
                  <w:rPr>
                    <w:rFonts w:cs="B Zar"/>
                  </w:rPr>
                  <w:t>New York</w:t>
                </w:r>
              </w:smartTag>
            </w:smartTag>
            <w:r w:rsidRPr="00175A44">
              <w:rPr>
                <w:rFonts w:cs="B Zar"/>
              </w:rPr>
              <w:t>, 1922</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Plato: The Laws, Barnes and Nobles, </w:t>
            </w:r>
            <w:smartTag w:uri="urn:schemas-microsoft-com:office:smarttags" w:element="place">
              <w:smartTag w:uri="urn:schemas-microsoft-com:office:smarttags" w:element="State">
                <w:r w:rsidRPr="00175A44">
                  <w:rPr>
                    <w:rFonts w:cs="B Zar"/>
                  </w:rPr>
                  <w:t>New York</w:t>
                </w:r>
              </w:smartTag>
            </w:smartTag>
            <w:r w:rsidRPr="00175A44">
              <w:rPr>
                <w:rFonts w:cs="B Zar"/>
              </w:rPr>
              <w:t>, 1978</w:t>
            </w:r>
          </w:p>
        </w:tc>
      </w:tr>
      <w:tr>
        <w:tblPrEx>
          <w:tblW w:w="5000" w:type="pct"/>
          <w:tblLook w:val="0000"/>
        </w:tblPrEx>
        <w:tc>
          <w:tcPr>
            <w:tcW w:w="5000" w:type="pct"/>
          </w:tcPr>
          <w:p w:rsidR="0011420A" w:rsidRPr="00175A44" w:rsidP="003C0EF5">
            <w:pPr>
              <w:widowControl w:val="0"/>
              <w:bidi w:val="0"/>
              <w:spacing w:line="420" w:lineRule="exact"/>
              <w:rPr>
                <w:rStyle w:val="FootnoteReference"/>
                <w:rFonts w:cs="B Zar"/>
                <w:sz w:val="28"/>
                <w:szCs w:val="28"/>
              </w:rPr>
            </w:pPr>
            <w:r w:rsidRPr="00175A44">
              <w:rPr>
                <w:rFonts w:cs="B Zar"/>
              </w:rPr>
              <w:t xml:space="preserve">Radcliff Brown, A: On Social Structure,, , </w:t>
            </w:r>
            <w:smartTag w:uri="urn:schemas-microsoft-com:office:smarttags" w:element="place">
              <w:smartTag w:uri="urn:schemas-microsoft-com:office:smarttags" w:element="City">
                <w:r w:rsidRPr="00175A44">
                  <w:rPr>
                    <w:rFonts w:cs="B Zar"/>
                  </w:rPr>
                  <w:t>London</w:t>
                </w:r>
              </w:smartTag>
            </w:smartTag>
            <w:r w:rsidRPr="00175A44">
              <w:rPr>
                <w:rFonts w:cs="B Zar"/>
              </w:rPr>
              <w:t>, 1955</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Radhakshnan, Dr S:  The Indian Philosophy, </w:t>
            </w:r>
            <w:smartTag w:uri="urn:schemas-microsoft-com:office:smarttags" w:element="place">
              <w:smartTag w:uri="urn:schemas-microsoft-com:office:smarttags" w:element="City">
                <w:r w:rsidRPr="00175A44">
                  <w:rPr>
                    <w:rFonts w:cs="B Zar"/>
                  </w:rPr>
                  <w:t>New Delhi</w:t>
                </w:r>
              </w:smartTag>
            </w:smartTag>
            <w:r w:rsidRPr="00175A44">
              <w:rPr>
                <w:rFonts w:cs="B Zar"/>
              </w:rPr>
              <w:t xml:space="preserve">, 1989   </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 xml:space="preserve">Razogin, Zenaid A.: History of Vedic </w:t>
            </w:r>
            <w:smartTag w:uri="urn:schemas-microsoft-com:office:smarttags" w:element="country-region">
              <w:r w:rsidRPr="00175A44">
                <w:rPr>
                  <w:rFonts w:cs="B Zar"/>
                </w:rPr>
                <w:t>India</w:t>
              </w:r>
            </w:smartTag>
            <w:r w:rsidRPr="00175A44">
              <w:rPr>
                <w:rFonts w:cs="B Zar"/>
              </w:rPr>
              <w:t xml:space="preserve">, Mittal Publication, </w:t>
            </w:r>
            <w:smartTag w:uri="urn:schemas-microsoft-com:office:smarttags" w:element="place">
              <w:smartTag w:uri="urn:schemas-microsoft-com:office:smarttags" w:element="City">
                <w:r w:rsidRPr="00175A44">
                  <w:rPr>
                    <w:rFonts w:cs="B Zar"/>
                  </w:rPr>
                  <w:t>Delhi</w:t>
                </w:r>
              </w:smartTag>
            </w:smartTag>
            <w:r w:rsidRPr="00175A44">
              <w:rPr>
                <w:rFonts w:cs="B Zar"/>
              </w:rPr>
              <w:t>, 1984</w:t>
            </w:r>
          </w:p>
        </w:tc>
      </w:tr>
      <w:tr>
        <w:tblPrEx>
          <w:tblW w:w="5000" w:type="pct"/>
          <w:tblLook w:val="0000"/>
        </w:tblPrEx>
        <w:tc>
          <w:tcPr>
            <w:tcW w:w="5000" w:type="pct"/>
          </w:tcPr>
          <w:p w:rsidR="0011420A" w:rsidRPr="00175A44" w:rsidP="003E1E24">
            <w:pPr>
              <w:widowControl w:val="0"/>
              <w:bidi w:val="0"/>
              <w:spacing w:line="360" w:lineRule="exact"/>
              <w:rPr>
                <w:rFonts w:cs="B Zar"/>
                <w:rtl/>
              </w:rPr>
            </w:pPr>
            <w:r w:rsidRPr="00175A44">
              <w:rPr>
                <w:rFonts w:cs="B Zar"/>
              </w:rPr>
              <w:t xml:space="preserve">Renauf, P.L. P.: Lectures, On the Origin and Growth of Religion, </w:t>
            </w:r>
            <w:smartTag w:uri="urn:schemas-microsoft-com:office:smarttags" w:element="place">
              <w:smartTag w:uri="urn:schemas-microsoft-com:office:smarttags" w:element="City">
                <w:r w:rsidRPr="00175A44">
                  <w:rPr>
                    <w:rFonts w:cs="B Zar"/>
                  </w:rPr>
                  <w:t>London</w:t>
                </w:r>
              </w:smartTag>
            </w:smartTag>
            <w:r w:rsidRPr="00175A44">
              <w:rPr>
                <w:rFonts w:cs="B Zar"/>
              </w:rPr>
              <w:t>, 1907.</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Samuel Noan Kraamer, The Sumerians,  </w:t>
            </w:r>
            <w:smartTag w:uri="urn:schemas-microsoft-com:office:smarttags" w:element="place">
              <w:smartTag w:uri="urn:schemas-microsoft-com:office:smarttags" w:element="City">
                <w:r w:rsidRPr="00175A44">
                  <w:rPr>
                    <w:rFonts w:cs="B Zar"/>
                  </w:rPr>
                  <w:t>Chicago</w:t>
                </w:r>
              </w:smartTag>
            </w:smartTag>
            <w:r w:rsidRPr="00175A44">
              <w:rPr>
                <w:rFonts w:cs="B Zar"/>
              </w:rPr>
              <w:t xml:space="preserve"> Press 1963</w:t>
            </w:r>
          </w:p>
        </w:tc>
      </w:tr>
      <w:tr>
        <w:tblPrEx>
          <w:tblW w:w="5000" w:type="pct"/>
          <w:tblLook w:val="0000"/>
        </w:tblPrEx>
        <w:trPr>
          <w:trHeight w:val="327"/>
        </w:trPr>
        <w:tc>
          <w:tcPr>
            <w:tcW w:w="5000" w:type="pct"/>
          </w:tcPr>
          <w:p w:rsidR="0011420A" w:rsidRPr="00175A44" w:rsidP="003C0EF5">
            <w:pPr>
              <w:widowControl w:val="0"/>
              <w:bidi w:val="0"/>
              <w:spacing w:line="420" w:lineRule="exact"/>
              <w:rPr>
                <w:rFonts w:cs="B Zar"/>
              </w:rPr>
            </w:pPr>
            <w:r w:rsidRPr="00175A44">
              <w:rPr>
                <w:rFonts w:cs="B Zar" w:hint="cs"/>
                <w:rtl/>
              </w:rPr>
              <w:t>ٍ</w:t>
            </w:r>
            <w:r w:rsidRPr="00175A44">
              <w:rPr>
                <w:rFonts w:cs="B Zar"/>
              </w:rPr>
              <w:t>Spencer, Herbert: The Principles of Sociology,  London, 1896</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Sri Auribindo: The Secret of the Vedas, Sri Auribindo Ashram, Pondichery, 1990</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 xml:space="preserve">Steindorf, G.: Religion of the Ancient Egyptians, </w:t>
            </w:r>
            <w:smartTag w:uri="urn:schemas-microsoft-com:office:smarttags" w:element="place">
              <w:smartTag w:uri="urn:schemas-microsoft-com:office:smarttags" w:element="City">
                <w:r w:rsidRPr="00175A44">
                  <w:rPr>
                    <w:rFonts w:cs="B Zar"/>
                  </w:rPr>
                  <w:t>Cambridge</w:t>
                </w:r>
              </w:smartTag>
            </w:smartTag>
            <w:r w:rsidRPr="00175A44">
              <w:rPr>
                <w:rFonts w:cs="B Zar"/>
              </w:rPr>
              <w:t>, 1963</w:t>
            </w:r>
          </w:p>
        </w:tc>
      </w:tr>
      <w:tr>
        <w:tblPrEx>
          <w:tblW w:w="5000" w:type="pct"/>
          <w:tblLook w:val="0000"/>
        </w:tblPrEx>
        <w:tc>
          <w:tcPr>
            <w:tcW w:w="5000" w:type="pct"/>
          </w:tcPr>
          <w:p w:rsidR="0011420A" w:rsidRPr="00175A44" w:rsidP="003C0EF5">
            <w:pPr>
              <w:widowControl w:val="0"/>
              <w:bidi w:val="0"/>
              <w:spacing w:line="420" w:lineRule="exact"/>
              <w:rPr>
                <w:rStyle w:val="FootnoteReference"/>
                <w:rFonts w:cs="B Zar"/>
                <w:sz w:val="28"/>
                <w:szCs w:val="28"/>
              </w:rPr>
            </w:pPr>
            <w:smartTag w:uri="urn:schemas-microsoft-com:office:smarttags" w:element="City">
              <w:r w:rsidRPr="00175A44">
                <w:rPr>
                  <w:rFonts w:cs="B Zar"/>
                </w:rPr>
                <w:t>Taylor</w:t>
              </w:r>
            </w:smartTag>
            <w:r w:rsidRPr="00175A44">
              <w:rPr>
                <w:rFonts w:cs="B Zar"/>
              </w:rPr>
              <w:t xml:space="preserve">, Primitive Culture, , </w:t>
            </w:r>
            <w:smartTag w:uri="urn:schemas-microsoft-com:office:smarttags" w:element="place">
              <w:smartTag w:uri="urn:schemas-microsoft-com:office:smarttags" w:element="City">
                <w:r w:rsidRPr="00175A44">
                  <w:rPr>
                    <w:rFonts w:cs="B Zar"/>
                  </w:rPr>
                  <w:t>London</w:t>
                </w:r>
              </w:smartTag>
            </w:smartTag>
            <w:r w:rsidRPr="00175A44">
              <w:rPr>
                <w:rFonts w:cs="B Zar"/>
              </w:rPr>
              <w:t>, 1871</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The Vedic Religion</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 xml:space="preserve">Tilak, B.G.: </w:t>
            </w:r>
            <w:r w:rsidR="00F120D8">
              <w:rPr>
                <w:rFonts w:cs="B Zar"/>
              </w:rPr>
              <w:t xml:space="preserve">Th Arctic Home in the Vedas, </w:t>
            </w:r>
            <w:smartTag w:uri="urn:schemas-microsoft-com:office:smarttags" w:element="place">
              <w:smartTag w:uri="urn:schemas-microsoft-com:office:smarttags" w:element="City">
                <w:r w:rsidR="00F120D8">
                  <w:rPr>
                    <w:rFonts w:cs="B Zar"/>
                  </w:rPr>
                  <w:t>Bom</w:t>
                </w:r>
                <w:r w:rsidRPr="00175A44">
                  <w:rPr>
                    <w:rFonts w:cs="B Zar"/>
                  </w:rPr>
                  <w:t>bay</w:t>
                </w:r>
              </w:smartTag>
            </w:smartTag>
            <w:r w:rsidRPr="00175A44">
              <w:rPr>
                <w:rFonts w:cs="B Zar"/>
              </w:rPr>
              <w:t>, 1927</w:t>
            </w:r>
          </w:p>
          <w:p w:rsidR="0011420A" w:rsidRPr="00175A44" w:rsidP="003E1E24">
            <w:pPr>
              <w:widowControl w:val="0"/>
              <w:bidi w:val="0"/>
              <w:spacing w:line="360" w:lineRule="exact"/>
              <w:rPr>
                <w:rFonts w:cs="B Zar"/>
              </w:rPr>
            </w:pPr>
            <w:r w:rsidRPr="00175A44">
              <w:rPr>
                <w:rFonts w:cs="B Zar"/>
              </w:rPr>
              <w:t>Trikha, Dr.J.K.: Rig Veda: A Scientific &amp; Intellectual Analysis, Somaya Publication, 1976</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 xml:space="preserve">Toyenbee, Arnold: A Study of History, 10 volumes, </w:t>
            </w:r>
            <w:smartTag w:uri="urn:schemas-microsoft-com:office:smarttags" w:element="place">
              <w:smartTag w:uri="urn:schemas-microsoft-com:office:smarttags" w:element="City">
                <w:r w:rsidRPr="00175A44">
                  <w:rPr>
                    <w:rFonts w:cs="B Zar"/>
                  </w:rPr>
                  <w:t>London</w:t>
                </w:r>
              </w:smartTag>
            </w:smartTag>
            <w:r w:rsidRPr="00175A44">
              <w:rPr>
                <w:rFonts w:cs="B Zar"/>
              </w:rPr>
              <w:t>, 1934-56</w:t>
            </w:r>
          </w:p>
        </w:tc>
      </w:tr>
      <w:tr>
        <w:tblPrEx>
          <w:tblW w:w="5000" w:type="pct"/>
          <w:tblLook w:val="0000"/>
        </w:tblPrEx>
        <w:tc>
          <w:tcPr>
            <w:tcW w:w="5000" w:type="pct"/>
          </w:tcPr>
          <w:p w:rsidR="0011420A" w:rsidRPr="00175A44" w:rsidP="003E1E24">
            <w:pPr>
              <w:widowControl w:val="0"/>
              <w:bidi w:val="0"/>
              <w:spacing w:line="360" w:lineRule="exact"/>
              <w:rPr>
                <w:rStyle w:val="FootnoteReference"/>
                <w:rFonts w:cs="B Zar"/>
                <w:sz w:val="28"/>
                <w:szCs w:val="28"/>
              </w:rPr>
            </w:pPr>
            <w:r w:rsidRPr="00175A44">
              <w:rPr>
                <w:rFonts w:cs="B Zar"/>
              </w:rPr>
              <w:t xml:space="preserve">Weber, Max: Methodology of Social Sciences, English Translation, 1949 </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Weber, Max: The Religions of </w:t>
            </w:r>
            <w:smartTag w:uri="urn:schemas-microsoft-com:office:smarttags" w:element="country-region">
              <w:r w:rsidRPr="00175A44">
                <w:rPr>
                  <w:rFonts w:cs="B Zar"/>
                </w:rPr>
                <w:t>India</w:t>
              </w:r>
            </w:smartTag>
            <w:r w:rsidRPr="00175A44">
              <w:rPr>
                <w:rFonts w:cs="B Zar"/>
              </w:rPr>
              <w:t xml:space="preserve">, </w:t>
            </w:r>
            <w:smartTag w:uri="urn:schemas-microsoft-com:office:smarttags" w:element="place">
              <w:smartTag w:uri="urn:schemas-microsoft-com:office:smarttags" w:element="City">
                <w:r w:rsidRPr="00175A44">
                  <w:rPr>
                    <w:rFonts w:cs="B Zar"/>
                  </w:rPr>
                  <w:t>London</w:t>
                </w:r>
              </w:smartTag>
            </w:smartTag>
            <w:r w:rsidRPr="00175A44">
              <w:rPr>
                <w:rFonts w:cs="B Zar"/>
              </w:rPr>
              <w:t>, 1954</w:t>
            </w:r>
          </w:p>
        </w:tc>
      </w:tr>
      <w:tr>
        <w:tblPrEx>
          <w:tblW w:w="5000" w:type="pct"/>
          <w:tblLook w:val="0000"/>
        </w:tblPrEx>
        <w:tc>
          <w:tcPr>
            <w:tcW w:w="5000" w:type="pct"/>
          </w:tcPr>
          <w:p w:rsidR="0011420A" w:rsidRPr="00175A44" w:rsidP="003C0EF5">
            <w:pPr>
              <w:widowControl w:val="0"/>
              <w:bidi w:val="0"/>
              <w:spacing w:line="420" w:lineRule="exact"/>
              <w:rPr>
                <w:rFonts w:cs="B Zar" w:hint="cs"/>
                <w:rtl/>
              </w:rPr>
            </w:pPr>
            <w:r w:rsidRPr="00175A44">
              <w:rPr>
                <w:rFonts w:cs="B Zar"/>
              </w:rPr>
              <w:t>Whitney: Journal of American Oriental Studies 111</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Wiedman, A.: Religion of the Ancient Egyptians, Landon, 1907</w:t>
            </w:r>
          </w:p>
        </w:tc>
      </w:tr>
      <w:tr>
        <w:tblPrEx>
          <w:tblW w:w="5000" w:type="pct"/>
          <w:tblLook w:val="0000"/>
        </w:tblPrEx>
        <w:tc>
          <w:tcPr>
            <w:tcW w:w="5000" w:type="pct"/>
          </w:tcPr>
          <w:p w:rsidR="0011420A" w:rsidRPr="00175A44" w:rsidP="003C0EF5">
            <w:pPr>
              <w:widowControl w:val="0"/>
              <w:bidi w:val="0"/>
              <w:spacing w:line="420" w:lineRule="exact"/>
              <w:rPr>
                <w:rStyle w:val="FootnoteReference"/>
                <w:rFonts w:cs="B Zar"/>
                <w:sz w:val="28"/>
                <w:szCs w:val="28"/>
              </w:rPr>
            </w:pPr>
            <w:r w:rsidRPr="00175A44">
              <w:rPr>
                <w:rFonts w:cs="B Zar"/>
              </w:rPr>
              <w:t xml:space="preserve">Williams, Reymond: Culture and Society, </w:t>
            </w:r>
            <w:smartTag w:uri="urn:schemas-microsoft-com:office:smarttags" w:element="place">
              <w:smartTag w:uri="urn:schemas-microsoft-com:office:smarttags" w:element="City">
                <w:r w:rsidRPr="00175A44">
                  <w:rPr>
                    <w:rFonts w:cs="B Zar"/>
                  </w:rPr>
                  <w:t>London</w:t>
                </w:r>
              </w:smartTag>
            </w:smartTag>
            <w:r w:rsidRPr="00175A44">
              <w:rPr>
                <w:rFonts w:cs="B Zar"/>
              </w:rPr>
              <w:t>, 1958</w:t>
            </w:r>
          </w:p>
        </w:tc>
      </w:tr>
      <w:tr>
        <w:tblPrEx>
          <w:tblW w:w="5000" w:type="pct"/>
          <w:tblLook w:val="0000"/>
        </w:tblPrEx>
        <w:tc>
          <w:tcPr>
            <w:tcW w:w="5000" w:type="pct"/>
          </w:tcPr>
          <w:p w:rsidR="0011420A" w:rsidRPr="00175A44" w:rsidP="003C0EF5">
            <w:pPr>
              <w:widowControl w:val="0"/>
              <w:bidi w:val="0"/>
              <w:spacing w:line="420" w:lineRule="exact"/>
              <w:rPr>
                <w:rFonts w:cs="B Zar"/>
              </w:rPr>
            </w:pPr>
            <w:r w:rsidRPr="00175A44">
              <w:rPr>
                <w:rFonts w:cs="B Zar"/>
              </w:rPr>
              <w:t xml:space="preserve">Williams, Sir Monier : Sanskrit Laxicon, </w:t>
            </w:r>
            <w:smartTag w:uri="urn:schemas-microsoft-com:office:smarttags" w:element="place">
              <w:smartTag w:uri="urn:schemas-microsoft-com:office:smarttags" w:element="City">
                <w:r w:rsidRPr="00175A44">
                  <w:rPr>
                    <w:rFonts w:cs="B Zar"/>
                  </w:rPr>
                  <w:t>New Delhi</w:t>
                </w:r>
              </w:smartTag>
            </w:smartTag>
            <w:r w:rsidRPr="00175A44">
              <w:rPr>
                <w:rFonts w:cs="B Zar"/>
              </w:rPr>
              <w:t>. 1965</w:t>
            </w:r>
          </w:p>
        </w:tc>
      </w:tr>
      <w:tr>
        <w:tblPrEx>
          <w:tblW w:w="5000" w:type="pct"/>
          <w:tblLook w:val="0000"/>
        </w:tblPrEx>
        <w:tc>
          <w:tcPr>
            <w:tcW w:w="5000" w:type="pct"/>
          </w:tcPr>
          <w:p w:rsidR="0011420A" w:rsidRPr="00175A44" w:rsidP="003E1E24">
            <w:pPr>
              <w:widowControl w:val="0"/>
              <w:bidi w:val="0"/>
              <w:spacing w:line="360" w:lineRule="exact"/>
              <w:rPr>
                <w:rFonts w:cs="B Zar"/>
              </w:rPr>
            </w:pPr>
            <w:r w:rsidRPr="00175A44">
              <w:rPr>
                <w:rFonts w:cs="B Zar"/>
              </w:rPr>
              <w:t xml:space="preserve">Yadava, Dr. B.R.: Vedic Cosmogony, Viznana Prakashan, </w:t>
            </w:r>
            <w:smartTag w:uri="urn:schemas-microsoft-com:office:smarttags" w:element="place">
              <w:smartTag w:uri="urn:schemas-microsoft-com:office:smarttags" w:element="City">
                <w:r w:rsidRPr="00175A44">
                  <w:rPr>
                    <w:rFonts w:cs="B Zar"/>
                  </w:rPr>
                  <w:t>Aligarh</w:t>
                </w:r>
              </w:smartTag>
            </w:smartTag>
            <w:r w:rsidRPr="00175A44">
              <w:rPr>
                <w:rFonts w:cs="B Zar"/>
              </w:rPr>
              <w:t>, 1987</w:t>
            </w:r>
          </w:p>
        </w:tc>
      </w:tr>
      <w:tr>
        <w:tblPrEx>
          <w:tblW w:w="5000" w:type="pct"/>
          <w:tblLook w:val="0000"/>
        </w:tblPrEx>
        <w:tc>
          <w:tcPr>
            <w:tcW w:w="5000" w:type="pct"/>
          </w:tcPr>
          <w:p w:rsidR="0011420A" w:rsidRPr="00175A44" w:rsidP="003C0EF5">
            <w:pPr>
              <w:widowControl w:val="0"/>
              <w:spacing w:line="420" w:lineRule="exact"/>
              <w:ind w:left="0" w:right="0"/>
              <w:jc w:val="both"/>
              <w:rPr>
                <w:rFonts w:cs="B Zar"/>
              </w:rPr>
            </w:pPr>
            <w:r w:rsidRPr="00175A44">
              <w:rPr>
                <w:rFonts w:cs="B Zar" w:hint="cs"/>
                <w:rtl/>
              </w:rPr>
              <w:t>داراشكوه: مجمع البحرين نولكشور پريس، لكهنؤ. 1325</w:t>
            </w:r>
          </w:p>
        </w:tc>
      </w:tr>
      <w:tr>
        <w:tblPrEx>
          <w:tblW w:w="5000" w:type="pct"/>
          <w:tblLook w:val="0000"/>
        </w:tblPrEx>
        <w:tc>
          <w:tcPr>
            <w:tcW w:w="5000" w:type="pct"/>
          </w:tcPr>
          <w:p w:rsidR="0011420A" w:rsidRPr="00175A44" w:rsidP="003C0EF5">
            <w:pPr>
              <w:widowControl w:val="0"/>
              <w:spacing w:line="420" w:lineRule="exact"/>
              <w:ind w:left="0" w:right="0"/>
              <w:jc w:val="both"/>
              <w:rPr>
                <w:rFonts w:cs="B Zar"/>
              </w:rPr>
            </w:pPr>
            <w:r w:rsidRPr="00175A44">
              <w:rPr>
                <w:rFonts w:cs="B Zar" w:hint="cs"/>
                <w:rtl/>
              </w:rPr>
              <w:t>سهروردي شهاب الدين: «حكمه الاشراق»، ترجمه و شرح دكتر سيد جعفر سجادي، انتشارات دانشگاه تهران، 1366، چاپ پنجم</w:t>
            </w:r>
          </w:p>
        </w:tc>
      </w:tr>
      <w:tr>
        <w:tblPrEx>
          <w:tblW w:w="5000" w:type="pct"/>
          <w:tblLook w:val="0000"/>
        </w:tblPrEx>
        <w:tc>
          <w:tcPr>
            <w:tcW w:w="5000" w:type="pct"/>
          </w:tcPr>
          <w:p w:rsidR="0011420A" w:rsidRPr="00175A44" w:rsidP="003C0EF5">
            <w:pPr>
              <w:widowControl w:val="0"/>
              <w:spacing w:line="420" w:lineRule="exact"/>
              <w:ind w:left="0" w:right="0"/>
              <w:jc w:val="both"/>
              <w:rPr>
                <w:rFonts w:cs="B Zar" w:hint="cs"/>
                <w:rtl/>
              </w:rPr>
            </w:pPr>
            <w:r w:rsidRPr="00175A44">
              <w:rPr>
                <w:rFonts w:cs="B Zar" w:hint="cs"/>
                <w:rtl/>
              </w:rPr>
              <w:t>كليات اقبال</w:t>
            </w:r>
          </w:p>
        </w:tc>
      </w:tr>
      <w:tr>
        <w:tblPrEx>
          <w:tblW w:w="5000" w:type="pct"/>
          <w:tblLook w:val="0000"/>
        </w:tblPrEx>
        <w:tc>
          <w:tcPr>
            <w:tcW w:w="5000" w:type="pct"/>
          </w:tcPr>
          <w:p w:rsidR="0011420A" w:rsidRPr="00175A44" w:rsidP="003C0EF5">
            <w:pPr>
              <w:widowControl w:val="0"/>
              <w:spacing w:line="420" w:lineRule="exact"/>
              <w:ind w:left="0" w:right="0"/>
              <w:jc w:val="both"/>
              <w:rPr>
                <w:rFonts w:cs="B Zar" w:hint="cs"/>
              </w:rPr>
            </w:pPr>
            <w:r w:rsidRPr="00175A44">
              <w:rPr>
                <w:rFonts w:cs="B Zar" w:hint="cs"/>
                <w:rtl/>
              </w:rPr>
              <w:t>مطهري</w:t>
            </w:r>
            <w:r w:rsidRPr="00175A44">
              <w:rPr>
                <w:rFonts w:ascii="IPT.Lotus" w:hAnsi="IPT.Lotus" w:cs="B Zar"/>
              </w:rPr>
              <w:sym w:font="IPT.Lotus" w:char="F020"/>
            </w:r>
            <w:r w:rsidRPr="00175A44">
              <w:rPr>
                <w:rStyle w:val="FootnoteReference"/>
                <w:rFonts w:ascii="IPT.Lotus" w:hAnsi="IPT.Lotus" w:cs="B Zar"/>
                <w:sz w:val="28"/>
                <w:szCs w:val="28"/>
              </w:rPr>
              <w:footnoteRef/>
            </w:r>
            <w:r w:rsidRPr="00175A44">
              <w:rPr>
                <w:rFonts w:ascii="IPT.Lotus" w:hAnsi="IPT.Lotus" w:cs="B Zar"/>
              </w:rPr>
              <w:sym w:font="IPT.Lotus" w:char="F020"/>
            </w:r>
            <w:r w:rsidRPr="00175A44">
              <w:rPr>
                <w:rFonts w:cs="B Zar" w:hint="cs"/>
                <w:rtl/>
              </w:rPr>
              <w:t>. شهيد مرتضي: مقدمه اي بر جهان بيني اسلامي (: انسان و ايمان ، دفتر انتشارات اسلامي، قم ، زمستان 1362</w:t>
            </w:r>
          </w:p>
        </w:tc>
      </w:tr>
      <w:tr>
        <w:tblPrEx>
          <w:tblW w:w="5000" w:type="pct"/>
          <w:tblLook w:val="0000"/>
        </w:tblPrEx>
        <w:tc>
          <w:tcPr>
            <w:tcW w:w="5000" w:type="pct"/>
          </w:tcPr>
          <w:p w:rsidR="0011420A" w:rsidRPr="00175A44" w:rsidP="003C0EF5">
            <w:pPr>
              <w:widowControl w:val="0"/>
              <w:spacing w:line="420" w:lineRule="exact"/>
              <w:ind w:left="0" w:right="0"/>
              <w:jc w:val="both"/>
              <w:rPr>
                <w:rFonts w:cs="B Zar"/>
              </w:rPr>
            </w:pPr>
            <w:r w:rsidRPr="00175A44">
              <w:rPr>
                <w:rFonts w:cs="B Zar" w:hint="cs"/>
                <w:rtl/>
              </w:rPr>
              <w:t>ملا صدرا: «كتاب المشاعر»، ويرايش هنري كوربن، كتابخانه طهوري، 1363</w:t>
            </w:r>
          </w:p>
        </w:tc>
      </w:tr>
      <w:tr>
        <w:tblPrEx>
          <w:tblW w:w="5000" w:type="pct"/>
          <w:tblLook w:val="0000"/>
        </w:tblPrEx>
        <w:tc>
          <w:tcPr>
            <w:tcW w:w="5000" w:type="pct"/>
          </w:tcPr>
          <w:p w:rsidR="0011420A" w:rsidRPr="00175A44" w:rsidP="003C0EF5">
            <w:pPr>
              <w:widowControl w:val="0"/>
              <w:spacing w:line="420" w:lineRule="exact"/>
              <w:ind w:left="0" w:right="0"/>
              <w:jc w:val="both"/>
              <w:rPr>
                <w:rFonts w:cs="B Zar"/>
              </w:rPr>
            </w:pPr>
            <w:r w:rsidRPr="00175A44">
              <w:rPr>
                <w:rFonts w:cs="B Zar" w:hint="cs"/>
                <w:rtl/>
              </w:rPr>
              <w:t>ملا صدرا: الشواهدالربوبيه، ترجمه و تفسير دكتر جواد مصلح، ص 3، چاپ سروش تهران، 1336</w:t>
            </w:r>
          </w:p>
        </w:tc>
      </w:tr>
      <w:tr>
        <w:tblPrEx>
          <w:tblW w:w="5000" w:type="pct"/>
          <w:tblLook w:val="0000"/>
        </w:tblPrEx>
        <w:tc>
          <w:tcPr>
            <w:tcW w:w="5000" w:type="pct"/>
          </w:tcPr>
          <w:p w:rsidR="0011420A" w:rsidRPr="00175A44" w:rsidP="003C0EF5">
            <w:pPr>
              <w:widowControl w:val="0"/>
              <w:spacing w:line="420" w:lineRule="exact"/>
              <w:ind w:left="0" w:right="0"/>
              <w:jc w:val="both"/>
              <w:rPr>
                <w:rFonts w:cs="B Zar" w:hint="cs"/>
                <w:rtl/>
              </w:rPr>
            </w:pPr>
            <w:r w:rsidRPr="00175A44">
              <w:rPr>
                <w:rStyle w:val="FootnoteReference"/>
                <w:rFonts w:ascii="IPT.Lotus" w:hAnsi="IPT.Lotus" w:cs="B Zar"/>
                <w:sz w:val="28"/>
                <w:szCs w:val="28"/>
              </w:rPr>
              <w:footnoteRef/>
            </w:r>
            <w:r w:rsidRPr="00175A44">
              <w:rPr>
                <w:rFonts w:ascii="IPT.Lotus" w:hAnsi="IPT.Lotus" w:cs="B Zar"/>
              </w:rPr>
              <w:sym w:font="IPT.Lotus" w:char="F020"/>
            </w:r>
            <w:r w:rsidRPr="00175A44">
              <w:rPr>
                <w:rFonts w:cs="B Zar" w:hint="cs"/>
                <w:rtl/>
              </w:rPr>
              <w:t xml:space="preserve">. ابن سينا: اشارات و تنبيهات: شرح دكتر جواد مصلح، تهران، </w:t>
            </w:r>
          </w:p>
        </w:tc>
      </w:tr>
      <w:tr>
        <w:tblPrEx>
          <w:tblW w:w="5000" w:type="pct"/>
          <w:tblLook w:val="0000"/>
        </w:tblPrEx>
        <w:tc>
          <w:tcPr>
            <w:tcW w:w="5000" w:type="pct"/>
          </w:tcPr>
          <w:p w:rsidR="0011420A" w:rsidRPr="00175A44" w:rsidP="003C0EF5">
            <w:pPr>
              <w:pStyle w:val="FootnoteText"/>
              <w:spacing w:line="420" w:lineRule="exact"/>
              <w:ind w:left="360" w:right="360"/>
              <w:jc w:val="both"/>
              <w:rPr>
                <w:rFonts w:cs="B Zar"/>
                <w:sz w:val="28"/>
                <w:szCs w:val="28"/>
              </w:rPr>
            </w:pPr>
          </w:p>
        </w:tc>
      </w:tr>
    </w:tbl>
    <w:p w:rsidR="0011420A" w:rsidRPr="00175A44" w:rsidP="003C0EF5">
      <w:pPr>
        <w:pStyle w:val="FootnoteText"/>
        <w:spacing w:line="420" w:lineRule="exact"/>
        <w:ind w:left="720" w:right="0"/>
        <w:jc w:val="both"/>
        <w:rPr>
          <w:rFonts w:cs="B Zar" w:hint="cs"/>
          <w:sz w:val="28"/>
          <w:szCs w:val="28"/>
          <w:rtl/>
        </w:rPr>
      </w:pPr>
    </w:p>
    <w:p w:rsidR="0011420A" w:rsidRPr="00175A44" w:rsidP="003C0EF5">
      <w:pPr>
        <w:pStyle w:val="FootnoteText"/>
        <w:spacing w:line="420" w:lineRule="exact"/>
        <w:ind w:left="720" w:right="0"/>
        <w:jc w:val="both"/>
        <w:rPr>
          <w:rFonts w:cs="B Zar" w:hint="cs"/>
          <w:sz w:val="28"/>
          <w:szCs w:val="28"/>
          <w:rtl/>
        </w:rPr>
      </w:pPr>
      <w:r w:rsidRPr="00175A44">
        <w:rPr>
          <w:rFonts w:ascii="IPT.Lotus" w:hAnsi="IPT.Lotus" w:cs="B Zar"/>
          <w:sz w:val="28"/>
          <w:szCs w:val="28"/>
        </w:rPr>
        <w:sym w:font="IPT.Lotus" w:char="F020"/>
      </w:r>
      <w:r w:rsidRPr="00175A44">
        <w:rPr>
          <w:rFonts w:ascii="IPT.Lotus" w:hAnsi="IPT.Lotus" w:cs="B Zar" w:hint="cs"/>
          <w:sz w:val="28"/>
          <w:szCs w:val="28"/>
          <w:rtl/>
        </w:rPr>
        <w:tab/>
        <w:tab/>
        <w:tab/>
        <w:tab/>
      </w:r>
    </w:p>
    <w:p w:rsidR="0011420A" w:rsidRPr="00175A44" w:rsidP="003C0EF5">
      <w:pPr>
        <w:pStyle w:val="FootnoteText"/>
        <w:spacing w:line="420" w:lineRule="exact"/>
        <w:ind w:left="0" w:right="0"/>
        <w:jc w:val="both"/>
        <w:rPr>
          <w:rFonts w:cs="B Zar"/>
          <w:sz w:val="28"/>
          <w:szCs w:val="28"/>
          <w:rtl/>
        </w:rPr>
      </w:pPr>
    </w:p>
    <w:p w:rsidR="0011420A" w:rsidRPr="00175A44" w:rsidP="003C0EF5">
      <w:pPr>
        <w:widowControl w:val="0"/>
        <w:bidi w:val="0"/>
        <w:spacing w:line="420" w:lineRule="exact"/>
        <w:rPr>
          <w:rFonts w:cs="B Zar"/>
          <w:sz w:val="28"/>
          <w:szCs w:val="28"/>
        </w:rPr>
      </w:pPr>
    </w:p>
    <w:p w:rsidR="0011420A" w:rsidRPr="00175A44" w:rsidP="003C0EF5">
      <w:pPr>
        <w:widowControl w:val="0"/>
        <w:spacing w:line="420" w:lineRule="exact"/>
        <w:ind w:left="0" w:right="0"/>
        <w:jc w:val="both"/>
        <w:rPr>
          <w:rFonts w:cs="B Zar"/>
          <w:sz w:val="28"/>
          <w:szCs w:val="28"/>
        </w:rPr>
      </w:pPr>
    </w:p>
    <w:p w:rsidR="0011420A" w:rsidRPr="00175A44" w:rsidP="003C0EF5">
      <w:pPr>
        <w:widowControl w:val="0"/>
        <w:spacing w:line="420" w:lineRule="exact"/>
        <w:ind w:left="0" w:right="0"/>
        <w:jc w:val="both"/>
        <w:rPr>
          <w:rFonts w:cs="B Zar"/>
          <w:sz w:val="28"/>
          <w:szCs w:val="28"/>
        </w:rPr>
      </w:pPr>
    </w:p>
    <w:p w:rsidR="008A538C" w:rsidP="003C0EF5">
      <w:pPr>
        <w:widowControl w:val="0"/>
        <w:spacing w:line="420" w:lineRule="exact"/>
        <w:ind w:left="0" w:right="0"/>
        <w:jc w:val="both"/>
        <w:rPr>
          <w:rFonts w:hint="cs"/>
          <w:rtl/>
        </w:rPr>
      </w:pPr>
    </w:p>
    <w:p w:rsidR="000102F3" w:rsidP="003C0EF5">
      <w:pPr>
        <w:widowControl w:val="0"/>
        <w:spacing w:line="420" w:lineRule="exact"/>
        <w:ind w:left="0" w:right="0"/>
        <w:jc w:val="both"/>
        <w:rPr>
          <w:rFonts w:hint="cs"/>
          <w:rtl/>
        </w:rPr>
      </w:pPr>
    </w:p>
    <w:p w:rsidR="008A538C" w:rsidP="003C0EF5">
      <w:pPr>
        <w:widowControl w:val="0"/>
        <w:spacing w:line="420" w:lineRule="exact"/>
        <w:ind w:left="0" w:right="0"/>
        <w:jc w:val="both"/>
        <w:rPr>
          <w:rFonts w:hint="cs"/>
          <w:rtl/>
        </w:rPr>
      </w:pPr>
    </w:p>
    <w:p w:rsidR="008A538C" w:rsidRPr="008A538C" w:rsidP="003C0EF5">
      <w:pPr>
        <w:widowControl w:val="0"/>
        <w:spacing w:line="420" w:lineRule="exact"/>
        <w:ind w:left="0" w:right="0"/>
        <w:jc w:val="both"/>
        <w:rPr>
          <w:rFonts w:hint="cs"/>
          <w:rtl/>
        </w:rPr>
      </w:pPr>
    </w:p>
    <w:p w:rsidR="00075613" w:rsidRPr="00821258" w:rsidP="003C0EF5">
      <w:pPr>
        <w:pStyle w:val="Heading1"/>
        <w:keepNext w:val="0"/>
        <w:widowControl w:val="0"/>
        <w:spacing w:line="420" w:lineRule="exact"/>
        <w:ind w:left="0" w:right="0"/>
        <w:jc w:val="center"/>
        <w:rPr>
          <w:rFonts w:cs="B Zar" w:hint="cs"/>
          <w:sz w:val="28"/>
          <w:szCs w:val="28"/>
          <w:rtl/>
        </w:rPr>
      </w:pPr>
      <w:r w:rsidRPr="00821258">
        <w:rPr>
          <w:rFonts w:cs="B Zar" w:hint="cs"/>
          <w:sz w:val="28"/>
          <w:szCs w:val="28"/>
          <w:rtl/>
        </w:rPr>
        <w:t>بخش چهارم</w:t>
      </w:r>
    </w:p>
    <w:p w:rsidR="00075613" w:rsidRPr="00075613" w:rsidP="003C0EF5">
      <w:pPr>
        <w:pStyle w:val="Heading1"/>
        <w:keepNext w:val="0"/>
        <w:widowControl w:val="0"/>
        <w:spacing w:line="420" w:lineRule="exact"/>
        <w:ind w:left="0" w:right="0"/>
        <w:jc w:val="center"/>
        <w:rPr>
          <w:rFonts w:cs="B Zar" w:hint="cs"/>
          <w:b w:val="0"/>
          <w:bCs w:val="0"/>
          <w:rtl/>
        </w:rPr>
      </w:pPr>
    </w:p>
    <w:p w:rsidR="00075613" w:rsidRPr="00821258" w:rsidP="003C0EF5">
      <w:pPr>
        <w:pStyle w:val="Heading1"/>
        <w:keepNext w:val="0"/>
        <w:widowControl w:val="0"/>
        <w:spacing w:line="420" w:lineRule="exact"/>
        <w:ind w:left="0" w:right="0"/>
        <w:jc w:val="center"/>
        <w:rPr>
          <w:rFonts w:cs="B Zar" w:hint="cs"/>
          <w:sz w:val="28"/>
          <w:szCs w:val="28"/>
          <w:rtl/>
        </w:rPr>
      </w:pPr>
      <w:r w:rsidRPr="00821258">
        <w:rPr>
          <w:rFonts w:cs="B Zar" w:hint="cs"/>
          <w:sz w:val="28"/>
          <w:szCs w:val="28"/>
          <w:rtl/>
        </w:rPr>
        <w:t>اوپانيشادها:</w:t>
      </w:r>
    </w:p>
    <w:p w:rsidR="00075613" w:rsidRPr="00075613" w:rsidP="003C0EF5">
      <w:pPr>
        <w:widowControl w:val="0"/>
        <w:spacing w:line="420" w:lineRule="exact"/>
        <w:ind w:left="0" w:right="0"/>
        <w:jc w:val="both"/>
        <w:rPr>
          <w:rFonts w:cs="B Zar" w:hint="cs"/>
        </w:rPr>
      </w:pPr>
    </w:p>
    <w:p w:rsidR="00075613" w:rsidRPr="00821258" w:rsidP="003C0EF5">
      <w:pPr>
        <w:pStyle w:val="Heading1"/>
        <w:keepNext w:val="0"/>
        <w:widowControl w:val="0"/>
        <w:spacing w:line="420" w:lineRule="exact"/>
        <w:ind w:left="0" w:right="0"/>
        <w:jc w:val="center"/>
        <w:rPr>
          <w:rFonts w:cs="B Zar" w:hint="cs"/>
          <w:sz w:val="28"/>
          <w:szCs w:val="28"/>
          <w:rtl/>
        </w:rPr>
      </w:pPr>
      <w:r w:rsidRPr="00821258">
        <w:rPr>
          <w:rFonts w:cs="B Zar" w:hint="cs"/>
          <w:sz w:val="28"/>
          <w:szCs w:val="28"/>
          <w:rtl/>
        </w:rPr>
        <w:t>ماهيت و تاريخ تدوين و فلسفه آن</w:t>
      </w:r>
    </w:p>
    <w:p w:rsidR="00075613" w:rsidRPr="00075613" w:rsidP="003C0EF5">
      <w:pPr>
        <w:widowControl w:val="0"/>
        <w:spacing w:line="420" w:lineRule="exact"/>
        <w:ind w:left="0" w:right="0"/>
        <w:jc w:val="center"/>
        <w:rPr>
          <w:rFonts w:cs="B Zar" w:hint="cs"/>
          <w:b/>
          <w:bCs/>
          <w:sz w:val="28"/>
          <w:szCs w:val="28"/>
          <w:rtl/>
        </w:rPr>
      </w:pPr>
    </w:p>
    <w:p w:rsidR="00075613" w:rsidRPr="00075613" w:rsidP="003C0EF5">
      <w:pPr>
        <w:widowControl w:val="0"/>
        <w:spacing w:line="420" w:lineRule="exact"/>
        <w:ind w:left="0" w:right="0"/>
        <w:jc w:val="center"/>
        <w:rPr>
          <w:rFonts w:cs="B Zar" w:hint="cs"/>
          <w:b/>
          <w:bCs/>
          <w:sz w:val="28"/>
          <w:szCs w:val="28"/>
          <w:rtl/>
        </w:rPr>
      </w:pPr>
    </w:p>
    <w:p w:rsidR="00075613" w:rsidRPr="00075613" w:rsidP="003C0EF5">
      <w:pPr>
        <w:widowControl w:val="0"/>
        <w:spacing w:line="420" w:lineRule="exact"/>
        <w:ind w:left="0" w:right="0"/>
        <w:jc w:val="center"/>
        <w:rPr>
          <w:rFonts w:cs="B Zar" w:hint="cs"/>
          <w:b/>
          <w:bCs/>
          <w:sz w:val="28"/>
          <w:szCs w:val="28"/>
          <w:rtl/>
        </w:rPr>
      </w:pPr>
    </w:p>
    <w:p w:rsidR="00075613" w:rsidRPr="00075613" w:rsidP="003C0EF5">
      <w:pPr>
        <w:widowControl w:val="0"/>
        <w:spacing w:line="420" w:lineRule="exact"/>
        <w:ind w:left="0" w:right="0"/>
        <w:jc w:val="center"/>
        <w:rPr>
          <w:rFonts w:cs="B Zar" w:hint="cs"/>
          <w:b/>
          <w:bCs/>
          <w:sz w:val="28"/>
          <w:szCs w:val="28"/>
          <w:rtl/>
        </w:rPr>
      </w:pPr>
    </w:p>
    <w:p w:rsidR="00075613" w:rsidRPr="00075613" w:rsidP="003C0EF5">
      <w:pPr>
        <w:widowControl w:val="0"/>
        <w:spacing w:line="420" w:lineRule="exact"/>
        <w:ind w:left="0" w:right="0"/>
        <w:jc w:val="center"/>
        <w:rPr>
          <w:rFonts w:cs="B Zar" w:hint="cs"/>
          <w:b/>
          <w:bCs/>
          <w:sz w:val="28"/>
          <w:szCs w:val="28"/>
          <w:rtl/>
        </w:rPr>
      </w:pPr>
    </w:p>
    <w:p w:rsidR="00075613" w:rsidRPr="00075613" w:rsidP="00B11DDE">
      <w:pPr>
        <w:widowControl w:val="0"/>
        <w:spacing w:line="420" w:lineRule="exact"/>
        <w:ind w:left="0" w:right="0"/>
        <w:jc w:val="center"/>
        <w:rPr>
          <w:rFonts w:cs="B Zar" w:hint="cs"/>
          <w:b/>
          <w:bCs/>
          <w:sz w:val="28"/>
          <w:szCs w:val="28"/>
          <w:rtl/>
        </w:rPr>
      </w:pPr>
    </w:p>
    <w:p w:rsidR="00075613" w:rsidP="003C0EF5">
      <w:pPr>
        <w:widowControl w:val="0"/>
        <w:spacing w:line="420" w:lineRule="exact"/>
        <w:ind w:left="0" w:right="0"/>
        <w:jc w:val="center"/>
        <w:rPr>
          <w:rFonts w:cs="B Zar" w:hint="cs"/>
          <w:b/>
          <w:bCs/>
          <w:sz w:val="28"/>
          <w:szCs w:val="28"/>
          <w:rtl/>
        </w:rPr>
      </w:pPr>
      <w:r w:rsidRPr="00075613">
        <w:rPr>
          <w:rFonts w:cs="B Zar"/>
          <w:sz w:val="28"/>
          <w:szCs w:val="28"/>
          <w:rtl/>
        </w:rPr>
        <w:br w:type="page"/>
      </w:r>
    </w:p>
    <w:p w:rsidR="00821258" w:rsidRPr="00075613" w:rsidP="003C0EF5">
      <w:pPr>
        <w:widowControl w:val="0"/>
        <w:spacing w:line="420" w:lineRule="exact"/>
        <w:ind w:left="0" w:right="0"/>
        <w:jc w:val="center"/>
        <w:rPr>
          <w:rFonts w:cs="B Zar" w:hint="cs"/>
          <w:b/>
          <w:bCs/>
          <w:sz w:val="28"/>
          <w:szCs w:val="28"/>
          <w:rtl/>
        </w:rPr>
      </w:pPr>
    </w:p>
    <w:p w:rsidR="00075613" w:rsidRPr="00075613" w:rsidP="003C0EF5">
      <w:pPr>
        <w:widowControl w:val="0"/>
        <w:spacing w:line="420" w:lineRule="exact"/>
        <w:ind w:left="0" w:right="0"/>
        <w:jc w:val="center"/>
        <w:rPr>
          <w:rFonts w:cs="B Zar" w:hint="cs"/>
          <w:b/>
          <w:bCs/>
          <w:sz w:val="28"/>
          <w:szCs w:val="28"/>
          <w:rtl/>
        </w:rPr>
      </w:pPr>
      <w:r w:rsidRPr="00075613">
        <w:rPr>
          <w:rFonts w:cs="B Zar" w:hint="cs"/>
          <w:b/>
          <w:bCs/>
          <w:sz w:val="28"/>
          <w:szCs w:val="28"/>
          <w:rtl/>
        </w:rPr>
        <w:t>اوپانيشادها: ماهيت و تاريخ تدوين</w:t>
      </w:r>
    </w:p>
    <w:p w:rsidR="00075613" w:rsidRPr="00075613" w:rsidP="003C0EF5">
      <w:pPr>
        <w:widowControl w:val="0"/>
        <w:spacing w:line="420" w:lineRule="exact"/>
        <w:ind w:left="0" w:right="0"/>
        <w:jc w:val="center"/>
        <w:rPr>
          <w:rFonts w:cs="B Zar" w:hint="cs"/>
          <w:b/>
          <w:bCs/>
          <w:sz w:val="28"/>
          <w:szCs w:val="28"/>
          <w:rtl/>
        </w:rPr>
      </w:pPr>
    </w:p>
    <w:p w:rsidR="00075613" w:rsidRPr="00075613" w:rsidP="003C0EF5">
      <w:pPr>
        <w:pStyle w:val="Heading6"/>
        <w:keepNext w:val="0"/>
        <w:widowControl w:val="0"/>
        <w:spacing w:line="420" w:lineRule="exact"/>
        <w:ind w:left="0" w:right="0"/>
        <w:jc w:val="center"/>
        <w:rPr>
          <w:rFonts w:cs="B Zar" w:hint="cs"/>
          <w:rtl/>
        </w:rPr>
      </w:pPr>
      <w:r w:rsidRPr="00075613">
        <w:rPr>
          <w:rFonts w:cs="B Zar" w:hint="cs"/>
          <w:rtl/>
        </w:rPr>
        <w:t>معناي لغوي و اصطلاحي اوپانيشاد</w:t>
      </w:r>
    </w:p>
    <w:p w:rsidR="00075613" w:rsidRPr="00075613" w:rsidP="003C0EF5">
      <w:pPr>
        <w:widowControl w:val="0"/>
        <w:spacing w:line="420" w:lineRule="exact"/>
        <w:ind w:left="0" w:right="0"/>
        <w:jc w:val="both"/>
        <w:rPr>
          <w:rFonts w:cs="B Zar" w:hint="cs"/>
          <w:i/>
          <w:iCs/>
          <w:rtl/>
        </w:rPr>
      </w:pPr>
      <w:r w:rsidRPr="00075613">
        <w:rPr>
          <w:rFonts w:cs="B Zar" w:hint="cs"/>
          <w:rtl/>
        </w:rPr>
        <w:t>كلمه اوپانيشاد</w:t>
      </w:r>
      <w:r w:rsidRPr="00075613">
        <w:rPr>
          <w:rFonts w:cs="B Zar"/>
        </w:rPr>
        <w:t>(Upanishad)</w:t>
      </w:r>
      <w:r w:rsidRPr="00075613">
        <w:rPr>
          <w:rFonts w:cs="B Zar" w:hint="cs"/>
          <w:rtl/>
        </w:rPr>
        <w:t xml:space="preserve"> از سه واژه مركب شده است. اوپ، به معناي نزديكي، پيوستگي و قربت، «ن»، به معناي پايين و زير، با ارادت و با احترام، و واژه «نيشاد»، معناي گوناگوني دارد</w:t>
      </w:r>
      <w:r w:rsidRPr="00075613">
        <w:rPr>
          <w:rFonts w:cs="B Zar" w:hint="cs"/>
          <w:rtl/>
          <w:lang w:bidi="fa-IR"/>
        </w:rPr>
        <w:t>،</w:t>
      </w:r>
      <w:r w:rsidRPr="00075613">
        <w:rPr>
          <w:rFonts w:cs="B Zar" w:hint="cs"/>
          <w:rtl/>
        </w:rPr>
        <w:t xml:space="preserve"> از جمله نشستن، تشكيل جلسه دادن، به طور سري سخن گفتن، گشودن (عقده) و در محضر استاد با احترام نشستن. اكثر صاحبنظران معتقدند كه معناي كلمه مركب «اوپانيشاد»، نشستن با ارادت و احترام تمام در محضر استاد براي فراگرفتن حكمت است</w:t>
      </w:r>
      <w:r w:rsidRPr="00075613">
        <w:rPr>
          <w:rFonts w:cs="B Zar"/>
          <w:rtl/>
        </w:rPr>
        <w:t>.</w:t>
      </w:r>
      <w:r>
        <w:rPr>
          <w:rStyle w:val="FootnoteReference"/>
          <w:rFonts w:cs="B Zar"/>
          <w:rtl/>
        </w:rPr>
        <w:footnoteReference w:id="447"/>
      </w:r>
      <w:r w:rsidRPr="00075613">
        <w:rPr>
          <w:rFonts w:cs="B Zar" w:hint="cs"/>
          <w:rtl/>
        </w:rPr>
        <w:t>به نظر مي رسد، پس از آغاز مرحله پنجم انديشه ديني و رواج تأملات عرفاني، در اجتماعات آريائي، نخستين معلمان حكمت، در گوشه و كنار شهر درسهاي فلسفي و حلقه‌هاي مذاكره دائر مي‌كردند. شاگردان با ارادت تمام به پاي درس استاد مي نشستند و او به شرح و تفسير عرفاني ودا و تبيين متعالي باطني مناسك قرباني پرداخته و يا درباره برهمان و آتمان و وحدت الوجود، درس مي داده است. افراد جامعه اينگونه حلقات درسي عجيبي را كه در شهر دائر شده بود، اوپانيشاد يا حلقات درسي و «جلسات» مي ناميده اند كه در آن، شاگردان با ارادت تمام در پاي درس استاد مي‌نشسته‌اند و به سخنان حكمت‌آموز او گوش فرا مي‌داده‌اند</w:t>
      </w:r>
      <w:r>
        <w:rPr>
          <w:rStyle w:val="FootnoteReference"/>
          <w:rFonts w:cs="B Zar"/>
        </w:rPr>
        <w:footnoteReference w:id="448"/>
      </w:r>
      <w:r w:rsidRPr="00075613">
        <w:rPr>
          <w:rFonts w:cs="B Zar" w:hint="cs"/>
          <w:rtl/>
        </w:rPr>
        <w:t>. ماكس مولر</w:t>
      </w:r>
      <w:r w:rsidRPr="00075613">
        <w:rPr>
          <w:rFonts w:cs="B Zar"/>
        </w:rPr>
        <w:t xml:space="preserve">( Max Muller) </w:t>
      </w:r>
      <w:r w:rsidRPr="00075613">
        <w:rPr>
          <w:rFonts w:cs="B Zar" w:hint="cs"/>
          <w:rtl/>
        </w:rPr>
        <w:t xml:space="preserve"> مي گويد: «</w:t>
      </w:r>
      <w:r w:rsidRPr="00075613">
        <w:rPr>
          <w:rFonts w:cs="B Zar" w:hint="cs"/>
          <w:i/>
          <w:iCs/>
          <w:rtl/>
        </w:rPr>
        <w:t>هيچ ترديدي نيست كه در آغاز (اوپ ـ ن ـ شاد) به معناي حلقه درس استاد بوده است كه در آن شاگردان پيرامون استاد با ارادت تمام حلقه مي زده اند»</w:t>
      </w:r>
      <w:r>
        <w:rPr>
          <w:rStyle w:val="FootnoteReference"/>
          <w:rFonts w:cs="B Zar"/>
          <w:i/>
          <w:iCs/>
          <w:rtl/>
        </w:rPr>
        <w:footnoteReference w:id="449"/>
      </w:r>
      <w:r w:rsidRPr="00075613">
        <w:rPr>
          <w:rFonts w:cs="B Zar" w:hint="cs"/>
          <w:i/>
          <w:iCs/>
          <w:rtl/>
        </w:rPr>
        <w:t>.</w:t>
      </w:r>
    </w:p>
    <w:p w:rsidR="00075613" w:rsidRPr="00075613" w:rsidP="003C0EF5">
      <w:pPr>
        <w:widowControl w:val="0"/>
        <w:spacing w:line="420" w:lineRule="exact"/>
        <w:ind w:left="0" w:right="0"/>
        <w:jc w:val="both"/>
        <w:rPr>
          <w:rFonts w:cs="B Zar" w:hint="cs"/>
          <w:rtl/>
        </w:rPr>
      </w:pPr>
      <w:r w:rsidRPr="00075613">
        <w:rPr>
          <w:rFonts w:cs="B Zar" w:hint="cs"/>
          <w:rtl/>
        </w:rPr>
        <w:t xml:space="preserve">ديوسن </w:t>
      </w:r>
      <w:r w:rsidRPr="00075613">
        <w:rPr>
          <w:rFonts w:cs="B Zar"/>
        </w:rPr>
        <w:t>(Deussen)</w:t>
      </w:r>
      <w:r w:rsidRPr="00075613">
        <w:rPr>
          <w:rFonts w:cs="B Zar" w:hint="cs"/>
          <w:rtl/>
        </w:rPr>
        <w:t xml:space="preserve"> و برخي صاحبنظران ديگر معتقدند واژه اوپانيشاد به معناي «علم باطني» و دانش سري است. ديوسن مي گويد يكي از معاني «شاد»</w:t>
      </w:r>
      <w:r w:rsidRPr="00075613">
        <w:rPr>
          <w:rFonts w:cs="B Zar"/>
        </w:rPr>
        <w:t>(shad)</w:t>
      </w:r>
      <w:r w:rsidRPr="00075613">
        <w:rPr>
          <w:rFonts w:cs="B Zar" w:hint="cs"/>
          <w:rtl/>
        </w:rPr>
        <w:t xml:space="preserve"> مرموز، باطني و پنهاني است. در اين صورت اوپانيشاد توسل شاگرد به استاد براي فراگرفتن تعاليم باطني خواهد بود. اوپانيشاد، بدينسان به معناي حكمت باطني و علم پنهاني است</w:t>
      </w:r>
      <w:r>
        <w:rPr>
          <w:rStyle w:val="FootnoteReference"/>
          <w:rFonts w:cs="B Zar"/>
          <w:rtl/>
        </w:rPr>
        <w:footnoteReference w:id="450"/>
      </w:r>
      <w:r w:rsidRPr="00075613">
        <w:rPr>
          <w:rFonts w:cs="B Zar" w:hint="cs"/>
          <w:rtl/>
        </w:rPr>
        <w:t>. داس گوپتا</w:t>
      </w:r>
      <w:r w:rsidRPr="00075613">
        <w:rPr>
          <w:rFonts w:cs="B Zar"/>
        </w:rPr>
        <w:t xml:space="preserve"> (Das Gupta)</w:t>
      </w:r>
      <w:r w:rsidRPr="00075613">
        <w:rPr>
          <w:rFonts w:cs="B Zar" w:hint="cs"/>
          <w:rtl/>
        </w:rPr>
        <w:t xml:space="preserve"> نيز نظر ديوسن را تائيد مي كند. در دوره هزار سال قبل از مسيح كه نخستين بار آريائي ها در مرحله پنجم انديشه فلسفي و تفكر عرفاني قدم نهادند،  طبيعي است براي عموم مردم بحث و گفتگوي آنان بسيار اسرارآميز و گنگ و نامفهوم بوده است. تعاليم ژرف حكيمان براي عامه مردم مرموز و غير قابل فهم تلقي مي شد. حتي اوپانيشاد داراي برخي حروف مقطعات و اسمهاي اعظم، نظير كلمه «اوم»</w:t>
      </w:r>
      <w:r w:rsidRPr="00075613">
        <w:rPr>
          <w:rFonts w:cs="B Zar"/>
        </w:rPr>
        <w:t xml:space="preserve">(Om) </w:t>
      </w:r>
      <w:r w:rsidRPr="00075613">
        <w:rPr>
          <w:rFonts w:cs="B Zar" w:hint="cs"/>
          <w:rtl/>
        </w:rPr>
        <w:t xml:space="preserve"> يا «تجلان» نيز بوده است كه كلمات مرموزي بوده و داراي معاني قابل درك نبوده است و نوعي طلسم هاي اسرارآميز تلقي مي شده اند. اوپانيشاد داراي برخي نظريه‌هاي عرفاني و باطني هم هست . اين امور موجب مي شد عموم مردم مطلب ريشي ها را «معارف باطني و سري» تلقي كنند. از سوي ديگر اهل عرفان و حكمت نيز حقائقي را كه اشراق مي نموده‌اند، نوعي اسرار ملكوتي تلقي مي كنند و براي آنكه اين حقايق را از طعن عوام و دستبرد اوهام و تخيلات عاميانه مصون بدارند، از نشر مطالب عرفاني و فلسفي به عموم مردم كه هنوز آماده درك آن نبودند، به شدت خودداري كنند و تنها به شاگردان خاصي كه آن را شايسته دريافت اين حقايق مي دانستند، تعليم دهند. در مرحله نخست ظهور انديشه فلسفي و عرفاني حكيمان و عرفا در تمام جوامع همين روش را در پيش گرفته و مي‌پنداشته اند كه اشتهار و انتشار حكمت متعالي در ميان مردمي كه از نور معرفت برخوردار نیستند و به فضائل اخلاقي آراسته نگشته و از اوصاف ناپسنديده رهائي نيافته اند، سبب گمراهي آنان و گمراه كردن ديگران مي شود.</w:t>
      </w:r>
      <w:r>
        <w:rPr>
          <w:rStyle w:val="FootnoteReference"/>
          <w:rFonts w:cs="B Zar"/>
          <w:sz w:val="28"/>
          <w:szCs w:val="28"/>
          <w:rtl/>
        </w:rPr>
        <w:footnoteReference w:id="451"/>
      </w:r>
      <w:r w:rsidRPr="00075613">
        <w:rPr>
          <w:rFonts w:cs="B Zar" w:hint="cs"/>
          <w:rtl/>
        </w:rPr>
        <w:t xml:space="preserve"> در هند باستان نيز در اواخر عصر ودا و آغاز مرحله پنجم، حكيماني، نظير </w:t>
      </w:r>
      <w:r w:rsidRPr="00075613">
        <w:rPr>
          <w:rFonts w:cs="B Zar" w:hint="cs"/>
          <w:iCs/>
          <w:rtl/>
        </w:rPr>
        <w:t>ياجون</w:t>
      </w:r>
      <w:r w:rsidRPr="00075613">
        <w:rPr>
          <w:rFonts w:cs="B Zar" w:hint="cs"/>
          <w:rtl/>
        </w:rPr>
        <w:t xml:space="preserve"> و </w:t>
      </w:r>
      <w:r w:rsidRPr="00075613">
        <w:rPr>
          <w:rFonts w:cs="B Zar" w:hint="cs"/>
          <w:iCs/>
          <w:rtl/>
        </w:rPr>
        <w:t>ليكه،</w:t>
      </w:r>
      <w:r w:rsidRPr="00075613">
        <w:rPr>
          <w:rFonts w:cs="B Zar" w:hint="cs"/>
          <w:rtl/>
        </w:rPr>
        <w:t xml:space="preserve"> شاگردان خود را در گوشه اي كشيده، تعاليم حكمت را به آنان مي داده اند. در چاندوگيا اوپانيشاد</w:t>
      </w:r>
      <w:r w:rsidRPr="00075613">
        <w:rPr>
          <w:rFonts w:cs="B Zar"/>
        </w:rPr>
        <w:t>(Chandopgya Upanishad)</w:t>
      </w:r>
      <w:r w:rsidRPr="00075613">
        <w:rPr>
          <w:rFonts w:cs="B Zar" w:hint="cs"/>
          <w:rtl/>
        </w:rPr>
        <w:t xml:space="preserve"> ْ دستور داده  شده است كه مطالب عرفاني حكمت متعالي را بايد استاد صرفاً به شاگرد ارشد و يا فرزند بزرگ خود تعليم دهد و اين مطالب از دسترس سايرين، حتي فرزندان ديگر دور باشد.</w:t>
      </w:r>
      <w:r>
        <w:rPr>
          <w:rStyle w:val="FootnoteReference"/>
          <w:rFonts w:cs="B Zar"/>
          <w:sz w:val="28"/>
          <w:szCs w:val="28"/>
          <w:rtl/>
        </w:rPr>
        <w:footnoteReference w:id="452"/>
      </w:r>
      <w:r w:rsidRPr="00075613">
        <w:rPr>
          <w:rFonts w:cs="B Zar" w:hint="cs"/>
          <w:rtl/>
        </w:rPr>
        <w:t xml:space="preserve"> بدينسان در دوره بعدي، اوپانيشاد به تدريج به معناي دانش سري و معرفت باطني درآمد. چنانكه </w:t>
      </w:r>
      <w:r w:rsidRPr="00075613">
        <w:rPr>
          <w:rFonts w:cs="B Zar" w:hint="cs"/>
          <w:iCs/>
          <w:rtl/>
        </w:rPr>
        <w:t>ديوسن</w:t>
      </w:r>
      <w:r w:rsidRPr="00075613">
        <w:rPr>
          <w:rFonts w:cs="B Zar"/>
          <w:iCs/>
        </w:rPr>
        <w:t xml:space="preserve"> (Deussen)</w:t>
      </w:r>
      <w:r w:rsidRPr="00075613">
        <w:rPr>
          <w:rFonts w:cs="B Zar" w:hint="cs"/>
          <w:rtl/>
        </w:rPr>
        <w:t xml:space="preserve"> و </w:t>
      </w:r>
      <w:r w:rsidRPr="00075613">
        <w:rPr>
          <w:rFonts w:cs="B Zar" w:hint="cs"/>
          <w:iCs/>
          <w:rtl/>
        </w:rPr>
        <w:t>داس گوپتا</w:t>
      </w:r>
      <w:r w:rsidRPr="00075613">
        <w:rPr>
          <w:rFonts w:cs="B Zar"/>
          <w:iCs/>
        </w:rPr>
        <w:t>(Das Gupta)</w:t>
      </w:r>
      <w:r w:rsidRPr="00075613">
        <w:rPr>
          <w:rFonts w:cs="B Zar" w:hint="cs"/>
          <w:rtl/>
        </w:rPr>
        <w:t xml:space="preserve"> خاطر نشان ساخته اند، در خود اوپانيشاد نيز واژه اوپانيشاد، به معناي معرفت باطني به كار رفته است. </w:t>
      </w:r>
      <w:r w:rsidRPr="00075613">
        <w:rPr>
          <w:rFonts w:cs="B Zar" w:hint="cs"/>
          <w:iCs/>
          <w:rtl/>
        </w:rPr>
        <w:t>ماكس مولر</w:t>
      </w:r>
      <w:r w:rsidRPr="00075613">
        <w:rPr>
          <w:rFonts w:cs="B Zar" w:hint="cs"/>
          <w:rtl/>
        </w:rPr>
        <w:t xml:space="preserve"> نيز اعتراف مي كند كه اين كلمه در خود اوپانيشاد به معناي علوم سري به كار رفته است</w:t>
      </w:r>
      <w:r>
        <w:rPr>
          <w:rStyle w:val="FootnoteReference"/>
          <w:rFonts w:cs="B Zar"/>
          <w:sz w:val="28"/>
          <w:szCs w:val="28"/>
          <w:rtl/>
        </w:rPr>
        <w:footnoteReference w:id="453"/>
      </w:r>
      <w:r w:rsidRPr="00075613">
        <w:rPr>
          <w:rFonts w:cs="B Zar" w:hint="cs"/>
          <w:rtl/>
        </w:rPr>
        <w:t>.</w:t>
      </w:r>
    </w:p>
    <w:p w:rsidR="00075613" w:rsidRPr="00075613" w:rsidP="003C0EF5">
      <w:pPr>
        <w:widowControl w:val="0"/>
        <w:spacing w:line="420" w:lineRule="exact"/>
        <w:ind w:left="0" w:right="0"/>
        <w:jc w:val="both"/>
        <w:rPr>
          <w:rFonts w:cs="B Zar"/>
          <w:rtl/>
        </w:rPr>
      </w:pPr>
      <w:r w:rsidRPr="00075613">
        <w:rPr>
          <w:rFonts w:cs="B Zar" w:hint="cs"/>
          <w:rtl/>
        </w:rPr>
        <w:t>شانكارا</w:t>
      </w:r>
      <w:r w:rsidRPr="00075613">
        <w:rPr>
          <w:rFonts w:cs="B Zar"/>
        </w:rPr>
        <w:t>(Shankara)</w:t>
      </w:r>
      <w:r w:rsidRPr="00075613">
        <w:rPr>
          <w:rFonts w:cs="B Zar" w:hint="cs"/>
          <w:rtl/>
        </w:rPr>
        <w:t xml:space="preserve">، بزرگترين حكيم هندو و مفسر اوپانيشاد كه در قرن هشتم ميلادي مي‌زيست، «شاد» را كه در كلمه اوپانيشاد قرار دارد، به معناي نابود سازي و انقراض مي گويد. «اوپ ـ ن ـ شاد» به معناي نابود سازي، جهل و عدم معرفت است. اوپانيشاد را وسيله خواباندن غبار جهل و انقراض ناداني دانسته اند. شانكارا در كتاب تانتاريا اوپانيشاد (مقال اول) اين نظريه را عنوان كرده است. داس گوپتا در تاريخ فلسفه هند و نيز مونئر وليمز </w:t>
      </w:r>
      <w:r w:rsidRPr="00075613">
        <w:rPr>
          <w:rFonts w:cs="B Zar"/>
        </w:rPr>
        <w:t>(Monier Williams)</w:t>
      </w:r>
      <w:r w:rsidRPr="00075613">
        <w:rPr>
          <w:rFonts w:cs="B Zar" w:hint="cs"/>
          <w:rtl/>
        </w:rPr>
        <w:t xml:space="preserve"> در قاموس سانسكريت بدين معناي واژه اوپانيشاد اشاره كرده اند</w:t>
      </w:r>
      <w:r>
        <w:rPr>
          <w:rStyle w:val="FootnoteReference"/>
          <w:rFonts w:cs="B Zar"/>
          <w:rtl/>
        </w:rPr>
        <w:footnoteReference w:id="454"/>
      </w:r>
      <w:r w:rsidRPr="00075613">
        <w:rPr>
          <w:rFonts w:cs="B Zar" w:hint="cs"/>
          <w:rtl/>
        </w:rPr>
        <w:t>.</w:t>
      </w:r>
    </w:p>
    <w:p w:rsidR="00075613" w:rsidRPr="00075613" w:rsidP="003C0EF5">
      <w:pPr>
        <w:widowControl w:val="0"/>
        <w:spacing w:line="420" w:lineRule="exact"/>
        <w:ind w:left="0" w:right="0"/>
        <w:jc w:val="center"/>
        <w:rPr>
          <w:rFonts w:cs="B Zar" w:hint="cs"/>
          <w:b/>
          <w:bCs/>
          <w:sz w:val="28"/>
          <w:szCs w:val="28"/>
          <w:rtl/>
        </w:rPr>
      </w:pPr>
    </w:p>
    <w:p w:rsidR="00075613" w:rsidP="009D7C10">
      <w:pPr>
        <w:widowControl w:val="0"/>
        <w:spacing w:line="420" w:lineRule="exact"/>
        <w:ind w:left="0" w:right="0"/>
        <w:jc w:val="left"/>
        <w:rPr>
          <w:rFonts w:cs="B Zar" w:hint="cs"/>
          <w:b/>
          <w:bCs/>
          <w:sz w:val="28"/>
          <w:szCs w:val="28"/>
          <w:rtl/>
        </w:rPr>
      </w:pPr>
      <w:r w:rsidRPr="00075613">
        <w:rPr>
          <w:rFonts w:cs="B Zar" w:hint="cs"/>
          <w:b/>
          <w:bCs/>
          <w:sz w:val="28"/>
          <w:szCs w:val="28"/>
          <w:rtl/>
        </w:rPr>
        <w:t>دسته‌بندي اوپانيشادها</w:t>
      </w:r>
    </w:p>
    <w:p w:rsidR="00075613" w:rsidRPr="00075613" w:rsidP="003C0EF5">
      <w:pPr>
        <w:widowControl w:val="0"/>
        <w:spacing w:line="420" w:lineRule="exact"/>
        <w:ind w:left="0" w:right="0"/>
        <w:jc w:val="both"/>
        <w:rPr>
          <w:rFonts w:cs="B Zar" w:hint="cs"/>
          <w:rtl/>
        </w:rPr>
      </w:pPr>
      <w:r w:rsidRPr="00075613">
        <w:rPr>
          <w:rFonts w:cs="B Zar" w:hint="cs"/>
          <w:rtl/>
        </w:rPr>
        <w:t>اوپانيشاد نيز نظير ويد، نام يك كتاب خاصي نيست كه در يك زمان بخصوص به وسيله فردي يا گروهي از نويسندگان نگاشته شده باشد، بلكه نظير تعبير ودا، اوپانيشاد را مي‌بايستي عنوان كلي يك ژنر</w:t>
      </w:r>
      <w:r w:rsidRPr="00075613">
        <w:rPr>
          <w:rFonts w:cs="B Zar"/>
        </w:rPr>
        <w:t>(G</w:t>
      </w:r>
      <w:r w:rsidR="00D93676">
        <w:rPr>
          <w:rFonts w:cs="B Zar"/>
        </w:rPr>
        <w:t>enre</w:t>
      </w:r>
      <w:r w:rsidRPr="00075613">
        <w:rPr>
          <w:rFonts w:cs="B Zar"/>
        </w:rPr>
        <w:t>)</w:t>
      </w:r>
      <w:r w:rsidRPr="00075613">
        <w:rPr>
          <w:rFonts w:cs="B Zar" w:hint="cs"/>
          <w:rtl/>
        </w:rPr>
        <w:t xml:space="preserve"> و نوع و تيپ خاصي از نوشته هاي فلسفي و ديني محسوب كرد. در سابق ميان ساير ملل اين امر رواج داشته است كه بر كتابهائي كه از تيپ مشابهي بودند، عنوان واحدي مي‌نهاده‌اند؛ مثلاً در ادبيات تاريخ نگاري مسلمين صدها كتاب به عنوان كتاب «المغازي» داريم. از جمله مي‌توان از كتاب المغازي واقدي، كتاب المغازي ابراهيم الحربي</w:t>
      </w:r>
      <w:r>
        <w:rPr>
          <w:rStyle w:val="FootnoteReference"/>
          <w:rFonts w:ascii="IPT.Lotus" w:hAnsi="IPT.Lotus" w:cs="B Zar"/>
          <w:b/>
          <w:bCs/>
          <w:rtl/>
        </w:rPr>
        <w:footnoteReference w:id="455"/>
      </w:r>
      <w:r w:rsidRPr="00075613">
        <w:rPr>
          <w:rFonts w:cs="B Zar" w:hint="cs"/>
          <w:rtl/>
        </w:rPr>
        <w:t>، كتاب المغازي اسماعيل بن اسحاق</w:t>
      </w:r>
      <w:r>
        <w:rPr>
          <w:rStyle w:val="FootnoteReference"/>
          <w:rFonts w:cs="B Zar"/>
          <w:b/>
          <w:bCs/>
          <w:rtl/>
        </w:rPr>
        <w:footnoteReference w:id="456"/>
      </w:r>
      <w:r w:rsidRPr="00075613">
        <w:rPr>
          <w:rFonts w:cs="B Zar" w:hint="cs"/>
          <w:rtl/>
        </w:rPr>
        <w:t>، كتاب المغازي ابراهيم عبدالرزاق</w:t>
      </w:r>
      <w:r>
        <w:rPr>
          <w:rStyle w:val="FootnoteReference"/>
          <w:rFonts w:cs="B Zar"/>
          <w:b/>
          <w:bCs/>
          <w:rtl/>
        </w:rPr>
        <w:footnoteReference w:id="457"/>
      </w:r>
      <w:r w:rsidRPr="00075613">
        <w:rPr>
          <w:rFonts w:cs="B Zar" w:hint="cs"/>
          <w:rtl/>
        </w:rPr>
        <w:t>، كتاب المغازي محمدبن راشد</w:t>
      </w:r>
      <w:r>
        <w:rPr>
          <w:rStyle w:val="FootnoteReference"/>
          <w:rFonts w:cs="B Zar"/>
          <w:b/>
          <w:bCs/>
          <w:rtl/>
        </w:rPr>
        <w:footnoteReference w:id="458"/>
      </w:r>
      <w:r w:rsidRPr="00075613">
        <w:rPr>
          <w:rFonts w:cs="B Zar" w:hint="cs"/>
          <w:rtl/>
        </w:rPr>
        <w:t>، كتاب المغازي وليدبن مسلم</w:t>
      </w:r>
      <w:r>
        <w:rPr>
          <w:rStyle w:val="FootnoteReference"/>
          <w:rFonts w:cs="B Zar"/>
          <w:b/>
          <w:bCs/>
          <w:rtl/>
        </w:rPr>
        <w:footnoteReference w:id="459"/>
      </w:r>
      <w:r w:rsidRPr="00075613">
        <w:rPr>
          <w:rFonts w:cs="B Zar" w:hint="cs"/>
          <w:rtl/>
        </w:rPr>
        <w:t xml:space="preserve"> و غيره نام برد؛ يا مثلاً در علم اخلاق، كتاب «الآداب» نام يك كتاب خاصي نيست؛ بلكه عنوان دسته‌اي از كتب است كه پيرامون موضوع مزبور نگاشته شده اند و داراي سبك مشابهي‌اند؛ مثلاً «كتاب الآداب» ابن هرون</w:t>
      </w:r>
      <w:r>
        <w:rPr>
          <w:rStyle w:val="FootnoteReference"/>
          <w:rFonts w:cs="B Zar"/>
          <w:b/>
          <w:bCs/>
          <w:rtl/>
        </w:rPr>
        <w:footnoteReference w:id="460"/>
      </w:r>
      <w:r w:rsidRPr="00075613">
        <w:rPr>
          <w:rFonts w:cs="B Zar" w:hint="cs"/>
          <w:rtl/>
        </w:rPr>
        <w:t>،  كتاب الآداب ابن معتز</w:t>
      </w:r>
      <w:r>
        <w:rPr>
          <w:rStyle w:val="FootnoteReference"/>
          <w:rFonts w:cs="B Zar"/>
          <w:b/>
          <w:bCs/>
          <w:rtl/>
        </w:rPr>
        <w:footnoteReference w:id="461"/>
      </w:r>
      <w:r w:rsidRPr="00075613">
        <w:rPr>
          <w:rFonts w:cs="B Zar" w:hint="cs"/>
          <w:rtl/>
        </w:rPr>
        <w:t>، كتاب الآداب ابوضياء</w:t>
      </w:r>
      <w:r>
        <w:rPr>
          <w:rStyle w:val="FootnoteReference"/>
          <w:rFonts w:cs="B Zar"/>
          <w:b/>
          <w:bCs/>
          <w:rtl/>
        </w:rPr>
        <w:footnoteReference w:id="462"/>
      </w:r>
      <w:r w:rsidRPr="00075613">
        <w:rPr>
          <w:rFonts w:cs="B Zar" w:hint="cs"/>
          <w:rtl/>
        </w:rPr>
        <w:t>، كتاب الآداب ابو عبدالله،</w:t>
      </w:r>
      <w:r>
        <w:rPr>
          <w:rStyle w:val="FootnoteReference"/>
          <w:rFonts w:cs="B Zar"/>
          <w:b/>
          <w:bCs/>
          <w:rtl/>
        </w:rPr>
        <w:footnoteReference w:id="463"/>
      </w:r>
      <w:r w:rsidRPr="00075613">
        <w:rPr>
          <w:rFonts w:cs="B Zar" w:hint="cs"/>
          <w:rtl/>
        </w:rPr>
        <w:t xml:space="preserve"> كتاب الآداب صفوان بن يحيي</w:t>
      </w:r>
      <w:r>
        <w:rPr>
          <w:rStyle w:val="FootnoteReference"/>
          <w:rFonts w:cs="B Zar"/>
          <w:b/>
          <w:bCs/>
          <w:rtl/>
        </w:rPr>
        <w:footnoteReference w:id="464"/>
      </w:r>
      <w:r w:rsidRPr="00075613">
        <w:rPr>
          <w:rFonts w:cs="B Zar" w:hint="cs"/>
          <w:rtl/>
        </w:rPr>
        <w:t>، كتاب الآداب عتابي</w:t>
      </w:r>
      <w:r>
        <w:rPr>
          <w:rStyle w:val="FootnoteReference"/>
          <w:rFonts w:cs="B Zar"/>
          <w:b/>
          <w:bCs/>
          <w:rtl/>
        </w:rPr>
        <w:footnoteReference w:id="465"/>
      </w:r>
      <w:r w:rsidRPr="00075613">
        <w:rPr>
          <w:rFonts w:cs="B Zar" w:hint="cs"/>
          <w:rtl/>
        </w:rPr>
        <w:t>، كتاب الآداب واقدي</w:t>
      </w:r>
      <w:r>
        <w:rPr>
          <w:rStyle w:val="FootnoteReference"/>
          <w:rFonts w:cs="B Zar"/>
          <w:b/>
          <w:bCs/>
          <w:rtl/>
        </w:rPr>
        <w:footnoteReference w:id="466"/>
      </w:r>
      <w:r w:rsidRPr="00075613">
        <w:rPr>
          <w:rFonts w:cs="B Zar" w:hint="cs"/>
          <w:rtl/>
        </w:rPr>
        <w:t xml:space="preserve"> و غيره. همچنين كتاب «الاحتجاج»، كتاب «الصلوه» يا «الامالي» نام كتاب واحدي نيستند؛ بلكه عنوان كلي يا نسخ نوشته شده مي‌باشند. ابن نديم 32 كتاب را به عنوان «كتاب الامامه» ضبط كرده است. كتاب التوحيد، كتاب الزهد، كتاب قرائب القرآن، غرائب الحديث، كتاب المعرفه، كتاب الملاحم و غيره، همه نمونه‌هايي از اين گونه عناوين كلي مي‌باشند؛ زيرا اينگونه عناوين دهها، بلكه صدها كتاب را شامل مي‌شود كه در ادوار مختلف به وسيله افراد گوناگون به رشته تحرير درآمده اند. اوپانيشاد نيز عنوان يك سلسله ادبيات فلسفي ـ عرفاني است كه در طي حدود پانصد سال، به وسيله حكيمان مختلف برشته تحرير در آمده اند. مي توان گفت كه در تمام نوشتارها و رسائلي كه پس از تدوين ودا و پيش از ادبيات حماسه اي راماين و ماهابهارات در متن دين ودائي تأليف گرديده، اوپانيشاد ناميده مي شده‌اند.</w:t>
      </w:r>
    </w:p>
    <w:p w:rsidR="00075613" w:rsidRPr="00075613" w:rsidP="003C0EF5">
      <w:pPr>
        <w:widowControl w:val="0"/>
        <w:spacing w:line="420" w:lineRule="exact"/>
        <w:ind w:left="0" w:right="0"/>
        <w:jc w:val="both"/>
        <w:rPr>
          <w:rFonts w:cs="B Zar"/>
        </w:rPr>
      </w:pPr>
      <w:r w:rsidRPr="00075613">
        <w:rPr>
          <w:rFonts w:cs="B Zar" w:hint="cs"/>
          <w:rtl/>
        </w:rPr>
        <w:t>برخي از اوپانيشادها به صورت نثر و برخي در قالب شعر مي باشند. از نظر حجم نيز در ميان اوپانيشادها تنوع زيادي وجود دارد؛ مثلاً «برهدارن ياكا» اوپانيشاد و يا «چاندوگيا» اوپانيشاد، بالغ بر 150 صفحه مي باشند؛ در حاليكه اكثر اوپانيشادهاي ديگر تنها مشتمل بر 10 يا 20 صفحه و برخي از اينان تنها مشتمل بر سه و حتي دو صفحه مي باشند. مجموع رسائلي كه عنوان اوپانيشاد بر آنان نهاده شده است، بيش از دويست رساله هستند، ولي در معارف هندوها به طور كلي يكصدو هشت اوپانيشاد وجود دارد. شايد علت آن اشاره‌اي باشد كه در خود اوپانيشاد شده است. در مكتب اوپانيشاد گفته شده است كه نجات از طريق مطالعه و عمل به 108 اوپانيشاد ميسر مي باشد</w:t>
      </w:r>
      <w:r>
        <w:rPr>
          <w:rStyle w:val="FootnoteReference"/>
          <w:rFonts w:cs="B Zar"/>
          <w:sz w:val="28"/>
          <w:szCs w:val="28"/>
          <w:rtl/>
        </w:rPr>
        <w:footnoteReference w:id="467"/>
      </w:r>
      <w:r w:rsidRPr="00075613">
        <w:rPr>
          <w:rFonts w:cs="B Zar" w:hint="cs"/>
          <w:rtl/>
        </w:rPr>
        <w:t>.</w:t>
      </w:r>
      <w:r w:rsidRPr="00075613">
        <w:rPr>
          <w:rFonts w:cs="B Zar"/>
        </w:rPr>
        <w:t xml:space="preserve"> </w:t>
      </w:r>
      <w:r w:rsidRPr="00075613">
        <w:rPr>
          <w:rFonts w:cs="B Zar" w:hint="cs"/>
          <w:rtl/>
        </w:rPr>
        <w:t xml:space="preserve"> از آن جمله شصت اوپانيشاد از اعتبار برخوردار است  كه بدين قرار است:</w:t>
      </w:r>
    </w:p>
    <w:p w:rsidR="00075613" w:rsidRPr="00075613" w:rsidP="003C0EF5">
      <w:pPr>
        <w:widowControl w:val="0"/>
        <w:spacing w:line="420" w:lineRule="exact"/>
        <w:ind w:left="0" w:right="0"/>
        <w:jc w:val="both"/>
        <w:rPr>
          <w:rFonts w:cs="B Zar"/>
          <w:sz w:val="28"/>
          <w:szCs w:val="28"/>
        </w:rPr>
      </w:pPr>
    </w:p>
    <w:tbl>
      <w:tblPr>
        <w:tblStyle w:val="TableNormal"/>
        <w:bidiVisual/>
        <w:tblW w:w="4939" w:type="pct"/>
        <w:tblInd w:w="108" w:type="dxa"/>
        <w:tblLook w:val="0000"/>
      </w:tblPr>
      <w:tblGrid>
        <w:gridCol w:w="917"/>
        <w:gridCol w:w="2624"/>
        <w:gridCol w:w="2833"/>
      </w:tblGrid>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ايتاريا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Aitareya 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برهداران ياكا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Brhdaranyaka 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 xml:space="preserve">چاندوگيا اوپانيشاد </w:t>
            </w:r>
          </w:p>
        </w:tc>
        <w:tc>
          <w:tcPr>
            <w:tcW w:w="2222" w:type="pct"/>
          </w:tcPr>
          <w:p w:rsidR="00075613" w:rsidRPr="00075613" w:rsidP="003C0EF5">
            <w:pPr>
              <w:widowControl w:val="0"/>
              <w:spacing w:line="420" w:lineRule="exact"/>
              <w:ind w:left="0" w:right="0"/>
              <w:jc w:val="both"/>
              <w:rPr>
                <w:rFonts w:cs="B Zar"/>
              </w:rPr>
            </w:pPr>
            <w:r w:rsidRPr="00075613">
              <w:rPr>
                <w:rFonts w:cs="B Zar"/>
              </w:rPr>
              <w:t>Chandogya 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كاتهاكا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Kathaka 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كاوسيتاكي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Kausitaki 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كينا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 xml:space="preserve">Kena Upanishad </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ماهانارايانا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Mahanarayana 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مايترايانا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Maitrayana 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سويتاسواتارا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Svetasvatara 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تايتيريا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Taittiriya 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امرتابيندو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Amrtabindu</w:t>
            </w:r>
            <w:r w:rsidRPr="00075613">
              <w:rPr>
                <w:rFonts w:cs="B Zar" w:hint="cs"/>
                <w:rtl/>
              </w:rPr>
              <w:t xml:space="preserve"> </w:t>
            </w:r>
            <w:r w:rsidRPr="00075613">
              <w:rPr>
                <w:rFonts w:cs="B Zar"/>
              </w:rPr>
              <w:t xml:space="preserve">Upanishad </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8"/>
                <w:szCs w:val="28"/>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آرسيا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Arseya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8"/>
                <w:szCs w:val="28"/>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ارونييا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Aruneya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8"/>
                <w:szCs w:val="28"/>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اسراما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Asrama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8"/>
                <w:szCs w:val="28"/>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اثاروا سيكها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Atharvasikha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8"/>
                <w:szCs w:val="28"/>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اثاروا سيراس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Atharvasiras</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اتما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Atma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اتما پرا بودها اوپانيشاد</w:t>
            </w:r>
          </w:p>
        </w:tc>
        <w:tc>
          <w:tcPr>
            <w:tcW w:w="2222" w:type="pct"/>
          </w:tcPr>
          <w:p w:rsidR="00075613" w:rsidRPr="00075613" w:rsidP="003C0EF5">
            <w:pPr>
              <w:widowControl w:val="0"/>
              <w:spacing w:line="420" w:lineRule="exact"/>
              <w:ind w:left="0" w:right="0"/>
              <w:jc w:val="both"/>
              <w:rPr>
                <w:rFonts w:cs="B Zar" w:hint="cs"/>
                <w:rtl/>
              </w:rPr>
            </w:pPr>
            <w:r w:rsidRPr="00075613">
              <w:rPr>
                <w:rFonts w:cs="B Zar"/>
              </w:rPr>
              <w:t>Atmapra-bodha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باسكالا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Baskala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برهما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Brahma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برهما بيندو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Brahmabindu</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برهما ويديا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Brahmavidya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چهاگالييا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hint="cs"/>
                <w:rtl/>
              </w:rPr>
              <w:t xml:space="preserve"> </w:t>
            </w:r>
            <w:r w:rsidRPr="00075613">
              <w:rPr>
                <w:rFonts w:cs="B Zar"/>
              </w:rPr>
              <w:t>Chagaleya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كوليك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Culika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دهيانابيندو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Dhayanabindu</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گاربها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Garbha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گارودا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Garuda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هامسا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Hamsa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ايسا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Isa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جابالا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Jabala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كيوالييا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Kaivaliya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لالاگ نيرودا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Lalagniruda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كانتها سروتي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Kanthasruti</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كسوريكا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Ksurika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ماها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Maha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ماندوكيا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Mandukya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tl/>
              </w:rPr>
            </w:pPr>
            <w:r w:rsidRPr="00075613">
              <w:rPr>
                <w:rFonts w:cs="B Zar" w:hint="cs"/>
                <w:rtl/>
              </w:rPr>
              <w:t>مونداكا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Mundaka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مرتيو لانگالا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Mrtyulangala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نادا بيندو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Nadabindu</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نارايانا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Narayana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نيلا رودرا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Nilarudra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نرسيمها پورواتاپانييا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Nrsimha –purvatapaniya</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نرسيمها اوتاراتانيا اوپانيشاد</w:t>
            </w:r>
          </w:p>
        </w:tc>
        <w:tc>
          <w:tcPr>
            <w:tcW w:w="2222" w:type="pct"/>
          </w:tcPr>
          <w:p w:rsidR="00075613" w:rsidRPr="00075613" w:rsidP="00113D13">
            <w:pPr>
              <w:widowControl w:val="0"/>
              <w:spacing w:line="360" w:lineRule="exact"/>
              <w:ind w:left="0" w:right="0"/>
              <w:jc w:val="left"/>
              <w:rPr>
                <w:rFonts w:cs="B Zar"/>
              </w:rPr>
            </w:pPr>
            <w:r w:rsidRPr="00075613">
              <w:rPr>
                <w:rFonts w:cs="B Zar"/>
              </w:rPr>
              <w:t>Nrsimha uttaraataaniya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پينگالا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Paingala</w:t>
            </w:r>
            <w:r w:rsidRPr="00075613">
              <w:rPr>
                <w:rFonts w:cs="B Zar" w:hint="cs"/>
                <w:rtl/>
              </w:rPr>
              <w:t xml:space="preserve"> </w:t>
            </w:r>
            <w:r w:rsidRPr="00075613">
              <w:rPr>
                <w:rFonts w:cs="B Zar"/>
              </w:rPr>
              <w:t>Upanishad</w:t>
            </w:r>
            <w:r w:rsidRPr="00075613">
              <w:rPr>
                <w:rFonts w:cs="B Zar" w:hint="cs"/>
                <w:rtl/>
              </w:rPr>
              <w:t xml:space="preserve"> </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پارام هامسا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Paramahamsa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پيندا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Pinda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پران اگني هوتر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Pranagnihotra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پراناوا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Pranava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پرسنا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Prasna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پوروشاسكوتا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Purusaskuta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راما پورواتا پانيا اوپانيشاد</w:t>
            </w:r>
          </w:p>
        </w:tc>
        <w:tc>
          <w:tcPr>
            <w:tcW w:w="2222" w:type="pct"/>
          </w:tcPr>
          <w:p w:rsidR="00075613" w:rsidRPr="00075613" w:rsidP="00113D13">
            <w:pPr>
              <w:widowControl w:val="0"/>
              <w:spacing w:line="360" w:lineRule="exact"/>
              <w:ind w:left="0" w:right="0"/>
              <w:jc w:val="left"/>
              <w:rPr>
                <w:rFonts w:cs="B Zar"/>
              </w:rPr>
            </w:pPr>
            <w:r w:rsidRPr="00075613">
              <w:rPr>
                <w:rFonts w:cs="B Zar"/>
              </w:rPr>
              <w:t>Rama-purvata-paniya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راما اوتاراتا پانيا اوپانيشاد</w:t>
            </w:r>
          </w:p>
        </w:tc>
        <w:tc>
          <w:tcPr>
            <w:tcW w:w="2222" w:type="pct"/>
          </w:tcPr>
          <w:p w:rsidR="00075613" w:rsidRPr="00075613" w:rsidP="00113D13">
            <w:pPr>
              <w:widowControl w:val="0"/>
              <w:spacing w:line="360" w:lineRule="exact"/>
              <w:ind w:left="0" w:right="0"/>
              <w:jc w:val="left"/>
              <w:rPr>
                <w:rFonts w:cs="B Zar"/>
              </w:rPr>
            </w:pPr>
            <w:r w:rsidRPr="00075613">
              <w:rPr>
                <w:rFonts w:cs="B Zar"/>
              </w:rPr>
              <w:t>Rama-uttaratapaniya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ساوناكي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Saunaka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سيوا سامكالپا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Sivasamkalpa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سام نياسا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Samnyasa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ساروو پاني ساتسارا اوپانيشاد</w:t>
            </w:r>
          </w:p>
        </w:tc>
        <w:tc>
          <w:tcPr>
            <w:tcW w:w="2222" w:type="pct"/>
          </w:tcPr>
          <w:p w:rsidR="00075613" w:rsidRPr="00075613" w:rsidP="00113D13">
            <w:pPr>
              <w:widowControl w:val="0"/>
              <w:spacing w:line="360" w:lineRule="exact"/>
              <w:ind w:left="0" w:right="0"/>
              <w:jc w:val="left"/>
              <w:rPr>
                <w:rFonts w:cs="B Zar"/>
              </w:rPr>
            </w:pPr>
            <w:r w:rsidRPr="00075613">
              <w:rPr>
                <w:rFonts w:cs="B Zar"/>
              </w:rPr>
              <w:t>Sarvopanisatsara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تاديوا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Tadeva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تيجو بيندو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Tejobindu</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يوگا سيكها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Yogasikha</w:t>
            </w:r>
            <w:r w:rsidRPr="00075613">
              <w:rPr>
                <w:rFonts w:cs="B Zar" w:hint="cs"/>
                <w:rtl/>
              </w:rPr>
              <w:t xml:space="preserve"> </w:t>
            </w:r>
            <w:r w:rsidRPr="00075613">
              <w:rPr>
                <w:rFonts w:cs="B Zar"/>
              </w:rPr>
              <w:t>Upanishad</w:t>
            </w:r>
          </w:p>
        </w:tc>
      </w:tr>
      <w:tr>
        <w:tblPrEx>
          <w:tblW w:w="4939" w:type="pct"/>
          <w:tblInd w:w="108" w:type="dxa"/>
          <w:tblLook w:val="0000"/>
        </w:tblPrEx>
        <w:tc>
          <w:tcPr>
            <w:tcW w:w="720" w:type="pct"/>
          </w:tcPr>
          <w:p w:rsidR="00075613" w:rsidRPr="00075613" w:rsidP="003C0EF5">
            <w:pPr>
              <w:widowControl w:val="0"/>
              <w:numPr>
                <w:ilvl w:val="0"/>
                <w:numId w:val="27"/>
              </w:numPr>
              <w:spacing w:line="420" w:lineRule="exact"/>
              <w:ind w:left="720" w:right="0"/>
              <w:jc w:val="both"/>
              <w:rPr>
                <w:rFonts w:cs="B Zar" w:hint="cs"/>
                <w:sz w:val="26"/>
              </w:rPr>
            </w:pPr>
          </w:p>
        </w:tc>
        <w:tc>
          <w:tcPr>
            <w:tcW w:w="2058" w:type="pct"/>
          </w:tcPr>
          <w:p w:rsidR="00075613" w:rsidRPr="00075613" w:rsidP="003C0EF5">
            <w:pPr>
              <w:widowControl w:val="0"/>
              <w:spacing w:line="420" w:lineRule="exact"/>
              <w:ind w:left="0" w:right="0"/>
              <w:jc w:val="both"/>
              <w:rPr>
                <w:rFonts w:cs="B Zar" w:hint="cs"/>
              </w:rPr>
            </w:pPr>
            <w:r w:rsidRPr="00075613">
              <w:rPr>
                <w:rFonts w:cs="B Zar" w:hint="cs"/>
                <w:rtl/>
              </w:rPr>
              <w:t>يوگا تاتوا اوپانيشاد</w:t>
            </w:r>
          </w:p>
        </w:tc>
        <w:tc>
          <w:tcPr>
            <w:tcW w:w="2222" w:type="pct"/>
          </w:tcPr>
          <w:p w:rsidR="00075613" w:rsidRPr="00075613" w:rsidP="003C0EF5">
            <w:pPr>
              <w:widowControl w:val="0"/>
              <w:spacing w:line="420" w:lineRule="exact"/>
              <w:ind w:left="0" w:right="0"/>
              <w:jc w:val="both"/>
              <w:rPr>
                <w:rFonts w:cs="B Zar"/>
              </w:rPr>
            </w:pPr>
            <w:r w:rsidRPr="00075613">
              <w:rPr>
                <w:rFonts w:cs="B Zar"/>
              </w:rPr>
              <w:t>Yogatattva</w:t>
            </w:r>
            <w:r w:rsidRPr="00075613">
              <w:rPr>
                <w:rFonts w:cs="B Zar" w:hint="cs"/>
                <w:rtl/>
              </w:rPr>
              <w:t xml:space="preserve"> </w:t>
            </w:r>
            <w:r w:rsidRPr="00075613">
              <w:rPr>
                <w:rFonts w:cs="B Zar"/>
              </w:rPr>
              <w:t>Upanishad</w:t>
            </w:r>
          </w:p>
        </w:tc>
      </w:tr>
    </w:tbl>
    <w:p w:rsidR="00075613" w:rsidRPr="00075613" w:rsidP="00113D13">
      <w:pPr>
        <w:widowControl w:val="0"/>
        <w:spacing w:line="420" w:lineRule="exact"/>
        <w:ind w:left="0" w:right="0"/>
        <w:jc w:val="both"/>
        <w:rPr>
          <w:rFonts w:cs="B Zar" w:hint="cs"/>
          <w:rtl/>
        </w:rPr>
      </w:pPr>
      <w:r w:rsidRPr="00075613">
        <w:rPr>
          <w:rFonts w:cs="B Zar" w:hint="cs"/>
          <w:rtl/>
        </w:rPr>
        <w:t xml:space="preserve"> نخستين ترجمه اوپانيشادها بزبان فارسي به دستور دارا شكوه فرزند شاهنشاه شاهجهان صورت گرفت. اين مجموعه در ايران كه به عنوان «اوپانيشاد» يا «سراكبر» از انتشارات محمد علي علمي در تهران منتشر شده و آن را دكتر تاراچند، مورخ بنام هند و دكتر سيد محمد رضا جلالي نائيني ويراستاري كرده اند، در دو جلد مي باشد. </w:t>
      </w:r>
    </w:p>
    <w:p w:rsidR="000027DC" w:rsidP="00D229A7">
      <w:pPr>
        <w:widowControl w:val="0"/>
        <w:spacing w:line="430" w:lineRule="exact"/>
        <w:ind w:left="0" w:right="0"/>
        <w:jc w:val="both"/>
        <w:rPr>
          <w:rFonts w:cs="B Zar" w:hint="cs"/>
          <w:rtl/>
        </w:rPr>
      </w:pPr>
      <w:r w:rsidRPr="00075613" w:rsidR="00075613">
        <w:rPr>
          <w:rFonts w:cs="B Zar" w:hint="cs"/>
          <w:rtl/>
        </w:rPr>
        <w:t>عملاً مجموعه داراشكوه داراي 49 اوپانيشاد مي باشد.  تايتيرييا اوپانيشاد در اين مجموعه در دو بخش تقسيم شده و هر بخش به عنوان اوپانيشاد مستقلي است. مجموعه داراشكوه، گذشته از ترجمه دقيق در بعضي موارد، سبك آن قديمي است، و حذف مطالب و حتي فصول آن زياد ديده مي شود؛ از اين نظر قابل ايراد است كه برخي از مهمترين اوپانيشادها را ناديده گرفته و بسياري از اوپانيشادهاي متأخر و حتي مجعول را در كتاب آورده است. البته اهميت تاريخي «سراكبر» به هيچ وجه قابل انكار نيست؛ چراكه نخستين تلاش براي گردهم آوردن اين نوشتارهاي مهم باستاني و ترجمه آنها به زبان خارجي است. اروپا از طريق همين مجموعه پارسي به عظمت اوپانيشادها به عنوان آثار فلسفي و عرفاني پي برد.</w:t>
      </w:r>
      <w:r>
        <w:rPr>
          <w:rFonts w:cs="B Zar" w:hint="cs"/>
          <w:rtl/>
        </w:rPr>
        <w:t xml:space="preserve"> </w:t>
      </w:r>
      <w:r w:rsidRPr="00075613" w:rsidR="00075613">
        <w:rPr>
          <w:rFonts w:cs="B Zar" w:hint="cs"/>
          <w:rtl/>
        </w:rPr>
        <w:t>داراشكوه اين مجموعه را در سال 1656م تأليف كرد.</w:t>
      </w:r>
    </w:p>
    <w:p w:rsidR="009279E7" w:rsidP="009279E7">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rtl/>
        </w:rPr>
      </w:pPr>
      <w:r w:rsidRPr="00075613">
        <w:rPr>
          <w:rFonts w:cs="B Zar" w:hint="cs"/>
          <w:rtl/>
        </w:rPr>
        <w:t xml:space="preserve">دانشمندي به نام دوپرن </w:t>
      </w:r>
      <w:r w:rsidRPr="00075613">
        <w:rPr>
          <w:rFonts w:cs="B Zar"/>
        </w:rPr>
        <w:t>(Anquilil Duperon)</w:t>
      </w:r>
      <w:r w:rsidRPr="00075613">
        <w:rPr>
          <w:rFonts w:cs="B Zar" w:hint="cs"/>
          <w:rtl/>
        </w:rPr>
        <w:t xml:space="preserve">، آنرا به عنوان «اوپنكهات» </w:t>
      </w:r>
      <w:r w:rsidRPr="00075613">
        <w:rPr>
          <w:rFonts w:cs="B Zar"/>
        </w:rPr>
        <w:t>(Openkhat)</w:t>
      </w:r>
      <w:r w:rsidRPr="00075613">
        <w:rPr>
          <w:rFonts w:cs="B Zar" w:hint="cs"/>
          <w:rtl/>
        </w:rPr>
        <w:t xml:space="preserve"> به زبان لاتيني در آورد</w:t>
      </w:r>
      <w:r>
        <w:rPr>
          <w:rStyle w:val="FootnoteReference"/>
          <w:rFonts w:cs="B Zar"/>
          <w:sz w:val="28"/>
          <w:szCs w:val="28"/>
          <w:rtl/>
        </w:rPr>
        <w:footnoteReference w:id="468"/>
      </w:r>
      <w:r w:rsidRPr="00075613">
        <w:rPr>
          <w:rFonts w:cs="B Zar" w:hint="cs"/>
          <w:rtl/>
        </w:rPr>
        <w:t xml:space="preserve">. همين مجموعه به دست شوپهناور فيلسوف آلماني رسيد و او را چنان تحت تأثير قرار داد، كه او اوپانيشاد را راهگشا و راهنماي انديشه بشر در عصر جديد دانست. </w:t>
      </w:r>
      <w:r w:rsidRPr="00075613">
        <w:rPr>
          <w:rFonts w:cs="B Zar" w:hint="cs"/>
          <w:i/>
          <w:iCs/>
          <w:rtl/>
        </w:rPr>
        <w:t xml:space="preserve">كول بروك </w:t>
      </w:r>
      <w:r w:rsidRPr="00075613">
        <w:rPr>
          <w:rFonts w:cs="B Zar" w:hint="cs"/>
          <w:rtl/>
        </w:rPr>
        <w:t xml:space="preserve">نيز در مجموعه خود پنجاه اوپانيشاد را ترجمه نمود. هر دو مجموعه، مبتني بر فهرستي هستند كه </w:t>
      </w:r>
      <w:r w:rsidRPr="00075613">
        <w:rPr>
          <w:rFonts w:cs="B Zar" w:hint="cs"/>
          <w:iCs/>
          <w:rtl/>
        </w:rPr>
        <w:t>نارايانا،</w:t>
      </w:r>
      <w:r w:rsidRPr="00075613">
        <w:rPr>
          <w:rFonts w:cs="B Zar" w:hint="cs"/>
          <w:rtl/>
        </w:rPr>
        <w:t xml:space="preserve"> يكي از علماي معروف هندوها، آنها  را تهيه نموده است. در دوره جديد، بزرگترين نقش را در معرفي و ترويج اوپانيشاد در مغرب زمين ، پال ديوسن </w:t>
      </w:r>
      <w:r w:rsidRPr="00075613">
        <w:rPr>
          <w:rFonts w:cs="B Zar"/>
        </w:rPr>
        <w:t>(Paul Deussen)</w:t>
      </w:r>
      <w:r w:rsidRPr="00075613">
        <w:rPr>
          <w:rFonts w:cs="B Zar" w:hint="cs"/>
          <w:rtl/>
        </w:rPr>
        <w:t xml:space="preserve"> به عهده داشته است. او در سال 1905، شصت عدد از اوپانيشادها را به زبان آلماني منتشر كرد. او همچنين شرح و حواشي مفصلي بر اوپانيشاد نگاشت. ترجمه تفسير </w:t>
      </w:r>
      <w:r w:rsidRPr="00075613">
        <w:rPr>
          <w:rFonts w:cs="B Zar" w:hint="cs"/>
          <w:iCs/>
          <w:rtl/>
        </w:rPr>
        <w:t>ديوسن</w:t>
      </w:r>
      <w:r w:rsidRPr="00075613">
        <w:rPr>
          <w:rFonts w:cs="B Zar" w:hint="cs"/>
          <w:rtl/>
        </w:rPr>
        <w:t xml:space="preserve"> هنوز از با ارزش‌ترين و معتبرترين ترجمه‌هاي موجود بشمار مي‌رود. ورم ـ بيديكر و ج ـ ب پيسوله، مجموعه ديوسن را به انگليسي برگردانده اند. اين اثر در سال 1980 در دهلي منتشر شده و از نظر ادبي از بهترين ترجمه‌‌هاي اوپانيشادها به زبان انگليسي محسوب مي شود. مجموعه ديوسن، فهرست يادشده قبلي اوپانيشادها را دربر مي گيرد.</w:t>
      </w:r>
    </w:p>
    <w:p w:rsidR="00075613" w:rsidP="003C0EF5">
      <w:pPr>
        <w:widowControl w:val="0"/>
        <w:spacing w:line="420" w:lineRule="exact"/>
        <w:ind w:left="0" w:right="0"/>
        <w:jc w:val="both"/>
        <w:rPr>
          <w:rFonts w:cs="B Zar" w:hint="cs"/>
          <w:rtl/>
        </w:rPr>
      </w:pPr>
      <w:r w:rsidRPr="00075613">
        <w:rPr>
          <w:rFonts w:cs="B Zar" w:hint="cs"/>
          <w:rtl/>
        </w:rPr>
        <w:t xml:space="preserve"> مجموعه اوپانيشادها، مجموعه داراشكوه و مجموعه ديوسن كه در سلسله انتشارات سالگره منتشر شده اند، 135 عدد مي باشند.</w:t>
      </w:r>
    </w:p>
    <w:p w:rsidR="005B5330"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اوپانيشادهاي اصلي و اوليه و دسته بندي آنها:</w:t>
      </w:r>
    </w:p>
    <w:p w:rsidR="00075613" w:rsidRPr="00075613" w:rsidP="003C0EF5">
      <w:pPr>
        <w:widowControl w:val="0"/>
        <w:spacing w:line="420" w:lineRule="exact"/>
        <w:ind w:left="0" w:right="0"/>
        <w:jc w:val="both"/>
        <w:rPr>
          <w:rFonts w:cs="B Zar" w:hint="cs"/>
          <w:rtl/>
        </w:rPr>
      </w:pPr>
      <w:r w:rsidRPr="00075613">
        <w:rPr>
          <w:rFonts w:cs="B Zar" w:hint="cs"/>
          <w:rtl/>
        </w:rPr>
        <w:t>از ميان اين همه رسائل و جزوات كه عنوان اوپانيشاد را بر خود نهاده اند، علماء و دانشمندان تنها معدودي چند از نوشتارهائي را كه بلافاصله پس از سپري شدن دوره ودا</w:t>
      </w:r>
      <w:r w:rsidRPr="00075613">
        <w:rPr>
          <w:rFonts w:cs="B Zar"/>
        </w:rPr>
        <w:t>(Veda)</w:t>
      </w:r>
      <w:r w:rsidRPr="00075613">
        <w:rPr>
          <w:rFonts w:cs="B Zar" w:hint="cs"/>
          <w:rtl/>
        </w:rPr>
        <w:t xml:space="preserve"> و برهمانا</w:t>
      </w:r>
      <w:r w:rsidRPr="00075613">
        <w:rPr>
          <w:rFonts w:cs="B Zar"/>
        </w:rPr>
        <w:t xml:space="preserve"> (Brahmana)</w:t>
      </w:r>
      <w:r w:rsidRPr="00075613">
        <w:rPr>
          <w:rFonts w:cs="B Zar" w:hint="cs"/>
          <w:rtl/>
        </w:rPr>
        <w:t xml:space="preserve"> برشته تحرير درآمده و فلسفه وحدت‌الوجودي ودا نت</w:t>
      </w:r>
      <w:r w:rsidRPr="00075613">
        <w:rPr>
          <w:rFonts w:cs="B Zar"/>
        </w:rPr>
        <w:t xml:space="preserve"> (Vedanta)</w:t>
      </w:r>
      <w:r w:rsidRPr="00075613">
        <w:rPr>
          <w:rFonts w:cs="B Zar" w:hint="cs"/>
          <w:rtl/>
        </w:rPr>
        <w:t xml:space="preserve"> را منعكس مي سازد و در زمره اوپانيشادهاي اوليه و اصيل ـ كه «سروتي» (وحي منزل) تلقي مي شوند ـ محسوب مي‌كنند. بقيه رسائل و جزوات عليرغم آنكه عنوان اوپانيشاد برخود نهاده‌اند، از تأليفات دوره هاي بعدي مي باشند.</w:t>
      </w:r>
    </w:p>
    <w:p w:rsidR="00075613" w:rsidRPr="00075613" w:rsidP="003C0EF5">
      <w:pPr>
        <w:widowControl w:val="0"/>
        <w:spacing w:line="420" w:lineRule="exact"/>
        <w:ind w:left="0" w:right="0"/>
        <w:jc w:val="both"/>
        <w:rPr>
          <w:rFonts w:cs="B Zar"/>
          <w:sz w:val="26"/>
        </w:rPr>
      </w:pPr>
      <w:r w:rsidRPr="00075613">
        <w:rPr>
          <w:rFonts w:cs="B Zar" w:hint="cs"/>
          <w:rtl/>
        </w:rPr>
        <w:t xml:space="preserve">نگارش جزوه هائي بدين عنوان تا قرن شانزدهم ميلادي ادامه داشته است. بسياري از اين رسائل پس از ورود مسلمين در هند تأليف گرديده اند. گفته مي شود يكي از نويسندگان بعدي، جزوه‌اي را نيز به عنوان «الله اوپانيشاد» تحرير كرده است. البته علماء و صاحبنظران در مورد تعداد دقيق و اسامي مشخص اوپانيشادهاي اصلي و اوليه اتفاق </w:t>
      </w:r>
      <w:r w:rsidRPr="00075613">
        <w:rPr>
          <w:rFonts w:cs="B Zar" w:hint="cs"/>
          <w:sz w:val="26"/>
          <w:rtl/>
        </w:rPr>
        <w:t xml:space="preserve">نظر ندارند. اكثر آنان اوپانيشادهائي را كه </w:t>
      </w:r>
      <w:r w:rsidRPr="00075613">
        <w:rPr>
          <w:rFonts w:cs="B Zar" w:hint="cs"/>
          <w:iCs/>
          <w:sz w:val="26"/>
          <w:rtl/>
        </w:rPr>
        <w:t>شانكارا</w:t>
      </w:r>
      <w:r w:rsidRPr="00075613">
        <w:rPr>
          <w:rFonts w:cs="B Zar" w:hint="cs"/>
          <w:sz w:val="26"/>
          <w:rtl/>
        </w:rPr>
        <w:t>، حكيم بزرگ قرن هشتم، براي تفسير برگزيده است، اوپانيشادهاي اصلي و اوليه محسوب مي كنند؛ اين اوپانيشادها عباوارات اند از</w:t>
      </w:r>
      <w:r>
        <w:rPr>
          <w:rStyle w:val="FootnoteReference"/>
          <w:rFonts w:cs="B Zar"/>
          <w:sz w:val="26"/>
          <w:rtl/>
        </w:rPr>
        <w:footnoteReference w:id="469"/>
      </w:r>
      <w:r w:rsidRPr="00075613">
        <w:rPr>
          <w:rFonts w:cs="B Zar" w:hint="cs"/>
          <w:sz w:val="26"/>
          <w:rtl/>
        </w:rPr>
        <w:t>:</w:t>
      </w:r>
    </w:p>
    <w:p w:rsidR="00075613" w:rsidRPr="00075613" w:rsidP="003C0EF5">
      <w:pPr>
        <w:widowControl w:val="0"/>
        <w:spacing w:line="420" w:lineRule="exact"/>
        <w:ind w:left="0" w:right="0"/>
        <w:jc w:val="both"/>
        <w:rPr>
          <w:rFonts w:cs="B Zar"/>
          <w:iCs/>
        </w:rPr>
      </w:pPr>
      <w:r w:rsidRPr="00075613">
        <w:rPr>
          <w:rFonts w:cs="B Zar" w:hint="cs"/>
          <w:rtl/>
        </w:rPr>
        <w:t>1ـ ايسا اوپانيشاد</w:t>
      </w:r>
      <w:r w:rsidRPr="00075613">
        <w:rPr>
          <w:rFonts w:cs="B Zar"/>
        </w:rPr>
        <w:t>) Isa</w:t>
      </w:r>
      <w:r w:rsidRPr="00075613">
        <w:rPr>
          <w:rFonts w:cs="B Zar" w:hint="cs"/>
          <w:rtl/>
        </w:rPr>
        <w:t xml:space="preserve"> 2ـ كينا</w:t>
      </w:r>
      <w:r w:rsidRPr="00075613">
        <w:rPr>
          <w:rFonts w:cs="B Zar"/>
        </w:rPr>
        <w:t xml:space="preserve"> Kena</w:t>
      </w:r>
      <w:r w:rsidRPr="00075613">
        <w:rPr>
          <w:rFonts w:cs="B Zar" w:hint="cs"/>
          <w:rtl/>
        </w:rPr>
        <w:t xml:space="preserve"> 3</w:t>
      </w:r>
      <w:r w:rsidRPr="00075613">
        <w:rPr>
          <w:rFonts w:cs="B Zar"/>
        </w:rPr>
        <w:t xml:space="preserve"> </w:t>
      </w:r>
      <w:r w:rsidRPr="00075613">
        <w:rPr>
          <w:rFonts w:cs="B Zar" w:hint="cs"/>
          <w:rtl/>
        </w:rPr>
        <w:t>ـ كاتها 4ـ پاراشنا 5ـ مانداكا 6ـ ماندوكيا 7ـ تايتيرييا 8ـ ايتريا 9ـ چاندوگيا 10ـ برهداران ياكا  11ـ سويتاسواتارا.</w:t>
      </w:r>
      <w:r w:rsidRPr="00075613">
        <w:rPr>
          <w:rFonts w:cs="B Zar" w:hint="cs"/>
          <w:iCs/>
          <w:rtl/>
        </w:rPr>
        <w:t xml:space="preserve"> </w:t>
      </w:r>
    </w:p>
    <w:p w:rsidR="00075613" w:rsidRPr="00075613" w:rsidP="003C0EF5">
      <w:pPr>
        <w:widowControl w:val="0"/>
        <w:spacing w:line="420" w:lineRule="exact"/>
        <w:ind w:left="0" w:right="0"/>
        <w:jc w:val="both"/>
        <w:rPr>
          <w:rFonts w:cs="B Zar" w:hint="cs"/>
          <w:rtl/>
        </w:rPr>
      </w:pPr>
      <w:r w:rsidRPr="00075613">
        <w:rPr>
          <w:rFonts w:cs="B Zar" w:hint="cs"/>
          <w:iCs/>
          <w:rtl/>
        </w:rPr>
        <w:t>شانكارا</w:t>
      </w:r>
      <w:r w:rsidRPr="00075613">
        <w:rPr>
          <w:rFonts w:cs="B Zar" w:hint="cs"/>
          <w:rtl/>
        </w:rPr>
        <w:t xml:space="preserve"> برخي ديگر از اوپانيشادها را نام برده؛ ولي آنها را تفسير نكرده است. اين اوپانيشادها عبارت اند از: 12ـ كاوسيتاكي  13ـ جابالا 14ـ ماهانارايانا 15ـ پينگالا اوپانيشاد.</w:t>
      </w:r>
    </w:p>
    <w:p w:rsidR="00075613" w:rsidRPr="00075613" w:rsidP="003C0EF5">
      <w:pPr>
        <w:widowControl w:val="0"/>
        <w:spacing w:line="420" w:lineRule="exact"/>
        <w:ind w:left="0" w:right="0"/>
        <w:jc w:val="both"/>
        <w:rPr>
          <w:rFonts w:cs="B Zar" w:hint="cs"/>
          <w:rtl/>
        </w:rPr>
      </w:pPr>
      <w:r w:rsidRPr="00075613">
        <w:rPr>
          <w:rFonts w:cs="B Zar" w:hint="cs"/>
          <w:rtl/>
        </w:rPr>
        <w:t xml:space="preserve">تعداد اين مجموعه اوپانيشادها 15 عدد است. </w:t>
      </w:r>
      <w:r w:rsidRPr="00075613">
        <w:rPr>
          <w:rFonts w:cs="B Zar" w:hint="cs"/>
          <w:iCs/>
          <w:rtl/>
        </w:rPr>
        <w:t>رامانوجا</w:t>
      </w:r>
      <w:r w:rsidRPr="00075613">
        <w:rPr>
          <w:rFonts w:cs="B Zar" w:hint="cs"/>
          <w:rtl/>
        </w:rPr>
        <w:t>، مفسر بزرگ ديگر و بنيانگذار مكتب بهاگتي</w:t>
      </w:r>
      <w:r w:rsidRPr="00075613">
        <w:rPr>
          <w:rFonts w:cs="B Zar"/>
        </w:rPr>
        <w:t>(Bhagti)</w:t>
      </w:r>
      <w:r w:rsidRPr="00075613">
        <w:rPr>
          <w:rFonts w:cs="B Zar" w:hint="cs"/>
          <w:rtl/>
        </w:rPr>
        <w:t xml:space="preserve"> (ولايت)، علاوه بر اوپانيشادهاي پانزده گانه فوق، چهار اوپانيشاد ديگر را نيز در اين زمره قرار مي دهد كه عبارت اند از</w:t>
      </w:r>
      <w:r w:rsidRPr="00075613">
        <w:rPr>
          <w:rStyle w:val="FootnoteReference"/>
          <w:rFonts w:cs="B Zar"/>
          <w:sz w:val="28"/>
          <w:szCs w:val="28"/>
          <w:rtl/>
        </w:rPr>
        <w:t>:</w:t>
      </w:r>
      <w:r>
        <w:rPr>
          <w:rStyle w:val="FootnoteReference"/>
          <w:rFonts w:cs="B Zar"/>
          <w:sz w:val="28"/>
          <w:szCs w:val="28"/>
          <w:rtl/>
        </w:rPr>
        <w:footnoteReference w:id="470"/>
      </w:r>
      <w:r w:rsidRPr="00075613">
        <w:rPr>
          <w:rFonts w:cs="B Zar" w:hint="cs"/>
          <w:rtl/>
        </w:rPr>
        <w:t xml:space="preserve"> 16ـ سابالا 17ـ كوليكا 18 گاربها 19ـ ماها</w:t>
      </w:r>
    </w:p>
    <w:p w:rsidR="00075613" w:rsidRPr="00075613" w:rsidP="003C0EF5">
      <w:pPr>
        <w:widowControl w:val="0"/>
        <w:spacing w:line="420" w:lineRule="exact"/>
        <w:ind w:left="0" w:right="0"/>
        <w:jc w:val="both"/>
        <w:rPr>
          <w:rFonts w:cs="B Zar" w:hint="cs"/>
          <w:rtl/>
        </w:rPr>
      </w:pPr>
      <w:r w:rsidRPr="00075613">
        <w:rPr>
          <w:rFonts w:cs="B Zar" w:hint="cs"/>
          <w:rtl/>
        </w:rPr>
        <w:t xml:space="preserve">ديوسن با اينكه شصت عدد از اوپانيشادها را ترجمه نمود، ولي از اين تعداد تنها پانزده نوشتار اوپانيشاد را اصلي و اوليه مي‌داند. فهرست او تقريباً همان فهرست شانكارا است. ماكس مولر نيز همين ليست را پذيرفته است، ولي او و </w:t>
      </w:r>
      <w:r w:rsidRPr="00075613">
        <w:rPr>
          <w:rFonts w:cs="B Zar" w:hint="cs"/>
          <w:iCs/>
          <w:rtl/>
        </w:rPr>
        <w:t>شرودر</w:t>
      </w:r>
      <w:r w:rsidRPr="00075613">
        <w:rPr>
          <w:rFonts w:cs="B Zar" w:hint="cs"/>
          <w:rtl/>
        </w:rPr>
        <w:t xml:space="preserve"> </w:t>
      </w:r>
      <w:r w:rsidRPr="00075613">
        <w:rPr>
          <w:rFonts w:cs="B Zar"/>
        </w:rPr>
        <w:t>(Schroeder)</w:t>
      </w:r>
      <w:r w:rsidRPr="00075613">
        <w:rPr>
          <w:rFonts w:cs="B Zar" w:hint="cs"/>
          <w:rtl/>
        </w:rPr>
        <w:t>، مايترايانا اوپانيشاد را نيز از جمله اوپانيشادهاي اصلي مي‌دانند. نظر داس گوپتا نيز همين است.</w:t>
      </w:r>
      <w:r w:rsidR="005B5330">
        <w:rPr>
          <w:rFonts w:cs="B Zar" w:hint="cs"/>
          <w:rtl/>
        </w:rPr>
        <w:t xml:space="preserve"> </w:t>
      </w:r>
      <w:r w:rsidRPr="00075613">
        <w:rPr>
          <w:rFonts w:cs="B Zar" w:hint="cs"/>
          <w:iCs/>
          <w:rtl/>
        </w:rPr>
        <w:t>جون داوسون</w:t>
      </w:r>
      <w:r w:rsidRPr="00075613">
        <w:rPr>
          <w:rFonts w:cs="B Zar" w:hint="cs"/>
          <w:rtl/>
        </w:rPr>
        <w:t xml:space="preserve"> </w:t>
      </w:r>
      <w:r w:rsidRPr="00075613">
        <w:rPr>
          <w:rFonts w:cs="B Zar"/>
        </w:rPr>
        <w:t>(John Dowson)</w:t>
      </w:r>
      <w:r w:rsidRPr="00075613">
        <w:rPr>
          <w:rFonts w:cs="B Zar" w:hint="cs"/>
          <w:rtl/>
        </w:rPr>
        <w:t>، مهانارايانا اوپانيشاد را نيز از جمله اوپانيشادهاي اوليه مي‌داند</w:t>
      </w:r>
      <w:r>
        <w:rPr>
          <w:rStyle w:val="FootnoteReference"/>
          <w:rFonts w:cs="B Zar"/>
          <w:sz w:val="28"/>
          <w:szCs w:val="28"/>
          <w:rtl/>
        </w:rPr>
        <w:footnoteReference w:id="471"/>
      </w:r>
      <w:r w:rsidRPr="00075613">
        <w:rPr>
          <w:rFonts w:cs="B Zar" w:hint="cs"/>
          <w:rtl/>
        </w:rPr>
        <w:t xml:space="preserve">. ولي </w:t>
      </w:r>
      <w:r w:rsidRPr="00075613">
        <w:rPr>
          <w:rFonts w:cs="B Zar" w:hint="cs"/>
          <w:iCs/>
          <w:rtl/>
        </w:rPr>
        <w:t>كيث</w:t>
      </w:r>
      <w:r w:rsidRPr="00075613">
        <w:rPr>
          <w:rFonts w:cs="B Zar" w:hint="cs"/>
          <w:rtl/>
        </w:rPr>
        <w:t xml:space="preserve"> </w:t>
      </w:r>
      <w:r w:rsidRPr="00075613">
        <w:rPr>
          <w:rFonts w:cs="B Zar"/>
        </w:rPr>
        <w:t>(Keith)</w:t>
      </w:r>
      <w:r w:rsidRPr="00075613">
        <w:rPr>
          <w:rFonts w:cs="B Zar" w:hint="cs"/>
          <w:rtl/>
        </w:rPr>
        <w:t xml:space="preserve"> در كتاب «دين و فلسفه ودا و اوپانيشاد»، آن را از كتاب‌هاي متأخر شمرده است</w:t>
      </w:r>
      <w:r>
        <w:rPr>
          <w:rStyle w:val="FootnoteReference"/>
          <w:rFonts w:cs="B Zar"/>
          <w:sz w:val="28"/>
          <w:szCs w:val="28"/>
          <w:rtl/>
        </w:rPr>
        <w:footnoteReference w:id="472"/>
      </w:r>
      <w:r w:rsidRPr="00075613">
        <w:rPr>
          <w:rFonts w:cs="B Zar" w:hint="cs"/>
          <w:rtl/>
        </w:rPr>
        <w:t>. رادا كريشنان معتقد است كه اوپانيشادهاي 15 گانه مورد اشاره شانكارا به اضافه مايترايانا اوپانيشاد، از جمله اوپانيشادهاي اصلي و اوليه مي باشند</w:t>
      </w:r>
      <w:r>
        <w:rPr>
          <w:rStyle w:val="FootnoteReference"/>
          <w:rFonts w:cs="B Zar"/>
          <w:rtl/>
        </w:rPr>
        <w:footnoteReference w:id="473"/>
      </w:r>
      <w:r w:rsidRPr="00075613">
        <w:rPr>
          <w:rFonts w:cs="B Zar" w:hint="cs"/>
          <w:rtl/>
        </w:rPr>
        <w:t xml:space="preserve">. اوپانيشادهاي اوليه را نيز صاحب نظران در چند دسته تقسيم كرده‌اند. </w:t>
      </w:r>
      <w:r w:rsidRPr="00075613">
        <w:rPr>
          <w:rFonts w:cs="B Zar" w:hint="cs"/>
          <w:iCs/>
          <w:rtl/>
        </w:rPr>
        <w:t>ديوسن</w:t>
      </w:r>
      <w:r w:rsidRPr="00075613">
        <w:rPr>
          <w:rFonts w:cs="B Zar" w:hint="cs"/>
          <w:rtl/>
        </w:rPr>
        <w:t xml:space="preserve"> اين اوپانيشادها را در چهار دسته تقسيم مي كند:</w:t>
      </w:r>
    </w:p>
    <w:p w:rsidR="00075613" w:rsidRPr="00075613" w:rsidP="003C0EF5">
      <w:pPr>
        <w:widowControl w:val="0"/>
        <w:spacing w:line="420" w:lineRule="exact"/>
        <w:ind w:left="0" w:right="0"/>
        <w:jc w:val="both"/>
        <w:rPr>
          <w:rFonts w:cs="B Zar" w:hint="cs"/>
          <w:rtl/>
        </w:rPr>
      </w:pPr>
      <w:r w:rsidRPr="00075613">
        <w:rPr>
          <w:rFonts w:cs="B Zar" w:hint="cs"/>
          <w:rtl/>
        </w:rPr>
        <w:t>الف: اوپانيشادهاي نثري ودايي، اينان قديميترين اوپانيشادهاي موجود تلقي مي شوند كه به سبك رسائل برهمانا</w:t>
      </w:r>
      <w:r w:rsidRPr="00075613">
        <w:rPr>
          <w:rFonts w:cs="B Zar"/>
        </w:rPr>
        <w:t>(Brahmana)</w:t>
      </w:r>
      <w:r w:rsidRPr="00075613">
        <w:rPr>
          <w:rFonts w:cs="B Zar" w:hint="cs"/>
          <w:rtl/>
        </w:rPr>
        <w:t xml:space="preserve"> نگاشته شده‌اند. سبك سانسكريت اين دسته با سانسكريت ودا بسيار شباهت دارد. و مشتمل بر قطعات نثري مي باشند. اوپانيشادهاي اين دسته نيز به طور كلي منعكس كننده فلسفه ودانتي اند و محور آنان، كند و كاو و تأمل پيرامون ماهيت برهمان و آتمان است؛ ولي هنوز بقاياي نگرش طبيعت پرستانه ريگ ودا</w:t>
      </w:r>
      <w:r w:rsidRPr="00075613">
        <w:rPr>
          <w:rFonts w:cs="B Zar"/>
        </w:rPr>
        <w:t xml:space="preserve"> (Rig Veda)</w:t>
      </w:r>
      <w:r w:rsidRPr="00075613">
        <w:rPr>
          <w:rFonts w:cs="B Zar" w:hint="cs"/>
          <w:rtl/>
        </w:rPr>
        <w:t xml:space="preserve"> و نگرش انيمستي و طلسم گرايانه آتهارو ودا</w:t>
      </w:r>
      <w:r w:rsidRPr="00075613">
        <w:rPr>
          <w:rFonts w:cs="B Zar"/>
        </w:rPr>
        <w:t xml:space="preserve"> (Atharva Veda)</w:t>
      </w:r>
      <w:r w:rsidRPr="00075613">
        <w:rPr>
          <w:rFonts w:cs="B Zar" w:hint="cs"/>
          <w:rtl/>
        </w:rPr>
        <w:t xml:space="preserve"> و نگرش قصصي و مناسكي رسائل برهمانا ازبين نرفته است.</w:t>
      </w:r>
      <w:r>
        <w:rPr>
          <w:rStyle w:val="FootnoteReference"/>
          <w:rFonts w:cs="B Zar"/>
        </w:rPr>
        <w:footnoteReference w:id="474"/>
      </w:r>
      <w:r w:rsidRPr="00075613">
        <w:rPr>
          <w:rFonts w:cs="B Zar" w:hint="cs"/>
          <w:rtl/>
        </w:rPr>
        <w:t xml:space="preserve"> </w:t>
      </w:r>
      <w:r w:rsidRPr="00075613">
        <w:rPr>
          <w:rFonts w:cs="B Zar" w:hint="cs"/>
          <w:iCs/>
          <w:rtl/>
        </w:rPr>
        <w:t>شانكارا</w:t>
      </w:r>
      <w:r w:rsidRPr="00075613">
        <w:rPr>
          <w:rFonts w:cs="B Zar" w:hint="cs"/>
          <w:rtl/>
        </w:rPr>
        <w:t xml:space="preserve"> مي‌گويد: </w:t>
      </w:r>
      <w:r w:rsidRPr="00075613">
        <w:rPr>
          <w:rFonts w:cs="B Zar" w:hint="cs"/>
          <w:i/>
          <w:iCs/>
          <w:rtl/>
        </w:rPr>
        <w:t>«اوپانيشادهاي اوليه داراي دو عنصر هستند: «وارواني» يا بحث از ذات برهمان و «ياجناكي»</w:t>
      </w:r>
      <w:r w:rsidRPr="00075613">
        <w:rPr>
          <w:rFonts w:cs="B Zar"/>
          <w:i/>
          <w:iCs/>
        </w:rPr>
        <w:t>(Yajnaki)</w:t>
      </w:r>
      <w:r w:rsidRPr="00075613">
        <w:rPr>
          <w:rFonts w:cs="B Zar" w:hint="cs"/>
          <w:i/>
          <w:iCs/>
          <w:rtl/>
        </w:rPr>
        <w:t xml:space="preserve"> يا اشاره به مناسك و عبادات»</w:t>
      </w:r>
      <w:r>
        <w:rPr>
          <w:rStyle w:val="FootnoteReference"/>
          <w:rFonts w:cs="B Zar"/>
          <w:i/>
          <w:iCs/>
        </w:rPr>
        <w:footnoteReference w:id="475"/>
      </w:r>
      <w:r w:rsidRPr="00075613">
        <w:rPr>
          <w:rFonts w:cs="B Zar" w:hint="cs"/>
          <w:rtl/>
        </w:rPr>
        <w:t xml:space="preserve"> ديوسن در اين دسته شش اوپانيشاد را جاي مي‌دهد كه عباواراتند از: 1ـ برهداران ياكا 2ـ چاندوگيا 3ـ ايتاريا 4ـ تايتيرييا 5ـ  كاوسيتاكي 6ـ كينا.</w:t>
      </w:r>
    </w:p>
    <w:p w:rsidR="00075613" w:rsidP="003C0EF5">
      <w:pPr>
        <w:widowControl w:val="0"/>
        <w:spacing w:line="420" w:lineRule="exact"/>
        <w:ind w:left="0" w:right="0"/>
        <w:jc w:val="both"/>
        <w:rPr>
          <w:rFonts w:cs="B Zar" w:hint="cs"/>
          <w:rtl/>
        </w:rPr>
      </w:pPr>
      <w:r w:rsidRPr="00075613">
        <w:rPr>
          <w:rFonts w:cs="B Zar" w:hint="cs"/>
          <w:iCs/>
          <w:rtl/>
        </w:rPr>
        <w:t>ديوسن</w:t>
      </w:r>
      <w:r w:rsidRPr="00075613">
        <w:rPr>
          <w:rFonts w:cs="B Zar" w:hint="cs"/>
          <w:rtl/>
        </w:rPr>
        <w:t xml:space="preserve"> و </w:t>
      </w:r>
      <w:r w:rsidRPr="00075613">
        <w:rPr>
          <w:rFonts w:cs="B Zar" w:hint="cs"/>
          <w:iCs/>
          <w:rtl/>
        </w:rPr>
        <w:t>رادا كريشنان،</w:t>
      </w:r>
      <w:r w:rsidRPr="00075613">
        <w:rPr>
          <w:rFonts w:cs="B Zar" w:hint="cs"/>
          <w:rtl/>
        </w:rPr>
        <w:t xml:space="preserve"> هر دو معتقدند كه برهداران ياكا، از قديمي‌ترين اوپانيشادهاي موجود است و چاندوگيا را دومين اوپانيشاد از نظر قدمت زماني تلقي مي كنند. اين دو اوپانيشاد تعاليم اصلي ودانتي را منعكس مي سازند. هر دو بالغ بر صد و پنجاه صفحه مي‌باشند، در حاليكه اوپانيشادهاي ديگر بسيار مختصرترند و از سي تا بيست صفحه تجاوز نمي كنند. </w:t>
      </w:r>
      <w:r w:rsidRPr="00075613">
        <w:rPr>
          <w:rFonts w:cs="B Zar" w:hint="cs"/>
          <w:iCs/>
          <w:rtl/>
        </w:rPr>
        <w:t xml:space="preserve">ن ـ كـ دت </w:t>
      </w:r>
      <w:r w:rsidRPr="00075613">
        <w:rPr>
          <w:rFonts w:cs="B Zar" w:hint="cs"/>
          <w:rtl/>
        </w:rPr>
        <w:t>نيز معتقد است كه برهداران ياكا و چاندوگيا قديمي تر از ساير اوپانيشادهاي ديگر هستند. دليل او اين است كه در اين دو اوپانيشاد، تعبير «وداهاي سه‌گانه» به كار رفته است.</w:t>
      </w:r>
      <w:r>
        <w:rPr>
          <w:rStyle w:val="FootnoteReference"/>
          <w:rFonts w:cs="B Zar"/>
          <w:sz w:val="28"/>
          <w:szCs w:val="28"/>
          <w:rtl/>
        </w:rPr>
        <w:footnoteReference w:id="476"/>
      </w:r>
      <w:r w:rsidRPr="00075613">
        <w:rPr>
          <w:rFonts w:cs="B Zar" w:hint="cs"/>
          <w:rtl/>
        </w:rPr>
        <w:t xml:space="preserve"> اين نشان مي دهد كه اينان حتي پيش از زماني كه اتهارو به عنوان وداي چهارم به رسميت شناخته شود، برشته تحرير درآمده‌ است. البته در برهدارن ياكا در يك مورد تعبير «وداهاي چهارگانه» نيز به حساب مي‌آيد. </w:t>
      </w:r>
      <w:r w:rsidRPr="00075613">
        <w:rPr>
          <w:rFonts w:cs="B Zar" w:hint="cs"/>
          <w:iCs/>
          <w:rtl/>
        </w:rPr>
        <w:t xml:space="preserve">داتا </w:t>
      </w:r>
      <w:r w:rsidRPr="00075613">
        <w:rPr>
          <w:rFonts w:cs="B Zar"/>
          <w:iCs/>
        </w:rPr>
        <w:t>(Dutta)</w:t>
      </w:r>
      <w:r w:rsidRPr="00075613">
        <w:rPr>
          <w:rFonts w:cs="B Zar" w:hint="cs"/>
          <w:rtl/>
        </w:rPr>
        <w:t xml:space="preserve"> اين امر را بدينسان توجيه مي كند كه نمايانگر بخشي از قطعات متأخراند و بعداً ملحق گرديده اند</w:t>
      </w:r>
      <w:r w:rsidRPr="00075613">
        <w:rPr>
          <w:rStyle w:val="FootnoteReference"/>
          <w:rFonts w:cs="B Zar"/>
          <w:sz w:val="28"/>
          <w:szCs w:val="28"/>
          <w:rtl/>
        </w:rPr>
        <w:t>.</w:t>
      </w:r>
      <w:r>
        <w:rPr>
          <w:rStyle w:val="FootnoteReference"/>
          <w:rFonts w:cs="B Zar"/>
          <w:sz w:val="28"/>
          <w:szCs w:val="28"/>
          <w:rtl/>
        </w:rPr>
        <w:footnoteReference w:id="477"/>
      </w:r>
      <w:r w:rsidRPr="00075613">
        <w:rPr>
          <w:rFonts w:cs="B Zar" w:hint="cs"/>
          <w:rtl/>
        </w:rPr>
        <w:t xml:space="preserve"> البته </w:t>
      </w:r>
      <w:r w:rsidRPr="00075613">
        <w:rPr>
          <w:rFonts w:cs="B Zar" w:hint="cs"/>
          <w:iCs/>
          <w:rtl/>
        </w:rPr>
        <w:t>كيث</w:t>
      </w:r>
      <w:r w:rsidRPr="00075613">
        <w:rPr>
          <w:rFonts w:cs="B Zar"/>
          <w:iCs/>
        </w:rPr>
        <w:t xml:space="preserve"> (Keith)</w:t>
      </w:r>
      <w:r w:rsidRPr="00075613">
        <w:rPr>
          <w:rFonts w:cs="B Zar" w:hint="cs"/>
          <w:rtl/>
        </w:rPr>
        <w:t xml:space="preserve"> با اين نظر موافق نيست و او ايتاريا اوپانيشاد را قديمي ترين اوپانيشاد مي داند. اين اوپانيشاد بخش سوم و چهارم «ايتاريا آرن ياكا» را تشكيل مي دهد. بر حسب نظر كيث برهدارن ياكا و چاندوگيا از نظر قدمت زماني در وهله دوم و سوم قرار دارند.</w:t>
      </w:r>
    </w:p>
    <w:p w:rsidR="005C6A3A" w:rsidRPr="00075613"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ب: اوپانيشادهاي منظوم:</w:t>
      </w:r>
    </w:p>
    <w:p w:rsidR="00075613" w:rsidRPr="00075613" w:rsidP="003C0EF5">
      <w:pPr>
        <w:widowControl w:val="0"/>
        <w:spacing w:line="420" w:lineRule="exact"/>
        <w:ind w:left="0" w:right="0"/>
        <w:jc w:val="both"/>
        <w:rPr>
          <w:rFonts w:cs="B Zar" w:hint="cs"/>
          <w:rtl/>
        </w:rPr>
      </w:pPr>
      <w:r w:rsidRPr="00075613">
        <w:rPr>
          <w:rFonts w:cs="B Zar" w:hint="cs"/>
          <w:rtl/>
        </w:rPr>
        <w:t>دسته سوم از اوپانيشادهاي اوليه مشتمل بر رسائل منظوم و شعري است. اينان از نظر سبك نگارش شيواتر و از نظر محتوي ژرف تر و لطيف تر از رسائل دسته اول هستند. اين رسائل به سبك شعر هستند و با سبك باگواتا گيتا</w:t>
      </w:r>
      <w:r w:rsidRPr="00075613">
        <w:rPr>
          <w:rFonts w:cs="B Zar"/>
        </w:rPr>
        <w:t xml:space="preserve">(Bhagvata Gita) </w:t>
      </w:r>
      <w:r w:rsidRPr="00075613">
        <w:rPr>
          <w:rFonts w:cs="B Zar" w:hint="cs"/>
          <w:rtl/>
        </w:rPr>
        <w:t xml:space="preserve"> بسيار مشابه‌اند؛ به همين جهت، برخي صاحبنظران به اين نتيجه رسيده اند كه اوپانيشادهاي منظوم، بلافاصله پيش از تدوين گيتا صورت گرفته اند. ديوسن</w:t>
      </w:r>
      <w:r w:rsidRPr="00075613">
        <w:rPr>
          <w:rFonts w:cs="B Zar" w:hint="cs"/>
          <w:iCs/>
          <w:rtl/>
        </w:rPr>
        <w:t>،</w:t>
      </w:r>
      <w:r w:rsidRPr="00075613">
        <w:rPr>
          <w:rFonts w:cs="B Zar" w:hint="cs"/>
          <w:rtl/>
        </w:rPr>
        <w:t xml:space="preserve"> اوپانيشادهاي زير را در اين دسته‌ها قرار مي‌دهد:</w:t>
      </w:r>
    </w:p>
    <w:p w:rsidR="00075613" w:rsidRPr="00075613" w:rsidP="003C0EF5">
      <w:pPr>
        <w:widowControl w:val="0"/>
        <w:spacing w:line="420" w:lineRule="exact"/>
        <w:ind w:left="0" w:right="0"/>
        <w:jc w:val="both"/>
        <w:rPr>
          <w:rFonts w:cs="B Zar" w:hint="cs"/>
          <w:rtl/>
        </w:rPr>
      </w:pPr>
      <w:r w:rsidRPr="00075613">
        <w:rPr>
          <w:rFonts w:cs="B Zar" w:hint="cs"/>
          <w:rtl/>
        </w:rPr>
        <w:t>1ـ كينا اوپانيشاد: اين اوپانيشاد مرحله انتقال را از مرحله اول به مرحله دوم تشكيل مي‌دهد؛ نيمي از اين رساله در نثر و نيمي ديگر به صورت شعر نگاشته شده است. رادا كريشنان و ونترنيتز</w:t>
      </w:r>
      <w:r w:rsidRPr="00075613">
        <w:rPr>
          <w:rFonts w:cs="B Zar"/>
        </w:rPr>
        <w:t>(Winter Nitz)</w:t>
      </w:r>
      <w:r w:rsidRPr="00075613">
        <w:rPr>
          <w:rFonts w:cs="B Zar" w:hint="cs"/>
          <w:rtl/>
        </w:rPr>
        <w:t>، آن را در دسته اول جاي داده و آخرين اوپانيشادآن دسته محسوب كرده اند.</w:t>
      </w:r>
    </w:p>
    <w:p w:rsidR="00075613" w:rsidRPr="00075613" w:rsidP="003C0EF5">
      <w:pPr>
        <w:widowControl w:val="0"/>
        <w:spacing w:line="420" w:lineRule="exact"/>
        <w:ind w:left="0" w:right="0"/>
        <w:jc w:val="both"/>
        <w:rPr>
          <w:rFonts w:cs="B Zar" w:hint="cs"/>
          <w:rtl/>
        </w:rPr>
      </w:pPr>
      <w:r w:rsidRPr="00075613">
        <w:rPr>
          <w:rFonts w:cs="B Zar" w:hint="cs"/>
          <w:rtl/>
        </w:rPr>
        <w:t>2ـ كاتها اوپانيشاد: در دسته دوم كاتها پس از كنا از همه قديمي تر است. سبك آن به بخش منظوم كين بسيار شباهت دارد. در اين اوپانيشاد برخي عناصر فلسفه سام كهيا و يوگا نيز ديده مي شود.</w:t>
      </w:r>
    </w:p>
    <w:p w:rsidR="00075613" w:rsidRPr="00075613" w:rsidP="003C0EF5">
      <w:pPr>
        <w:widowControl w:val="0"/>
        <w:spacing w:line="420" w:lineRule="exact"/>
        <w:ind w:left="0" w:right="0"/>
        <w:jc w:val="both"/>
        <w:rPr>
          <w:rFonts w:cs="B Zar" w:hint="cs"/>
          <w:rtl/>
        </w:rPr>
      </w:pPr>
      <w:r w:rsidRPr="00075613">
        <w:rPr>
          <w:rFonts w:cs="B Zar" w:hint="cs"/>
          <w:rtl/>
        </w:rPr>
        <w:t>3ـ ايشا اوپانيشاد: اين اوپانيشاد به طور صريح بر كاتها مبتني است.</w:t>
      </w:r>
    </w:p>
    <w:p w:rsidR="00075613" w:rsidRPr="00075613" w:rsidP="003C0EF5">
      <w:pPr>
        <w:widowControl w:val="0"/>
        <w:spacing w:line="420" w:lineRule="exact"/>
        <w:ind w:left="0" w:right="0"/>
        <w:jc w:val="both"/>
        <w:rPr>
          <w:rFonts w:cs="B Zar" w:hint="cs"/>
          <w:rtl/>
        </w:rPr>
      </w:pPr>
      <w:r w:rsidRPr="00075613">
        <w:rPr>
          <w:rFonts w:cs="B Zar" w:hint="cs"/>
          <w:rtl/>
        </w:rPr>
        <w:t xml:space="preserve">4ـ سويتاسواتارا اوپانيشاد: </w:t>
      </w:r>
      <w:r w:rsidRPr="00075613">
        <w:rPr>
          <w:rFonts w:cs="B Zar" w:hint="cs"/>
          <w:iCs/>
          <w:rtl/>
        </w:rPr>
        <w:t>كيث</w:t>
      </w:r>
      <w:r w:rsidRPr="00075613">
        <w:rPr>
          <w:rFonts w:cs="B Zar" w:hint="cs"/>
          <w:rtl/>
        </w:rPr>
        <w:t xml:space="preserve"> معنقد است كه برخي قسمتهاي اين اوپانيشاد نمايانگر آن است كه نويسندگان آن از مطالب كاتها باخبر بوده‌اند. در اين اوپانيشاد براي نخستين بار گرايشات فرقه اي نيز ديده مي‌شود. ديدگاههاي مكتب سام كهيا</w:t>
      </w:r>
      <w:r w:rsidRPr="00075613">
        <w:rPr>
          <w:rFonts w:cs="B Zar"/>
        </w:rPr>
        <w:t xml:space="preserve"> (Samkhia)</w:t>
      </w:r>
      <w:r w:rsidRPr="00075613">
        <w:rPr>
          <w:rFonts w:cs="B Zar" w:hint="cs"/>
          <w:rtl/>
        </w:rPr>
        <w:t xml:space="preserve"> و يوگا</w:t>
      </w:r>
      <w:r w:rsidRPr="00075613">
        <w:rPr>
          <w:rFonts w:cs="B Zar"/>
        </w:rPr>
        <w:t>(Yoga)</w:t>
      </w:r>
      <w:r w:rsidRPr="00075613">
        <w:rPr>
          <w:rFonts w:cs="B Zar" w:hint="cs"/>
          <w:rtl/>
        </w:rPr>
        <w:t xml:space="preserve"> به وضوح در آن منعكس شده اند. اين امر ثابت مي كند كه سويتاسواتارا اوپانيشاد ، متأخر تر از كينا اوپانيشاد وكاتها است.</w:t>
      </w:r>
    </w:p>
    <w:p w:rsidR="00075613" w:rsidRPr="00075613" w:rsidP="003C0EF5">
      <w:pPr>
        <w:widowControl w:val="0"/>
        <w:spacing w:line="420" w:lineRule="exact"/>
        <w:ind w:left="0" w:right="0"/>
        <w:jc w:val="both"/>
        <w:rPr>
          <w:rFonts w:cs="B Zar"/>
        </w:rPr>
      </w:pPr>
      <w:r w:rsidRPr="00075613">
        <w:rPr>
          <w:rFonts w:cs="B Zar" w:hint="cs"/>
          <w:rtl/>
        </w:rPr>
        <w:t>5ـ مانداكا اوپانيشاد: اين اوپانيشاد بر سويتاسواتار</w:t>
      </w:r>
      <w:r w:rsidRPr="00075613">
        <w:rPr>
          <w:rFonts w:cs="B Zar"/>
        </w:rPr>
        <w:t xml:space="preserve"> </w:t>
      </w:r>
      <w:r w:rsidRPr="00075613">
        <w:rPr>
          <w:rFonts w:cs="B Zar" w:hint="cs"/>
          <w:rtl/>
        </w:rPr>
        <w:t>مبتني است. مانداكا آخرين اوپانيشاد اين دسته از اوپانيشاد هاي منظوم و شعري قديم است.</w:t>
      </w:r>
      <w:r w:rsidRPr="00075613">
        <w:rPr>
          <w:rFonts w:cs="B Zar"/>
        </w:rPr>
        <w:t xml:space="preserve"> </w:t>
      </w:r>
      <w:r w:rsidRPr="00075613">
        <w:rPr>
          <w:rFonts w:cs="B Zar" w:hint="cs"/>
          <w:rtl/>
        </w:rPr>
        <w:t>در اين دسته از اوپانيشادها، عناصر اساطيري و مناسكي و ساير بقاياي نگرش ودا و برهمان</w:t>
      </w:r>
      <w:r w:rsidRPr="00075613">
        <w:rPr>
          <w:rFonts w:cs="B Zar"/>
        </w:rPr>
        <w:t xml:space="preserve"> (Brahmana)</w:t>
      </w:r>
      <w:r w:rsidRPr="00075613">
        <w:rPr>
          <w:rFonts w:cs="B Zar" w:hint="cs"/>
          <w:rtl/>
        </w:rPr>
        <w:t xml:space="preserve"> كمتر ديده مي شود و تعاليم وحدت الوجودي ودا نت</w:t>
      </w:r>
      <w:r w:rsidRPr="00075613">
        <w:rPr>
          <w:rFonts w:cs="B Zar"/>
        </w:rPr>
        <w:t xml:space="preserve">(Vedanta) </w:t>
      </w:r>
      <w:r w:rsidRPr="00075613">
        <w:rPr>
          <w:rFonts w:cs="B Zar" w:hint="cs"/>
          <w:rtl/>
        </w:rPr>
        <w:t xml:space="preserve"> با عناصر طبيعت پرستانه و انيمستي و شرك آلوده سابق پيراسته گرديده‌اند. تمايزگذاري ميان شريعت (كرم كاند</w:t>
      </w:r>
      <w:r w:rsidRPr="00075613">
        <w:rPr>
          <w:rFonts w:cs="B Zar"/>
        </w:rPr>
        <w:t xml:space="preserve"> Karama Kund</w:t>
      </w:r>
      <w:r w:rsidRPr="00075613">
        <w:rPr>
          <w:rFonts w:cs="B Zar" w:hint="cs"/>
          <w:rtl/>
        </w:rPr>
        <w:t xml:space="preserve">) و طريقت (جنان </w:t>
      </w:r>
      <w:r w:rsidRPr="00075613">
        <w:rPr>
          <w:rFonts w:cs="B Zar"/>
        </w:rPr>
        <w:t xml:space="preserve"> Jinana</w:t>
      </w:r>
      <w:r w:rsidRPr="00075613">
        <w:rPr>
          <w:rFonts w:cs="B Zar" w:hint="cs"/>
          <w:rtl/>
        </w:rPr>
        <w:t>كاند) به طور صريح‌تر بيان گرديده است.</w:t>
      </w:r>
    </w:p>
    <w:p w:rsidR="00075613" w:rsidP="003C0EF5">
      <w:pPr>
        <w:widowControl w:val="0"/>
        <w:spacing w:line="420" w:lineRule="exact"/>
        <w:ind w:left="0" w:right="0"/>
        <w:jc w:val="both"/>
        <w:rPr>
          <w:rFonts w:cs="B Zar" w:hint="cs"/>
          <w:rtl/>
        </w:rPr>
      </w:pPr>
      <w:r w:rsidRPr="00075613">
        <w:rPr>
          <w:rFonts w:cs="B Zar" w:hint="cs"/>
          <w:rtl/>
        </w:rPr>
        <w:t xml:space="preserve"> در مورد دوره زماني تدوين اوپانيشادها صاحب نظران اتفاق نظري ندارند. ريپسون</w:t>
      </w:r>
      <w:r w:rsidRPr="00075613">
        <w:rPr>
          <w:rFonts w:cs="B Zar"/>
        </w:rPr>
        <w:t>(Rapson)</w:t>
      </w:r>
      <w:r w:rsidRPr="00075613">
        <w:rPr>
          <w:rFonts w:cs="B Zar" w:hint="cs"/>
          <w:rtl/>
        </w:rPr>
        <w:t>، تاريخ تدوين اين اوپانيشادها را ميان 1000 تا 800 ق م مي داند.</w:t>
      </w:r>
      <w:r>
        <w:rPr>
          <w:rStyle w:val="FootnoteReference"/>
          <w:rFonts w:cs="B Zar"/>
          <w:sz w:val="28"/>
          <w:szCs w:val="28"/>
          <w:rtl/>
        </w:rPr>
        <w:footnoteReference w:id="478"/>
      </w:r>
      <w:r w:rsidRPr="00075613">
        <w:rPr>
          <w:rFonts w:cs="B Zar" w:hint="cs"/>
          <w:rtl/>
        </w:rPr>
        <w:t xml:space="preserve"> </w:t>
      </w:r>
      <w:r w:rsidRPr="00075613">
        <w:rPr>
          <w:rFonts w:cs="B Zar" w:hint="cs"/>
          <w:iCs/>
          <w:rtl/>
        </w:rPr>
        <w:t>ن.ك.دتّآ</w:t>
      </w:r>
      <w:r w:rsidRPr="00075613">
        <w:rPr>
          <w:rFonts w:cs="B Zar" w:hint="cs"/>
          <w:rtl/>
        </w:rPr>
        <w:t>، تاريخ تدوين اوپانيشادهاي اوليه را ميان 900 تا 800 ق م قلمداد مي كند. استدلال او اين است كه حتي در دوره پانيني</w:t>
      </w:r>
      <w:r w:rsidRPr="00075613">
        <w:rPr>
          <w:rFonts w:cs="B Zar"/>
        </w:rPr>
        <w:t>(Panini)</w:t>
      </w:r>
      <w:r w:rsidRPr="00075613">
        <w:rPr>
          <w:rFonts w:cs="B Zar" w:hint="cs"/>
          <w:rtl/>
        </w:rPr>
        <w:t>، حكيماني نظير يا</w:t>
      </w:r>
      <w:r w:rsidRPr="00075613">
        <w:rPr>
          <w:rFonts w:cs="B Zar" w:hint="cs"/>
          <w:iCs/>
          <w:rtl/>
        </w:rPr>
        <w:t>جناوالكيا</w:t>
      </w:r>
      <w:r w:rsidRPr="00075613">
        <w:rPr>
          <w:rFonts w:cs="B Zar"/>
          <w:iCs/>
        </w:rPr>
        <w:t xml:space="preserve"> (Yajnavalkiya)</w:t>
      </w:r>
      <w:r w:rsidRPr="00075613">
        <w:rPr>
          <w:rFonts w:cs="B Zar" w:hint="cs"/>
          <w:rtl/>
        </w:rPr>
        <w:t>، كه اوپايشادها را تأليف نموده، از جمله «علماي متقدم» محسوب مي‌شده‌اند.</w:t>
      </w:r>
      <w:r>
        <w:rPr>
          <w:rStyle w:val="FootnoteReference"/>
          <w:rFonts w:cs="B Zar"/>
          <w:rtl/>
        </w:rPr>
        <w:footnoteReference w:id="479"/>
      </w:r>
      <w:r w:rsidRPr="00075613">
        <w:rPr>
          <w:rFonts w:cs="B Zar" w:hint="cs"/>
          <w:rtl/>
        </w:rPr>
        <w:t xml:space="preserve"> </w:t>
      </w:r>
      <w:r w:rsidRPr="00075613">
        <w:rPr>
          <w:rFonts w:cs="B Zar" w:hint="cs"/>
          <w:iCs/>
          <w:rtl/>
        </w:rPr>
        <w:t>الدنبرگ</w:t>
      </w:r>
      <w:r w:rsidRPr="00075613">
        <w:rPr>
          <w:rFonts w:cs="B Zar"/>
        </w:rPr>
        <w:t xml:space="preserve">(Oldenberg) </w:t>
      </w:r>
      <w:r w:rsidRPr="00075613">
        <w:rPr>
          <w:rFonts w:cs="B Zar" w:hint="cs"/>
          <w:rtl/>
        </w:rPr>
        <w:t>‌، دوره تدوين اوپانيشادها را‌ بين800 تا 700 ق‌ م تعيين مي نمايد.</w:t>
      </w:r>
      <w:r>
        <w:rPr>
          <w:rStyle w:val="FootnoteReference"/>
          <w:rFonts w:cs="B Zar"/>
        </w:rPr>
        <w:footnoteReference w:id="480"/>
      </w:r>
      <w:r w:rsidRPr="00075613">
        <w:rPr>
          <w:rFonts w:cs="B Zar" w:hint="cs"/>
          <w:rtl/>
        </w:rPr>
        <w:t xml:space="preserve"> ديوسن دوره تدوين اوپانيشاد را از 1000 تا 500 ق م مي داند. مكدونل اين دوره را ميان 700 تا 600 ق م قلمداد نموده است. دليل او اين است كه ديدگاههاي عمده فلسفه ودانت به دوره ماقبل ظهور بودائيسم تعلق دارد. ماكس مولر نيز بدين نتيجه رسيده است كه برهدارن ياكا و چاندوگيا كه قديمي ترين اوپانيشادها هستند، در حوالي سال 700 ق‌م تدوين گرديده اند</w:t>
      </w:r>
      <w:r>
        <w:rPr>
          <w:rStyle w:val="FootnoteReference"/>
          <w:rFonts w:cs="B Zar"/>
        </w:rPr>
        <w:footnoteReference w:id="481"/>
      </w:r>
      <w:r w:rsidRPr="00075613">
        <w:rPr>
          <w:rFonts w:cs="B Zar" w:hint="cs"/>
          <w:rtl/>
        </w:rPr>
        <w:t>. اكثر صاحبنظران اخير به اين نظريه گرائيده اند كه اوپانيشادهاي اوليه طي يك دوره سيصد ساله ميان 800 تا 500 ق‌م تدوين گرديده‌اند</w:t>
      </w:r>
      <w:r w:rsidRPr="00075613">
        <w:rPr>
          <w:rFonts w:cs="B Zar"/>
          <w:rtl/>
        </w:rPr>
        <w:t>.</w:t>
      </w:r>
      <w:r>
        <w:rPr>
          <w:rStyle w:val="FootnoteReference"/>
          <w:rFonts w:cs="B Zar"/>
          <w:rtl/>
        </w:rPr>
        <w:footnoteReference w:id="482"/>
      </w:r>
    </w:p>
    <w:p w:rsidR="005C6A3A" w:rsidRPr="00075613"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اوپانيشادهاي متأخر:</w:t>
      </w:r>
    </w:p>
    <w:p w:rsidR="00075613" w:rsidRPr="00075613" w:rsidP="003C0EF5">
      <w:pPr>
        <w:widowControl w:val="0"/>
        <w:spacing w:line="420" w:lineRule="exact"/>
        <w:ind w:left="0" w:right="0"/>
        <w:jc w:val="both"/>
        <w:rPr>
          <w:rFonts w:cs="B Zar" w:hint="cs"/>
          <w:rtl/>
        </w:rPr>
      </w:pPr>
      <w:r w:rsidRPr="00075613">
        <w:rPr>
          <w:rFonts w:cs="B Zar" w:hint="cs"/>
          <w:rtl/>
        </w:rPr>
        <w:t>اوپانيشادهاي اصلي، همين رسالات اوليه اند كه ما از آنها نام برديم. غير از اين نوزده يا بيست رساله، بقيه رساله‌ها و جزوات كه عنوان اوپانيشاد بر خود نهاده‌اند، از جمله نوشتارهاي اعصار بعدي مي‌باشند. البته برخي از اينان به خصوص آنان كه از ضمائم آتهارو ودا</w:t>
      </w:r>
      <w:r w:rsidRPr="00075613">
        <w:rPr>
          <w:rFonts w:cs="B Zar"/>
        </w:rPr>
        <w:t xml:space="preserve"> (Atharvaveda)</w:t>
      </w:r>
      <w:r w:rsidRPr="00075613">
        <w:rPr>
          <w:rFonts w:cs="B Zar" w:hint="cs"/>
          <w:rtl/>
        </w:rPr>
        <w:t xml:space="preserve"> محسوب مي شوند، قديمي تر از رسائل ديگرند و بسياري از علماء هندو آن را جزو «سروتي»</w:t>
      </w:r>
      <w:r w:rsidRPr="00075613">
        <w:rPr>
          <w:rFonts w:cs="B Zar"/>
        </w:rPr>
        <w:t>(Sruti)</w:t>
      </w:r>
      <w:r w:rsidRPr="00075613">
        <w:rPr>
          <w:rFonts w:cs="B Zar" w:hint="cs"/>
          <w:rtl/>
        </w:rPr>
        <w:t xml:space="preserve"> با «وحي آسماني» دانسته اند. </w:t>
      </w:r>
      <w:r w:rsidRPr="00075613">
        <w:rPr>
          <w:rFonts w:cs="B Zar" w:hint="cs"/>
          <w:iCs/>
          <w:rtl/>
        </w:rPr>
        <w:t>داراشكوه</w:t>
      </w:r>
      <w:r w:rsidRPr="00075613">
        <w:rPr>
          <w:rFonts w:cs="B Zar" w:hint="cs"/>
          <w:rtl/>
        </w:rPr>
        <w:t xml:space="preserve"> و </w:t>
      </w:r>
      <w:r w:rsidRPr="00075613">
        <w:rPr>
          <w:rFonts w:cs="B Zar" w:hint="cs"/>
          <w:iCs/>
          <w:rtl/>
        </w:rPr>
        <w:t>ديوسن</w:t>
      </w:r>
      <w:r w:rsidRPr="00075613">
        <w:rPr>
          <w:rFonts w:cs="B Zar" w:hint="cs"/>
          <w:rtl/>
        </w:rPr>
        <w:t xml:space="preserve"> نيز تعدادي از اين رسائل را در مجموعة خود جا داده اند، ولي جزوه هاي ديگر در زمره سروتي محسوب نمي شوند و در دوره هاي بعدي نگاشته شده اند.</w:t>
      </w:r>
    </w:p>
    <w:p w:rsidR="00075613" w:rsidRPr="00075613" w:rsidP="003C0EF5">
      <w:pPr>
        <w:widowControl w:val="0"/>
        <w:spacing w:line="420" w:lineRule="exact"/>
        <w:ind w:left="0" w:right="0"/>
        <w:jc w:val="both"/>
        <w:rPr>
          <w:rFonts w:cs="B Zar" w:hint="cs"/>
          <w:rtl/>
        </w:rPr>
      </w:pPr>
      <w:r w:rsidRPr="00075613">
        <w:rPr>
          <w:rFonts w:cs="B Zar" w:hint="cs"/>
          <w:rtl/>
        </w:rPr>
        <w:t>اوپانيشادهاي متأخر را در دسته هاي شش گانه زير مي توان تقسيم كرد:</w:t>
      </w:r>
    </w:p>
    <w:p w:rsidR="00075613" w:rsidRPr="00075613" w:rsidP="003C0EF5">
      <w:pPr>
        <w:widowControl w:val="0"/>
        <w:spacing w:line="420" w:lineRule="exact"/>
        <w:ind w:left="0" w:right="0"/>
        <w:jc w:val="both"/>
        <w:rPr>
          <w:rFonts w:cs="B Zar" w:hint="cs"/>
          <w:rtl/>
        </w:rPr>
      </w:pPr>
      <w:r w:rsidRPr="00075613">
        <w:rPr>
          <w:rFonts w:cs="B Zar" w:hint="cs"/>
          <w:rtl/>
        </w:rPr>
        <w:t>1ـ اوپانيشادهاي اتهاروا ودا؛</w:t>
      </w:r>
    </w:p>
    <w:p w:rsidR="00075613" w:rsidRPr="00075613" w:rsidP="003C0EF5">
      <w:pPr>
        <w:widowControl w:val="0"/>
        <w:spacing w:line="420" w:lineRule="exact"/>
        <w:ind w:left="0" w:right="0"/>
        <w:jc w:val="both"/>
        <w:rPr>
          <w:rFonts w:cs="B Zar" w:hint="cs"/>
          <w:rtl/>
        </w:rPr>
      </w:pPr>
      <w:r w:rsidRPr="00075613">
        <w:rPr>
          <w:rFonts w:cs="B Zar" w:hint="cs"/>
          <w:rtl/>
        </w:rPr>
        <w:t>2ـ اوپانيشادهاي مربوط به فرقه شيو</w:t>
      </w:r>
      <w:r w:rsidRPr="00075613">
        <w:rPr>
          <w:rFonts w:cs="B Zar"/>
        </w:rPr>
        <w:t>(Shiva)</w:t>
      </w:r>
      <w:r w:rsidRPr="00075613">
        <w:rPr>
          <w:rFonts w:cs="B Zar" w:hint="cs"/>
          <w:rtl/>
        </w:rPr>
        <w:t xml:space="preserve"> پرستان؛</w:t>
      </w:r>
    </w:p>
    <w:p w:rsidR="00075613" w:rsidRPr="00075613" w:rsidP="003C0EF5">
      <w:pPr>
        <w:widowControl w:val="0"/>
        <w:spacing w:line="420" w:lineRule="exact"/>
        <w:ind w:left="0" w:right="0"/>
        <w:jc w:val="both"/>
        <w:rPr>
          <w:rFonts w:cs="B Zar" w:hint="cs"/>
          <w:rtl/>
        </w:rPr>
      </w:pPr>
      <w:r w:rsidRPr="00075613">
        <w:rPr>
          <w:rFonts w:cs="B Zar" w:hint="cs"/>
          <w:rtl/>
        </w:rPr>
        <w:t>3ـ اوپانيشادهاي مربوط به فرقه وشنو</w:t>
      </w:r>
      <w:r w:rsidRPr="00075613">
        <w:rPr>
          <w:rFonts w:cs="B Zar"/>
        </w:rPr>
        <w:t>(Vishnu)</w:t>
      </w:r>
      <w:r w:rsidRPr="00075613">
        <w:rPr>
          <w:rFonts w:cs="B Zar" w:hint="cs"/>
          <w:rtl/>
        </w:rPr>
        <w:t xml:space="preserve"> پرستان؛</w:t>
      </w:r>
    </w:p>
    <w:p w:rsidR="00075613" w:rsidRPr="00075613" w:rsidP="003C0EF5">
      <w:pPr>
        <w:widowControl w:val="0"/>
        <w:spacing w:line="420" w:lineRule="exact"/>
        <w:ind w:left="0" w:right="0"/>
        <w:jc w:val="both"/>
        <w:rPr>
          <w:rFonts w:cs="B Zar" w:hint="cs"/>
          <w:rtl/>
        </w:rPr>
      </w:pPr>
      <w:r w:rsidRPr="00075613">
        <w:rPr>
          <w:rFonts w:cs="B Zar" w:hint="cs"/>
          <w:rtl/>
        </w:rPr>
        <w:t>4ـ اوپانيشادهاي فرقه شاكتي</w:t>
      </w:r>
      <w:r w:rsidRPr="00075613">
        <w:rPr>
          <w:rFonts w:cs="B Zar"/>
        </w:rPr>
        <w:t>(Shakti)</w:t>
      </w:r>
      <w:r w:rsidRPr="00075613">
        <w:rPr>
          <w:rFonts w:cs="B Zar" w:hint="cs"/>
          <w:rtl/>
        </w:rPr>
        <w:t xml:space="preserve"> پرستان؛</w:t>
      </w:r>
    </w:p>
    <w:p w:rsidR="00075613" w:rsidRPr="00075613" w:rsidP="003C0EF5">
      <w:pPr>
        <w:widowControl w:val="0"/>
        <w:spacing w:line="420" w:lineRule="exact"/>
        <w:ind w:left="0" w:right="0"/>
        <w:jc w:val="both"/>
        <w:rPr>
          <w:rFonts w:cs="B Zar" w:hint="cs"/>
          <w:rtl/>
        </w:rPr>
      </w:pPr>
      <w:r w:rsidRPr="00075613">
        <w:rPr>
          <w:rFonts w:cs="B Zar" w:hint="cs"/>
          <w:rtl/>
        </w:rPr>
        <w:t>5ـ اوپانيشادهاي مربوط به مكاتب فلسفي؛</w:t>
      </w:r>
    </w:p>
    <w:p w:rsidR="00075613" w:rsidRPr="00075613" w:rsidP="003C0EF5">
      <w:pPr>
        <w:widowControl w:val="0"/>
        <w:spacing w:line="420" w:lineRule="exact"/>
        <w:ind w:left="0" w:right="0"/>
        <w:jc w:val="both"/>
        <w:rPr>
          <w:rFonts w:cs="B Zar" w:hint="cs"/>
          <w:rtl/>
        </w:rPr>
      </w:pPr>
      <w:r w:rsidRPr="00075613">
        <w:rPr>
          <w:rFonts w:cs="B Zar" w:hint="cs"/>
          <w:rtl/>
        </w:rPr>
        <w:t>6ـ اوپانيشادهاي مربوط به يوگا و روش مرتاضان.</w:t>
      </w:r>
    </w:p>
    <w:p w:rsidR="00075613" w:rsidRPr="00075613" w:rsidP="003C0EF5">
      <w:pPr>
        <w:widowControl w:val="0"/>
        <w:spacing w:line="420" w:lineRule="exact"/>
        <w:ind w:left="0" w:right="0"/>
        <w:jc w:val="both"/>
        <w:rPr>
          <w:rFonts w:cs="B Zar" w:hint="cs"/>
          <w:rtl/>
        </w:rPr>
      </w:pPr>
      <w:r w:rsidRPr="00075613">
        <w:rPr>
          <w:rFonts w:cs="B Zar" w:hint="cs"/>
          <w:rtl/>
        </w:rPr>
        <w:t>از نظر محتوي، اوپانيشادهاي متأخر در سه دسته تقسيم مي شوند:</w:t>
      </w:r>
    </w:p>
    <w:p w:rsidR="00075613" w:rsidRPr="00075613" w:rsidP="003C0EF5">
      <w:pPr>
        <w:widowControl w:val="0"/>
        <w:spacing w:line="420" w:lineRule="exact"/>
        <w:ind w:left="0" w:right="0"/>
        <w:jc w:val="both"/>
        <w:rPr>
          <w:rFonts w:cs="B Zar" w:hint="cs"/>
          <w:rtl/>
        </w:rPr>
      </w:pPr>
      <w:r w:rsidRPr="00075613">
        <w:rPr>
          <w:rFonts w:cs="B Zar" w:hint="cs"/>
          <w:rtl/>
        </w:rPr>
        <w:t>الف: اوپانيشادهائي كه منعكس كننده فلسفة ودا نتا هستند و مطالب اوپانيشادهاي پيشين را تكرار كرده اند؛</w:t>
      </w:r>
    </w:p>
    <w:p w:rsidR="00075613" w:rsidRPr="00075613" w:rsidP="003C0EF5">
      <w:pPr>
        <w:widowControl w:val="0"/>
        <w:spacing w:line="420" w:lineRule="exact"/>
        <w:ind w:left="0" w:right="0"/>
        <w:jc w:val="both"/>
        <w:rPr>
          <w:rFonts w:cs="B Zar"/>
          <w:rtl/>
        </w:rPr>
      </w:pPr>
      <w:r w:rsidRPr="00075613">
        <w:rPr>
          <w:rFonts w:cs="B Zar" w:hint="cs"/>
          <w:rtl/>
        </w:rPr>
        <w:t>ب: اوپانيشادهائي كه منعكس كننده ديدگاه هاي فرقه هاي مذهبي و مكاتب كلامي اند و براي اثبات مواضع آنان تأليف گرديده‌اند</w:t>
      </w:r>
      <w:r w:rsidRPr="00075613">
        <w:rPr>
          <w:rFonts w:cs="B Zar"/>
          <w:rtl/>
        </w:rPr>
        <w:t>.</w:t>
      </w:r>
      <w:r>
        <w:rPr>
          <w:rStyle w:val="FootnoteReference"/>
          <w:rFonts w:cs="B Zar"/>
          <w:rtl/>
        </w:rPr>
        <w:footnoteReference w:id="483"/>
      </w:r>
    </w:p>
    <w:p w:rsidR="00075613" w:rsidRPr="00075613" w:rsidP="003C0EF5">
      <w:pPr>
        <w:widowControl w:val="0"/>
        <w:spacing w:line="420" w:lineRule="exact"/>
        <w:ind w:left="0" w:right="0"/>
        <w:jc w:val="both"/>
        <w:rPr>
          <w:rFonts w:cs="B Zar" w:hint="cs"/>
          <w:rtl/>
        </w:rPr>
      </w:pPr>
      <w:r w:rsidRPr="00075613">
        <w:rPr>
          <w:rFonts w:cs="B Zar" w:hint="cs"/>
          <w:rtl/>
        </w:rPr>
        <w:t>ج: رسائلي كه استادان رياضت يوگا و عرفا براي ارشاد سالكان راه معرفت و رياضت تدوين نموده اند.</w:t>
      </w:r>
    </w:p>
    <w:p w:rsidR="00075613" w:rsidRPr="00075613" w:rsidP="00B22521">
      <w:pPr>
        <w:widowControl w:val="0"/>
        <w:spacing w:line="420" w:lineRule="exact"/>
        <w:ind w:left="0" w:right="0"/>
        <w:jc w:val="both"/>
        <w:rPr>
          <w:rFonts w:cs="B Zar" w:hint="cs"/>
          <w:rtl/>
        </w:rPr>
      </w:pPr>
      <w:r w:rsidRPr="00075613">
        <w:rPr>
          <w:rFonts w:cs="B Zar" w:hint="cs"/>
          <w:rtl/>
        </w:rPr>
        <w:t>اينان با رسائلي نظير آداب السالكين و يا كتاب اللمع ابونصر سراج، رساله قشيريه اثر ابوالقاسم القشيري و يا كتاب عوارف المعارف اثر شيخ شهاب الدين سهروردي، بنيانگذار سلسله سهرورديه قابل مقايسه هستند</w:t>
      </w:r>
      <w:r>
        <w:rPr>
          <w:rStyle w:val="FootnoteReference"/>
          <w:rFonts w:cs="B Zar"/>
          <w:sz w:val="28"/>
          <w:szCs w:val="28"/>
          <w:rtl/>
        </w:rPr>
        <w:footnoteReference w:id="484"/>
      </w:r>
      <w:r w:rsidRPr="00075613">
        <w:rPr>
          <w:rFonts w:cs="B Zar" w:hint="cs"/>
          <w:rtl/>
        </w:rPr>
        <w:t>. اوپانيشادهاي متأخر ماهيت فلسفي و عرفاني ندارند؛ بلكه اكثراً مبتني بر ديدگاههاي فلسفي، كلامي و يا بهاگتي (آئين والا) مي باشند. اينان از ضمائم ودا محسوب نمي‌شوند و از سنخ معارف ودائي نيستند؛ بلكه از سنخ ادبيات پورانا (مجموعه اخبار) هستند. تعيين دقيق تاريخ نگارش تمام اين رسائل نيز كار دشواري است؛ چرا كه تأليف رسائلي به عنوان اوپانيشاد تا قرنها ادامه داشته و برخي از اينان حتي در دوره اسلامي تصنيف شده اند. گفته مي شود در قرن پانزدهم رساله اي به عنوان «اوپانيشاد الله» تأليف شده است.</w:t>
      </w:r>
      <w:r>
        <w:rPr>
          <w:rStyle w:val="FootnoteReference"/>
          <w:rFonts w:cs="B Zar"/>
          <w:sz w:val="28"/>
          <w:szCs w:val="28"/>
          <w:rtl/>
        </w:rPr>
        <w:footnoteReference w:id="485"/>
      </w:r>
      <w:r w:rsidRPr="00075613">
        <w:rPr>
          <w:rFonts w:cs="B Zar" w:hint="cs"/>
          <w:rtl/>
        </w:rPr>
        <w:t xml:space="preserve"> به نظر مي رسد اوپانيشاد در همان قرون اوليه از مقبوليت و اعتبار فوق‌العاده‌اي برخوردار شده بود؛ از اين رو در ازمنه بعدي انديشمندان و نويسندگان از يك سو و مكاتب و مذاهب از سوي ديگر، صلاح ديدند براي آنكه نظريه هاي خويش را از اعتبار بيشتري برخوردار سازند، عنوان اوپانيشاد بر آن بنهند. فرقه هاي كلامي و ديني نيز براي آنكه اعتقادات و مواضع فكري خود را رواج دهند، اظهارات خود را به عنوان اوپانيشاد طرح كردند. اين روند در اديان ديگر نيز اتفاق افتاده است. در قرون اوليه مسيحي، دهها جزوه و رساله به عنوان عهد (بائبل</w:t>
      </w:r>
      <w:r w:rsidRPr="00075613">
        <w:rPr>
          <w:rFonts w:cs="B Zar"/>
        </w:rPr>
        <w:t>Bible=</w:t>
      </w:r>
      <w:r w:rsidRPr="00075613">
        <w:rPr>
          <w:rFonts w:cs="B Zar" w:hint="cs"/>
          <w:rtl/>
        </w:rPr>
        <w:t>) منتشر شد كه شوراهاي رسمي كليسا در ادوار بعدي از اين همه رسائل موجود، چهار جزوه را به عنوان عهد جديد برگزيدند. در اسلام، قرآن كريم به اين سرنوشت دچار نشد؛ چرا كه از يك سو سبك آن غير قابل تقليد بوده و از سوي ديگر بنا به دستور پيامبر اكرم، مسلمين اهتمام ويژه اي در حفظ و تمايزگذاري آن با هر نوشته ديگر به كار برده‌اند؛ ولي احاديث با اين وضع روبرو شدند، و در قرن دوم و سوم هزارها اقوال و گفته به وسيله دستگاهها، مليت ها، فرقه ها و مذاهب كلامي به عنوان حديث به گنجينه احاديث اسلامي در هم آميخته شدند. از همين رو علماي اسلامي مجبور شدند علومي نظير علم رجال و علم درايت حديث را پايه‌گذاري كنند. درايت علمي بوده كه از سند حديث و متن آن و چگونگي فراگرفتن و آداب نقل حديث بحث مي كرد.</w:t>
      </w:r>
    </w:p>
    <w:p w:rsidR="00075613" w:rsidRPr="00075613" w:rsidP="003C0EF5">
      <w:pPr>
        <w:widowControl w:val="0"/>
        <w:spacing w:line="420" w:lineRule="exact"/>
        <w:ind w:left="0" w:right="0"/>
        <w:jc w:val="both"/>
        <w:rPr>
          <w:rFonts w:cs="B Zar" w:hint="cs"/>
          <w:rtl/>
        </w:rPr>
      </w:pPr>
      <w:r w:rsidRPr="00075613">
        <w:rPr>
          <w:rFonts w:cs="B Zar" w:hint="cs"/>
          <w:rtl/>
        </w:rPr>
        <w:t>موسس و مدون اين علم، قاضي ابومحمد حسن بن عبدالرحمان رامهرمزي، متوفاي سال 360 هجري بوده و فائده و غرض از اين علم، معرفت و شناسائي احاديث مقبول و مردود بوده است. مسلمين صدها كتاب در اين رشته تصنيف كردند</w:t>
      </w:r>
      <w:r>
        <w:rPr>
          <w:rStyle w:val="FootnoteReference"/>
          <w:rFonts w:cs="B Zar"/>
          <w:sz w:val="28"/>
          <w:szCs w:val="28"/>
          <w:rtl/>
        </w:rPr>
        <w:footnoteReference w:id="486"/>
      </w:r>
      <w:r w:rsidRPr="00075613">
        <w:rPr>
          <w:rFonts w:cs="B Zar" w:hint="cs"/>
          <w:rtl/>
        </w:rPr>
        <w:t>. اين امر نمايانگر ابعاد آميزش احاديث مجعول در ذخيره احاديث اسلامي بوده است.</w:t>
      </w:r>
    </w:p>
    <w:p w:rsidR="00075613" w:rsidRPr="00075613" w:rsidP="003C0EF5">
      <w:pPr>
        <w:widowControl w:val="0"/>
        <w:spacing w:line="420" w:lineRule="exact"/>
        <w:ind w:left="0" w:right="0"/>
        <w:jc w:val="both"/>
        <w:rPr>
          <w:rFonts w:cs="B Zar" w:hint="cs"/>
          <w:rtl/>
        </w:rPr>
      </w:pPr>
      <w:r w:rsidRPr="00075613">
        <w:rPr>
          <w:rFonts w:cs="B Zar" w:hint="cs"/>
          <w:rtl/>
        </w:rPr>
        <w:t xml:space="preserve">اوپانيشادها نيز به همين سرنوشت دچار شدند و چون علماي هندو علمي نظير علم درايت و حديث براي سنجش درستي سروتي (صحف آسماني) با سمرتي (اخبار و احاديث) در دست نداشتند؛ از اين رو به جاي پانزده يا بيست اوپانيشاد اصلي، در حدود دويست رساله به عنوان اوپانيشاد رواج پيدا كرد. تنها پژوهش و تحقيق نوين، كه خاورشناسان پيشتاز آن بودند. كيفيت و اصالت اوپانيشادهاي اصلي و اوليه را از اوپانيشادهاي متأخر تميز داده است. البته چنانكه اشاره كرديم انديشمندان بزرگ قرن هشتم ميلادي </w:t>
      </w:r>
      <w:r w:rsidRPr="00075613">
        <w:rPr>
          <w:rFonts w:cs="B Zar" w:hint="cs"/>
          <w:iCs/>
          <w:rtl/>
        </w:rPr>
        <w:t>شانكارا</w:t>
      </w:r>
      <w:r w:rsidRPr="00075613">
        <w:rPr>
          <w:rFonts w:cs="B Zar" w:hint="cs"/>
          <w:rtl/>
        </w:rPr>
        <w:t xml:space="preserve"> و سپس </w:t>
      </w:r>
      <w:r w:rsidRPr="00075613">
        <w:rPr>
          <w:rFonts w:cs="B Zar" w:hint="cs"/>
          <w:iCs/>
          <w:rtl/>
        </w:rPr>
        <w:t>رامانوجا</w:t>
      </w:r>
      <w:r w:rsidRPr="00075613">
        <w:rPr>
          <w:rFonts w:cs="B Zar" w:hint="cs"/>
          <w:rtl/>
        </w:rPr>
        <w:t xml:space="preserve"> در اين جهت گام‌هايي برداشتند.</w:t>
      </w:r>
    </w:p>
    <w:p w:rsidR="00075613" w:rsidRPr="00075613" w:rsidP="003C0EF5">
      <w:pPr>
        <w:widowControl w:val="0"/>
        <w:spacing w:line="420" w:lineRule="exact"/>
        <w:ind w:left="0" w:right="0"/>
        <w:jc w:val="center"/>
        <w:rPr>
          <w:rFonts w:cs="B Zar"/>
          <w:b/>
          <w:bCs/>
          <w:sz w:val="28"/>
          <w:szCs w:val="28"/>
          <w:rtl/>
        </w:rPr>
      </w:pPr>
      <w:r w:rsidR="00221CA2">
        <w:rPr>
          <w:rFonts w:cs="B Zar"/>
          <w:b/>
          <w:bCs/>
          <w:sz w:val="28"/>
          <w:szCs w:val="28"/>
        </w:rPr>
        <w:t xml:space="preserve"> </w:t>
      </w:r>
    </w:p>
    <w:p w:rsidR="00075613" w:rsidRPr="00075613" w:rsidP="009B116F">
      <w:pPr>
        <w:widowControl w:val="0"/>
        <w:spacing w:line="420" w:lineRule="exact"/>
        <w:ind w:left="0" w:right="0"/>
        <w:jc w:val="left"/>
        <w:rPr>
          <w:rFonts w:cs="B Zar" w:hint="cs"/>
          <w:b/>
          <w:bCs/>
          <w:sz w:val="28"/>
          <w:szCs w:val="28"/>
          <w:rtl/>
        </w:rPr>
      </w:pPr>
      <w:r w:rsidRPr="00075613">
        <w:rPr>
          <w:rFonts w:cs="B Zar" w:hint="cs"/>
          <w:b/>
          <w:bCs/>
          <w:sz w:val="28"/>
          <w:szCs w:val="28"/>
          <w:rtl/>
        </w:rPr>
        <w:t>نگارندگان اوپانيشاد:</w:t>
      </w:r>
    </w:p>
    <w:p w:rsidR="00075613" w:rsidRPr="00075613" w:rsidP="003C0EF5">
      <w:pPr>
        <w:widowControl w:val="0"/>
        <w:spacing w:line="420" w:lineRule="exact"/>
        <w:ind w:left="0" w:right="0"/>
        <w:jc w:val="both"/>
        <w:rPr>
          <w:rFonts w:cs="B Zar" w:hint="cs"/>
          <w:rtl/>
        </w:rPr>
      </w:pPr>
      <w:r w:rsidRPr="00075613">
        <w:rPr>
          <w:rFonts w:cs="B Zar" w:hint="cs"/>
          <w:rtl/>
        </w:rPr>
        <w:t>همانند ودا، اوپانيشادها را نيز ريشي‌ها (عرفاي فرزانه آريائي) اشراق كرده اند. تعاليم و نگرش فلسفي و عرفاني كه در اوپانيشاد بيان گرديده است، مردان فكور آريائي، احتمالاً در انزواي جنگل‌ها، طي حلقات مذاكره و مباحثه‌هاي علمي به وجود آورده‌اند</w:t>
      </w:r>
      <w:r>
        <w:rPr>
          <w:rStyle w:val="FootnoteReference"/>
          <w:rFonts w:cs="B Zar"/>
          <w:rtl/>
        </w:rPr>
        <w:footnoteReference w:id="487"/>
      </w:r>
      <w:r w:rsidRPr="00075613">
        <w:rPr>
          <w:rFonts w:cs="B Zar" w:hint="cs"/>
          <w:rtl/>
        </w:rPr>
        <w:t>. بدبختانه ما اطلاع زيادي راجع به اين نخستين حكيمان هند كه احتمالاً قديمي‌ترين فيلسوفان جهان بوده‌اند، نداريم. يكي از ويژگي هاي حكيمان مشرق زمين</w:t>
      </w:r>
      <w:r w:rsidRPr="00075613">
        <w:rPr>
          <w:rFonts w:cs="B Zar" w:hint="cs"/>
          <w:rtl/>
          <w:lang w:bidi="fa-IR"/>
        </w:rPr>
        <w:t xml:space="preserve"> ـ</w:t>
      </w:r>
      <w:r w:rsidRPr="00075613">
        <w:rPr>
          <w:rFonts w:cs="B Zar" w:hint="cs"/>
          <w:rtl/>
        </w:rPr>
        <w:t xml:space="preserve"> برخلاف فيلسوفان يوناني ـ اين بوده كه هيچگاه مطالبي را كه ايراد مي‌كردند، از آن خود نمي‌دانستند؛ بلكه آنان را اشراقات و الهامات از ناحيه «ديگر» تلقي مي نمودند. از همين‌روي نه خود آنان، و نه ديگران اهتمامي براي ذكر و حفظ نام اشراق كنندگان به عمل نمي‌آوردند. گاه مطالبي كه ايراد مي‌شد، به شخصيتهاي اساطيري و خدايان و يا حكيمان افسانه‌اي نسبت مي‌داده‌اند. مثلاً برخي سروده‌هاي ودا به خداياني همچون ايندرا</w:t>
      </w:r>
      <w:r w:rsidRPr="00075613">
        <w:rPr>
          <w:rFonts w:cs="B Zar"/>
        </w:rPr>
        <w:t>(Indra)</w:t>
      </w:r>
      <w:r w:rsidRPr="00075613">
        <w:rPr>
          <w:rFonts w:cs="B Zar" w:hint="cs"/>
          <w:rtl/>
        </w:rPr>
        <w:t>، اگني</w:t>
      </w:r>
      <w:r w:rsidRPr="00075613">
        <w:rPr>
          <w:rFonts w:cs="B Zar"/>
        </w:rPr>
        <w:t xml:space="preserve"> (Agni)</w:t>
      </w:r>
      <w:r w:rsidRPr="00075613">
        <w:rPr>
          <w:rFonts w:cs="B Zar" w:hint="cs"/>
          <w:rtl/>
        </w:rPr>
        <w:t>، پوروش</w:t>
      </w:r>
      <w:r w:rsidRPr="00075613">
        <w:rPr>
          <w:rFonts w:cs="B Zar"/>
        </w:rPr>
        <w:t>(Purush)</w:t>
      </w:r>
      <w:r w:rsidRPr="00075613">
        <w:rPr>
          <w:rFonts w:cs="B Zar" w:hint="cs"/>
          <w:rtl/>
        </w:rPr>
        <w:t xml:space="preserve"> و غيره و يا كتاب مقدس گيتا به كريشنا</w:t>
      </w:r>
      <w:r w:rsidRPr="00075613">
        <w:rPr>
          <w:rFonts w:cs="B Zar"/>
        </w:rPr>
        <w:t>(Krishna)</w:t>
      </w:r>
      <w:r w:rsidRPr="00075613">
        <w:rPr>
          <w:rFonts w:cs="B Zar" w:hint="cs"/>
          <w:rtl/>
        </w:rPr>
        <w:t>، يكي از معبودان هندو نسبت داده شده است، همچنين برخي رسائل برهمانا و اوپانيشاد نيز به شخصيتهاي اساطيري و خدايان منسوب گرديده‌اند. در اوپانيشاد، پاراجاپاتي</w:t>
      </w:r>
      <w:r w:rsidRPr="00075613">
        <w:rPr>
          <w:rFonts w:cs="B Zar"/>
        </w:rPr>
        <w:t xml:space="preserve"> (Parajapati)</w:t>
      </w:r>
      <w:r w:rsidRPr="00075613">
        <w:rPr>
          <w:rFonts w:cs="B Zar" w:hint="cs"/>
          <w:rtl/>
        </w:rPr>
        <w:t xml:space="preserve"> (رب العالمين)، ايندرا(خداي قهارا) و سست كومار به عنوان فيلسوفان و صاحبان اين آثار معرفي شده اند.</w:t>
      </w:r>
    </w:p>
    <w:p w:rsidR="00075613" w:rsidRPr="00075613" w:rsidP="009B116F">
      <w:pPr>
        <w:widowControl w:val="0"/>
        <w:spacing w:line="420" w:lineRule="exact"/>
        <w:ind w:left="0" w:right="0"/>
        <w:jc w:val="both"/>
        <w:rPr>
          <w:rFonts w:cs="B Zar" w:hint="cs"/>
          <w:rtl/>
        </w:rPr>
      </w:pPr>
      <w:r w:rsidRPr="00075613">
        <w:rPr>
          <w:rFonts w:cs="B Zar" w:hint="cs"/>
          <w:rtl/>
        </w:rPr>
        <w:t>البته از لابلاي صفحات اوپانيشاد اسامي برخي حكيمان را مي توان دريافت كه ظاهراً بخش عمده اوپانيشاد از تراوشات فكري آنان است. برخي از اينان عباوارات اند از: يجناوالكيا</w:t>
      </w:r>
      <w:r w:rsidRPr="00075613">
        <w:rPr>
          <w:rFonts w:cs="B Zar"/>
        </w:rPr>
        <w:t>(Yajnavalkiya)</w:t>
      </w:r>
      <w:r w:rsidRPr="00075613">
        <w:rPr>
          <w:rFonts w:cs="B Zar" w:hint="cs"/>
          <w:rtl/>
        </w:rPr>
        <w:t>، گارگي</w:t>
      </w:r>
      <w:r w:rsidRPr="00075613">
        <w:rPr>
          <w:rFonts w:cs="B Zar"/>
        </w:rPr>
        <w:t>(Gargi)</w:t>
      </w:r>
      <w:r w:rsidRPr="00075613">
        <w:rPr>
          <w:rFonts w:cs="B Zar" w:hint="cs"/>
          <w:rtl/>
        </w:rPr>
        <w:t>، ميتريه‌</w:t>
      </w:r>
      <w:r w:rsidRPr="00075613">
        <w:rPr>
          <w:rFonts w:cs="B Zar"/>
        </w:rPr>
        <w:t>Maitraya</w:t>
      </w:r>
      <w:r w:rsidRPr="00075613">
        <w:rPr>
          <w:rFonts w:cs="B Zar" w:hint="cs"/>
          <w:rtl/>
        </w:rPr>
        <w:t xml:space="preserve">، انگيراس </w:t>
      </w:r>
      <w:r w:rsidRPr="00075613">
        <w:rPr>
          <w:rFonts w:cs="B Zar"/>
          <w:color w:val="000000"/>
        </w:rPr>
        <w:t>Angiras</w:t>
      </w:r>
      <w:r w:rsidRPr="00075613">
        <w:rPr>
          <w:rFonts w:cs="B Zar" w:hint="cs"/>
          <w:rtl/>
        </w:rPr>
        <w:t xml:space="preserve"> ، چاندليه</w:t>
      </w:r>
      <w:r w:rsidRPr="00075613">
        <w:rPr>
          <w:rFonts w:cs="B Zar"/>
        </w:rPr>
        <w:t>(Chandalya)</w:t>
      </w:r>
      <w:r w:rsidRPr="00075613">
        <w:rPr>
          <w:rFonts w:cs="B Zar" w:hint="cs"/>
          <w:rtl/>
        </w:rPr>
        <w:t>، جابالا</w:t>
      </w:r>
      <w:r w:rsidRPr="00075613">
        <w:rPr>
          <w:rFonts w:cs="B Zar"/>
        </w:rPr>
        <w:t>(Jabala)</w:t>
      </w:r>
      <w:r w:rsidRPr="00075613">
        <w:rPr>
          <w:rFonts w:cs="B Zar" w:hint="cs"/>
          <w:rtl/>
        </w:rPr>
        <w:t>، جي ولا</w:t>
      </w:r>
      <w:r w:rsidRPr="00075613">
        <w:rPr>
          <w:rFonts w:cs="B Zar"/>
        </w:rPr>
        <w:t>(Jivala)</w:t>
      </w:r>
      <w:r w:rsidRPr="00075613">
        <w:rPr>
          <w:rFonts w:cs="B Zar" w:hint="cs"/>
          <w:rtl/>
        </w:rPr>
        <w:t>، ادالكا</w:t>
      </w:r>
      <w:r w:rsidRPr="00075613">
        <w:rPr>
          <w:rFonts w:cs="B Zar"/>
        </w:rPr>
        <w:t>Uddalaka)</w:t>
      </w:r>
      <w:r w:rsidRPr="00075613">
        <w:rPr>
          <w:rFonts w:cs="B Zar" w:hint="cs"/>
          <w:rtl/>
        </w:rPr>
        <w:t>، سوت كتو</w:t>
      </w:r>
      <w:r w:rsidRPr="00075613">
        <w:rPr>
          <w:rFonts w:cs="B Zar"/>
        </w:rPr>
        <w:t>(</w:t>
      </w:r>
      <w:r w:rsidRPr="00075613">
        <w:rPr>
          <w:rFonts w:cs="B Zar"/>
          <w:color w:val="000000"/>
        </w:rPr>
        <w:t>Svetaketu</w:t>
      </w:r>
      <w:r w:rsidRPr="00075613">
        <w:rPr>
          <w:rFonts w:cs="B Zar"/>
        </w:rPr>
        <w:t>)</w:t>
      </w:r>
      <w:r w:rsidRPr="00075613">
        <w:rPr>
          <w:rFonts w:cs="B Zar" w:hint="cs"/>
          <w:rtl/>
        </w:rPr>
        <w:t>، بهرادواج</w:t>
      </w:r>
      <w:r w:rsidRPr="00075613">
        <w:rPr>
          <w:rFonts w:cs="B Zar"/>
        </w:rPr>
        <w:t>Bhardawaj</w:t>
      </w:r>
      <w:r w:rsidRPr="00075613">
        <w:rPr>
          <w:rFonts w:cs="B Zar" w:hint="cs"/>
          <w:rtl/>
        </w:rPr>
        <w:t>، گارگيان</w:t>
      </w:r>
      <w:r w:rsidRPr="00075613">
        <w:rPr>
          <w:rFonts w:cs="B Zar"/>
        </w:rPr>
        <w:t>(Gargi)</w:t>
      </w:r>
      <w:r w:rsidRPr="00075613">
        <w:rPr>
          <w:rFonts w:cs="B Zar" w:hint="cs"/>
          <w:rtl/>
        </w:rPr>
        <w:t>،</w:t>
      </w:r>
      <w:r w:rsidRPr="00075613">
        <w:rPr>
          <w:rFonts w:cs="B Zar"/>
        </w:rPr>
        <w:t xml:space="preserve"> </w:t>
      </w:r>
      <w:r w:rsidRPr="00075613">
        <w:rPr>
          <w:rFonts w:cs="B Zar"/>
          <w:color w:val="000000"/>
        </w:rPr>
        <w:t>Pippalada Shaunaka</w:t>
      </w:r>
      <w:r w:rsidRPr="00075613">
        <w:rPr>
          <w:rFonts w:ascii="Arial" w:hAnsi="Arial" w:cs="B Zar"/>
          <w:color w:val="000000"/>
        </w:rPr>
        <w:t xml:space="preserve"> </w:t>
      </w:r>
      <w:r w:rsidRPr="00075613">
        <w:rPr>
          <w:rFonts w:cs="B Zar"/>
          <w:color w:val="000000"/>
        </w:rPr>
        <w:t>Vyasa</w:t>
      </w:r>
      <w:r w:rsidRPr="00075613">
        <w:rPr>
          <w:rFonts w:ascii="Arial" w:hAnsi="Arial" w:cs="B Zar"/>
          <w:color w:val="000000"/>
        </w:rPr>
        <w:t>,</w:t>
      </w:r>
      <w:r w:rsidRPr="00075613">
        <w:rPr>
          <w:rFonts w:cs="B Zar" w:hint="cs"/>
          <w:rtl/>
        </w:rPr>
        <w:t xml:space="preserve"> </w:t>
      </w:r>
      <w:r w:rsidRPr="00075613">
        <w:rPr>
          <w:rFonts w:cs="B Zar"/>
          <w:color w:val="000000"/>
        </w:rPr>
        <w:t>Parasar</w:t>
      </w:r>
      <w:r w:rsidRPr="009B116F">
        <w:rPr>
          <w:rFonts w:cs="Times New Roman"/>
          <w:color w:val="000000"/>
        </w:rPr>
        <w:t>a</w:t>
      </w:r>
      <w:r w:rsidRPr="00075613">
        <w:rPr>
          <w:rFonts w:cs="B Zar" w:hint="cs"/>
          <w:rtl/>
        </w:rPr>
        <w:t xml:space="preserve"> ، بالاك</w:t>
      </w:r>
      <w:r w:rsidRPr="00075613">
        <w:rPr>
          <w:rFonts w:cs="B Zar"/>
        </w:rPr>
        <w:t>(Balaka)</w:t>
      </w:r>
      <w:r w:rsidRPr="00075613">
        <w:rPr>
          <w:rFonts w:cs="B Zar" w:hint="cs"/>
          <w:rtl/>
        </w:rPr>
        <w:t>، اجات سترو، ورن</w:t>
      </w:r>
      <w:r>
        <w:rPr>
          <w:rStyle w:val="FootnoteReference"/>
          <w:rFonts w:cs="B Zar"/>
          <w:rtl/>
        </w:rPr>
        <w:footnoteReference w:id="488"/>
      </w:r>
      <w:r w:rsidRPr="00075613">
        <w:rPr>
          <w:rFonts w:cs="B Zar" w:hint="cs"/>
          <w:rtl/>
        </w:rPr>
        <w:t>. در برخي موارد به طور صريح مطالب ايراد شده به حكيماني نظير يجنا والكيا</w:t>
      </w:r>
      <w:r w:rsidRPr="00075613">
        <w:rPr>
          <w:rFonts w:cs="B Zar"/>
        </w:rPr>
        <w:t>Yajnavalkiya</w:t>
      </w:r>
      <w:r w:rsidRPr="00075613">
        <w:rPr>
          <w:rFonts w:cs="B Zar" w:hint="cs"/>
          <w:rtl/>
        </w:rPr>
        <w:t>، آرن</w:t>
      </w:r>
      <w:r w:rsidRPr="00075613">
        <w:rPr>
          <w:rFonts w:cs="B Zar"/>
        </w:rPr>
        <w:t>(Arun)</w:t>
      </w:r>
      <w:r w:rsidRPr="00075613">
        <w:rPr>
          <w:rFonts w:cs="B Zar" w:hint="cs"/>
          <w:rtl/>
        </w:rPr>
        <w:t xml:space="preserve"> وسوت كتو</w:t>
      </w:r>
      <w:r w:rsidRPr="00075613">
        <w:rPr>
          <w:rFonts w:cs="B Zar"/>
        </w:rPr>
        <w:t>(</w:t>
      </w:r>
      <w:r w:rsidRPr="00075613">
        <w:rPr>
          <w:rFonts w:cs="B Zar"/>
          <w:color w:val="000000"/>
        </w:rPr>
        <w:t>Svetaketu</w:t>
      </w:r>
      <w:r w:rsidRPr="00075613">
        <w:rPr>
          <w:rFonts w:cs="B Zar"/>
        </w:rPr>
        <w:t xml:space="preserve"> u</w:t>
      </w:r>
      <w:r w:rsidRPr="00075613">
        <w:rPr>
          <w:rFonts w:cs="B Zar" w:hint="cs"/>
          <w:rtl/>
        </w:rPr>
        <w:t xml:space="preserve"> نسبت داده شده است.</w:t>
      </w:r>
    </w:p>
    <w:p w:rsidR="00075613" w:rsidRPr="00075613" w:rsidP="003C0EF5">
      <w:pPr>
        <w:widowControl w:val="0"/>
        <w:spacing w:line="420" w:lineRule="exact"/>
        <w:ind w:left="0" w:right="0"/>
        <w:jc w:val="both"/>
        <w:rPr>
          <w:rFonts w:cs="B Zar" w:hint="cs"/>
          <w:rtl/>
        </w:rPr>
      </w:pPr>
      <w:r w:rsidRPr="00075613">
        <w:rPr>
          <w:rFonts w:cs="B Zar" w:hint="cs"/>
          <w:rtl/>
        </w:rPr>
        <w:t>به نظر مي رسد اكثر اين حكيمان اوليه، به طبقه كشاتريا</w:t>
      </w:r>
      <w:r w:rsidRPr="00075613">
        <w:rPr>
          <w:rFonts w:cs="B Zar"/>
        </w:rPr>
        <w:t>(kshatriya)</w:t>
      </w:r>
      <w:r w:rsidRPr="00075613">
        <w:rPr>
          <w:rFonts w:cs="B Zar" w:hint="cs"/>
          <w:rtl/>
        </w:rPr>
        <w:t xml:space="preserve"> يا امراء و اشراف تعلق داشته اند. روال انديشه اوپانيشاد و نوع مطالب آن با طرز تفكر برهمانان سنخيتي ندارد. هرچند اوپانيشاد به ودا و رسائل برهمانا ضميمه گرديده‌اند، ولي با نگرش ودائي و مناسكي برهمانا به كلي مغايرند. در متون  زبان پالي</w:t>
      </w:r>
      <w:r w:rsidRPr="00075613">
        <w:rPr>
          <w:rFonts w:cs="B Zar"/>
        </w:rPr>
        <w:t xml:space="preserve"> (Pali)</w:t>
      </w:r>
      <w:r w:rsidRPr="00075613">
        <w:rPr>
          <w:rFonts w:cs="B Zar" w:hint="cs"/>
          <w:rtl/>
        </w:rPr>
        <w:t xml:space="preserve"> و معارف بودائي كه در تدوين آن طبقه كشاتريا نقش اساسي را داشت، اظهاراتي وجود دارد كه از آن بر مي‌آيد در ميان كشاتريان از دير زمان انديشه فلسفي رواج داشته است. رسائل برهمانا</w:t>
      </w:r>
      <w:r w:rsidRPr="00075613">
        <w:rPr>
          <w:rFonts w:cs="B Zar"/>
        </w:rPr>
        <w:t xml:space="preserve"> (Brahmana)</w:t>
      </w:r>
      <w:r w:rsidRPr="00075613">
        <w:rPr>
          <w:rFonts w:cs="B Zar" w:hint="cs"/>
          <w:rtl/>
        </w:rPr>
        <w:t xml:space="preserve"> نيز اشاراتي دارد كه برخي سرداران و طبقه امرا، متخصص مسائل فلسفه به شمار مي آمده اند. در ساتاپاتا برهمانا</w:t>
      </w:r>
      <w:r w:rsidRPr="00075613">
        <w:rPr>
          <w:rFonts w:cs="B Zar"/>
        </w:rPr>
        <w:t>(Satapatha Brahmana)</w:t>
      </w:r>
      <w:r w:rsidRPr="00075613">
        <w:rPr>
          <w:rFonts w:cs="B Zar" w:hint="cs"/>
          <w:rtl/>
        </w:rPr>
        <w:t xml:space="preserve"> گفته شده است كه شاه جاناگ</w:t>
      </w:r>
      <w:r w:rsidRPr="00075613">
        <w:rPr>
          <w:rFonts w:cs="B Zar"/>
        </w:rPr>
        <w:t>(Janak)</w:t>
      </w:r>
      <w:r w:rsidRPr="00075613">
        <w:rPr>
          <w:rFonts w:cs="B Zar" w:hint="cs"/>
          <w:rtl/>
        </w:rPr>
        <w:t>به عنوان يكي از بنيانگذاران حكمت الهي تلقي شده است و ياجناوالكيا</w:t>
      </w:r>
      <w:r w:rsidRPr="00075613">
        <w:rPr>
          <w:rFonts w:cs="B Zar"/>
        </w:rPr>
        <w:t xml:space="preserve"> (Yajnavalkiya)</w:t>
      </w:r>
      <w:r w:rsidRPr="00075613">
        <w:rPr>
          <w:rFonts w:cs="B Zar" w:hint="cs"/>
          <w:rtl/>
        </w:rPr>
        <w:t>،  حكيم بزرگ، يكي از شاگردان وي بوده است. ياجناوالكيا ظاهراً از بزرگترين حكيمان هند باستان بوده و بسياري از تعاليم ودانت به او نسبت داده شده است. او مؤلف ساتا پاتا برهمانا و از ايراد كنندگان مطالب برهدارن ياكا اوپانيشاد</w:t>
      </w:r>
      <w:r w:rsidRPr="00075613">
        <w:rPr>
          <w:rFonts w:cs="B Zar"/>
        </w:rPr>
        <w:t>(Brhdaranyaka Upanishad)</w:t>
      </w:r>
      <w:r w:rsidRPr="00075613">
        <w:rPr>
          <w:rFonts w:cs="B Zar" w:hint="cs"/>
          <w:rtl/>
        </w:rPr>
        <w:t xml:space="preserve"> نيز تلقي شده است.</w:t>
      </w:r>
    </w:p>
    <w:p w:rsidR="00075613" w:rsidRPr="00075613" w:rsidP="003C0EF5">
      <w:pPr>
        <w:widowControl w:val="0"/>
        <w:spacing w:line="420" w:lineRule="exact"/>
        <w:ind w:left="0" w:right="0"/>
        <w:jc w:val="both"/>
        <w:rPr>
          <w:rFonts w:cs="B Zar" w:hint="cs"/>
          <w:rtl/>
        </w:rPr>
      </w:pPr>
      <w:r w:rsidRPr="00075613">
        <w:rPr>
          <w:rFonts w:cs="B Zar" w:hint="cs"/>
          <w:rtl/>
        </w:rPr>
        <w:t>بدينسان چنين به نظر مي رسد كه در هند باستان نخستين بوته هاي انديشه فلسفي در ميان طبقه امرا و سرداران سپه (كشاتريا) جوانه زد. جنبش فلسفي ـ عرفاني ودانت و نهضت ديني بودائيسم، هر دو از طبقه كشاتريا نشأت گرفت.</w:t>
      </w:r>
    </w:p>
    <w:p w:rsidR="00075613" w:rsidRPr="00075613" w:rsidP="00D83C60">
      <w:pPr>
        <w:widowControl w:val="0"/>
        <w:spacing w:line="420" w:lineRule="exact"/>
        <w:ind w:left="0" w:right="0"/>
        <w:jc w:val="both"/>
        <w:rPr>
          <w:rFonts w:cs="B Zar" w:hint="cs"/>
          <w:rtl/>
        </w:rPr>
      </w:pPr>
      <w:r w:rsidRPr="00075613">
        <w:rPr>
          <w:rFonts w:cs="B Zar" w:hint="cs"/>
          <w:rtl/>
        </w:rPr>
        <w:t>برهمانان مغرور و متكبر، نخست اين جنبش هاي نوپا را با تحقير، ناديده گرفتند؛ ولي برخي از طلبه‌هاي جوان برهمان كه از درس فقهي مناسك ودائي كه در حوزه هاي درسي برهماني تدريس مي شده است اقناع نشده، به مباحث فلسفي، عرفاني و اخلاقي حكيمان كشاتريا جلب شده و براي فراگرفتن اين دانش نوين در محضر آنان حاضر مي‌شده‌اند. در برهدارن ياكا اوپانيشاد</w:t>
      </w:r>
      <w:r w:rsidRPr="00075613">
        <w:rPr>
          <w:rFonts w:cs="B Zar"/>
        </w:rPr>
        <w:t xml:space="preserve"> Brhdaranyaka Upanishad</w:t>
      </w:r>
      <w:r w:rsidRPr="00075613">
        <w:rPr>
          <w:rFonts w:cs="B Zar" w:hint="cs"/>
          <w:rtl/>
        </w:rPr>
        <w:t xml:space="preserve"> و چاندوگيا اوپانيشاد</w:t>
      </w:r>
      <w:r w:rsidRPr="00075613">
        <w:rPr>
          <w:rFonts w:cs="B Zar"/>
        </w:rPr>
        <w:t xml:space="preserve"> Chandogya Upanishad</w:t>
      </w:r>
      <w:r w:rsidRPr="00075613">
        <w:rPr>
          <w:rFonts w:cs="B Zar" w:hint="cs"/>
          <w:rtl/>
        </w:rPr>
        <w:t xml:space="preserve"> ، داستان حضور برهمانان در مجالس درسي كشاتريا براي فراگرفتن دانش برهمان و آتمان كراراً گوشزد شده است. برهدارن ياكا اوپانيشاد</w:t>
      </w:r>
      <w:r w:rsidRPr="00075613">
        <w:rPr>
          <w:rFonts w:cs="B Zar"/>
        </w:rPr>
        <w:t>Brhdaranyaka Upanishad</w:t>
      </w:r>
      <w:r w:rsidRPr="00075613">
        <w:rPr>
          <w:rFonts w:cs="B Zar" w:hint="cs"/>
          <w:rtl/>
        </w:rPr>
        <w:t>، داستان برهماني به نام ادالاكا</w:t>
      </w:r>
      <w:r w:rsidRPr="00075613">
        <w:rPr>
          <w:rFonts w:cs="B Zar"/>
        </w:rPr>
        <w:t>(Uddalaka)</w:t>
      </w:r>
      <w:r w:rsidRPr="00075613">
        <w:rPr>
          <w:rFonts w:cs="B Zar" w:hint="cs"/>
          <w:rtl/>
        </w:rPr>
        <w:t xml:space="preserve"> يا گوتم</w:t>
      </w:r>
      <w:r w:rsidRPr="00075613">
        <w:rPr>
          <w:rFonts w:cs="B Zar"/>
        </w:rPr>
        <w:t xml:space="preserve"> (Gotama)</w:t>
      </w:r>
      <w:r w:rsidRPr="00075613">
        <w:rPr>
          <w:rFonts w:cs="B Zar" w:hint="cs"/>
          <w:rtl/>
        </w:rPr>
        <w:t xml:space="preserve"> را نقل مي كند كه برحسب اين گزارش، گوتم پيش جي وال</w:t>
      </w:r>
      <w:r w:rsidRPr="00075613">
        <w:rPr>
          <w:rFonts w:cs="B Zar"/>
        </w:rPr>
        <w:t>(Jivala)</w:t>
      </w:r>
      <w:r w:rsidRPr="00075613">
        <w:rPr>
          <w:rFonts w:cs="B Zar" w:hint="cs"/>
          <w:rtl/>
        </w:rPr>
        <w:t xml:space="preserve"> سردار كشاتريا حاضر شد و درخواست كرد كه او را از دانش برهمان برخوردار سازد. جي وال در پاسخ به وي گفت: </w:t>
      </w:r>
      <w:r w:rsidRPr="00075613">
        <w:rPr>
          <w:rFonts w:cs="B Zar" w:hint="cs"/>
          <w:i/>
          <w:iCs/>
          <w:rtl/>
        </w:rPr>
        <w:t>«اين حكمت را كه به تو ياد مي‌دهم، قبل از تو هيچ برهمن زاده‌اي  آن را فرانگرفته است</w:t>
      </w:r>
      <w:r w:rsidRPr="00075613">
        <w:rPr>
          <w:rFonts w:cs="B Zar" w:hint="cs"/>
          <w:rtl/>
        </w:rPr>
        <w:t xml:space="preserve">». از اين جمله به وضوح بر مي‌آيد كه حكمت ودانتي، نخست منحصراً در اختيار طبقه كشاتريا و امرا قرار داشت، سپس برهمانان جوان به آنان مراجعه نموده ، رموز فلسفه متعالي اوپانيشاد را فرا گرفتند. در چاندوگيا اوپانيشاد </w:t>
      </w:r>
      <w:r w:rsidRPr="00075613">
        <w:rPr>
          <w:rFonts w:cs="B Zar"/>
        </w:rPr>
        <w:t xml:space="preserve"> Chandogya Upanishad</w:t>
      </w:r>
      <w:r w:rsidRPr="00075613">
        <w:rPr>
          <w:rFonts w:cs="B Zar" w:hint="cs"/>
          <w:rtl/>
        </w:rPr>
        <w:t xml:space="preserve"> نيز داستان ورود پنج برهمان در محضر سردار كشاتريا، اسواپاتي</w:t>
      </w:r>
      <w:r w:rsidRPr="00075613">
        <w:rPr>
          <w:rFonts w:cs="B Zar"/>
        </w:rPr>
        <w:t>(Asvapati)</w:t>
      </w:r>
      <w:r w:rsidRPr="00075613">
        <w:rPr>
          <w:rFonts w:cs="B Zar" w:hint="cs"/>
          <w:rtl/>
        </w:rPr>
        <w:t>، نقل شده است. اين برهمنان به رهبري ادالك</w:t>
      </w:r>
      <w:r w:rsidRPr="00075613">
        <w:rPr>
          <w:rFonts w:cs="B Zar"/>
        </w:rPr>
        <w:t xml:space="preserve"> (Uddalaka)</w:t>
      </w:r>
      <w:r w:rsidRPr="00075613">
        <w:rPr>
          <w:rFonts w:cs="B Zar" w:hint="cs"/>
          <w:rtl/>
        </w:rPr>
        <w:t xml:space="preserve"> آرون، در زمره شاگردان آسوپتي كيكيه</w:t>
      </w:r>
      <w:r w:rsidRPr="00075613">
        <w:rPr>
          <w:rFonts w:cs="B Zar"/>
        </w:rPr>
        <w:t>(Kaykeya)</w:t>
      </w:r>
      <w:r w:rsidRPr="00075613">
        <w:rPr>
          <w:rFonts w:cs="B Zar" w:hint="cs"/>
          <w:rtl/>
        </w:rPr>
        <w:t xml:space="preserve"> درآمدند و دانش ذات احد (برهمن</w:t>
      </w:r>
      <w:r w:rsidRPr="00075613">
        <w:rPr>
          <w:rFonts w:cs="B Zar"/>
        </w:rPr>
        <w:t>Brayhman=</w:t>
      </w:r>
      <w:r w:rsidRPr="00075613">
        <w:rPr>
          <w:rFonts w:cs="B Zar" w:hint="cs"/>
          <w:rtl/>
        </w:rPr>
        <w:t>) و نفس ملكوتي (آتمان</w:t>
      </w:r>
      <w:r w:rsidRPr="00075613">
        <w:rPr>
          <w:rFonts w:cs="B Zar"/>
        </w:rPr>
        <w:t>Atman=</w:t>
      </w:r>
      <w:r w:rsidRPr="00075613">
        <w:rPr>
          <w:rFonts w:cs="B Zar" w:hint="cs"/>
          <w:rtl/>
        </w:rPr>
        <w:t>) را از او فرا گرفتند. اين داستان در كتاب سات پات برهمانا نيز تقل گرديده است</w:t>
      </w:r>
      <w:r>
        <w:rPr>
          <w:rStyle w:val="FootnoteReference"/>
          <w:rFonts w:cs="B Zar"/>
          <w:sz w:val="28"/>
          <w:szCs w:val="28"/>
          <w:rtl/>
        </w:rPr>
        <w:footnoteReference w:id="489"/>
      </w:r>
      <w:r w:rsidRPr="00075613">
        <w:rPr>
          <w:rFonts w:cs="B Zar" w:hint="cs"/>
          <w:rtl/>
        </w:rPr>
        <w:t>. در برهدارن ياكا اوپانيشاد</w:t>
      </w:r>
      <w:r w:rsidRPr="00075613">
        <w:rPr>
          <w:rFonts w:cs="B Zar"/>
        </w:rPr>
        <w:t xml:space="preserve"> Brhdaranyaka Upanishad</w:t>
      </w:r>
      <w:r w:rsidRPr="00075613">
        <w:rPr>
          <w:rFonts w:cs="B Zar" w:hint="cs"/>
          <w:rtl/>
        </w:rPr>
        <w:t>، مي خوانيم: «يكي از برهمانان به نام درپت بالاك</w:t>
      </w:r>
      <w:r w:rsidRPr="00075613">
        <w:rPr>
          <w:rFonts w:cs="B Zar"/>
        </w:rPr>
        <w:t>(Balaka)</w:t>
      </w:r>
      <w:r w:rsidRPr="00075613">
        <w:rPr>
          <w:rFonts w:cs="B Zar" w:hint="cs"/>
          <w:rtl/>
        </w:rPr>
        <w:t xml:space="preserve"> از نسل گارگ</w:t>
      </w:r>
      <w:r w:rsidRPr="00075613">
        <w:rPr>
          <w:rFonts w:cs="B Zar"/>
        </w:rPr>
        <w:t>(Gargi)</w:t>
      </w:r>
      <w:r w:rsidRPr="00075613">
        <w:rPr>
          <w:rFonts w:cs="B Zar" w:hint="cs"/>
          <w:rtl/>
        </w:rPr>
        <w:t xml:space="preserve"> ـ كه در علم سنتي و فقه احكام صاحب كمال بود ـ پيش راجه اجات شترو آمد. اجات شترو، راجه منطقه بنارس (كاشي) بود. نخست برهمن ادعا كرد كه او حقيقت  نهائي و حقيقت مطلق را كه برهمن است، مي‌داند. راجه از او خواست از بيان و صحبت خود، او را آگاه سازد. برهمن هرچه در مورد برهمن مي دانست گفت و راجه تمام گفته هاي وي را نقض مي كرد و به او خاطر نشان ساخت كه نكاتي كه شما در مورد برهمن مي دانيد و تصور شما از ذات احديت، بسيار پيش پا افتاده و سطحي است.</w:t>
      </w:r>
      <w:r>
        <w:rPr>
          <w:rStyle w:val="FootnoteReference"/>
          <w:rFonts w:cs="B Zar"/>
          <w:sz w:val="28"/>
          <w:szCs w:val="28"/>
          <w:rtl/>
        </w:rPr>
        <w:footnoteReference w:id="490"/>
      </w:r>
      <w:r w:rsidRPr="00075613">
        <w:rPr>
          <w:rFonts w:cs="B Zar" w:hint="cs"/>
          <w:rtl/>
        </w:rPr>
        <w:t xml:space="preserve"> برهمن از راجه كشاتريا خواست كه حكمت برهمن را به او بياموزد و راجه در پاسخ مي گويد: «</w:t>
      </w:r>
      <w:r w:rsidRPr="00075613">
        <w:rPr>
          <w:rFonts w:cs="B Zar" w:hint="cs"/>
          <w:i/>
          <w:iCs/>
          <w:rtl/>
        </w:rPr>
        <w:t>آمدن يك برهمن را براي شما بيان مي‌كنم</w:t>
      </w:r>
      <w:r w:rsidRPr="00075613">
        <w:rPr>
          <w:rFonts w:cs="B Zar" w:hint="cs"/>
          <w:rtl/>
        </w:rPr>
        <w:t>.» سپس به بيان رموز ودانتي راجع به ذات برهمن پرداخت.</w:t>
      </w:r>
      <w:r>
        <w:rPr>
          <w:rStyle w:val="FootnoteReference"/>
          <w:rFonts w:cs="B Zar"/>
          <w:sz w:val="28"/>
          <w:szCs w:val="28"/>
          <w:rtl/>
        </w:rPr>
        <w:footnoteReference w:id="491"/>
      </w:r>
    </w:p>
    <w:p w:rsidR="00075613" w:rsidRPr="00075613" w:rsidP="003C0EF5">
      <w:pPr>
        <w:widowControl w:val="0"/>
        <w:spacing w:line="420" w:lineRule="exact"/>
        <w:ind w:left="0" w:right="0"/>
        <w:jc w:val="both"/>
        <w:rPr>
          <w:rFonts w:cs="B Zar" w:hint="cs"/>
          <w:i/>
          <w:iCs/>
          <w:rtl/>
        </w:rPr>
      </w:pPr>
      <w:r w:rsidRPr="00075613">
        <w:rPr>
          <w:rFonts w:cs="B Zar" w:hint="cs"/>
          <w:rtl/>
        </w:rPr>
        <w:t xml:space="preserve">اين داستان در كاوسيتاكي اوپانيشاد </w:t>
      </w:r>
      <w:r w:rsidRPr="00075613">
        <w:rPr>
          <w:rFonts w:cs="B Zar"/>
        </w:rPr>
        <w:t xml:space="preserve"> Kausitaki Upanishad</w:t>
      </w:r>
      <w:r w:rsidRPr="00075613">
        <w:rPr>
          <w:rFonts w:cs="B Zar" w:hint="cs"/>
          <w:rtl/>
        </w:rPr>
        <w:t xml:space="preserve"> نيز تكرار گرديده است</w:t>
      </w:r>
      <w:r>
        <w:rPr>
          <w:rStyle w:val="FootnoteReference"/>
          <w:rFonts w:cs="B Zar"/>
          <w:sz w:val="28"/>
          <w:szCs w:val="28"/>
          <w:rtl/>
        </w:rPr>
        <w:footnoteReference w:id="492"/>
      </w:r>
      <w:r w:rsidRPr="00075613">
        <w:rPr>
          <w:rFonts w:cs="B Zar" w:hint="cs"/>
          <w:rtl/>
        </w:rPr>
        <w:t xml:space="preserve">. از اين داستانهاي داخل اوپانيشاد، بدون هيچ ترديدي ثابت مي شود كه راجه ها و امراي كشاتريا در ايجاد جنبش فلسفه، حكمت و عرفان پيشتاز بوده و در مرحله اول پرچمداري اين جنبش و تعاليم ودانتي را در اختيار داشته‌اند، و تنها در مرحله بعدي برهمنان اين معارف را از كشاتريا فرا گرفتند. نخستين بار، گاربه </w:t>
      </w:r>
      <w:r w:rsidRPr="00075613">
        <w:rPr>
          <w:rFonts w:cs="B Zar"/>
        </w:rPr>
        <w:t>(Garbe)</w:t>
      </w:r>
      <w:r w:rsidRPr="00075613">
        <w:rPr>
          <w:rFonts w:cs="B Zar" w:hint="cs"/>
          <w:rtl/>
        </w:rPr>
        <w:t xml:space="preserve"> عنوان كرد كه جنبش فلسفه و حكمت را در هند، طبقه امرأ و اشراف آغاز كرده اند. او نوشت: «</w:t>
      </w:r>
      <w:r w:rsidRPr="00075613">
        <w:rPr>
          <w:rFonts w:cs="B Zar" w:hint="cs"/>
          <w:i/>
          <w:iCs/>
          <w:rtl/>
        </w:rPr>
        <w:t>با توجه به داستانهاي بالاك، گارگ، اجات شترو،  در برهدارن ياكا اوپانيشاد و داستان سوكيتو و پرواهن جي بلي در برهدارن ياكا و چاندوگيا اوپانيشاد و داستان آرون و اسكوپتي كیكيه، مي‌توان پي برد كه فلسفه ودانتي در حوزه درسي برهمانان بوجود نيامده است»</w:t>
      </w:r>
      <w:r>
        <w:rPr>
          <w:rStyle w:val="FootnoteReference"/>
          <w:rFonts w:cs="B Zar"/>
          <w:i/>
          <w:iCs/>
          <w:rtl/>
        </w:rPr>
        <w:footnoteReference w:id="493"/>
      </w:r>
      <w:r w:rsidRPr="00075613">
        <w:rPr>
          <w:rFonts w:cs="B Zar" w:hint="cs"/>
          <w:i/>
          <w:iCs/>
          <w:rtl/>
        </w:rPr>
        <w:t>.</w:t>
      </w:r>
    </w:p>
    <w:p w:rsidR="00075613" w:rsidRPr="00075613" w:rsidP="003C0EF5">
      <w:pPr>
        <w:widowControl w:val="0"/>
        <w:spacing w:line="420" w:lineRule="exact"/>
        <w:ind w:left="0" w:right="0"/>
        <w:jc w:val="both"/>
        <w:rPr>
          <w:rFonts w:cs="B Zar" w:hint="cs"/>
          <w:rtl/>
        </w:rPr>
      </w:pPr>
      <w:r w:rsidRPr="00075613">
        <w:rPr>
          <w:rFonts w:cs="B Zar" w:hint="cs"/>
          <w:rtl/>
        </w:rPr>
        <w:t>البته داس گوپتا</w:t>
      </w:r>
      <w:r w:rsidRPr="00075613">
        <w:rPr>
          <w:rFonts w:cs="B Zar"/>
        </w:rPr>
        <w:t xml:space="preserve"> (das Gupta)</w:t>
      </w:r>
      <w:r w:rsidRPr="00075613">
        <w:rPr>
          <w:rFonts w:cs="B Zar" w:hint="cs"/>
          <w:rtl/>
        </w:rPr>
        <w:t xml:space="preserve"> با اين نظريه موافق نيست. او جنبش ودا نتي و فلسفه اوپانيشاد را دنباله انديشه ودا و برهمانا مي‌داند و معتقد است كه نظير معارف ودائي، اصول نظريه ودانت</w:t>
      </w:r>
      <w:r w:rsidRPr="00075613">
        <w:rPr>
          <w:rFonts w:cs="B Zar"/>
        </w:rPr>
        <w:t xml:space="preserve"> (Vedanta)</w:t>
      </w:r>
      <w:r w:rsidRPr="00075613">
        <w:rPr>
          <w:rFonts w:cs="B Zar" w:hint="cs"/>
          <w:rtl/>
        </w:rPr>
        <w:t xml:space="preserve"> نيز از تراوشات فكري برهمانا مي‌باشد. داس گوپتا در صدد بر مي‌آيد شواهد داخلي اوپانيشاد را نيز توجيه كند. او مي گويد: «داستان بالاك</w:t>
      </w:r>
      <w:r w:rsidRPr="00075613">
        <w:rPr>
          <w:rFonts w:cs="B Zar"/>
        </w:rPr>
        <w:t xml:space="preserve"> (Balaka)</w:t>
      </w:r>
      <w:r w:rsidRPr="00075613">
        <w:rPr>
          <w:rFonts w:cs="B Zar" w:hint="cs"/>
          <w:rtl/>
        </w:rPr>
        <w:t>، گارگ</w:t>
      </w:r>
      <w:r w:rsidRPr="00075613">
        <w:rPr>
          <w:rFonts w:cs="B Zar"/>
        </w:rPr>
        <w:t xml:space="preserve"> (garg)</w:t>
      </w:r>
      <w:r w:rsidRPr="00075613">
        <w:rPr>
          <w:rFonts w:cs="B Zar" w:hint="cs"/>
          <w:rtl/>
        </w:rPr>
        <w:t xml:space="preserve"> و اجات شترو، ثابت مي كند كه حكمت ود نتي را برهمانان از كشاتريا ياد گرفته‌اند. بالاك،  از روحانيون فضل فروشي است كه درصدد بر مي‌آيد اجات شترو را با معارف برهمان آشنا سازد؛ وقتي پي مي برد كه او دانشمندتر از خود او است، از راجه تقاضا مي كند حكمت را به او ياد بدهد. جمله اجات شترو (كه اين برخلاف روال عادي است كه دانش را برهمانان از غير خود ياد گيرند، ولي اكنون كه تو خواسته‌اي بيان مي دارم) ثابت مي كند كه به طور عموم حكمت را نيز برهمانان ياد مي‌داده‌اند و به طور استثنائي برخي سرداران كشاتريا بدين مقام رسيده بودند.</w:t>
      </w:r>
      <w:r>
        <w:rPr>
          <w:rStyle w:val="FootnoteReference"/>
          <w:rFonts w:cs="B Zar"/>
          <w:rtl/>
        </w:rPr>
        <w:footnoteReference w:id="494"/>
      </w:r>
      <w:r w:rsidRPr="00075613">
        <w:rPr>
          <w:rFonts w:cs="B Zar" w:hint="cs"/>
          <w:rtl/>
        </w:rPr>
        <w:t xml:space="preserve"> البته در خود اوپانيشاد در جاي ديگر به طور صريح گفته شده است كه برهماني كه پيش راجه آمده و از او معرفت برهمان را فرا گرفته است، نخستين برهمان زاده‌اي بوده كه با اين گونه دانش آشنايي پيدا كرده است. با توجه به اين، بايد اذعان نمود كه اجات شترو به روال عادي به معرفت سنتي فقهي اشاره دارد. روال عادي اين بوده كه برهمانان پر ادعا و مغرور، اين را حق مادرزادي خود مي دانسته اند كه احكام ودا و مناسك برهمانا را در انحصار خود داشته باشند و مردم براي فراگرفتن معرفت احكام به آنان رجوع كنند، نه اينكه روال عادي اين باشد كه معرفت و حكمت را برهمانان تعليم دهند. البته داس گوپتا داستان ديگر سوت كتو</w:t>
      </w:r>
      <w:r w:rsidRPr="00075613">
        <w:rPr>
          <w:rFonts w:ascii="Arial" w:hAnsi="Arial" w:cs="B Zar"/>
          <w:color w:val="000000"/>
        </w:rPr>
        <w:t xml:space="preserve"> </w:t>
      </w:r>
      <w:r w:rsidRPr="00D83C60">
        <w:rPr>
          <w:rFonts w:cs="Times New Roman"/>
          <w:color w:val="000000"/>
        </w:rPr>
        <w:t>Svetaketu</w:t>
      </w:r>
      <w:r w:rsidRPr="00075613">
        <w:rPr>
          <w:rFonts w:cs="B Zar" w:hint="cs"/>
          <w:rtl/>
        </w:rPr>
        <w:t xml:space="preserve"> و جي بال</w:t>
      </w:r>
      <w:r w:rsidRPr="00075613">
        <w:rPr>
          <w:rFonts w:cs="B Zar"/>
        </w:rPr>
        <w:t>(Jibala)</w:t>
      </w:r>
      <w:r w:rsidRPr="00075613">
        <w:rPr>
          <w:rFonts w:cs="B Zar" w:hint="cs"/>
          <w:rtl/>
        </w:rPr>
        <w:t>ا را تفسير مي نمايد و مي‌گويد: «اين داستان تنها حكايت از آن دارد كه عقيده تناسخ ارواح و اين نظريه كه برخي پس از مرگ به نياكان مي پيوندند و برخي به خدايان و به ملكوت اعلي و به منزل تقرب الهي راه پيدا مي كند، در ميان انديشمندان كشاتريا نشأت گرفت، ولي ثابت نمي كند كه نظريه وحدت الوجود كه جوهر اوپانيشاد فلسفه ودا نت است و تصور برهمان</w:t>
      </w:r>
      <w:r w:rsidRPr="00075613">
        <w:rPr>
          <w:rFonts w:cs="B Zar"/>
        </w:rPr>
        <w:t>(Brahman)</w:t>
      </w:r>
      <w:r w:rsidRPr="00075613">
        <w:rPr>
          <w:rFonts w:cs="B Zar" w:hint="cs"/>
          <w:rtl/>
        </w:rPr>
        <w:t xml:space="preserve"> و آتمان</w:t>
      </w:r>
      <w:r w:rsidRPr="00075613">
        <w:rPr>
          <w:rFonts w:cs="B Zar"/>
        </w:rPr>
        <w:t>(Atman)</w:t>
      </w:r>
      <w:r w:rsidRPr="00075613">
        <w:rPr>
          <w:rFonts w:cs="B Zar" w:hint="cs"/>
          <w:rtl/>
        </w:rPr>
        <w:t xml:space="preserve"> نيز متعلق به كشاتريا بوده است؛ داس گوپتا نيز معتقد است كه: داستان سوم آرون و اسوپتي كيكيه</w:t>
      </w:r>
      <w:r w:rsidRPr="00075613">
        <w:rPr>
          <w:rFonts w:cs="B Zar"/>
        </w:rPr>
        <w:t>(Katkeya)</w:t>
      </w:r>
      <w:r w:rsidRPr="00075613">
        <w:rPr>
          <w:rFonts w:cs="B Zar" w:hint="cs"/>
          <w:rtl/>
        </w:rPr>
        <w:t xml:space="preserve"> نيز اين نكته را ثابت نمي كند كه كشاتريا ايجادگر فلسفه ودانتا اند؛ چرا كه برحسب اين داستان پنج برهمان كه در صدد كشف حقيقت بوده اند، پيش ادلك آرني، برهمان معروف، حاضر مي شوند و پرسشهاي فلسفي را مطرح مي‌كند. وقتي او از پاسخ باز مي ماند، همگي آنان به اتفاق ارني پيش راجه اسوپتي مي آيند و پرسشها را نزد او مطرح كرده، پاسخ را دريافت مي كنند. گفتگوئي كه ميان آنان صورت مي گيرد، در مورد برخي مراسم ديني و مناسك قرباني است و اصل برهمان ـ آتمان كه جوهر فلسفه ودانتي است، مطرح نمي‌شود</w:t>
      </w:r>
      <w:r>
        <w:rPr>
          <w:rStyle w:val="FootnoteReference"/>
          <w:rFonts w:cs="B Zar"/>
          <w:sz w:val="28"/>
          <w:szCs w:val="28"/>
          <w:rtl/>
        </w:rPr>
        <w:footnoteReference w:id="495"/>
      </w:r>
      <w:r w:rsidRPr="00075613">
        <w:rPr>
          <w:rFonts w:cs="B Zar" w:hint="cs"/>
          <w:rtl/>
        </w:rPr>
        <w:t>.</w:t>
      </w:r>
    </w:p>
    <w:p w:rsidR="00075613" w:rsidP="00D83C60">
      <w:pPr>
        <w:widowControl w:val="0"/>
        <w:spacing w:line="420" w:lineRule="exact"/>
        <w:ind w:left="0" w:right="0"/>
        <w:jc w:val="both"/>
        <w:rPr>
          <w:rFonts w:cs="B Zar" w:hint="cs"/>
          <w:rtl/>
        </w:rPr>
      </w:pPr>
      <w:r w:rsidRPr="00075613">
        <w:rPr>
          <w:rFonts w:cs="B Zar" w:hint="cs"/>
          <w:rtl/>
        </w:rPr>
        <w:t>البته داس گوپتا</w:t>
      </w:r>
      <w:r w:rsidRPr="00075613">
        <w:rPr>
          <w:rFonts w:cs="B Zar"/>
        </w:rPr>
        <w:t>(das Gupta)</w:t>
      </w:r>
      <w:r w:rsidRPr="00075613">
        <w:rPr>
          <w:rFonts w:cs="B Zar" w:hint="cs"/>
          <w:rtl/>
        </w:rPr>
        <w:t xml:space="preserve"> براي آنكه نقش عمده طبقه كشاتريا را در ايجاد جنبش فلسفي در هند انكار كند و آن را نيز به برهمانان نسبت دهد، به جدل روي آورده است. او اين نكته را ناديده مي‌گيرد كه در قطعه فوق صحبت از احكام نيست؛ بلكه فلسفه احكام است و تفسير عارفانه و فيلسوف مآبانه آيات ودا، و احكام رساله برهمانا</w:t>
      </w:r>
      <w:r w:rsidRPr="00075613">
        <w:rPr>
          <w:rFonts w:cs="B Zar"/>
        </w:rPr>
        <w:t>(Brahmana)</w:t>
      </w:r>
      <w:r w:rsidRPr="00075613">
        <w:rPr>
          <w:rFonts w:cs="B Zar" w:hint="cs"/>
          <w:rtl/>
        </w:rPr>
        <w:t>، از جمله دستاوردهاي جنبش فلسفي ـ عرفاني هند در مرحله پنجم بوده است. وقتي مي گوئيم كه طبقات غير روحاني برهمان آغازگر تفكر فلسفي در هند است، مقصود ما تنها نظريه برهمان آتمان نيست؛ بلكه كل روند تفكر فلسفي و عرفاني و توجه به باطن، شعائر ديني در كنار عمل به ظواهر آن است. برخلاف گفته داس گوپتا، جنبش فلسفي ـ عرفاني ودانتا</w:t>
      </w:r>
      <w:r w:rsidRPr="00075613">
        <w:rPr>
          <w:rFonts w:cs="B Zar"/>
        </w:rPr>
        <w:t>(Vedanta)</w:t>
      </w:r>
      <w:r w:rsidRPr="00075613">
        <w:rPr>
          <w:rFonts w:cs="B Zar" w:hint="cs"/>
          <w:rtl/>
        </w:rPr>
        <w:t xml:space="preserve"> دنباله تعليم ودا و برهمانا نبوده، بلكه نوعي واكنش در مقابل مناسك گري افراطي برهماني بوده است؛ چنانكه بودائيسم نيز همين ماهيت را داشته است. البته در مرحله بعدي، برهمانان معارف ودانتا اوپانيشاد را از آن خود ساخته  و آن را به صورت ضمائم ودا</w:t>
      </w:r>
      <w:r w:rsidRPr="00075613">
        <w:rPr>
          <w:rFonts w:cs="B Zar"/>
        </w:rPr>
        <w:t xml:space="preserve"> (veda)</w:t>
      </w:r>
      <w:r w:rsidRPr="00075613">
        <w:rPr>
          <w:rFonts w:cs="B Zar" w:hint="cs"/>
          <w:rtl/>
        </w:rPr>
        <w:t xml:space="preserve"> و برهمانا</w:t>
      </w:r>
      <w:r w:rsidRPr="00075613">
        <w:rPr>
          <w:rFonts w:cs="B Zar"/>
        </w:rPr>
        <w:t xml:space="preserve"> (Brahmana)</w:t>
      </w:r>
      <w:r w:rsidRPr="00075613">
        <w:rPr>
          <w:rFonts w:cs="B Zar" w:hint="cs"/>
          <w:rtl/>
        </w:rPr>
        <w:t xml:space="preserve"> در آورده اند. در آغاز روشنفكران و مردان فكور طبقه مرفه كشاتريا به تفكر فلسفي پرداختند. ممكن است نوعي رقابت بر سر اقتدار اجتماعي و رهبري توده هاي مردم نيز در آغاز اين جنبش دخالت داشته باشد. كشاتريا كه قدرت سياسي را در دست داشتند، طبيعي است كه در صدد باشند نفوذ اعتقادي و فكري برهمانان را ميان مردم بشكنند. بهترين راه آن شكستن تكيه‌گاه اصلي و نگرش مناسكي آنان بوده است و با اين انگيزه دربارهاي راجه‌هاي كشاتريا، نگرش عرفاني و فلسفي طريقت را در مقابل شريعت علم كردند. ولي برهمانان زيرك و هشيار كه ويژگي اصلي و رمز موفقيت آنان در هند، توانائي فوق‌العاده سازش‌پذيري و تطبيق با اوضاع روندهاي جديد انديشه بوده است، وقتي ملاحظه كردند كه جنبش تازه مردم را به خود جلب كرده و مورد پذيرش خاص و عام گرديده و نيز دربارها علاقمند به گسترش آن هستند، اين فلسفه را از آن خود ساختند و رشته را بدست گرفته، توسعه بيشتري دادند. در حاليكه آغازگر تعاليم ودانتا، كشاتريا بودند، ولي پرچمدار و نگاهدارنده آن در ازمنه بعدي، دودمان‌هاي روحانيون برهمان بوده‌اند. اسامي فعلي اوپانيشادها نمايانگر ارتباط اين رسائل به سلسله‌هاي مختلف مذاهب ودانتي و دودمان هاي برهماني است، </w:t>
      </w:r>
      <w:r w:rsidRPr="00075613">
        <w:rPr>
          <w:rFonts w:cs="B Zar" w:hint="cs"/>
          <w:iCs/>
          <w:rtl/>
        </w:rPr>
        <w:t>ايتاريا</w:t>
      </w:r>
      <w:r w:rsidRPr="00075613">
        <w:rPr>
          <w:rFonts w:cs="B Zar"/>
          <w:iCs/>
        </w:rPr>
        <w:t xml:space="preserve"> </w:t>
      </w:r>
      <w:r w:rsidRPr="00075613">
        <w:rPr>
          <w:rFonts w:cs="B Zar"/>
        </w:rPr>
        <w:t>Aitareya</w:t>
      </w:r>
      <w:r w:rsidRPr="00075613">
        <w:rPr>
          <w:rFonts w:cs="B Zar" w:hint="cs"/>
          <w:iCs/>
          <w:rtl/>
        </w:rPr>
        <w:t xml:space="preserve"> ،</w:t>
      </w:r>
      <w:r w:rsidRPr="00075613">
        <w:rPr>
          <w:rFonts w:cs="B Zar" w:hint="cs"/>
          <w:rtl/>
        </w:rPr>
        <w:t xml:space="preserve"> </w:t>
      </w:r>
      <w:r w:rsidRPr="00075613">
        <w:rPr>
          <w:rFonts w:cs="B Zar" w:hint="cs"/>
          <w:iCs/>
          <w:rtl/>
        </w:rPr>
        <w:t>كوشي‌تاكا</w:t>
      </w:r>
      <w:r w:rsidRPr="00075613">
        <w:rPr>
          <w:rFonts w:cs="B Zar"/>
          <w:iCs/>
        </w:rPr>
        <w:t xml:space="preserve"> </w:t>
      </w:r>
      <w:r w:rsidRPr="00075613">
        <w:rPr>
          <w:rFonts w:cs="B Zar"/>
        </w:rPr>
        <w:t>Kausitaki</w:t>
      </w:r>
      <w:r w:rsidRPr="00075613">
        <w:rPr>
          <w:rFonts w:cs="B Zar"/>
          <w:iCs/>
        </w:rPr>
        <w:t xml:space="preserve"> </w:t>
      </w:r>
      <w:r w:rsidRPr="00075613">
        <w:rPr>
          <w:rFonts w:cs="B Zar" w:hint="cs"/>
          <w:iCs/>
          <w:rtl/>
        </w:rPr>
        <w:t xml:space="preserve">، </w:t>
      </w:r>
      <w:r w:rsidRPr="00075613">
        <w:rPr>
          <w:rFonts w:cs="B Zar" w:hint="cs"/>
          <w:rtl/>
        </w:rPr>
        <w:t xml:space="preserve">همه از اسامي سلسله قُرّا و روحانيوني است كه اين متون را حفظ كرده اند. يكي از سلسله هاي برهمانان </w:t>
      </w:r>
      <w:r w:rsidRPr="00075613">
        <w:rPr>
          <w:rFonts w:cs="B Zar" w:hint="cs"/>
          <w:iCs/>
          <w:rtl/>
        </w:rPr>
        <w:t>ايتاريا</w:t>
      </w:r>
      <w:r w:rsidRPr="00075613">
        <w:rPr>
          <w:rFonts w:cs="B Zar"/>
          <w:iCs/>
        </w:rPr>
        <w:t xml:space="preserve"> </w:t>
      </w:r>
      <w:r w:rsidRPr="00075613">
        <w:rPr>
          <w:rFonts w:cs="B Zar" w:hint="cs"/>
          <w:rtl/>
        </w:rPr>
        <w:t xml:space="preserve">ناميده مي شد و اسم سلسله ديگر </w:t>
      </w:r>
      <w:r w:rsidRPr="00075613">
        <w:rPr>
          <w:rFonts w:cs="B Zar" w:hint="cs"/>
          <w:iCs/>
          <w:rtl/>
        </w:rPr>
        <w:t xml:space="preserve">كوشي تاكا </w:t>
      </w:r>
      <w:r w:rsidRPr="00075613">
        <w:rPr>
          <w:rFonts w:cs="B Zar" w:hint="cs"/>
          <w:rtl/>
        </w:rPr>
        <w:t xml:space="preserve">بود. هر يك از اين سلسله‌هاي روحاني داراي يك رساله توضيح الاحكام و يك رساله در اعتقادات و نگرش فلسفي بوده‌اند. اولي را </w:t>
      </w:r>
      <w:r w:rsidRPr="00075613">
        <w:rPr>
          <w:rFonts w:cs="B Zar" w:hint="cs"/>
          <w:iCs/>
          <w:rtl/>
        </w:rPr>
        <w:t>ايتاريا،</w:t>
      </w:r>
      <w:r w:rsidRPr="00075613">
        <w:rPr>
          <w:rFonts w:cs="B Zar" w:hint="cs"/>
          <w:rtl/>
        </w:rPr>
        <w:t xml:space="preserve"> يا </w:t>
      </w:r>
      <w:r w:rsidRPr="00075613">
        <w:rPr>
          <w:rFonts w:cs="B Zar" w:hint="cs"/>
          <w:iCs/>
          <w:rtl/>
        </w:rPr>
        <w:t>كوشي تاكا برهمانا</w:t>
      </w:r>
      <w:r w:rsidRPr="00075613">
        <w:rPr>
          <w:rFonts w:cs="B Zar" w:hint="cs"/>
          <w:rtl/>
        </w:rPr>
        <w:t xml:space="preserve"> و ديگري را </w:t>
      </w:r>
      <w:r w:rsidRPr="00075613">
        <w:rPr>
          <w:rFonts w:cs="B Zar" w:hint="cs"/>
          <w:iCs/>
          <w:rtl/>
        </w:rPr>
        <w:t>ايتاريا</w:t>
      </w:r>
      <w:r w:rsidRPr="00075613">
        <w:rPr>
          <w:rFonts w:cs="B Zar" w:hint="cs"/>
          <w:rtl/>
        </w:rPr>
        <w:t xml:space="preserve"> يا </w:t>
      </w:r>
      <w:r w:rsidRPr="00075613">
        <w:rPr>
          <w:rFonts w:cs="B Zar" w:hint="cs"/>
          <w:iCs/>
          <w:rtl/>
        </w:rPr>
        <w:t>كوشي تاكا</w:t>
      </w:r>
      <w:r w:rsidRPr="00075613">
        <w:rPr>
          <w:rFonts w:cs="B Zar" w:hint="cs"/>
          <w:rtl/>
        </w:rPr>
        <w:t xml:space="preserve"> اوپانيشاد مي‌ناميده‌اند. هر يك از اين سلسله برهمانان خود را پيرو يكي از وداهاي چهارگانه مي‌دانسته اند. از همين روي گفته مي شود كه هر يك از برهمانا و اوپانيشاد، به يكي وداهاي چهارگانه تعلق دارد. مثلاً ايتاريا، كوشي تاكا از اوپانيشادهاي ريگ ودا، چاندوگيا</w:t>
      </w:r>
      <w:r w:rsidRPr="00075613">
        <w:rPr>
          <w:rFonts w:cs="B Zar"/>
        </w:rPr>
        <w:t>Chandogya Upanishad</w:t>
      </w:r>
      <w:r w:rsidRPr="00075613">
        <w:rPr>
          <w:rFonts w:cs="B Zar" w:hint="cs"/>
          <w:rtl/>
        </w:rPr>
        <w:t>، كنا</w:t>
      </w:r>
      <w:r w:rsidRPr="00075613">
        <w:rPr>
          <w:rFonts w:cs="B Zar"/>
        </w:rPr>
        <w:t xml:space="preserve"> Kena Upanishad</w:t>
      </w:r>
      <w:r w:rsidRPr="00075613">
        <w:rPr>
          <w:rFonts w:cs="B Zar" w:hint="cs"/>
          <w:rtl/>
        </w:rPr>
        <w:t>، از اوپانيشادهاي سن ودا، تيتريه</w:t>
      </w:r>
      <w:r w:rsidRPr="00075613">
        <w:rPr>
          <w:rFonts w:cs="B Zar"/>
        </w:rPr>
        <w:t>Taittiriya Upanishad</w:t>
      </w:r>
      <w:r w:rsidRPr="00075613">
        <w:rPr>
          <w:rFonts w:cs="B Zar" w:hint="cs"/>
          <w:rtl/>
        </w:rPr>
        <w:t>، مهانارايانا</w:t>
      </w:r>
      <w:r w:rsidRPr="00075613">
        <w:rPr>
          <w:rFonts w:cs="B Zar"/>
        </w:rPr>
        <w:t xml:space="preserve"> Mahanarayana Upanishad</w:t>
      </w:r>
      <w:r w:rsidRPr="00075613">
        <w:rPr>
          <w:rFonts w:cs="B Zar" w:hint="cs"/>
          <w:rtl/>
        </w:rPr>
        <w:t>، كاتها</w:t>
      </w:r>
      <w:r w:rsidRPr="00075613">
        <w:rPr>
          <w:rFonts w:cs="B Zar"/>
        </w:rPr>
        <w:t>Kathaka Upanishad</w:t>
      </w:r>
      <w:r w:rsidRPr="00075613">
        <w:rPr>
          <w:rFonts w:cs="B Zar" w:hint="cs"/>
          <w:rtl/>
        </w:rPr>
        <w:t>، سوت اس واترا</w:t>
      </w:r>
      <w:r w:rsidRPr="00075613">
        <w:rPr>
          <w:rFonts w:cs="B Zar"/>
        </w:rPr>
        <w:t xml:space="preserve"> Svetasvatara Upanishad</w:t>
      </w:r>
      <w:r w:rsidRPr="00075613">
        <w:rPr>
          <w:rFonts w:cs="B Zar" w:hint="cs"/>
          <w:rtl/>
        </w:rPr>
        <w:t>، ميتريانا</w:t>
      </w:r>
      <w:r w:rsidRPr="00075613">
        <w:rPr>
          <w:rFonts w:cs="B Zar"/>
        </w:rPr>
        <w:t>Maitrayana Upanishad</w:t>
      </w:r>
      <w:r w:rsidRPr="00075613">
        <w:rPr>
          <w:rFonts w:cs="B Zar" w:hint="cs"/>
          <w:rtl/>
        </w:rPr>
        <w:t>، از محلقات ياجور</w:t>
      </w:r>
      <w:r w:rsidRPr="00075613">
        <w:rPr>
          <w:rFonts w:cs="B Zar"/>
        </w:rPr>
        <w:t>(Yajur)</w:t>
      </w:r>
      <w:r w:rsidRPr="00075613">
        <w:rPr>
          <w:rFonts w:cs="B Zar" w:hint="cs"/>
          <w:rtl/>
        </w:rPr>
        <w:t xml:space="preserve"> وداي سفيد و برهداران ياكا اوپانيشاد</w:t>
      </w:r>
      <w:r w:rsidRPr="00075613">
        <w:rPr>
          <w:rFonts w:cs="B Zar"/>
        </w:rPr>
        <w:t xml:space="preserve"> Brhdaranyaka Upanishad</w:t>
      </w:r>
      <w:r w:rsidRPr="00075613">
        <w:rPr>
          <w:rFonts w:cs="B Zar" w:hint="cs"/>
          <w:rtl/>
        </w:rPr>
        <w:t xml:space="preserve"> متعلق به ياجور وداي سياه و مانداكا</w:t>
      </w:r>
      <w:r w:rsidRPr="00075613">
        <w:rPr>
          <w:rFonts w:cs="B Zar"/>
        </w:rPr>
        <w:t xml:space="preserve"> Mundaka</w:t>
      </w:r>
      <w:r w:rsidRPr="00075613">
        <w:rPr>
          <w:rFonts w:cs="B Zar" w:hint="cs"/>
          <w:rtl/>
        </w:rPr>
        <w:t xml:space="preserve"> </w:t>
      </w:r>
      <w:r w:rsidRPr="00075613">
        <w:rPr>
          <w:rFonts w:cs="B Zar"/>
        </w:rPr>
        <w:t>Upanishad</w:t>
      </w:r>
      <w:r w:rsidRPr="00075613">
        <w:rPr>
          <w:rFonts w:cs="B Zar" w:hint="cs"/>
          <w:rtl/>
        </w:rPr>
        <w:t>، پاراسنا</w:t>
      </w:r>
      <w:r w:rsidRPr="00075613">
        <w:rPr>
          <w:rFonts w:cs="B Zar"/>
        </w:rPr>
        <w:t xml:space="preserve"> </w:t>
      </w:r>
      <w:r w:rsidRPr="00075613">
        <w:rPr>
          <w:rFonts w:cs="B Zar" w:hint="cs"/>
          <w:rtl/>
        </w:rPr>
        <w:t>ا</w:t>
      </w:r>
      <w:r w:rsidRPr="00075613">
        <w:rPr>
          <w:rFonts w:cs="B Zar"/>
        </w:rPr>
        <w:t>Prasna</w:t>
      </w:r>
      <w:r w:rsidRPr="00075613">
        <w:rPr>
          <w:rFonts w:cs="B Zar" w:hint="cs"/>
          <w:rtl/>
        </w:rPr>
        <w:t>، ماندوكيا</w:t>
      </w:r>
      <w:r w:rsidRPr="00075613">
        <w:rPr>
          <w:rFonts w:cs="B Zar"/>
        </w:rPr>
        <w:t>Mandukya</w:t>
      </w:r>
      <w:r w:rsidRPr="00075613">
        <w:rPr>
          <w:rFonts w:cs="B Zar" w:hint="cs"/>
          <w:rtl/>
        </w:rPr>
        <w:t>، گربها</w:t>
      </w:r>
      <w:r w:rsidRPr="00075613">
        <w:rPr>
          <w:rFonts w:cs="B Zar"/>
        </w:rPr>
        <w:t>Garbha</w:t>
      </w:r>
      <w:r w:rsidRPr="00075613">
        <w:rPr>
          <w:rFonts w:cs="B Zar" w:hint="cs"/>
          <w:rtl/>
        </w:rPr>
        <w:t>، پندا</w:t>
      </w:r>
      <w:r w:rsidRPr="00075613">
        <w:rPr>
          <w:rFonts w:cs="B Zar"/>
        </w:rPr>
        <w:t xml:space="preserve"> Pinda</w:t>
      </w:r>
      <w:r w:rsidRPr="00075613">
        <w:rPr>
          <w:rFonts w:cs="B Zar" w:hint="cs"/>
          <w:rtl/>
        </w:rPr>
        <w:t xml:space="preserve"> و غيره از اوپانيشادهاي اتهارو ودا</w:t>
      </w:r>
      <w:r w:rsidRPr="00075613">
        <w:rPr>
          <w:rFonts w:cs="B Zar"/>
        </w:rPr>
        <w:t xml:space="preserve"> (Atharva Veda)</w:t>
      </w:r>
      <w:r w:rsidRPr="00075613">
        <w:rPr>
          <w:rFonts w:cs="B Zar" w:hint="cs"/>
          <w:rtl/>
        </w:rPr>
        <w:t xml:space="preserve"> ناميده مي شوند. بدينسان هر دو طبقه كشاتريا و برهمان‌ها در تدوين، حفظ و انتشار اوپانيشادها نقش داشته‌اند؛ همانند وداهاي چهارگانه، اوپانيشاد نيز برحسب اعتقادات هندوها، مبتني بر وحي الهي است كه در اصطلاح سروتي ناميده مي شوند و عرفاي فرزانه اين حقائق را ابداع نكرده، بلكه اشراق كرده اند. آنان معتقدند كه سروتي يا كلام الهي ابدي و ازلي است (سناتان) و فراسوي زمان قرار دارد؛ اين حقايق، از نفس الهي ناشي شده‌اند. البته درباره ماهيت دقيق سروتي يا وحي، ميان مكاتب كلامي هندوئي اختلاف هست. ناياكاها معتقدند كه ودا و اوپانيشاد را خداوند تأليف كرده است؛ در حاليكه پيروان آئين ماهاسا اعتقاد به عدم خلق سروتي دارند و تأكيد دارند كه چون صفات جزو ذات الهي‌اند، كلام او ابدي و ازلي است. اين ديدگاه كلامي هندوئيزم كاملاً با بحث جنجال برانگيزي كه در دوره هارون و مأمون در جهان اسلام راجع به خلق يا عدم خلق كتاب الهي ايجاد گرديد، كاملاً قابل ملاحظه است. مسيحيان نيز «لاگوس» </w:t>
      </w:r>
      <w:r w:rsidRPr="00075613">
        <w:rPr>
          <w:rFonts w:cs="B Zar"/>
        </w:rPr>
        <w:t>(Logos)</w:t>
      </w:r>
      <w:r w:rsidRPr="00075613">
        <w:rPr>
          <w:rFonts w:cs="B Zar" w:hint="cs"/>
          <w:rtl/>
        </w:rPr>
        <w:t>، يعني كلمه الله را، ازلي و ابدي و جزو ذات لايزال الهي مي‌دانسته‌اند؛ البته مقصود آنان از كلمه الهي ذات مسيح است</w:t>
      </w:r>
      <w:r>
        <w:rPr>
          <w:rStyle w:val="FootnoteReference"/>
          <w:rFonts w:cs="B Zar"/>
          <w:sz w:val="28"/>
          <w:szCs w:val="28"/>
          <w:rtl/>
        </w:rPr>
        <w:footnoteReference w:id="496"/>
      </w:r>
      <w:r w:rsidRPr="00075613">
        <w:rPr>
          <w:rFonts w:cs="B Zar" w:hint="cs"/>
          <w:rtl/>
        </w:rPr>
        <w:t>. هندوها معتقدند كه ستي‌ها يا رسولان قوم آريايي، در نتيجه تزكيه و دريافت روحي از يكسو و عنايت و لطف الهي از سوي ديگر موفق به اشراق اين دسته از حقايق شده‌اند. سوت اس وتر اوپانيشاد مي گويد</w:t>
      </w:r>
      <w:r w:rsidRPr="00075613">
        <w:rPr>
          <w:rFonts w:cs="B Zar" w:hint="cs"/>
          <w:i/>
          <w:iCs/>
          <w:rtl/>
        </w:rPr>
        <w:t>: «ستي سوت اس وتر اين مطالب را به خاطر تپه پربهو، يعني سير و سلوك و فكر و ذكر و در نتيجه ديوپرساد يا لطف و عنايت الهي درك كرد</w:t>
      </w:r>
      <w:r w:rsidRPr="00075613">
        <w:rPr>
          <w:rFonts w:cs="B Zar" w:hint="cs"/>
          <w:rtl/>
        </w:rPr>
        <w:t>»</w:t>
      </w:r>
      <w:r>
        <w:rPr>
          <w:rStyle w:val="FootnoteReference"/>
          <w:rFonts w:cs="B Zar"/>
          <w:sz w:val="28"/>
          <w:szCs w:val="28"/>
          <w:rtl/>
        </w:rPr>
        <w:footnoteReference w:id="497"/>
      </w:r>
      <w:r w:rsidRPr="00075613">
        <w:rPr>
          <w:rFonts w:cs="B Zar" w:hint="cs"/>
          <w:rtl/>
        </w:rPr>
        <w:t xml:space="preserve">. چنانچه ما در بخش ودا به تفصيل خاطر نشان ساخته‌ايم، ريشي‌ها عارفان فرزانه يا حكيمان متاله بوده اند كه حقايق را از طريق اشراق به طور مستقيم درك مي‌كرده و گزارش مي‌داده اند. كسكا آنان را «ساكست كرت دهرمانه» يا گزارش دهنده تجربه هاي عرفاني ناميده و شانكارا آنان را نوعي وسايل دريافت حقائق ماورائي دانسته است. از جمله حكيمان يونان، اثناگوروس </w:t>
      </w:r>
      <w:r w:rsidRPr="00075613">
        <w:rPr>
          <w:rFonts w:cs="B Zar"/>
        </w:rPr>
        <w:t>(AthenaGorass)</w:t>
      </w:r>
      <w:r w:rsidRPr="00075613">
        <w:rPr>
          <w:rFonts w:cs="B Zar" w:hint="cs"/>
          <w:rtl/>
        </w:rPr>
        <w:t>، خاطر نشان ساخته است كه در حالت الهام و اشراق، روح و فكر يك عارف به صورت يك تار و مضرابي در دست نوازنده ملكوتي در مي‌آيد كه برتارهاي وجودش نغمه خوش مي‌نوازد</w:t>
      </w:r>
      <w:r>
        <w:rPr>
          <w:rStyle w:val="FootnoteReference"/>
          <w:rFonts w:cs="B Zar"/>
          <w:sz w:val="28"/>
          <w:szCs w:val="28"/>
          <w:rtl/>
        </w:rPr>
        <w:footnoteReference w:id="498"/>
      </w:r>
      <w:r w:rsidRPr="00075613">
        <w:rPr>
          <w:rFonts w:cs="B Zar" w:hint="cs"/>
          <w:rtl/>
        </w:rPr>
        <w:t>. البته حقائقي كه ريشي‌ها درك مي كنند، به قول راداكريشنان جنبه ذهني محض ندارند و دلبخواه و من ‌درآوردي نيستند، بلكه نوعي از حقائق عيني‌اند؛ با اين تفاوت كه آزمون و سنجش و اثبات و ابطال آنان از طريق منطق يا روش مشاهده بصري و آزمون در لابراتور نمي باشد، بلكه از طريق منطق اشراق و تجربه ذاتي و مشاهده دروني صورت مي‌گيرد. اين نوع معرفت را بايد نقش بستن حقيقت بر دل و وجدان عارف و منعكس شدن حقيقت بر پرده شفاف ذهن تزكيه شده  يك حكيم متاله تلقي كرد. ويد و اوپانيشاد نيز مطالب خود را در اين زمره قرار داده، آنرا ناشي از دم الهي و نفس ملكوتي قلمداد مي‌كنند</w:t>
      </w:r>
      <w:r>
        <w:rPr>
          <w:rStyle w:val="FootnoteReference"/>
          <w:rFonts w:cs="B Zar"/>
          <w:sz w:val="28"/>
          <w:szCs w:val="28"/>
          <w:rtl/>
        </w:rPr>
        <w:footnoteReference w:id="499"/>
      </w:r>
      <w:r w:rsidRPr="00075613">
        <w:rPr>
          <w:rFonts w:cs="B Zar" w:hint="cs"/>
          <w:rtl/>
        </w:rPr>
        <w:t xml:space="preserve">. اگر ما جنبه اعتقادي هندوها را كنار بزنيم و از زاويه ديد يك خواننده بيطرف نگاه كنيم، اوپانيشادها دربرگيرنده انديشه نخستين دسته از حكيمان و عارفان آريائي هستند كه از نگرش مناسكي سنتي ودائي اقناع نشده و درصدد پاسخ يابي به پرسشهاي متافيزيكي ژرف برآمدند. عقربه فكر آنان به سوي تفسير وحدت الوجودي هستي گرايش پيدا كرد. در آن مرحله نخست از ريشي‌ها انتظار نمي‌رفت كه هيچ سيستم منظم فلسفي، نظير آنچه كه افلاطون، ارسطو، شانكارا، ابن سينا، سهروردي، ملاصدرا يا كانت و هگل پايه گذاري كردند، بوجود آورند. البته براي درك ابعاد عظمت كار آنان، همين بس است كه پس از گذشت تقريباً سه هزار سال، مسائل و محورها و روشي كه ريشي هاي باستاني پايه گذاري نموده بودند، هنوز چهارچوب اصلي انديشه را در هند تشكيل مي‌دهد. همچنان كه انديشه فلسفي در ايران در قرون اخير بر محور فلسفه ملاصدرا دور مي زند، انديشه فلسفي ـ عرفاني در هند بر شالوده تعاليم اوپانيشاد استوار است. ترسيم خطوط اصلي حتي فلسفه معاصر هند، بدون مطالعه ديدگاه هاي اوپانيشاد امكان پذير نيست. داس گوپتا، فيلسوف بنام قرن بيستم در هند، مي‌گويد: </w:t>
      </w:r>
      <w:r w:rsidRPr="00075613">
        <w:rPr>
          <w:rFonts w:cs="B Zar" w:hint="cs"/>
          <w:i/>
          <w:iCs/>
          <w:rtl/>
        </w:rPr>
        <w:t>«براي درك فلسفه جديد هند، آشنائي با خطوط حكمت ودانتای عصر ودا و اوپانيشاد، مقدمه واجبي است</w:t>
      </w:r>
      <w:r w:rsidRPr="00075613">
        <w:rPr>
          <w:rFonts w:cs="B Zar" w:hint="cs"/>
          <w:rtl/>
        </w:rPr>
        <w:t>»</w:t>
      </w:r>
      <w:r w:rsidRPr="00075613">
        <w:rPr>
          <w:rFonts w:cs="B Zar"/>
          <w:rtl/>
        </w:rPr>
        <w:t xml:space="preserve"> </w:t>
      </w:r>
      <w:r>
        <w:rPr>
          <w:rStyle w:val="FootnoteReference"/>
          <w:rFonts w:cs="B Zar"/>
          <w:rtl/>
        </w:rPr>
        <w:footnoteReference w:id="500"/>
      </w:r>
      <w:r w:rsidRPr="00075613">
        <w:rPr>
          <w:rFonts w:cs="B Zar" w:hint="cs"/>
          <w:rtl/>
        </w:rPr>
        <w:t>. در هند، طي سه هزار سال هر جنبش فكري ـ فلسفي و مذهبي ادعا كرده كه از ودا و اوپانيشاد الهام گرفته است؛ حتي نهضت‌هاي ضد برهماني، نظير بودائيسم، جينيسم، سيكيسم، عليرغم ضديت با شرك،‌ بت‌پرستي و مناسك‌گري برهماني، براي اوپانيشاد ارج قائل بوده و در چهارچوب فكري آن مي‌انديشيده‌اند. مكاتب فلسفي هند، اعم از كتب شانكارا، راما نوجا، ساما، پورومماسا، اتر مماسا، و يوگا، وسواس شديدي داشتند كه ديدگاههاي خويش را از طريق استناد به اوپانيشاد ثابت كنند. نه تنها در تاريخ انديشه هند، بلكه در تاريخ انديشه بشر، اوپانيشادها داراي اهميت فراواني هستند؛ همچنان كه ودا، آرشيو نخستين انديشه ديني آدمي است (در كنار برخي متون سومر و مصر و چين و ايلام)، اثر فلسفي بشر است كه چهار قرن پيش از ظهور انديشه فلسفي در يونان تدوين گرديده‌اند</w:t>
      </w:r>
      <w:r>
        <w:rPr>
          <w:rStyle w:val="FootnoteReference"/>
          <w:rFonts w:cs="B Zar"/>
          <w:rtl/>
        </w:rPr>
        <w:footnoteReference w:id="501"/>
      </w:r>
      <w:r w:rsidRPr="00075613">
        <w:rPr>
          <w:rFonts w:cs="B Zar" w:hint="cs"/>
          <w:rtl/>
        </w:rPr>
        <w:t>.</w:t>
      </w:r>
    </w:p>
    <w:p w:rsidR="0075371F" w:rsidRPr="00075613" w:rsidP="00D83C60">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مفسران عمده اوپانيشاد:</w:t>
      </w:r>
    </w:p>
    <w:p w:rsidR="00075613" w:rsidRPr="00075613" w:rsidP="003C0EF5">
      <w:pPr>
        <w:widowControl w:val="0"/>
        <w:spacing w:line="420" w:lineRule="exact"/>
        <w:ind w:left="0" w:right="0"/>
        <w:jc w:val="both"/>
        <w:rPr>
          <w:rFonts w:cs="B Zar" w:hint="cs"/>
          <w:rtl/>
        </w:rPr>
      </w:pPr>
      <w:r w:rsidRPr="00075613">
        <w:rPr>
          <w:rFonts w:cs="B Zar" w:hint="cs"/>
          <w:rtl/>
        </w:rPr>
        <w:t>بنا به اهميت فوق العاده اوپانيشادها، علما و عرفاي هندو از همان اوائل به شرح و تفسير آن پرداخته بودند. از جمله معروفترين تفاسير اوپانيشاد در قديم، تفسير فيلسوف و مفسر بزرگ ودانتا</w:t>
      </w:r>
      <w:r w:rsidRPr="00075613">
        <w:rPr>
          <w:rFonts w:cs="B Zar"/>
        </w:rPr>
        <w:t>(Vedanta)</w:t>
      </w:r>
      <w:r w:rsidRPr="00075613">
        <w:rPr>
          <w:rFonts w:cs="B Zar" w:hint="cs"/>
          <w:rtl/>
        </w:rPr>
        <w:t>، شانكارا (شانكارا اچاريا</w:t>
      </w:r>
      <w:r w:rsidRPr="00075613">
        <w:rPr>
          <w:rFonts w:cs="B Zar"/>
        </w:rPr>
        <w:t>Shankaachaya=</w:t>
      </w:r>
      <w:r w:rsidRPr="00075613">
        <w:rPr>
          <w:rFonts w:cs="B Zar" w:hint="cs"/>
          <w:rtl/>
        </w:rPr>
        <w:t>) و راما نوجا</w:t>
      </w:r>
      <w:r w:rsidRPr="00075613">
        <w:rPr>
          <w:rFonts w:cs="B Zar"/>
        </w:rPr>
        <w:t xml:space="preserve"> (Ramanuja)</w:t>
      </w:r>
      <w:r w:rsidRPr="00075613">
        <w:rPr>
          <w:rFonts w:cs="B Zar" w:hint="cs"/>
          <w:rtl/>
        </w:rPr>
        <w:t xml:space="preserve"> مي‌باشند. شانكارا در حوالي 800 ميلادي به تفسير اوپانيشادها پرداخت و ده تا از قديمي‌ترين و اصيل‌ترين اوپانيشادها را مورد تفسير قرار داد. تفسير او برهدارن ياكا و چاندوگيا اوپانيشاد، بسيار مفصل است و در دو مجلد چاپ شده است؛ اوپانيشادهاي هشت گانة ديگر در يك مجلد منتشر شده اند. </w:t>
      </w:r>
      <w:r w:rsidRPr="00075613">
        <w:rPr>
          <w:rFonts w:cs="B Zar" w:hint="cs"/>
          <w:iCs/>
          <w:rtl/>
        </w:rPr>
        <w:t>شانكارا</w:t>
      </w:r>
      <w:r w:rsidRPr="00075613">
        <w:rPr>
          <w:rFonts w:cs="B Zar" w:hint="cs"/>
          <w:rtl/>
        </w:rPr>
        <w:t xml:space="preserve"> اوپانيشاد را از ديدگاه فلسفه خاص وحدت الوجودي خود مورد تفسير قرار داده است. تفسير او، اوپانيشاد را بيشتر در جامعه هندو رواج داد؛ ولي در عين حال از آفات تفسير آن، اين بوده كه از آن پس، اكثر دانشمندان به جاي آنكه مستقيماً به استباط از اوپانيشاد بپردازند، بر تفسير شانكارا تكيه داشته و اكثر مفسران غربي ديدگاه او را پذيرفته و تعاليم و فلسفه اوپانيشاد را از اين ديدگاه مورد بررسي قرار داده‌اند. گف </w:t>
      </w:r>
      <w:r w:rsidRPr="00075613">
        <w:rPr>
          <w:rFonts w:cs="B Zar"/>
        </w:rPr>
        <w:t>(Gough)</w:t>
      </w:r>
      <w:r w:rsidRPr="00075613">
        <w:rPr>
          <w:rFonts w:cs="B Zar" w:hint="cs"/>
          <w:rtl/>
        </w:rPr>
        <w:t>، در كتب فلسفه اوپانيشاد</w:t>
      </w:r>
      <w:r w:rsidRPr="00075613">
        <w:rPr>
          <w:rFonts w:cs="B Zar"/>
        </w:rPr>
        <w:t xml:space="preserve"> (Phlosophy of Upanishad)</w:t>
      </w:r>
      <w:r w:rsidRPr="00075613">
        <w:rPr>
          <w:rFonts w:cs="B Zar" w:hint="cs"/>
          <w:rtl/>
        </w:rPr>
        <w:t xml:space="preserve"> اين ديدگاه را دربست پذيرفته است. ماكس مولر نيز همين موضع را اتخاذ كرده است. ديوسن نيز اوپانيشاد را از موضع ودانتي شانکارا تفسير نموده است. البته رادا كريشنان در تفسير اوپانيشادهاي عمده به عمد تلاش كرده است عينك شانکاراگرايانه را كنار بزند و مستقيماً از اوپانيشادها استنباط كند. او مي گويد: «يكي از ستم‌هائي كه بر متون قديمي كلاسيك وارد مي شود جا افتادن تفسير خاصي از آنان در همان مراحل اوليه است. اين امر مانع از آن مي شود كه در دوره‌هاي بعدي انديشمندان به مطالعه مستقيم آن بپردازند و مستقلاً از آن استباط نمايند؛ اوپانيشاد نيز اين سرنوشت داشته و تفسير شانكارا</w:t>
      </w:r>
      <w:r w:rsidRPr="00075613">
        <w:rPr>
          <w:rFonts w:cs="B Zar"/>
        </w:rPr>
        <w:t>(Shankara)</w:t>
      </w:r>
      <w:r w:rsidRPr="00075613">
        <w:rPr>
          <w:rFonts w:cs="B Zar" w:hint="cs"/>
          <w:rtl/>
        </w:rPr>
        <w:t xml:space="preserve"> به عنوان يگانه تفسير آن پذيرفته شده است»</w:t>
      </w:r>
      <w:r>
        <w:rPr>
          <w:rStyle w:val="FootnoteReference"/>
          <w:rFonts w:cs="B Zar"/>
          <w:rtl/>
        </w:rPr>
        <w:footnoteReference w:id="502"/>
      </w:r>
      <w:r w:rsidRPr="00075613">
        <w:rPr>
          <w:rFonts w:cs="B Zar" w:hint="cs"/>
          <w:rtl/>
        </w:rPr>
        <w:t>. دومين تفسير مهم جا افتاده، اوپانيشاد تفسير راما نوجا بود؛ او در قرون وسطي زيسته و تعاليم اوپانيشاد را با توجه به نگرش ولايت محوري (بهاگتي</w:t>
      </w:r>
      <w:r w:rsidRPr="00075613">
        <w:rPr>
          <w:rFonts w:cs="B Zar"/>
        </w:rPr>
        <w:t>Bhagti=</w:t>
      </w:r>
      <w:r w:rsidRPr="00075613">
        <w:rPr>
          <w:rFonts w:cs="B Zar" w:hint="cs"/>
          <w:rtl/>
        </w:rPr>
        <w:t xml:space="preserve">) تفسير نموده است. تفسير او با تفسير شانکارا به كلي مغاير است. شانكارا در اوپانيشاد، اصل وحدت الوجود و تأكيد بر طريق معرفت را در مي يابد، در حاليكه </w:t>
      </w:r>
      <w:r w:rsidRPr="00075613">
        <w:rPr>
          <w:rFonts w:cs="B Zar" w:hint="cs"/>
          <w:iCs/>
          <w:rtl/>
        </w:rPr>
        <w:t>راما نوجا</w:t>
      </w:r>
      <w:r w:rsidRPr="00075613">
        <w:rPr>
          <w:rFonts w:cs="B Zar" w:hint="cs"/>
          <w:rtl/>
        </w:rPr>
        <w:t xml:space="preserve"> در آن، فلسفه نجات از طريق ولايت و شفاعت را سراغ مي گيرد و بر طريق محبت تأكيد مي ورزد. روشنفكران و عرفا به تفسير شانكارا گرائيدند و توده‌هاي مردم به تفسير راما نوجا</w:t>
      </w:r>
      <w:r w:rsidRPr="00075613">
        <w:rPr>
          <w:rFonts w:cs="B Zar"/>
        </w:rPr>
        <w:t xml:space="preserve"> (Ramanuja)</w:t>
      </w:r>
      <w:r w:rsidRPr="00075613">
        <w:rPr>
          <w:rFonts w:cs="B Zar" w:hint="cs"/>
          <w:rtl/>
        </w:rPr>
        <w:t>. علت گوناگوني در تفسير اوپانيشاد همان است كه ما در ضمن مبحث تفسير ودا يادآور شده‌ايم. از يك سو اوپانيشاد دربرگيرنده انديشه هاي افراد مختلف است و طي يك مدت دراز پنج قرنه به تدريج نگاشته شده است و از سوي ديگر در آن هيچ سيستم و نظام منظم فكري نظير آنچه شانكارا</w:t>
      </w:r>
      <w:r w:rsidRPr="00075613">
        <w:rPr>
          <w:rFonts w:cs="B Zar"/>
        </w:rPr>
        <w:t>(Shankara)</w:t>
      </w:r>
      <w:r w:rsidRPr="00075613">
        <w:rPr>
          <w:rFonts w:cs="B Zar" w:hint="cs"/>
          <w:rtl/>
        </w:rPr>
        <w:t xml:space="preserve"> يا ملاصدرا بوجود آورده اند، نيست؛ بلكه تنها به تشبيهات و اشارات اكتفا كرده اند. تمام اوپانيشادها به خصوص برهدارن ياكا و چاندوگيا در اشارات و تداعي معني بسيار غني اند. نوشتارهاي اوپانيشاد گنجينه اي از معاني است كه امكانات گوناگون و وسيعي را در برداشتهاي فلسفي دربر دارد. گذشته از آن در اوپانيشاد، جملات متشابه بسياري وجود دارند كه مي توان آنان را به گونه هاي مختلف تفسير كرد. اوپانيشادها پيش از آنكه داراي محكمات باشند داراي متشابهات هستند. اين عوامل موجب شده است كه هر كسي در اوپانيشاد، نكته اي را كه در صدد اثبات آن است دريابد. بقول رادا كريشنان: هر مكتب فلسفي به خود تبريك مي گويد كه اوپانيشاد را با ديدگاه خود تطبيق كرده و يا براي اثبات ديدگاه خود جملاتي را از اوپانيشاد پيدا كرده است. </w:t>
      </w:r>
    </w:p>
    <w:p w:rsidR="00075613" w:rsidRPr="00075613" w:rsidP="003C0EF5">
      <w:pPr>
        <w:widowControl w:val="0"/>
        <w:spacing w:line="420" w:lineRule="exact"/>
        <w:ind w:left="0" w:right="0"/>
        <w:jc w:val="both"/>
        <w:rPr>
          <w:rFonts w:cs="B Zar" w:hint="cs"/>
          <w:rtl/>
        </w:rPr>
      </w:pPr>
      <w:r w:rsidRPr="00075613">
        <w:rPr>
          <w:rFonts w:cs="B Zar" w:hint="cs"/>
          <w:rtl/>
        </w:rPr>
        <w:t>معروف‌ترين تفاسير جديد اوپانيشاد، تفسير ديوسن</w:t>
      </w:r>
      <w:r w:rsidRPr="00075613">
        <w:rPr>
          <w:rFonts w:cs="B Zar"/>
        </w:rPr>
        <w:t xml:space="preserve"> (Deussen) </w:t>
      </w:r>
      <w:r w:rsidRPr="00075613">
        <w:rPr>
          <w:rFonts w:cs="B Zar" w:hint="cs"/>
          <w:rtl/>
        </w:rPr>
        <w:t xml:space="preserve"> و تفسير راداكريشنان</w:t>
      </w:r>
      <w:r w:rsidRPr="00075613">
        <w:rPr>
          <w:rFonts w:cs="B Zar"/>
        </w:rPr>
        <w:t xml:space="preserve"> (Radhakrishnan)</w:t>
      </w:r>
      <w:r w:rsidRPr="00075613">
        <w:rPr>
          <w:rFonts w:cs="B Zar" w:hint="cs"/>
          <w:rtl/>
        </w:rPr>
        <w:t xml:space="preserve"> است. ديوسن مجموعه اوپانيشادها را با تفسير و حواشي خود در سال 1897 منتشر كرد. اصل مجموعه ديوسن به آلماني بود، ولي در سال 1980 ترجمه آن به زبان انگليسي منتشر شد</w:t>
      </w:r>
      <w:r>
        <w:rPr>
          <w:rStyle w:val="FootnoteReference"/>
          <w:rFonts w:cs="B Zar"/>
          <w:rtl/>
        </w:rPr>
        <w:footnoteReference w:id="503"/>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سبك ديوسن اين است كه نخست يك مدخل نسبتاً مفصلي درباره اوپانيشاد را مورد بحث قرار مي دهد و رابطه آن را با ودا، برهمانا</w:t>
      </w:r>
      <w:r w:rsidRPr="00075613">
        <w:rPr>
          <w:rFonts w:cs="B Zar"/>
        </w:rPr>
        <w:t>(Brahmana)</w:t>
      </w:r>
      <w:r w:rsidRPr="00075613">
        <w:rPr>
          <w:rFonts w:cs="B Zar" w:hint="cs"/>
          <w:rtl/>
        </w:rPr>
        <w:t xml:space="preserve"> و ارن ياكا</w:t>
      </w:r>
      <w:r w:rsidRPr="00075613">
        <w:rPr>
          <w:rFonts w:cs="B Zar"/>
        </w:rPr>
        <w:t xml:space="preserve"> (Aranyaka)</w:t>
      </w:r>
      <w:r w:rsidRPr="00075613">
        <w:rPr>
          <w:rFonts w:cs="B Zar" w:hint="cs"/>
          <w:rtl/>
        </w:rPr>
        <w:t xml:space="preserve"> كه ضميمه آن است روشن مي سازد، سپس به ترجمه مي پردازد و در حين آن در داخل پرانتز جملات توضيحي و شرح آن را مي گنجاند. پيش از هر بخش و هر فصل خلاصه‌اي از مطالب آن فصل را با تفسير اين مطالب عنوان مي كند. براي كسي كه نخستين بار مي‌خواهد با اوپانيشاد آشنا شود، اين ترجمه و تفسير بيش از همه مفيد است. </w:t>
      </w:r>
    </w:p>
    <w:p w:rsidR="00075613" w:rsidRPr="00075613" w:rsidP="009F0372">
      <w:pPr>
        <w:widowControl w:val="0"/>
        <w:spacing w:line="420" w:lineRule="exact"/>
        <w:ind w:left="0" w:right="0"/>
        <w:jc w:val="both"/>
        <w:rPr>
          <w:rFonts w:cs="B Zar" w:hint="cs"/>
          <w:rtl/>
        </w:rPr>
      </w:pPr>
      <w:r w:rsidRPr="00075613">
        <w:rPr>
          <w:rFonts w:cs="B Zar" w:hint="cs"/>
          <w:rtl/>
        </w:rPr>
        <w:t>دومين تفسير اوپانيشاد را رادا كريشنان</w:t>
      </w:r>
      <w:r w:rsidRPr="00075613">
        <w:rPr>
          <w:rFonts w:cs="B Zar"/>
        </w:rPr>
        <w:t>(Radhakrishnan)</w:t>
      </w:r>
      <w:r w:rsidRPr="00075613">
        <w:rPr>
          <w:rFonts w:cs="B Zar" w:hint="cs"/>
          <w:rtl/>
        </w:rPr>
        <w:t>، انديشمند بزرگ معاصر هند، منتشر ساخته است.  در اين مجموعه  رادا كريشنان شانزده اوپانيشاد را مورد ترجمه و تفسير قرار داده است كه عبارتند از: برهدارن ياكا</w:t>
      </w:r>
      <w:r w:rsidRPr="00075613">
        <w:rPr>
          <w:rFonts w:cs="B Zar"/>
        </w:rPr>
        <w:t xml:space="preserve"> Brhdaranyaka</w:t>
      </w:r>
      <w:r w:rsidRPr="00075613">
        <w:rPr>
          <w:rFonts w:cs="B Zar" w:hint="cs"/>
          <w:rtl/>
        </w:rPr>
        <w:t>، چاندوگيا</w:t>
      </w:r>
      <w:r w:rsidRPr="00075613">
        <w:rPr>
          <w:rFonts w:cs="B Zar"/>
        </w:rPr>
        <w:t>Chandogya</w:t>
      </w:r>
      <w:r w:rsidRPr="00075613">
        <w:rPr>
          <w:rFonts w:cs="B Zar" w:hint="cs"/>
          <w:rtl/>
        </w:rPr>
        <w:t>، ايتاريا</w:t>
      </w:r>
      <w:r w:rsidRPr="00075613">
        <w:rPr>
          <w:rFonts w:cs="B Zar"/>
        </w:rPr>
        <w:t>Aitareya</w:t>
      </w:r>
      <w:r w:rsidRPr="00075613">
        <w:rPr>
          <w:rFonts w:cs="B Zar" w:hint="cs"/>
          <w:rtl/>
        </w:rPr>
        <w:t>، تيتاريا</w:t>
      </w:r>
      <w:r w:rsidRPr="00075613">
        <w:rPr>
          <w:rFonts w:cs="B Zar"/>
        </w:rPr>
        <w:t>Taittiriya</w:t>
      </w:r>
      <w:r w:rsidRPr="00075613">
        <w:rPr>
          <w:rFonts w:cs="B Zar" w:hint="cs"/>
          <w:rtl/>
        </w:rPr>
        <w:t>، ايشا</w:t>
      </w:r>
      <w:r w:rsidRPr="00075613">
        <w:rPr>
          <w:rFonts w:cs="B Zar"/>
        </w:rPr>
        <w:t>Isa</w:t>
      </w:r>
      <w:r w:rsidRPr="00075613">
        <w:rPr>
          <w:rFonts w:cs="B Zar" w:hint="cs"/>
          <w:rtl/>
        </w:rPr>
        <w:t>، كنا</w:t>
      </w:r>
      <w:r w:rsidRPr="00075613">
        <w:rPr>
          <w:rFonts w:cs="B Zar"/>
        </w:rPr>
        <w:t>Kena</w:t>
      </w:r>
      <w:r w:rsidRPr="00075613">
        <w:rPr>
          <w:rFonts w:cs="B Zar" w:hint="cs"/>
          <w:rtl/>
        </w:rPr>
        <w:t>، كاتها</w:t>
      </w:r>
      <w:r w:rsidRPr="00075613">
        <w:rPr>
          <w:rFonts w:cs="B Zar"/>
        </w:rPr>
        <w:t xml:space="preserve"> Kathaka</w:t>
      </w:r>
      <w:r w:rsidRPr="00075613">
        <w:rPr>
          <w:rFonts w:cs="B Zar" w:hint="cs"/>
          <w:rtl/>
        </w:rPr>
        <w:t xml:space="preserve"> پاراشنا</w:t>
      </w:r>
      <w:r w:rsidRPr="00075613">
        <w:rPr>
          <w:rFonts w:cs="B Zar"/>
        </w:rPr>
        <w:t>Prasna</w:t>
      </w:r>
      <w:r w:rsidRPr="00075613">
        <w:rPr>
          <w:rFonts w:cs="B Zar" w:hint="cs"/>
          <w:rtl/>
        </w:rPr>
        <w:t>، مانداكا</w:t>
      </w:r>
      <w:r w:rsidRPr="00075613">
        <w:rPr>
          <w:rFonts w:cs="B Zar"/>
        </w:rPr>
        <w:t>Mundaka</w:t>
      </w:r>
      <w:r w:rsidRPr="00075613">
        <w:rPr>
          <w:rFonts w:cs="B Zar" w:hint="cs"/>
          <w:rtl/>
        </w:rPr>
        <w:t>، سوت اش وتارا</w:t>
      </w:r>
      <w:r w:rsidRPr="00075613">
        <w:rPr>
          <w:rFonts w:cs="B Zar"/>
        </w:rPr>
        <w:t>Svetasvatara</w:t>
      </w:r>
      <w:r w:rsidRPr="00075613">
        <w:rPr>
          <w:rFonts w:cs="B Zar" w:hint="cs"/>
          <w:rtl/>
        </w:rPr>
        <w:t>، كوشي تاكي</w:t>
      </w:r>
      <w:r w:rsidRPr="00075613">
        <w:rPr>
          <w:rFonts w:cs="B Zar"/>
        </w:rPr>
        <w:t>Kausitaki</w:t>
      </w:r>
      <w:r w:rsidRPr="00075613">
        <w:rPr>
          <w:rFonts w:cs="B Zar" w:hint="cs"/>
          <w:rtl/>
        </w:rPr>
        <w:t>، ميتري</w:t>
      </w:r>
      <w:r w:rsidRPr="00075613">
        <w:rPr>
          <w:rFonts w:cs="B Zar"/>
        </w:rPr>
        <w:t>Maitrayana</w:t>
      </w:r>
      <w:r w:rsidRPr="00075613">
        <w:rPr>
          <w:rFonts w:cs="B Zar" w:hint="cs"/>
          <w:rtl/>
        </w:rPr>
        <w:t>، سابالا</w:t>
      </w:r>
      <w:r w:rsidRPr="00075613">
        <w:rPr>
          <w:rFonts w:cs="B Zar"/>
        </w:rPr>
        <w:t xml:space="preserve"> (Sabala)</w:t>
      </w:r>
      <w:r w:rsidRPr="00075613">
        <w:rPr>
          <w:rFonts w:cs="B Zar" w:hint="cs"/>
          <w:rtl/>
        </w:rPr>
        <w:t>، جابالا</w:t>
      </w:r>
      <w:r w:rsidRPr="00075613">
        <w:rPr>
          <w:rFonts w:cs="B Zar"/>
        </w:rPr>
        <w:t xml:space="preserve"> (Jabala)</w:t>
      </w:r>
      <w:r w:rsidRPr="00075613">
        <w:rPr>
          <w:rFonts w:cs="B Zar" w:hint="cs"/>
          <w:rtl/>
        </w:rPr>
        <w:t>، پينگالا</w:t>
      </w:r>
      <w:r w:rsidRPr="00075613">
        <w:rPr>
          <w:rFonts w:cs="B Zar"/>
        </w:rPr>
        <w:t>Paingala</w:t>
      </w:r>
      <w:r w:rsidRPr="00075613">
        <w:rPr>
          <w:rFonts w:cs="B Zar" w:hint="cs"/>
          <w:rtl/>
        </w:rPr>
        <w:t>، كي‌واليا</w:t>
      </w:r>
      <w:r w:rsidRPr="00075613">
        <w:rPr>
          <w:rFonts w:cs="B Zar"/>
        </w:rPr>
        <w:t>(Kevaliya)</w:t>
      </w:r>
      <w:r w:rsidRPr="00075613">
        <w:rPr>
          <w:rFonts w:cs="B Zar" w:hint="cs"/>
          <w:rtl/>
        </w:rPr>
        <w:t xml:space="preserve"> وجرسوچيكا.</w:t>
      </w:r>
      <w:r w:rsidR="009F0372">
        <w:rPr>
          <w:rFonts w:cs="B Zar" w:hint="cs"/>
          <w:rtl/>
        </w:rPr>
        <w:t xml:space="preserve"> </w:t>
      </w:r>
      <w:r w:rsidRPr="00075613">
        <w:rPr>
          <w:rFonts w:cs="B Zar" w:hint="cs"/>
          <w:rtl/>
        </w:rPr>
        <w:t xml:space="preserve"> شرح و تفسير رادا كريشنان علمي تر است و براي متخصصان نگاشته شده است. يكي از ويژگي‌هاي اين تفسير آن است كه او تلاش كرده است مستقل از تفسير و برداشت شانکارا، به مطالعه اوپانيشادها بپردازد. سبك راداكريشنان اين است كه نخست پيشگفتار كوتاهي (بسيار مختصرتر از آنچه ديوسن آورده است) راجع به اهميت و محورهاي هريك از رساله‌هاي فوق ارايه مي دهد، سپس متن سانسكريت رساله را به الفباي لاتين، با تلفظ دقيق مي‌آورد و بعد به ترجمه آن مي‌پردازد. ترجمه او بسيار دقيق تر از ديوسن است و جملات تشريحي و پرانتز ندارد. اين امر ترجمه او را براي پژوهشگران غير متخصص، ثقيل تر از ترجمه ديوسن مي‌سازد. ويژگي‌هاي ادبي نيز در ترجمه ديوسن بيشتر است. رادا كريشنان پس از ترجمه، به شرح و تفسير آن قطعه مي‌پردازد. نخست اصطلاحات و كلمات را شرح مي‌دهد، سپس به تفسير مطالب مي پردازد. تفسير و ترجمه ديوسن و رادا كريشنان هر دو به صورت تفاسير كلاسيك جديد اوپانيشاد در آمده اند. </w:t>
      </w:r>
    </w:p>
    <w:p w:rsidR="00075613" w:rsidRPr="00075613" w:rsidP="003C0EF5">
      <w:pPr>
        <w:widowControl w:val="0"/>
        <w:spacing w:line="420" w:lineRule="exact"/>
        <w:ind w:left="0" w:right="0"/>
        <w:jc w:val="both"/>
        <w:rPr>
          <w:rFonts w:cs="B Zar"/>
          <w:rtl/>
        </w:rPr>
      </w:pPr>
      <w:r w:rsidRPr="00075613">
        <w:rPr>
          <w:rFonts w:cs="B Zar" w:hint="cs"/>
          <w:rtl/>
        </w:rPr>
        <w:t>در هند معاصر دو جريان فكري از همه بيشتر بر اوپانيشادها تكيه دارند: جنبش برهمو سماج</w:t>
      </w:r>
      <w:r w:rsidRPr="00075613">
        <w:rPr>
          <w:rFonts w:cs="B Zar"/>
        </w:rPr>
        <w:t xml:space="preserve"> (Brahmo Samaj)</w:t>
      </w:r>
      <w:r w:rsidRPr="00075613">
        <w:rPr>
          <w:rFonts w:cs="B Zar" w:hint="cs"/>
          <w:rtl/>
        </w:rPr>
        <w:t xml:space="preserve"> و جنبش راما كريشنا</w:t>
      </w:r>
      <w:r w:rsidRPr="00075613">
        <w:rPr>
          <w:rFonts w:cs="B Zar"/>
        </w:rPr>
        <w:t xml:space="preserve"> RAMA KRISHNA MISSION</w:t>
      </w:r>
      <w:r w:rsidRPr="00075613">
        <w:rPr>
          <w:rFonts w:cs="B Zar" w:hint="cs"/>
          <w:rtl/>
        </w:rPr>
        <w:t>. برهمو ساماج را در اواخر قرن نوزدهم «راجه رام موهن راي» پايه گذاري كرد. رام موهن راي از اصلاح طلبان بزرگ جديد بود و در هند همان نقش را بازي كرده كه در جهان اسلام، سيد جمال الدين اسدآبادي به عهده داشته است. او در رواج و احياء تازه اوپانيشادها سهم بزرگي داشت و رسائل اوپانيشاد را به زبان بنگالي، هندي و انگليسي منتشر كرد و جنبش خود را بر فلسفه آن استوار ساخت. اين جنبش هنوز در بنگال ريشه‌هائي دارد. جنبش راما كريشنا میشن (</w:t>
      </w:r>
      <w:r w:rsidRPr="00075613">
        <w:rPr>
          <w:rFonts w:cs="B Zar"/>
        </w:rPr>
        <w:t>RAMA KRISHNA MISSION</w:t>
      </w:r>
      <w:r w:rsidRPr="00075613">
        <w:rPr>
          <w:rFonts w:cs="B Zar" w:hint="cs"/>
          <w:rtl/>
        </w:rPr>
        <w:t>) را عارفي به نام راما كريشنا در كلكته بنيان‌گذاري كرد، ولي توسعه آن به دست شاگرد ارشدش سوامي وويكاناند صورت گرفت. سوامي وويكاناند را بسياري از صاحبنظران، بزرگترين و نافذترين دانشمند قرن بيستم در هند مي شمرده‌اند. وويكاناند و ساير پرچمداران اين جنبش، اوپانيشاد را تكيه‌گاه اصلي خود ساختند. وويكاناند پيام و مرام اوپانيشاد را در اقصي نقاط هند گسترش داد و به تفسير نوين فلسفه ودا نتا پرداخت. فلسفه وويكاناند را مي توان «نو ودا نتا» خواند. اين فلسفه حتي در محافل دانشگاهي هند حاكم گرديد. جنبش راما كريشنا نه تنها در تمام مناطق هند ريشه دوانيده، بلكه در ده ها كشور باختري و خاوري نيز مريداني دارد و از جمله نيرومندترين جريان هاي فكري در هند معاصر است.</w:t>
      </w:r>
    </w:p>
    <w:p w:rsidR="00075613" w:rsidRPr="00075613" w:rsidP="003C0EF5">
      <w:pPr>
        <w:widowControl w:val="0"/>
        <w:spacing w:line="420" w:lineRule="exact"/>
        <w:ind w:left="0" w:right="0"/>
        <w:jc w:val="center"/>
        <w:rPr>
          <w:rFonts w:cs="B Zar" w:hint="cs"/>
          <w:b/>
          <w:bCs/>
          <w:sz w:val="28"/>
          <w:szCs w:val="28"/>
          <w:rtl/>
        </w:rPr>
      </w:pPr>
      <w:r w:rsidR="00A56E5A">
        <w:rPr>
          <w:rFonts w:cs="B Zar" w:hint="cs"/>
          <w:b/>
          <w:bCs/>
          <w:sz w:val="28"/>
          <w:szCs w:val="28"/>
          <w:rtl/>
        </w:rPr>
        <w:t xml:space="preserve"> </w:t>
      </w:r>
    </w:p>
    <w:p w:rsidR="00075613" w:rsidRPr="00075613" w:rsidP="003C0EF5">
      <w:pPr>
        <w:widowControl w:val="0"/>
        <w:spacing w:line="420" w:lineRule="exact"/>
        <w:ind w:left="0" w:right="0"/>
        <w:jc w:val="center"/>
        <w:rPr>
          <w:rFonts w:cs="B Zar" w:hint="cs"/>
          <w:b/>
          <w:bCs/>
          <w:sz w:val="28"/>
          <w:szCs w:val="28"/>
          <w:rtl/>
        </w:rPr>
      </w:pPr>
      <w:r w:rsidRPr="00075613">
        <w:rPr>
          <w:rFonts w:cs="B Zar" w:hint="cs"/>
          <w:b/>
          <w:bCs/>
          <w:sz w:val="28"/>
          <w:szCs w:val="28"/>
          <w:rtl/>
        </w:rPr>
        <w:t>فلسفه اوپانيشاد</w:t>
      </w:r>
    </w:p>
    <w:p w:rsidR="00075613" w:rsidRPr="00075613" w:rsidP="003C0EF5">
      <w:pPr>
        <w:widowControl w:val="0"/>
        <w:spacing w:line="420" w:lineRule="exact"/>
        <w:ind w:left="0" w:right="0"/>
        <w:jc w:val="both"/>
        <w:rPr>
          <w:rFonts w:cs="B Zar"/>
          <w:b/>
          <w:bCs/>
          <w:sz w:val="28"/>
          <w:szCs w:val="28"/>
        </w:rPr>
      </w:pPr>
    </w:p>
    <w:p w:rsidR="00075613" w:rsidRPr="00075613" w:rsidP="003C0EF5">
      <w:pPr>
        <w:pStyle w:val="Heading7"/>
        <w:keepNext w:val="0"/>
        <w:widowControl w:val="0"/>
        <w:spacing w:before="0" w:line="420" w:lineRule="exact"/>
        <w:ind w:left="720" w:right="0"/>
        <w:jc w:val="left"/>
        <w:rPr>
          <w:rFonts w:cs="B Zar" w:hint="cs"/>
          <w:rtl/>
        </w:rPr>
      </w:pPr>
      <w:r w:rsidRPr="00075613">
        <w:rPr>
          <w:rFonts w:cs="B Zar" w:hint="cs"/>
          <w:rtl/>
        </w:rPr>
        <w:t>موضوع و محورهاي انديشه اوپانيشاد</w:t>
      </w:r>
    </w:p>
    <w:p w:rsidR="00075613" w:rsidRPr="00075613" w:rsidP="003C0EF5">
      <w:pPr>
        <w:widowControl w:val="0"/>
        <w:spacing w:line="420" w:lineRule="exact"/>
        <w:ind w:left="0" w:right="0"/>
        <w:jc w:val="both"/>
        <w:rPr>
          <w:rFonts w:cs="B Zar" w:hint="cs"/>
          <w:rtl/>
        </w:rPr>
      </w:pPr>
      <w:r w:rsidRPr="00075613">
        <w:rPr>
          <w:rFonts w:cs="B Zar" w:hint="cs"/>
          <w:rtl/>
        </w:rPr>
        <w:t>موضوع اصلي اوپانيشاد، تأمل پيرامون ذات لايزال برهمان و حقيقت نفس يا آتمان است. انديشه بشر از سپيده دم تاريخ، درصدد شناخت حقيقت نهاني وجود بود، اعتقاد داشت كه در جهان يك قدرت كيهاني، يك نيروي حيات و علت العلل وجود دارد. مادام كه اين اعتقاد نباشد، دلهاي مضطرب انسان آرام نمي گيرد. در مرحله اول، بشر طبيعت را در جايگاه خدا نشاند و به پرستش آن پرداخت؛ سپس در مرحله دوم، به ارواح پديده ها اعتقاد پيدا كرد و در مرحله چهارم، از طريق شرك به اصل توحيد رسيد. با فرارسيدن مرحله انديشه فلسفي و عرفاني، انسان درصدد برآمد كه نه تنها اين حقيقت نهائي وجود را بشناسد، بلكه راهي براي قرب او و يا نيل به او پيدا كند. هدف در اين مرحله «علم» و اعتقاد محض به وحدانيت نيست (ويژگي مرحله چهارم يا توحيد كلامي)، بلكه اشراق كردن او و ارائه طريق نيل به لذت «قرب» و «وصال» و فناء در حقيقت نهاني است. هدف اوپانيشاد نيز ارائه نظريه خداپرستي و يا وحدانيت خدا به صورت يك نظريه علمي يا فلسفي محض نيست، بلكه تهيه مقدمات تزكيه اخلاقي و تعالي روحي براي آن است كه انسان ذات لايزال را با ديده بصيرت دروني و نه به عادت جسمي، تماشا كند. ارائه لذت مستقيم، هدف اصلي اوپانيشاد است. هدف از آن كسب علم نيست، بلكه لذت اشراق است. از اين رو اوپانيشاد پيش از آنكه ماهيت فلسفي داشته باشد، ماهيت عرفاني دارد. البته در شرق، فلسفه همواره با عرفان عجين بوده است. مي توان گفت تفاوت هاي ميان فلسفه شرق و غرب همين بوده است كه در غرب، علم براي علم، شعر براي شعر، هنر براي هنر و فلسفه براي فلسفه مورد تأكيد است، ولي در شرق، شعر، هنر، علم و فلسفه همه بايد در خدمت تعالي ساخت انساني آدمي قرار گيرند؛ اينان هدف ـ درـ خود نيستند.</w:t>
      </w:r>
    </w:p>
    <w:p w:rsidR="00075613" w:rsidRPr="00075613" w:rsidP="003C0EF5">
      <w:pPr>
        <w:widowControl w:val="0"/>
        <w:spacing w:line="420" w:lineRule="exact"/>
        <w:ind w:left="0" w:right="0"/>
        <w:jc w:val="both"/>
        <w:rPr>
          <w:rFonts w:cs="B Zar" w:hint="cs"/>
          <w:rtl/>
        </w:rPr>
      </w:pPr>
      <w:r w:rsidRPr="00075613">
        <w:rPr>
          <w:rFonts w:cs="B Zar" w:hint="cs"/>
          <w:rtl/>
        </w:rPr>
        <w:t>هدف كلي فلسفه اوپانيشاد، فراهم آوردن امكانات معرفت برهمان است؛ براي آن كه سالكين راه حق و جويندگان طريق معرفت بتوانند به مرحله وصال حق و وصول به حقيقت نائل آيند و در نتيجه به مرحله حق اليقين و سپس به مرحله عين اليقين برسند.</w:t>
      </w:r>
    </w:p>
    <w:p w:rsidR="00075613" w:rsidRPr="00075613" w:rsidP="003C0EF5">
      <w:pPr>
        <w:widowControl w:val="0"/>
        <w:spacing w:line="420" w:lineRule="exact"/>
        <w:ind w:left="0" w:right="0"/>
        <w:jc w:val="both"/>
        <w:rPr>
          <w:rFonts w:cs="B Zar" w:hint="cs"/>
          <w:rtl/>
        </w:rPr>
      </w:pPr>
      <w:r w:rsidRPr="00075613">
        <w:rPr>
          <w:rFonts w:cs="B Zar" w:hint="cs"/>
          <w:rtl/>
        </w:rPr>
        <w:t xml:space="preserve">محور دوم انديشه اوپانيشاد شناخت آتمان در انسان يا روح و جوهر ملكوتي در وجود آدمي است. اگر ما سراسر مطالب رسائل اوپانيشاد را مورد توجه قرار دهيم، متوجه مي‌شويم كه آتمان (روح يا جوهر ملكوتي در انسان) بيش از برهمان (ذات احديت) مورد توجه و محور تأملات ريشي ها و حكيمان متاله آريائي است. علتش اين است كه از دريچه آتمان است كه ما به برهمان مي رسيم. فلسفه و عرفان هند از اين جهت عمل گرا و سود محور بوده است؛ چرا كه به جاي توجه به مفاهيم نظري، توجه خود را به طرف نيل به آن معطوف مي داشته است. همين امر موجب شد كه هنديان علم يوگا را بوجود آورند كه نوعي مكانيك باطني است. آتمان دريچه يا دروازه اي است كه از آن انسان به برهمان مي‌رسد. فلسفه ودانتا توجه بيشتري را به شناخت آتمان و روح معطوف داشت؛ چرا كه وقتي فرد «دروازه» را شناخت و وارد آن شد، قصر «كاخ» را در داخل خود تماشا خواهد كرد. يكي از علت هاي آنكه اوپانيشاد در دوره فعلي به شدت مورد توجه غرب و شرق قرار گرفته همين است كه بشر هيچگاه به اندازه امروز از حقيقت و شناخت روح دور نشده و آنرا فراموش نكرده بود. همين شدت بيگانگي بشر از (روح) و روحانيت موجب شده است كه در نسل جوان غربي نوعي «هند زدگي» به وجود آيد. عشق و اشراق سومين محور اصلي اوپانيشاد است. از اين جهت نيز فلسفه اوپانيشاد درست مقابل فلسفه غرب قرار دارد كه اساس آن بر پايه عقل و رفاه است. فلسفه اوپانيشاد در كنار فلسفه اشراقي و وحدت وجودي ابن عربي، سهروردي و ملاصدرا، بهترين نمودار انديشه انسان است. </w:t>
      </w:r>
    </w:p>
    <w:p w:rsidR="00075613" w:rsidRPr="00075613" w:rsidP="003C0EF5">
      <w:pPr>
        <w:widowControl w:val="0"/>
        <w:spacing w:line="420" w:lineRule="exact"/>
        <w:ind w:left="0" w:right="0"/>
        <w:jc w:val="both"/>
        <w:rPr>
          <w:rFonts w:cs="B Zar" w:hint="cs"/>
          <w:rtl/>
        </w:rPr>
      </w:pPr>
      <w:r w:rsidRPr="00075613">
        <w:rPr>
          <w:rFonts w:cs="B Zar" w:hint="cs"/>
          <w:rtl/>
        </w:rPr>
        <w:t>البته از ملاحظات پيش، چنين گمان نشود كه اوپانيشاد داراي يك سيستم فلسفي منظم و يا يكپارچگي كامل است. اوپانيشاد هيچ نظريه ثابت و متعين فلسفي ندارد. در برخي جاها تناقض نيز در آن به چشم مي خورد. بر حقائق وجود انگشت مي گذارد، ولي اصول دقيق فلسفه و علم را تعيين نمي كند. اشارات و القاء ات مطالب آن راجع به ماهيت حقايق چنان كلي، عمومي و چند جهتي است و مفروضات آن راجع به چگونگي برهمان چنان گوناگون اند كه هر مكتب  فلسفي و فرقه كلامي مي تواند عناصر دلبخواه خود را از اين مجموعه بدست  آورد و به قول رادا كريشنان بايد به خود تبريك گويد كه اوپانيشاد مؤيد ديدگاه او از آب درآمده است</w:t>
      </w:r>
      <w:r w:rsidRPr="00075613">
        <w:rPr>
          <w:rFonts w:cs="B Zar"/>
          <w:rtl/>
        </w:rPr>
        <w:t xml:space="preserve"> </w:t>
      </w:r>
      <w:r>
        <w:rPr>
          <w:rStyle w:val="FootnoteReference"/>
          <w:rFonts w:cs="B Zar"/>
          <w:rtl/>
        </w:rPr>
        <w:footnoteReference w:id="504"/>
      </w:r>
      <w:r w:rsidRPr="00075613">
        <w:rPr>
          <w:rFonts w:cs="B Zar" w:hint="cs"/>
          <w:rtl/>
        </w:rPr>
        <w:t>. اوپانيشاد را در واقع بايد تأملات پراكنده پيرامون ساخت و بافت هستي تلقي كرد. گذشته از آن، نگرش عرفاني برهمان‌ـ‌آتمان محوري كه ما بدان اشاره كرديم، مخصوص به اوپانيشادهاي پانزده تا بيست گانه اوليه است كه به عنوان اوپانيشادهاي اصلي معروف‌اند. البته تمام مطالب اين رسائل نيز از ديدگاه ودانتي نگاشته نشده‌اند. برهدارن ياكا، چاندوگيا، ايتاريا و اوپانيشاد كه همزمان در عصر ودا نگاشته شده‌اند، منعكس كننده نگرش مناسكي برهمانا مي‌باشند. در آنان عناصر طبيعت‌پرستي، انيميسم و حتي شرك نيز ديده مي‌شود. ن‌ـ‌ك‌ـ‌دت معتقد  است كه دسته اول اوپانيشادها دربرگيرنده سه جريان مي باشند</w:t>
      </w:r>
      <w:r>
        <w:rPr>
          <w:rStyle w:val="FootnoteReference"/>
          <w:rFonts w:cs="B Zar"/>
          <w:rtl/>
        </w:rPr>
        <w:footnoteReference w:id="505"/>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الف: بينش مناسكي برهمانا و اساطير باستاني؛</w:t>
      </w:r>
    </w:p>
    <w:p w:rsidR="00075613" w:rsidRPr="00075613" w:rsidP="003C0EF5">
      <w:pPr>
        <w:widowControl w:val="0"/>
        <w:spacing w:line="420" w:lineRule="exact"/>
        <w:ind w:left="0" w:right="0"/>
        <w:jc w:val="both"/>
        <w:rPr>
          <w:rFonts w:cs="B Zar" w:hint="cs"/>
          <w:rtl/>
        </w:rPr>
      </w:pPr>
      <w:r w:rsidRPr="00075613">
        <w:rPr>
          <w:rFonts w:cs="B Zar" w:hint="cs"/>
          <w:rtl/>
        </w:rPr>
        <w:t>ب: نگرش طبيعت‌پرستانه و انيمستي اتهاروويد؛</w:t>
      </w:r>
    </w:p>
    <w:p w:rsidR="00075613" w:rsidRPr="00075613" w:rsidP="003C0EF5">
      <w:pPr>
        <w:widowControl w:val="0"/>
        <w:spacing w:line="420" w:lineRule="exact"/>
        <w:ind w:left="0" w:right="0"/>
        <w:jc w:val="both"/>
        <w:rPr>
          <w:rFonts w:cs="B Zar" w:hint="cs"/>
          <w:rtl/>
        </w:rPr>
      </w:pPr>
      <w:r w:rsidRPr="00075613">
        <w:rPr>
          <w:rFonts w:cs="B Zar" w:hint="cs"/>
          <w:rtl/>
        </w:rPr>
        <w:t>ج: فلسفه عرفاني ودا نتي.</w:t>
      </w:r>
    </w:p>
    <w:p w:rsidR="00075613" w:rsidRPr="00075613" w:rsidP="003C0EF5">
      <w:pPr>
        <w:widowControl w:val="0"/>
        <w:spacing w:line="420" w:lineRule="exact"/>
        <w:ind w:left="0" w:right="0"/>
        <w:jc w:val="both"/>
        <w:rPr>
          <w:rFonts w:cs="B Zar" w:hint="cs"/>
          <w:rtl/>
        </w:rPr>
      </w:pPr>
      <w:r w:rsidRPr="00075613">
        <w:rPr>
          <w:rFonts w:cs="B Zar" w:hint="cs"/>
          <w:iCs/>
          <w:rtl/>
        </w:rPr>
        <w:t xml:space="preserve">سايانا </w:t>
      </w:r>
      <w:r w:rsidRPr="00075613">
        <w:rPr>
          <w:rFonts w:cs="B Zar"/>
          <w:iCs/>
        </w:rPr>
        <w:t>(Sayana)</w:t>
      </w:r>
      <w:r w:rsidRPr="00075613">
        <w:rPr>
          <w:rFonts w:cs="B Zar" w:hint="cs"/>
          <w:iCs/>
          <w:rtl/>
        </w:rPr>
        <w:t>،</w:t>
      </w:r>
      <w:r w:rsidRPr="00075613">
        <w:rPr>
          <w:rFonts w:cs="B Zar" w:hint="cs"/>
          <w:rtl/>
        </w:rPr>
        <w:t xml:space="preserve"> مفسر بزرگ ودا در قرون وسطي، در ضمن بحث از ايتاريا اوپانيشاد گفته است كه مشتمل بر سه عنصر است:</w:t>
      </w:r>
    </w:p>
    <w:p w:rsidR="00075613" w:rsidRPr="00075613" w:rsidP="003C0EF5">
      <w:pPr>
        <w:widowControl w:val="0"/>
        <w:numPr>
          <w:ilvl w:val="0"/>
          <w:numId w:val="29"/>
        </w:numPr>
        <w:spacing w:line="420" w:lineRule="exact"/>
        <w:ind w:left="720" w:right="0"/>
        <w:jc w:val="both"/>
        <w:rPr>
          <w:rFonts w:cs="B Zar" w:hint="cs"/>
        </w:rPr>
      </w:pPr>
      <w:r w:rsidRPr="00075613">
        <w:rPr>
          <w:rFonts w:cs="B Zar" w:hint="cs"/>
          <w:rtl/>
        </w:rPr>
        <w:t>سام هيتا</w:t>
      </w:r>
      <w:r w:rsidRPr="00075613">
        <w:rPr>
          <w:rFonts w:cs="B Zar"/>
        </w:rPr>
        <w:t>(Samhitta)</w:t>
      </w:r>
      <w:r w:rsidRPr="00075613">
        <w:rPr>
          <w:rFonts w:cs="B Zar" w:hint="cs"/>
          <w:rtl/>
        </w:rPr>
        <w:t xml:space="preserve"> يا ادعيه و نيايش ها، نظير ودا؛</w:t>
      </w:r>
    </w:p>
    <w:p w:rsidR="00075613" w:rsidRPr="00075613" w:rsidP="003C0EF5">
      <w:pPr>
        <w:widowControl w:val="0"/>
        <w:numPr>
          <w:ilvl w:val="0"/>
          <w:numId w:val="29"/>
        </w:numPr>
        <w:spacing w:line="420" w:lineRule="exact"/>
        <w:ind w:left="720" w:right="0"/>
        <w:jc w:val="both"/>
        <w:rPr>
          <w:rFonts w:cs="B Zar" w:hint="cs"/>
        </w:rPr>
      </w:pPr>
      <w:r w:rsidRPr="00075613">
        <w:rPr>
          <w:rFonts w:cs="B Zar" w:hint="cs"/>
          <w:rtl/>
        </w:rPr>
        <w:t>ياجناكا</w:t>
      </w:r>
      <w:r w:rsidRPr="00075613">
        <w:rPr>
          <w:rFonts w:cs="B Zar"/>
        </w:rPr>
        <w:t xml:space="preserve">   (Yajnaka)</w:t>
      </w:r>
      <w:r w:rsidRPr="00075613">
        <w:rPr>
          <w:rFonts w:cs="B Zar" w:hint="cs"/>
          <w:rtl/>
        </w:rPr>
        <w:t>يا احكام مناسك و عبادات و فلسفه آن؛</w:t>
      </w:r>
    </w:p>
    <w:p w:rsidR="00075613" w:rsidRPr="00075613" w:rsidP="003C0EF5">
      <w:pPr>
        <w:widowControl w:val="0"/>
        <w:numPr>
          <w:ilvl w:val="0"/>
          <w:numId w:val="29"/>
        </w:numPr>
        <w:spacing w:line="420" w:lineRule="exact"/>
        <w:ind w:left="720" w:right="0"/>
        <w:jc w:val="both"/>
        <w:rPr>
          <w:rFonts w:cs="B Zar" w:hint="cs"/>
        </w:rPr>
      </w:pPr>
      <w:r w:rsidRPr="00075613">
        <w:rPr>
          <w:rFonts w:cs="B Zar" w:hint="cs"/>
          <w:rtl/>
        </w:rPr>
        <w:t>وارونا</w:t>
      </w:r>
      <w:r w:rsidRPr="00075613">
        <w:rPr>
          <w:rFonts w:cs="B Zar"/>
        </w:rPr>
        <w:t>(Varuna)</w:t>
      </w:r>
      <w:r w:rsidRPr="00075613">
        <w:rPr>
          <w:rFonts w:cs="B Zar" w:hint="cs"/>
          <w:rtl/>
        </w:rPr>
        <w:t xml:space="preserve"> يا بحث از ذات برهمان و حقيقت آتمان.</w:t>
      </w:r>
    </w:p>
    <w:p w:rsidR="00075613" w:rsidRPr="00075613" w:rsidP="003C0EF5">
      <w:pPr>
        <w:widowControl w:val="0"/>
        <w:spacing w:line="420" w:lineRule="exact"/>
        <w:ind w:left="0" w:right="0"/>
        <w:jc w:val="both"/>
        <w:rPr>
          <w:rFonts w:cs="B Zar"/>
          <w:rtl/>
        </w:rPr>
      </w:pPr>
      <w:r w:rsidRPr="00075613">
        <w:rPr>
          <w:rFonts w:cs="B Zar" w:hint="cs"/>
          <w:rtl/>
        </w:rPr>
        <w:t>البته در اوپانيشادهاي دسته دوم و سوم از رسائل اصلي اوپانيشاد به تدريج بقاياي نگرش مناسكي برهمانا و عناصر طبيعت پرستانه و انيمستي ودا پالايش</w:t>
      </w:r>
      <w:r w:rsidRPr="00075613">
        <w:rPr>
          <w:rFonts w:cs="B Zar" w:hint="cs"/>
          <w:rtl/>
          <w:lang w:bidi="fa-IR"/>
        </w:rPr>
        <w:t>،</w:t>
      </w:r>
      <w:r w:rsidRPr="00075613">
        <w:rPr>
          <w:rFonts w:cs="B Zar" w:hint="cs"/>
          <w:rtl/>
        </w:rPr>
        <w:t xml:space="preserve"> و فلسفه و انديشه ودانتا خالص‌تر و ناب‌تر گرديده است. در اين دسته اوپانيشادها، تمايز گذاري ميان طريقت (جاناتا كاند</w:t>
      </w:r>
      <w:r w:rsidRPr="00075613">
        <w:rPr>
          <w:rFonts w:cs="B Zar"/>
        </w:rPr>
        <w:t>Janana Kand=</w:t>
      </w:r>
      <w:r w:rsidRPr="00075613">
        <w:rPr>
          <w:rFonts w:cs="B Zar" w:hint="cs"/>
          <w:rtl/>
        </w:rPr>
        <w:t>) و شريعت (كاراما كاند</w:t>
      </w:r>
      <w:r w:rsidRPr="00075613">
        <w:rPr>
          <w:rFonts w:cs="B Zar"/>
        </w:rPr>
        <w:t>Kaama Kand</w:t>
      </w:r>
      <w:r w:rsidRPr="00075613">
        <w:rPr>
          <w:rFonts w:cs="B Zar" w:hint="cs"/>
          <w:rtl/>
        </w:rPr>
        <w:t xml:space="preserve">) مورد تاكيد بيشتري قرار گرفته است. البته وحدت كلي حتي در اين دسته از اوپانيشادها وحدت انديشه نيست، بلكه وحدت جهت است. گفته‌ها و مطالب رسائل، گاه نقيض به نظر مي‌رسند، ولي تمامي تمثيلات، تشبيهات، استعاره‌ها و داستان‌‌ها به يك جهت اشاره دارند. رادا كريشنان مي‌گويد: </w:t>
      </w:r>
      <w:r w:rsidRPr="00075613">
        <w:rPr>
          <w:rFonts w:cs="B Zar" w:hint="cs"/>
          <w:i/>
          <w:iCs/>
          <w:rtl/>
        </w:rPr>
        <w:t>«وحدتي كه در رسائل اوپانيشاد ديده مي‌شود، عدم وحدت است و چنانچه داس گوپتا نگاشته است اين رسائل  فلسفه معين و واحدي دربر ندارند</w:t>
      </w:r>
      <w:r w:rsidRPr="00075613">
        <w:rPr>
          <w:rFonts w:cs="B Zar" w:hint="cs"/>
          <w:rtl/>
        </w:rPr>
        <w:t>». او مي‌گويد: «</w:t>
      </w:r>
      <w:r w:rsidRPr="00075613">
        <w:rPr>
          <w:rFonts w:cs="B Zar" w:hint="cs"/>
          <w:i/>
          <w:iCs/>
          <w:rtl/>
        </w:rPr>
        <w:t>اوپانيشاد هسته و بذري است كه كل درخت تناور فلسفه هند را در بر دارد، درختي كه شاخه هاي گوناگون نظير مكتب سام كهيا</w:t>
      </w:r>
      <w:r w:rsidRPr="00075613">
        <w:rPr>
          <w:rFonts w:cs="B Zar"/>
          <w:i/>
          <w:iCs/>
        </w:rPr>
        <w:t xml:space="preserve"> (Samkhia)</w:t>
      </w:r>
      <w:r w:rsidRPr="00075613">
        <w:rPr>
          <w:rFonts w:cs="B Zar" w:hint="cs"/>
          <w:i/>
          <w:iCs/>
          <w:rtl/>
        </w:rPr>
        <w:t>، ودانتا</w:t>
      </w:r>
      <w:r w:rsidRPr="00075613">
        <w:rPr>
          <w:rFonts w:cs="B Zar"/>
          <w:i/>
          <w:iCs/>
        </w:rPr>
        <w:t xml:space="preserve"> (Vedanta)</w:t>
      </w:r>
      <w:r w:rsidRPr="00075613">
        <w:rPr>
          <w:rFonts w:cs="B Zar" w:hint="cs"/>
          <w:i/>
          <w:iCs/>
          <w:rtl/>
        </w:rPr>
        <w:t>، يوگا</w:t>
      </w:r>
      <w:r w:rsidRPr="00075613">
        <w:rPr>
          <w:rFonts w:cs="B Zar"/>
          <w:i/>
          <w:iCs/>
        </w:rPr>
        <w:t xml:space="preserve"> (Yoga)</w:t>
      </w:r>
      <w:r w:rsidRPr="00075613">
        <w:rPr>
          <w:rFonts w:cs="B Zar" w:hint="cs"/>
          <w:i/>
          <w:iCs/>
          <w:rtl/>
        </w:rPr>
        <w:t xml:space="preserve"> و غيره، را پيدا كرد. از همين روي است كه هر شاخه، خود را ادامه دهنده هسته اصلي قلمداد مي‌كند»</w:t>
      </w:r>
      <w:r w:rsidRPr="00075613">
        <w:rPr>
          <w:rFonts w:cs="B Zar" w:hint="cs"/>
          <w:rtl/>
        </w:rPr>
        <w:t>.</w:t>
      </w:r>
    </w:p>
    <w:p w:rsidR="009F0372" w:rsidP="003C0EF5">
      <w:pPr>
        <w:widowControl w:val="0"/>
        <w:spacing w:line="420" w:lineRule="exact"/>
        <w:ind w:left="0" w:right="0"/>
        <w:jc w:val="center"/>
        <w:rPr>
          <w:rFonts w:cs="B Zar" w:hint="cs"/>
          <w:b/>
          <w:bCs/>
          <w:sz w:val="28"/>
          <w:szCs w:val="28"/>
          <w:rtl/>
        </w:rPr>
      </w:pPr>
      <w:r w:rsidRPr="00075613" w:rsidR="00075613">
        <w:rPr>
          <w:rFonts w:cs="B Zar"/>
          <w:sz w:val="28"/>
          <w:szCs w:val="28"/>
          <w:rtl/>
        </w:rPr>
        <w:br w:type="page"/>
      </w:r>
    </w:p>
    <w:p w:rsidR="00075613" w:rsidRPr="00075613" w:rsidP="003C0EF5">
      <w:pPr>
        <w:widowControl w:val="0"/>
        <w:spacing w:line="420" w:lineRule="exact"/>
        <w:ind w:left="0" w:right="0"/>
        <w:jc w:val="center"/>
        <w:rPr>
          <w:rFonts w:cs="B Zar" w:hint="cs"/>
          <w:b/>
          <w:bCs/>
          <w:sz w:val="28"/>
          <w:szCs w:val="28"/>
          <w:rtl/>
        </w:rPr>
      </w:pPr>
      <w:r w:rsidR="00A56E5A">
        <w:rPr>
          <w:rFonts w:cs="B Zar" w:hint="cs"/>
          <w:b/>
          <w:bCs/>
          <w:sz w:val="28"/>
          <w:szCs w:val="28"/>
          <w:rtl/>
        </w:rPr>
        <w:t xml:space="preserve"> </w:t>
      </w:r>
    </w:p>
    <w:p w:rsidR="00075613" w:rsidRPr="00F336FB" w:rsidP="003C0EF5">
      <w:pPr>
        <w:pStyle w:val="Heading8"/>
        <w:keepNext w:val="0"/>
        <w:widowControl w:val="0"/>
        <w:spacing w:before="0" w:after="0" w:line="420" w:lineRule="exact"/>
        <w:ind w:left="0" w:right="0"/>
        <w:jc w:val="center"/>
        <w:rPr>
          <w:rFonts w:cs="B Zar" w:hint="cs"/>
          <w:b w:val="0"/>
          <w:bCs/>
          <w:rtl/>
        </w:rPr>
      </w:pPr>
      <w:r w:rsidRPr="00F336FB">
        <w:rPr>
          <w:rFonts w:cs="B Zar" w:hint="cs"/>
          <w:b w:val="0"/>
          <w:bCs/>
          <w:rtl/>
        </w:rPr>
        <w:t>نگرش ديني اوپانيشاد: آئين وحدت الوجود</w:t>
      </w:r>
    </w:p>
    <w:p w:rsidR="00075613" w:rsidRPr="00075613"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نگرش ديني اوپانيشاد:</w:t>
      </w:r>
    </w:p>
    <w:p w:rsidR="00075613" w:rsidRPr="00075613" w:rsidP="003C0EF5">
      <w:pPr>
        <w:widowControl w:val="0"/>
        <w:spacing w:line="420" w:lineRule="exact"/>
        <w:ind w:left="0" w:right="0"/>
        <w:jc w:val="both"/>
        <w:rPr>
          <w:rFonts w:cs="B Zar" w:hint="cs"/>
          <w:rtl/>
        </w:rPr>
      </w:pPr>
      <w:r w:rsidRPr="00075613">
        <w:rPr>
          <w:rFonts w:cs="B Zar" w:hint="cs"/>
          <w:rtl/>
        </w:rPr>
        <w:t>نگرش ديني ودانتا، نگرش عرفاني و وحدت الوجودي است. اوپانيشاد، گيتا و ودانتا سوترا، هر سه بر اين نگرش تكيه دارند، ولي رساترين و گوياترين بيان آن در اوپانيشاد ديده مي‌شود. به طور كلي مي توان گفت كه در زمينه خداشناسي، رابطه خدا و جهان، چهار نظريه عمده وجود دارد.</w:t>
      </w:r>
    </w:p>
    <w:p w:rsidR="00075613" w:rsidRPr="00075613" w:rsidP="003C0EF5">
      <w:pPr>
        <w:widowControl w:val="0"/>
        <w:spacing w:line="420" w:lineRule="exact"/>
        <w:ind w:left="0" w:right="0"/>
        <w:jc w:val="both"/>
        <w:rPr>
          <w:rFonts w:cs="B Zar" w:hint="cs"/>
          <w:rtl/>
        </w:rPr>
      </w:pPr>
      <w:r w:rsidRPr="00075613">
        <w:rPr>
          <w:rFonts w:cs="B Zar" w:hint="cs"/>
          <w:rtl/>
        </w:rPr>
        <w:t>نظريه تشبيهي</w:t>
      </w:r>
    </w:p>
    <w:p w:rsidR="00075613" w:rsidRPr="00075613" w:rsidP="003C0EF5">
      <w:pPr>
        <w:widowControl w:val="0"/>
        <w:spacing w:line="420" w:lineRule="exact"/>
        <w:ind w:left="0" w:right="0"/>
        <w:jc w:val="both"/>
        <w:rPr>
          <w:rFonts w:cs="B Zar" w:hint="cs"/>
          <w:rtl/>
        </w:rPr>
      </w:pPr>
      <w:r w:rsidRPr="00075613">
        <w:rPr>
          <w:rFonts w:cs="B Zar" w:hint="cs"/>
          <w:rtl/>
        </w:rPr>
        <w:t>برحسب اين نظريه كه به مرحله توحيد كلامي تعلق دارد، خداوند ذات يگانه‌اي است كه كاملاً جنبه تنزيهي دارد، بدينسان كه هيچ پيوستگي ميان آفريدگار با آفريده ها، و معبود با عبد نيست؛ بلكه او ذات «واجب الوجود» است و «واجب» با ممكن نه شباهتي دارد، نه امكان اتصال و وصلتي و نه هيچگونه مناسبتي جز رابطه «خالق» با مخلوق و آفريدگار با آفريده‌هاي خويش؛ اين نگرش كه بسياري از متكلمين و فلاسفه مشأ بر آن تكيه داشته اند، بر عدم شباهت خداوند و عدم اتصال وي با موجودات تأكيد دارد. ابن بابويه عليه الرحمه در «التوحيد» چنين مي گويد:</w:t>
      </w:r>
    </w:p>
    <w:p w:rsidR="00075613" w:rsidRPr="00075613" w:rsidP="003C0EF5">
      <w:pPr>
        <w:widowControl w:val="0"/>
        <w:spacing w:line="420" w:lineRule="exact"/>
        <w:ind w:left="0" w:right="0"/>
        <w:jc w:val="both"/>
        <w:rPr>
          <w:rFonts w:cs="B Zar" w:hint="cs"/>
          <w:rtl/>
        </w:rPr>
      </w:pPr>
      <w:r w:rsidRPr="00075613">
        <w:rPr>
          <w:rFonts w:cs="B Zar" w:hint="cs"/>
          <w:i/>
          <w:iCs/>
          <w:rtl/>
        </w:rPr>
        <w:t>«خدا با آفريده هاي خود شباهتي ندارد. دليل اينكه هيچ يك از  ساخته هاي او داراي جنبه اي نيست كه مُحْدَث نباشد و هيچ جنبه محدثي نيست كه داراي معناي غير قديم بودن نباشد، پس اگر خدا شبيه يكي از آنان مي بود، لازم مي آمد كه آن جنبه، به همانگونه كه نشانه اي از حدوث دارنده آن است، نشانه‌اي از حدوث خدا نيز باشد</w:t>
      </w:r>
      <w:r w:rsidRPr="00075613">
        <w:rPr>
          <w:rFonts w:cs="B Zar" w:hint="cs"/>
          <w:rtl/>
        </w:rPr>
        <w:t>». سپس اضافه مي كند:</w:t>
      </w:r>
    </w:p>
    <w:p w:rsidR="00075613" w:rsidRPr="00075613" w:rsidP="003C0EF5">
      <w:pPr>
        <w:widowControl w:val="0"/>
        <w:spacing w:line="420" w:lineRule="exact"/>
        <w:ind w:left="0" w:right="0"/>
        <w:jc w:val="both"/>
        <w:rPr>
          <w:rFonts w:cs="B Zar" w:hint="cs"/>
          <w:rtl/>
        </w:rPr>
      </w:pPr>
      <w:r w:rsidRPr="00075613">
        <w:rPr>
          <w:rFonts w:cs="B Zar" w:hint="cs"/>
          <w:i/>
          <w:iCs/>
          <w:rtl/>
        </w:rPr>
        <w:t>«بنابر اين جنبه‌اي كه از آن جنبه دو شيء شبيه به يكديگرند، ناگزير در زير يك حكم واقع مي‌شوند. پيش از اين ثابت شد كه خدا قديم است و غير ممكن است كه خدا از يك لحاظ قديم و از يك لحاظ محدث باشد»</w:t>
      </w:r>
      <w:r>
        <w:rPr>
          <w:rStyle w:val="FootnoteReference"/>
          <w:rFonts w:cs="B Zar"/>
          <w:sz w:val="28"/>
          <w:szCs w:val="28"/>
          <w:rtl/>
        </w:rPr>
        <w:footnoteReference w:id="506"/>
      </w:r>
      <w:r w:rsidRPr="00075613">
        <w:rPr>
          <w:rFonts w:cs="B Zar" w:hint="cs"/>
          <w:rtl/>
        </w:rPr>
        <w:t>. اشعري در كتاب اللمع برهان مشابهي داشته است</w:t>
      </w:r>
      <w:r>
        <w:rPr>
          <w:rStyle w:val="FootnoteReference"/>
          <w:rFonts w:cs="B Zar"/>
          <w:sz w:val="28"/>
          <w:szCs w:val="28"/>
          <w:rtl/>
        </w:rPr>
        <w:footnoteReference w:id="507"/>
      </w:r>
      <w:r w:rsidRPr="00075613">
        <w:rPr>
          <w:rFonts w:cs="B Zar" w:hint="cs"/>
          <w:rtl/>
        </w:rPr>
        <w:t>. در اين گونه نگرش خدا به عنوان «صانع» تلقي مي‌شود كه اگر با «صنع» خود هرگونه پيوستگي داشته باشد، اين امر خلاف اصل قديم بود او قلمداد مي شود. اشعري در كتاب «مقالات الاسلامين»، ديدگاه معتزله را در مورد خدا چنين توضيح مي دهد: خدا يگانه است، همانند و انبازي ندارد. خدا از جنس شبح، پيكر، صورت، گوشت، خون، انسان، جوهر و عرض نيست. رنگ، بو و نبض ندارد، از گرما و سرما، خشكي و تري، طول ، عرض و عمق، انبوهي و پراكندگي، جنبش و سكون، تجزيه و تقسيم به اجزا و اندام ها مبراست. در مكان و زمان نگنجد، با چيزي تماس يا فاصله نگيرد، كوتاه سخن آنكه به هيچ يك از صفت هاي آفريدگان كه نشانه حدوث است، متصف نيست. خدا را شريكي نيست و يگانه است، حجم و مساحت ندارد، محدود نيست، زاده نشده و نزايد، پرده‌ها او را نپوشانند و جنسها او را نشناسند و او را با مردمان قياس نتوان كرد؛ زيرا به هيچ صورتي با آفريدگار شباهت و اتصالي ندارند</w:t>
      </w:r>
      <w:r>
        <w:rPr>
          <w:rStyle w:val="FootnoteReference"/>
          <w:rFonts w:cs="B Zar"/>
          <w:sz w:val="28"/>
          <w:szCs w:val="28"/>
          <w:rtl/>
        </w:rPr>
        <w:footnoteReference w:id="508"/>
      </w:r>
      <w:r w:rsidRPr="00075613">
        <w:rPr>
          <w:rFonts w:cs="B Zar" w:hint="cs"/>
          <w:rtl/>
        </w:rPr>
        <w:t xml:space="preserve">. </w:t>
      </w:r>
    </w:p>
    <w:p w:rsidR="00075613" w:rsidRPr="00075613" w:rsidP="003C0EF5">
      <w:pPr>
        <w:widowControl w:val="0"/>
        <w:spacing w:line="420" w:lineRule="exact"/>
        <w:ind w:left="0" w:right="0"/>
        <w:jc w:val="both"/>
        <w:rPr>
          <w:rFonts w:cs="B Zar" w:hint="cs"/>
          <w:rtl/>
        </w:rPr>
      </w:pPr>
      <w:r w:rsidRPr="00075613">
        <w:rPr>
          <w:rFonts w:cs="B Zar" w:hint="cs"/>
          <w:rtl/>
        </w:rPr>
        <w:t>سپس اشعري درباره اينكه خدا در كجا قرار دارد، نظريه متكلمين را چنان نقل مي‌كند: گروهي مي‌گويند: خدا جسمي است كه هيچ يك از صفت‌هاي جسم در او نيستند</w:t>
      </w:r>
      <w:r w:rsidRPr="00075613">
        <w:rPr>
          <w:rFonts w:hint="eastAsia"/>
          <w:rtl/>
        </w:rPr>
        <w:t>…</w:t>
      </w:r>
      <w:r w:rsidRPr="00075613">
        <w:rPr>
          <w:rFonts w:cs="B Zar" w:hint="eastAsia"/>
          <w:rtl/>
        </w:rPr>
        <w:t xml:space="preserve"> او در چيزها</w:t>
      </w:r>
      <w:r w:rsidRPr="00075613">
        <w:rPr>
          <w:rFonts w:cs="B Zar" w:hint="cs"/>
          <w:rtl/>
        </w:rPr>
        <w:t xml:space="preserve"> حلول نمي‌كند و بر عرش استوار است؛ البته در معنا بالاتر از عرش، او برتر از چيزها و برتر از عرش است. فاصله خدا با اشياء و موجودات فاصلة بالائي و برتري است. برخي مي گويند: جايگاه خدا عرش است كه بدو پيوسته و عرش خدا را در خود گرفته است و محدود ساخته است. اهل سنت و اصحاب حديث گويند: «</w:t>
      </w:r>
      <w:r w:rsidRPr="00075613">
        <w:rPr>
          <w:rFonts w:cs="B Zar" w:hint="cs"/>
          <w:i/>
          <w:iCs/>
          <w:rtl/>
        </w:rPr>
        <w:t>خدا جسم نيست و شباهت با چيزها ندارد، او بر فراز عرش است، البته استواء علي العرش «نمي دانيم چگونه است؛ او را صورت و دستها و چشم‌هاست، او از آسمان فرود آيد</w:t>
      </w:r>
      <w:r>
        <w:rPr>
          <w:rStyle w:val="FootnoteReference"/>
          <w:rFonts w:cs="B Zar"/>
          <w:sz w:val="28"/>
          <w:szCs w:val="28"/>
          <w:rtl/>
        </w:rPr>
        <w:footnoteReference w:id="509"/>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 xml:space="preserve">نظريه اي كه ابوالحسن اشعري، بنيانگذار مكتب اشاعره ـ‌ كه اهل سنت در قرون متأخر پيرو مواضع كلامي او هستند ـ تصويري كه از ذات خدا ارائه داده است، نماينده گويائي از نظريه تنزيهي و در عين حال تجسمي خداوند است. ما اصطلاح «تنزيه» و «تشبيه» را بدان معني به كار مي بريم كه ابن عربي در «فصوص الحكم» به كار برده است و نه در معانیي كه برخي متكلمين به كار مي برند. مقصود ما از تنزيه، تاكيد بر جنبه ماورائي خداوند است، يعني او به طور مطلق فراسوي موجودات و مخلوقات قرار دارد؛ بر «عرش اعلي» جلوس اجلال فرموده است و بندگان و موجودات از دورادور در درگاه او مي بايستي سر به سجود باشند، يا از طريق شفاعت كنندگان و واسطه‌ها به درگاه احديت وي نزديك شوند. اكثر متكلمين چنان كه از شواهد بالا ديديم چنين تصوري از خدا دارند. «تشبيه» به معناي آن است كه خداوند به عنوان «نور» در قنديل و يا روح در جسد و يا صاحب شبح در كنار شبح با جهان و انسان رابطه حياتي و مستمر دارد. البته مي دانيم كه برخي از متكلمين اصطلاح «تشبيه» را به معناي «انسان گونه پنداشتن» خداوند به كار برده‌اند. عرفايي نظير: ابن عربي اين معنا را در نظر ندارند و براي آن اصطلاح تجسم و تجسيم به كار مي برند. نظريه اي كه اشعري به متكلمين اهل سنت نسبت داده، از يك سو تنزيهي است كه خدا را بر عرش قرار داده و يك رابطه دورادور «سلطان مآبانه» و «تشريفاتي» با موجودات دارد، از سوي ديگر تجسيمي نيز هست و خداوند را همانند انسانی داراي چهره و دستان و «ابصار»، چشمان و گوش ها ترسيم نموده است. بينش تنزيهي، ميان خداوند و جهان آفريدگار و آفريده ها، نوعي رابطه خشك مكانيكي را تصور مي كند. جهان بر حسب قوانين و سنتي كه خداوند جعل نموده است، عمل مي كند. خداوند از «عرش برين» ناظر به كاركرد درست و طبق نقشه از پيش تعيين شده است، ولي ديگر نقش چنداني ندارد. برخي فيلسوفان مشاء به طور صريحي چنان نظريه‌اي را عنوان كرده اند. ارسطو پيشواي فلسفه مشاء نيز نظريه اي از همين سنخ دارد. از نظر ارسطو، خداوند محرك نيست، غير متحرك است. حركت در جهان نمي تواند به خودي خود ايجاد شده باشد. دوره تبديل شدن «هيولي» به «صورت» مستلزم حركت است، ولي اين حركت نمي تواند ازلي باشد. هرچيزي در جهان، ديگري را به حركت در مي آورد، ولي در نهايت آن كسي كه محرك اول و غير متحرك است، خدا است. برحسب اين نظريه، خداوند كسي است كه چرخ حركت جهان را به وجود آورده، ولي اين چرخ حالا طبق اصول و قوانين خاص خود در حركت است. رابطه خداوندي با جهان، رابطه علت العلل است. به قول ويل دورانت، خداي ارسطو به قوه مغناطيسي بيشتر شباهت دارد تا به يك ذات. او فعل محض است، از اين رو كاري نمي كند؛ چون كمال مطلق است، از اين رو نمي‌تواند به چيزي ميل كند؛ چون نمي تواند به چيزي ميل كند، پس هيچ كاري نمي‌كند. ويل دورانت اضافه مي كند: </w:t>
      </w:r>
      <w:r w:rsidRPr="00075613">
        <w:rPr>
          <w:rFonts w:cs="B Zar" w:hint="cs"/>
          <w:i/>
          <w:iCs/>
          <w:rtl/>
        </w:rPr>
        <w:t>«بيچاره خداي ارسطو شبيه پادشاهي است كه خود كار نمي كند و همه را به دست عمال و درباريان سپرده است. او پادشاهي است كه نه سلطنت مي‌كند و نه حكومت. جاي تعجب نيست كه انگليسيها اينقدر ارسطو را دوست دارند؛ چرا كه پادشاه آنان درست نمونه خداي ارسطو است. خداي ارسطو آرام و بي جنب و جوش بر عرش خود لميده است و از غوغا و پليدي هاي اين جهان به دور است</w:t>
      </w:r>
      <w:r>
        <w:rPr>
          <w:rStyle w:val="FootnoteReference"/>
          <w:rFonts w:cs="B Zar"/>
          <w:i/>
          <w:iCs/>
          <w:sz w:val="28"/>
          <w:szCs w:val="28"/>
          <w:rtl/>
        </w:rPr>
        <w:footnoteReference w:id="510"/>
      </w:r>
      <w:r w:rsidRPr="00075613">
        <w:rPr>
          <w:rFonts w:cs="B Zar" w:hint="cs"/>
          <w:i/>
          <w:iCs/>
          <w:rtl/>
        </w:rPr>
        <w:t>.</w:t>
      </w:r>
      <w:r w:rsidRPr="00075613">
        <w:rPr>
          <w:rFonts w:cs="B Zar" w:hint="cs"/>
          <w:rtl/>
        </w:rPr>
        <w:t>» اين نمونه‌اي از يك نظريه افراطي تنزيهي است كه با نظريه اي كه قرآن كريم و عرفاي اسلامي به تبع آن ارائه داده اند، بسيار فاصله دارد. خداوند «نورالانواري» كه جهان و موجودات قنديل آن هستند و خورشيدي كه كائنات اشعه آن است و يا حتي مثل اعلايي كه موجودات سايه آن باشند، نيست؛ بلكه موجودي است از عالم ديگر و مخلوقات موجوداتي هستند از عالم ديگر. اين نظريه تنزيهي را فلسفه ودانتا رد مي كند. در اوپانيشاد و گيتا به صراحت گفته شده است كه «خدا» جوهر روح وجود است و تصوري كه خدايان را «موجودات عرشي» كه بر عرش برين قرار دارند و ما تنها از طريق نذور و انجام مناسك قرباني حق عبوديت خود را ادا مي‌كنيم، در آن به طور مؤكد رد شده است.</w:t>
      </w:r>
    </w:p>
    <w:p w:rsidR="00075613" w:rsidRPr="00075613" w:rsidP="003C0EF5">
      <w:pPr>
        <w:pStyle w:val="Heading9"/>
        <w:keepNext w:val="0"/>
        <w:widowControl w:val="0"/>
        <w:spacing w:line="420" w:lineRule="exact"/>
        <w:ind w:left="0" w:right="0"/>
        <w:jc w:val="left"/>
        <w:rPr>
          <w:rFonts w:cs="B Zar" w:hint="cs"/>
          <w:rtl/>
        </w:rPr>
      </w:pPr>
      <w:r w:rsidRPr="00075613">
        <w:rPr>
          <w:rFonts w:cs="B Zar" w:hint="cs"/>
          <w:rtl/>
        </w:rPr>
        <w:t>نظريه وحدت الشهود</w:t>
      </w:r>
    </w:p>
    <w:p w:rsidR="00075613" w:rsidRPr="00075613" w:rsidP="003C0EF5">
      <w:pPr>
        <w:widowControl w:val="0"/>
        <w:spacing w:line="420" w:lineRule="exact"/>
        <w:ind w:left="0" w:right="0"/>
        <w:jc w:val="both"/>
        <w:rPr>
          <w:rFonts w:cs="B Zar" w:hint="cs"/>
          <w:rtl/>
        </w:rPr>
      </w:pPr>
      <w:r w:rsidRPr="00075613">
        <w:rPr>
          <w:rFonts w:cs="B Zar" w:hint="cs"/>
          <w:rtl/>
        </w:rPr>
        <w:t>«وحدت الشهود» نظريه اي است كه در عين حال كه براي خدا جنبه تنزيهي قائل است، معتقد است كه به خاطر كمال مطلق، امكان ندارد با «ممكن» كنار آيد و در مخلوقات خود تجلي كند، بلكه ماوراي آنان (از نظر ذات) قرار دارد و از نظر صفات، مخلوقات سايه و انعكاس او هستند. صفات الهي بر آنان پرتو انداخته و آنان را از نيست به «هست» تبديل كرده است. هستي آنان «سايه اي» است، و تنها «به طور نسبي» واقعيت دارد. در واقع صفت «خالقيت»، زيبائي، جلال و جمال الهي است كه باقي مي ماند و انعكاس و سايه هاي آن از ميان مي روند. نظريه «وحدت الوجود» معتقد است كه در «ذات» و وجود خود، ممكن عين واجب است، ولي وحدت الشهود را از وحدت ذات انكار مي كند، بلكه «واجب» و «ممكن» را  كاملاً متقابل مي پندارد كه البته رابطه آنان وحدت صفاتي است، نه ذاتي؛ از نظر آنكه «ممكن»، سايه  صفات و افعال الهي است. عكسي كه بر پرده مي بينيم «در ذات نورافكن» نيست، بلكه انعكاس «فعل» و «صفت» آن است. ميان دو تا وحدت، «وجود» در كار نيست، وحدتِ ذات نيست، وحدتِ «صفات» است. عليرغم حفظ جنبه تنزيهي خداوند و نگهداشتن حدود و مرزهاي واجب و ممكن، تفاوتي كه اين نظريه با نظريه تنزيهي دارد، اين است كه در نظريه وحدت الشهود، ميان غيب و شهود، واجب و ممكن، خالق و مخلوق، عبد و معبود، يك رابطه حياتي مستمر تصور مي شود. چنان نيست كه همانند يك معمار، خداوند اين بناي كيهاني را ساخته و فقط ناظر بر آن است، بلكه همچنان كه اگر نورافكن نباشد، تصويري بر پرده نخواهد بود، وجود اين يكي بسته به آن است. همين رابطه ميان جهان و جهان آفرين وجود دارد.</w:t>
      </w:r>
    </w:p>
    <w:p w:rsidR="00075613" w:rsidRPr="00075613" w:rsidP="003C0EF5">
      <w:pPr>
        <w:widowControl w:val="0"/>
        <w:spacing w:line="420" w:lineRule="exact"/>
        <w:ind w:left="0" w:right="0"/>
        <w:jc w:val="both"/>
        <w:rPr>
          <w:rFonts w:cs="B Zar" w:hint="cs"/>
          <w:rtl/>
        </w:rPr>
      </w:pPr>
      <w:r w:rsidRPr="00075613">
        <w:rPr>
          <w:rFonts w:cs="B Zar" w:hint="cs"/>
          <w:rtl/>
        </w:rPr>
        <w:t xml:space="preserve">در ميان حكيمان يونان، افلاطون چنين نظريه‌اي را داشت. براي افلاطون، مثل اعلي، فراسوي جهان قرار دارد. آنان غير قابل تغيير </w:t>
      </w:r>
      <w:r w:rsidRPr="00075613">
        <w:rPr>
          <w:rFonts w:cs="B Zar"/>
        </w:rPr>
        <w:t>(Immutable)</w:t>
      </w:r>
      <w:r w:rsidRPr="00075613">
        <w:rPr>
          <w:rFonts w:cs="B Zar" w:hint="cs"/>
          <w:rtl/>
        </w:rPr>
        <w:t xml:space="preserve"> و تنزيهي </w:t>
      </w:r>
      <w:r w:rsidRPr="00075613">
        <w:rPr>
          <w:rFonts w:cs="B Zar"/>
        </w:rPr>
        <w:t>(Transcendental)</w:t>
      </w:r>
      <w:r w:rsidRPr="00075613">
        <w:rPr>
          <w:rFonts w:cs="B Zar" w:hint="cs"/>
          <w:rtl/>
        </w:rPr>
        <w:t xml:space="preserve"> هستند. در عين حال آنچه در جهان است و مي شود، چيزي جز انعكاس مثل اعلي در عالم بالا نيست. </w:t>
      </w:r>
    </w:p>
    <w:p w:rsidR="00075613" w:rsidRPr="00075613" w:rsidP="003C0EF5">
      <w:pPr>
        <w:widowControl w:val="0"/>
        <w:spacing w:line="420" w:lineRule="exact"/>
        <w:ind w:left="0" w:right="0"/>
        <w:jc w:val="both"/>
        <w:rPr>
          <w:rFonts w:cs="B Zar" w:hint="cs"/>
          <w:rtl/>
        </w:rPr>
      </w:pPr>
      <w:r w:rsidRPr="00075613">
        <w:rPr>
          <w:rFonts w:cs="B Zar" w:hint="cs"/>
          <w:rtl/>
        </w:rPr>
        <w:t>ايرانيان باستاني نيز معتقد به دو عالم بودند، عالم مينوي و عالم گيتي، عالم مينوي يك جهان روحاني و نوراني بوده و گيتي يا عالم حسي و جهان جسماني تابع آن بوده است.</w:t>
      </w:r>
    </w:p>
    <w:p w:rsidR="00075613" w:rsidRPr="00075613" w:rsidP="003C0EF5">
      <w:pPr>
        <w:widowControl w:val="0"/>
        <w:spacing w:line="420" w:lineRule="exact"/>
        <w:ind w:left="0" w:right="0"/>
        <w:jc w:val="both"/>
        <w:rPr>
          <w:rFonts w:cs="B Zar" w:hint="cs"/>
          <w:rtl/>
        </w:rPr>
      </w:pPr>
      <w:r w:rsidRPr="00075613">
        <w:rPr>
          <w:rFonts w:cs="B Zar" w:hint="cs"/>
          <w:rtl/>
        </w:rPr>
        <w:t xml:space="preserve">برخي حكيمان اسلامي از جمله شيخ الاشراق شهاب الدين سهروردي، در برخي جاها تحت تأثير نظريه افلاطون قرار گرفته است. طبق نظريه وحدت الشهود، جهان انعكاس صفات الهي است و آنچه در موجودات تجلي پيدا مي كند، ذات الهي نيست، بلكه افعال و صفات الهي است. كمال انسان اين است كه آئينه ذات خود را از طريق تزكيه و عبادات و معرفت، مصفي سازد تا صفات الهي به طور كامل در اين آئينه منعكس گردد. انسان به سوي صفات كمال مطلق سير مي كند. هدف نهائي انسان فنا در ذات الهي نيست، كه غير ممكن است؛ چرا كه «ممكن» نمي تواند با «واجب» بپيوندد، بلكه هدف نهائي و تقرب الهي نيل به رضاي الهي از طريق انعكاس صفات اوست. انسان وقتي به مرحله نفس مطمئنه، كه مرحله تزكيه كامل است مي رسد، نداي «ارجعي الي ربك راضيه مرضيه» در داده مي شود، ولي او در ساحت تقرب پروردگار خود مي رسد، نه در حريم ذات او. نظريه وحدت الشهود را مي توان در مقابل آئين وحدت الوجود، آئين تشبيه الوجود ناميد. برخي وحدت الوجود را توحيد عيني و وحدت الشهود را توحيد ظلي ناميده اند. در ميان سلسله‌هاي تصوف اسلامي، سلسله قادريه كه عبدالقادر جيلاني بغدادي بنيانگذار آن بوده است و سلسله سهرورديه كه شيخ شهاب‌الدين سهروردي، صاحب «عوارف‌المعارف»، باني آن بوده و سلسله چشتيه كه معين‌الدين چشتي، خواجه اجميري، از پايه گزارانش بود، معتقد به وحدت الوجود مي‌باشند، ولي سلسله متصوفه نقشبنديه از خواجه باقي الله به بعد معتقد به وحدت الشهود بوده‌اند. </w:t>
      </w:r>
    </w:p>
    <w:p w:rsidR="00075613" w:rsidRPr="00075613" w:rsidP="003C0EF5">
      <w:pPr>
        <w:widowControl w:val="0"/>
        <w:spacing w:line="420" w:lineRule="exact"/>
        <w:ind w:left="0" w:right="0"/>
        <w:jc w:val="both"/>
        <w:rPr>
          <w:rFonts w:cs="B Zar" w:hint="cs"/>
          <w:rtl/>
        </w:rPr>
      </w:pPr>
      <w:r w:rsidRPr="00075613">
        <w:rPr>
          <w:rFonts w:cs="B Zar" w:hint="cs"/>
          <w:rtl/>
        </w:rPr>
        <w:t>در كتاب «تذكره غوثيه» كه از جمله متون مهم تصوف مي‌باشد، تفاوت ميان «وحدت‌الوجود» و «وحدت‌الشهود» چنان بيان گرديده  است: «وحدت‌الوجود به معناي آن است كه وجود داراي  يك وحدت مطلق است، منتهي  اينكه يك ظاهر دارد و يك باطن. نور الهي باطن وجود را تشكيل مي‌دهد و به مثابه روح جهان و انسان است. حقيقت كثرت وحدت است. همچنانكه قطره در واقع چيزي جز دريا نيست. وحدت الشهود به معناي آن است كه وجود اشياء و موجودات و انسان، ظهور آثار و صفات گوناگون ذات باري تعالي مي باشند. جهان ظل و عكس و سايه ذات احديت است كه بر پرده عدم انعكاس مي‌يابد، اين «ظل»، عين صاحب ظل نيست؛ بلكه يك مثال است</w:t>
      </w:r>
      <w:r>
        <w:rPr>
          <w:rStyle w:val="FootnoteReference"/>
          <w:rFonts w:cs="B Zar"/>
          <w:sz w:val="28"/>
          <w:szCs w:val="28"/>
          <w:rtl/>
        </w:rPr>
        <w:footnoteReference w:id="511"/>
      </w:r>
      <w:r w:rsidRPr="00075613">
        <w:rPr>
          <w:rFonts w:cs="B Zar" w:hint="cs"/>
          <w:rtl/>
        </w:rPr>
        <w:t xml:space="preserve">. آئين وحدت الوجود مي گويد «هوالكل»، آئين «وحدت الشهود» مي گويد: هوالهادي، آئين وحدت الوجود معتقد به همة اوست، آئين وحدت الشهود معتقد به «همه از اوست»، آئين وحدت الوجود معتقد به «اناالحق» و آئين وحدت الشهود معتقد به «انامع الحق والحق معي» است. هدف و نگرش وحدت الوجودي‌، «وصل» و «فنا» و نگرش وحدت الشهود، «عشق» است. شعار وحدت الشهود «انالحق» و شعار وحدت الوجود «اناعبده» است. البته تفاوتي كه نظريه «وحدت الشهود» با نظريه مشاعي يا كلامي تنزيهي دارد، اين است كه رابطه خدا و جهان را رابطه «صانع» به «صنع» يا «ابزارساز» به «ابزار» نمي‌داند، بلكه رابطه «سايه» با «صاحب سايه» و «عكس» با «صاحب عكس» مي‌داند، كه در عين حال انفكاك و ثنويت وجود و وجود يكي مبتني بر ديگري، وجود يكي حقيقي و وجود ديگري ثانوي و مجازي است. </w:t>
      </w:r>
    </w:p>
    <w:p w:rsidR="00075613" w:rsidP="003C0EF5">
      <w:pPr>
        <w:widowControl w:val="0"/>
        <w:spacing w:line="420" w:lineRule="exact"/>
        <w:ind w:left="0" w:right="0"/>
        <w:jc w:val="both"/>
        <w:rPr>
          <w:rFonts w:cs="B Zar" w:hint="cs"/>
          <w:rtl/>
        </w:rPr>
      </w:pPr>
      <w:r w:rsidRPr="00075613">
        <w:rPr>
          <w:rFonts w:cs="B Zar" w:hint="cs"/>
          <w:rtl/>
        </w:rPr>
        <w:t xml:space="preserve">فلسفه ودانتا فلسفه وحدت الوجودي است، نه فلسفه وحدت الشهودي. در نگرش وحدت الوجودي جهان و موجودات، تجلي ذات الهي هستند و در نگرش وحدت الشهودي تجلي اسماء و افعال و صفات اراده الهي. وحدت الشهود مي‌گويد: جهان با حرف «كن» خداوند هست شده است، و نیزگفته مي شود: جهان  با  وجود خداوند هست شده، ولي در عين حال جهان در يك سطح ديگري و در معناي ديگري جدا از ذات احديت نيست. تمام موجودات جهان اعم از نباتات و حيوانات و جمادات و انسانها، ارض و سماء، مهر و ماه، كوه و دريا، حيوانات و انسانها و ذات احد و صمد، رابطه ابزار با ابزار سازي ندارند؛ بلكه رابطه حياتي‌تر دارند. اين رابطه، به مثابه رابطه اشعه خورشيد با خورشيد، رابطه تصويرهاي روي پرده با نورافكن خويش،  رابطه ظل با صاحب ظل است. اگر خورشيد نباشد شعاع نيست، اگر نور نباشد، روشنائي نيست. اگر نورافكن نباشد، تصويرها نيستند و اگر صاحب سايه نباشد، سايه نيست. جهان و موجودات جهان نه تنها قائم به ذات يا داراي استقلال ذاتي در عمل نيستند؛ بلكه «هست» نسبي اند. با ديده ژرف تر اگر بنگريم فقط اوست؛ به طور نسبي ما نيز هستيم، ولی مستقل و جدا از او. همچنان كه صاحب سايه با سايه خود  يكي نيست. رابطه خدا و انسان در وحدت الوجود، رابطه قطره با دريا است و در وحدت الشهود، رابطه شعاع با خورشيد و ظل با صاحب ظل. در مقابل نظريه «وحدت الشهود» كه معتقد به وحدت وجود و كثرت موجود است و حكيمان و نيز برخي عرفا معتقد به آن بوده‌اند، نظريه «وحدت الوجود» قرار دارد كه معتقد به وحدت‌الوجود و وحدت الموجود هر دو است. پيروان اين نظريه كه اكثريت مكاتب عرفاني دنيا از جمله اوپانيشاد و مكتب ودانتا در آن زمره قرار دارند ـ همانگونه كه در اصل وجود به كثرت قائل نمي باشند ـ در موجودات نيز كثرت را يك امر موهوم به شمار مي آورند. آنان وجود و موجود را يك چيز دانسته، مظاهر و ظواهر هستي، جز تجلي همان وحدت نيست. پديده كثرت در واقع جز وهم و گمان ما نيست و آنچه واقعيت دارد، همان «وجود» واحدي است كه اوپانيشاد آن را «برهمان» مي نامد. البته نظريه «وحدت الوجود» را نيز مي‌توان در دو دسته تقسيم كرد: «پانتيسم </w:t>
      </w:r>
      <w:r w:rsidRPr="00075613">
        <w:rPr>
          <w:rFonts w:cs="B Zar"/>
        </w:rPr>
        <w:t>(Pantheism)</w:t>
      </w:r>
      <w:r w:rsidRPr="00075613">
        <w:rPr>
          <w:rFonts w:cs="B Zar" w:hint="cs"/>
          <w:rtl/>
        </w:rPr>
        <w:t xml:space="preserve"> يا طبيعت خواني و مونيسم </w:t>
      </w:r>
      <w:r w:rsidRPr="00075613">
        <w:rPr>
          <w:rFonts w:cs="B Zar"/>
        </w:rPr>
        <w:t>(Monism)</w:t>
      </w:r>
      <w:r w:rsidRPr="00075613">
        <w:rPr>
          <w:rFonts w:cs="B Zar" w:hint="cs"/>
          <w:rtl/>
        </w:rPr>
        <w:t xml:space="preserve"> يا «همه خواني».</w:t>
      </w:r>
    </w:p>
    <w:p w:rsidR="00894EB5" w:rsidRPr="00075613"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آئين «جهان ـ خدائي» يا پانتيسم</w:t>
      </w:r>
    </w:p>
    <w:p w:rsidR="00075613" w:rsidRPr="00075613" w:rsidP="003C0EF5">
      <w:pPr>
        <w:widowControl w:val="0"/>
        <w:spacing w:line="420" w:lineRule="exact"/>
        <w:ind w:left="0" w:right="0"/>
        <w:jc w:val="both"/>
        <w:rPr>
          <w:rFonts w:cs="B Zar" w:hint="cs"/>
          <w:rtl/>
        </w:rPr>
      </w:pPr>
      <w:r w:rsidRPr="00075613">
        <w:rPr>
          <w:rFonts w:cs="B Zar" w:hint="cs"/>
          <w:rtl/>
        </w:rPr>
        <w:t xml:space="preserve">نظريه «جهان ـ خدائي»، «وجود» و «موجود» را معادل هم محسوب مي كند. خدا در طبيعت خلاصه مي شود. خدا نوعي روح جهاني يا «هيران گاربها» است و بس و يا به تعبير ديگر مجموع كثرت هستي، يك وحدت است كه «خدا» ناميده مي شود. نظريه جهان ـ خدائي تكامل ايده طبيعت‌پرستي مرحله پيشين است كه براي ذات احديت تنها يك بعد «تشبيهي» قائل است و بس؛ در حاليكه نظريه مونيسم يا همه خدائي براي ذات احديت بعد تشبيهي و تشريهي، هر دو را اثبات مي كند. بنا به عقيده اكثر عرفا، جهان از تجليات ذات احديت است و در وراي کثرت، وحدت قرار دارد، ولي ذات خدا در جهان خلاصه نمي شود. مي توان نظريه جهان ـ خدائي را نوعي نظريه حلولي دانست، منتهي اينكه حلول ذات خداوند در افراد نيست، بلكه در پديده هاي طبيعت است. در ميان فلاسفه غرب، اسپينوزا به اين نظريه گرايش داشته است. او معتقد به وحدت خدا و جهان بوده و عالم را به منزله جسم خدا تلقي مي كرده است. او معتقد بود كه تمام حقائق داراي ذات واحد اند و خدا و جهان يكي هستند. پيش از اسپينوزا، برونو كه محكمه تفتيش عقائد او را محكوم به مرگ با سوزاندن در آتش كرده بود نيز معتقد به يكي بودن روح و ماده، خدا و جهان بوده است. اسپينوزا در فلسفه خود، سه اصطلاح ذات يا جوهر </w:t>
      </w:r>
      <w:r w:rsidRPr="00075613">
        <w:rPr>
          <w:rFonts w:cs="B Zar"/>
        </w:rPr>
        <w:t>(Substance)</w:t>
      </w:r>
      <w:r w:rsidRPr="00075613">
        <w:rPr>
          <w:rFonts w:cs="B Zar" w:hint="cs"/>
          <w:rtl/>
        </w:rPr>
        <w:t xml:space="preserve">، محمول يا صفت </w:t>
      </w:r>
      <w:r w:rsidRPr="00075613">
        <w:rPr>
          <w:rFonts w:cs="B Zar"/>
        </w:rPr>
        <w:t>(Attribute)</w:t>
      </w:r>
      <w:r w:rsidRPr="00075613">
        <w:rPr>
          <w:rFonts w:cs="B Zar" w:hint="cs"/>
          <w:rtl/>
        </w:rPr>
        <w:t xml:space="preserve"> و حالت </w:t>
      </w:r>
      <w:r w:rsidRPr="00075613">
        <w:rPr>
          <w:rFonts w:cs="B Zar"/>
        </w:rPr>
        <w:t>(Mode)</w:t>
      </w:r>
      <w:r w:rsidRPr="00075613">
        <w:rPr>
          <w:rFonts w:cs="B Zar" w:hint="cs"/>
          <w:rtl/>
        </w:rPr>
        <w:t xml:space="preserve"> را به كار مي برد. حالت هر شيئي، شكل و صورت خاصي است كه در ظاهر و به طور موقت به صورت واقعيت جلوه مي كند، ولي اسپينوزا حقيقتي را كه پشت پرده تمام ظواهر و حالات نهان است، «جوهر» يا «ذات» مي نامد. او در آثار متأخر خود «ذات» را با خدا و طبيعت يكي دانسته است. او براي طبيعت دو جنبه قائل شده است؛ يكي جنبه حيات يا روح نهاني يا نيروي انگيزه طبيعت كه آن را طبيعت خلاق </w:t>
      </w:r>
      <w:r w:rsidRPr="00075613">
        <w:rPr>
          <w:rFonts w:cs="B Zar"/>
        </w:rPr>
        <w:t>(Natura Naturance)</w:t>
      </w:r>
      <w:r w:rsidRPr="00075613">
        <w:rPr>
          <w:rFonts w:cs="B Zar" w:hint="cs"/>
          <w:rtl/>
        </w:rPr>
        <w:t xml:space="preserve"> و ديگر طبيعت مخلوق يا محصول انفعالي</w:t>
      </w:r>
      <w:r w:rsidRPr="00075613">
        <w:rPr>
          <w:rFonts w:cs="B Zar" w:hint="cs"/>
          <w:rtl/>
          <w:lang w:bidi="fa-IR"/>
        </w:rPr>
        <w:t>،</w:t>
      </w:r>
      <w:r w:rsidRPr="00075613">
        <w:rPr>
          <w:rFonts w:cs="B Zar" w:hint="cs"/>
          <w:rtl/>
        </w:rPr>
        <w:t xml:space="preserve"> كه آن را </w:t>
      </w:r>
      <w:r w:rsidRPr="00075613">
        <w:rPr>
          <w:rFonts w:cs="B Zar"/>
        </w:rPr>
        <w:t>(Natura Naturata)</w:t>
      </w:r>
      <w:r w:rsidRPr="00075613">
        <w:rPr>
          <w:rFonts w:cs="B Zar" w:hint="cs"/>
          <w:rtl/>
        </w:rPr>
        <w:t xml:space="preserve"> مي نامد. آنجا كه طبيعت را با خدا يكي مي داند، مقصود اسپينوزا همان جنبه حياتي و روح نهاني جهان و طبيعت است</w:t>
      </w:r>
      <w:r>
        <w:rPr>
          <w:rStyle w:val="FootnoteReference"/>
          <w:rFonts w:cs="B Zar"/>
          <w:sz w:val="28"/>
          <w:szCs w:val="28"/>
          <w:rtl/>
        </w:rPr>
        <w:footnoteReference w:id="512"/>
      </w:r>
      <w:r w:rsidRPr="00075613">
        <w:rPr>
          <w:rFonts w:cs="B Zar" w:hint="cs"/>
          <w:rtl/>
        </w:rPr>
        <w:t xml:space="preserve">. </w:t>
      </w:r>
    </w:p>
    <w:p w:rsidR="00075613" w:rsidRPr="00075613" w:rsidP="003C0EF5">
      <w:pPr>
        <w:widowControl w:val="0"/>
        <w:spacing w:line="420" w:lineRule="exact"/>
        <w:ind w:left="0" w:right="0"/>
        <w:jc w:val="both"/>
        <w:rPr>
          <w:rFonts w:cs="B Zar" w:hint="cs"/>
          <w:rtl/>
        </w:rPr>
      </w:pPr>
      <w:r w:rsidRPr="00075613">
        <w:rPr>
          <w:rFonts w:cs="B Zar" w:hint="cs"/>
          <w:rtl/>
        </w:rPr>
        <w:t>به هر حال، اين نگرش كه خدا را در «جهان» خلاصه مي كند، يك نگرش «تشبيهي» محض است، هيچ بعد تنزيهي را در نظر نمي گيرد. همچنان كه گفتيم اگر معرفي خداوند به عنوان يك ذات ماوراي جهاني يا تنزيه مطلق، محدود سازي حقيقت نامحدود است، در اين صورت معرفي او به عنوان يك «حقيقت جهاني»، يك محدود سازي بدتر است و اوپانيشاد هر دو نگرش را رد مي كند. نظريه «جهان خدائي» يا پانتيسم، «جهان» و «خدا» را متكي به همديگر مي دانند؛ همچنانكه ظرف و مظروف، و جسد و روح متكي به همديگر هستند، هر كدام نياز و احتياج به ديگري دارد. اينگونه نظريه ها، ذات واجب الوجود را قائم به غير و محتاج ذاتي قرار مي دهند. خدا كه صرفاً در جهان محدود است، تابع كون و فساد است، نه وراي كون و فساد؛ اوپانيشاد خدا را هم به صورت تنزيهي و هم به صورت تشبيهي مورد توجه قرار مي‌دهد. خداي اوپانيشاد نه خداي مجرد است و نه خداي ملموس، بلكه هر دو است. هم در طبيعت است، هم وراي طبيعت؛ هم انسان است، هم وراي انسان. چنان كه در كاتها  اوپانيشاد</w:t>
      </w:r>
      <w:r w:rsidRPr="00075613">
        <w:rPr>
          <w:rFonts w:cs="B Zar"/>
        </w:rPr>
        <w:t xml:space="preserve"> Katha Upanishad</w:t>
      </w:r>
      <w:r w:rsidRPr="00075613">
        <w:rPr>
          <w:rFonts w:cs="B Zar" w:hint="cs"/>
          <w:rtl/>
        </w:rPr>
        <w:t xml:space="preserve"> گفته شده است خدا را تنها با «ني‌تي ني‌تي» (چنين نيست، چنين نيست)، يا سلب صفات مي توان توصيف كرد نه با اثبات صفات. ذات «برهمان» ماوراي زمان و مكان قرار دارد. او ذات مطلق و وجود مجرد است كه ابتدا و انتها ندارد. نه زمان او را متغير مي سازد و نه مكان او را محدود. او مستقل بوده و هست</w:t>
      </w:r>
      <w:r>
        <w:rPr>
          <w:rStyle w:val="FootnoteReference"/>
          <w:rFonts w:cs="B Zar"/>
          <w:sz w:val="28"/>
          <w:szCs w:val="28"/>
          <w:rtl/>
        </w:rPr>
        <w:footnoteReference w:id="513"/>
      </w:r>
      <w:r w:rsidRPr="00075613">
        <w:rPr>
          <w:rFonts w:cs="B Zar" w:hint="cs"/>
          <w:rtl/>
        </w:rPr>
        <w:t xml:space="preserve">. او رب العالمين و خالق جهان است. او منشاء همه تحولات و تغييرات است، ولي هيچ تغييري در او حادث نمي شود. تانتاريا اوپانيشاد مي گويد: </w:t>
      </w:r>
      <w:r w:rsidRPr="00075613">
        <w:rPr>
          <w:rFonts w:cs="B Zar" w:hint="cs"/>
          <w:i/>
          <w:iCs/>
          <w:rtl/>
        </w:rPr>
        <w:t>«ذات برهمان ماوراي زمان و مكان است، متناهي و عدم متناهي، هرچه هست، اوست و او حقيقت مطلق است</w:t>
      </w:r>
      <w:r w:rsidRPr="00075613">
        <w:rPr>
          <w:rFonts w:cs="B Zar" w:hint="cs"/>
          <w:rtl/>
        </w:rPr>
        <w:t>»</w:t>
      </w:r>
      <w:r>
        <w:rPr>
          <w:rStyle w:val="FootnoteReference"/>
          <w:rFonts w:cs="B Zar"/>
          <w:sz w:val="28"/>
          <w:szCs w:val="28"/>
          <w:rtl/>
        </w:rPr>
        <w:footnoteReference w:id="514"/>
      </w:r>
      <w:r w:rsidRPr="00075613">
        <w:rPr>
          <w:rFonts w:cs="B Zar" w:hint="cs"/>
          <w:rtl/>
        </w:rPr>
        <w:t>. قطعات مختلف برهدارن ياكا و چاندوگيا اوپانيشاد كه قديمي‌ترين رسائل ودانتا هستند، به طور صريح اعلام مي‌دارند كه ذات برهمان در جهان كون و فساد خلاصه نمي شود، بلكه داراي دو بعد است؛ بعد تنزيهي و ماوراي جهاني و بعد تشبيهي يا جهاني. حتي ريگ ودا نيز مي‌گويد كه پوروش (خدا در بعد تشبيهي و تجسم جهاني)، يك سوم حقيقت جهاني را تشكيل مي دهد. معنايش آن است كه بعد تنزيهي واجب الوجود، به مراتب بيشتر از بعد تجسمي او است</w:t>
      </w:r>
      <w:r>
        <w:rPr>
          <w:rStyle w:val="FootnoteReference"/>
          <w:rFonts w:cs="B Zar"/>
          <w:sz w:val="28"/>
          <w:szCs w:val="28"/>
          <w:rtl/>
        </w:rPr>
        <w:footnoteReference w:id="515"/>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چاندوگيا اوپانيشاد</w:t>
      </w:r>
      <w:r w:rsidRPr="00075613">
        <w:rPr>
          <w:rFonts w:cs="B Zar"/>
        </w:rPr>
        <w:t xml:space="preserve"> Chandogya Upanishad</w:t>
      </w:r>
      <w:r w:rsidRPr="00075613">
        <w:rPr>
          <w:rFonts w:cs="B Zar" w:hint="cs"/>
          <w:rtl/>
        </w:rPr>
        <w:t xml:space="preserve"> نيز بر اين نكته تأكيد دارد. اوپانيشاد مي گويد جهان در خداست، ولي نمي گويد خدا جهان است. ميان اين دو بينش فلسفي فاصله زيادي وجود دارد. از اين رو، نگرش متافيزيكي اوپانيشاد را نمي توان «پانتيسم» ناميد، بلكه آن نظريه «مونيسم» است. آئين وحدت خدا و جهان، مانند آئين وحدت وجود و موجود است. ريشي هائي كه اوپانيشاد و گيتا را تدوين كرده اند، موحد و يكتانگر به معناي آن بوده‌اند كه باور داشتند ذات برهمان هم فراسوي جهان قرار دارد و هم در جهان. براي خدا جنبه تنزيهي و تشبيهي، هر دو را قائل بوده اند.</w:t>
      </w:r>
    </w:p>
    <w:p w:rsidR="00075613" w:rsidRPr="00075613" w:rsidP="003C0EF5">
      <w:pPr>
        <w:widowControl w:val="0"/>
        <w:spacing w:line="420" w:lineRule="exact"/>
        <w:ind w:left="0" w:right="0"/>
        <w:jc w:val="both"/>
        <w:rPr>
          <w:rFonts w:cs="B Zar" w:hint="cs"/>
          <w:b/>
          <w:bCs/>
          <w:rtl/>
        </w:rPr>
      </w:pPr>
      <w:r w:rsidRPr="00075613">
        <w:rPr>
          <w:rFonts w:cs="B Zar" w:hint="cs"/>
          <w:b/>
          <w:bCs/>
          <w:rtl/>
        </w:rPr>
        <w:t xml:space="preserve"> آئين «همه ـ خدائي» يا مونيسم:</w:t>
      </w:r>
    </w:p>
    <w:p w:rsidR="00075613" w:rsidRPr="00075613" w:rsidP="003C0EF5">
      <w:pPr>
        <w:widowControl w:val="0"/>
        <w:spacing w:line="420" w:lineRule="exact"/>
        <w:ind w:left="0" w:right="0"/>
        <w:jc w:val="both"/>
        <w:rPr>
          <w:rFonts w:cs="B Zar" w:hint="cs"/>
          <w:rtl/>
        </w:rPr>
      </w:pPr>
      <w:r w:rsidRPr="00075613">
        <w:rPr>
          <w:rFonts w:cs="B Zar" w:hint="cs"/>
          <w:rtl/>
        </w:rPr>
        <w:t xml:space="preserve">در مقابل پانتيسم و «جهان ـ خدائي»، يك نظريه ديگر وحدت الوجودي هم هست كه مي‌توان آن را «همه ـ خدائي» يا «مونيسم» ناميد. تقاوت همه ـ خدائي با جهان ـ خدائي آن است كه در آن بعد تنزيهي و «تشبيهي» خداوند به طور توأم مورد تاكيد قرار مي گيرد. خداوند يك ذات ماورائي و حقيت لاهوتي است كه فراسوي خلقت قرار دارد. اوست كه با اراده و دستور «كن»، كيهان را به وجود مي آورد. هيچ يك از آفريده ها، اين ذات «صمد» را ندارد، ولي در عين حال جهان و انسان تجليات او و در او غرقه هستند. در آئين پانتيسم يا جهان خدائي، خداوند جوهر حلولي جهان است ولي در آئين مونيسم يا همه خدائي او «جوهر كلي» است كه هم ماورائي است و هم در جهان است، هم «تنزيه» مي شود و هم «تشبيه». در مقابل «وحدت الشهود»، تفاوت اين نگرش اين است كه «وحدت الشهود»، معتقد به وحدت وجود و کثرت موجود است. «وجود» مطلق يكي است، ولي «موجودات» داراي کثرت‌اند؛ همچنان كه خورشيد يكي است، ولي داراي ميليونها اشعه. نورافكن يكي است ولي هزاران تصوير روي پرده قرار مي‌دهد كه از يكسو نه تنها در منشاء وجود، بلكه در خود وجود داراي وحدت هستند، ولي به عنوان موجودات، هم اصالت نسبي دارند و هم داراي کثرت هستند. فلاسفه اشراقي چنانكه اشاره كرديم، اين اصل را در مقولات استدلالي فلسفي بيان نموده و از طريق تشكيك به آن رسيده اند، ولي «وحدت الوجود» به معناي نظريه «مونيسم» يا «همه از اوست»، معتقد به وحدت وجود و موجود است. </w:t>
      </w:r>
    </w:p>
    <w:p w:rsidR="00075613" w:rsidRPr="00075613" w:rsidP="003C0EF5">
      <w:pPr>
        <w:widowControl w:val="0"/>
        <w:spacing w:line="420" w:lineRule="exact"/>
        <w:ind w:left="0" w:right="0"/>
        <w:jc w:val="both"/>
        <w:rPr>
          <w:rFonts w:cs="B Zar" w:hint="cs"/>
          <w:rtl/>
        </w:rPr>
      </w:pPr>
      <w:r w:rsidRPr="00075613">
        <w:rPr>
          <w:rFonts w:cs="B Zar" w:hint="cs"/>
          <w:rtl/>
        </w:rPr>
        <w:t>نظريه وحدت الوجود به معناي «همه ـ خدائي»، مشرب اكثر اهل عرفان در سراسر جهان است و نظريه اوپانيشاد و ودانتا نيز همين است. اين مشرب همچنانكه در اصل وجود قائل به کثرت نمي باشد، در موجودات نيز کثرت را يك امر اعتباري و موهوم تلقي مي كند. خداوند يك حقيقت واحد و در واقع يگانه حقيقت جهان است كه از حيث اطلاق از تعينات حق است و يك حقيقت تنزيهي است، «ليس كمثله شيء»، ولي وقتي خود را به طور ارادي و به خاطر تجلي كمالات و عنايات در مي‌آورد به و صورت خلق، در جهان و انسان تجلي مي‌‌نمايد. براي ديده بصيرت عارف، «حق» و «خلق»  دو روي يك سكه هستند. تفاوت و تبايني در كار نيست. اگر تبايني به نظر آيد، فريب نظر ماست. اول و آخر، ظاهر و باطن، هرچه هست او است؛ «هؤالاول و الاخر والظاهر و الباطن». علم ظاهر «حق» است و حق باطن عالم، انسان ظاهر حق است و حق (آتمان</w:t>
      </w:r>
      <w:r w:rsidRPr="00075613">
        <w:rPr>
          <w:rFonts w:cs="B Zar"/>
        </w:rPr>
        <w:t>Atman=</w:t>
      </w:r>
      <w:r w:rsidRPr="00075613">
        <w:rPr>
          <w:rFonts w:cs="B Zar" w:hint="cs"/>
          <w:rtl/>
        </w:rPr>
        <w:t xml:space="preserve">) باطن انسان. پيش از ظهور، جهان و انسان غرقه در حق بوده، پس از غياب، ظهور دوباره حق خواهد بود. قطره بودن آن نتيجه «فراق» پيش از جداشدن دريا بوده و پس از وصال به آن، دريا خواهد بود؛ قطره بودن آن نتيجه «فراق» و جدائي است. اين جدايي است كه «لامتناهي» را به صورت متناهي درآورده، وقتي جدايي از ميان برود، دوباره متناهي، لامتناهي خواهد گشت. «ني» جزو «نيستان» بوده تا وقتي كه «ببريده» نشده، تمام «تاب و تب، سوز و گداز، شكايت‌ها» و از جدائي‌ها «حكايت‌ها»، به خاطر اين فراق و دوري از اصل خويش است، ولي حتي در دوراني كه در اصل خويش است، باز از نظر ماهيت و ذات وجود خود جزئي از «نيستان» است و اگر نباشد هيچ است، ولي جالب آن است كه وجود هستي، شخصيت و هويت آن نيز از ارمغان‌ها و دستاوردهاي همين جدائي است. </w:t>
      </w:r>
    </w:p>
    <w:p w:rsidR="00075613" w:rsidRPr="00075613" w:rsidP="003C0EF5">
      <w:pPr>
        <w:widowControl w:val="0"/>
        <w:spacing w:line="420" w:lineRule="exact"/>
        <w:ind w:left="0" w:right="0"/>
        <w:jc w:val="both"/>
        <w:rPr>
          <w:rFonts w:cs="B Zar" w:hint="cs"/>
          <w:rtl/>
        </w:rPr>
      </w:pPr>
      <w:r w:rsidRPr="00075613">
        <w:rPr>
          <w:rFonts w:cs="B Zar" w:hint="cs"/>
          <w:rtl/>
        </w:rPr>
        <w:t>مشرب اكثر عرفاي اسلامي، به خصوص آنان كه پيشرو شيخ الاكبر، ابن عربي بوده‌اند، همين است. ابن عربي در تصانيف خود از جمله در «فتوحات المكيه» و «فصوص الحكم» اين ديدگاه را با رساترين و گوياترين نحوه بيان داشته است. ابن عربي معتقد است كه وجود بالذات منحصر به وجود واجب است. وجود ماسوي الله بالعرض است. وجود به معناي«مابه الموجود»، عين ذات حق است. تمام موجودات ديگر انتزاعي هستند. آنان نه تنها داراي وجود مستقلي نيستند، بلكه وجود نيز ندارند. اسماي الهي به صورت مظاهر کثرت درآمده‌اند و منشاء اين اسماء ‌ ذات حق است. «اعيان ثابته» با معلومات، در عين حق نيز غير مخلوق‌اند. «اعيان ثابته» ظهور بالقوه «اسماي الهي» هستند. موجودات يا «اعيان خارجي»، ناشي از تلاقي «اعيان ثابته» يا شكل اشياء و موجودات در علم الهي با قدرت الهي هستند. اسماء و صفات الهي از ذات او جدا هستند، همچنان «علم الهي» با «قدرت الهي» انفكاك ناپذير است. وقتي چنين است، علم و اراده اش مستلزم ايجاد «عين خارجي» است، «كن فيكون» همين است.</w:t>
      </w:r>
    </w:p>
    <w:p w:rsidR="00075613" w:rsidRPr="00075613" w:rsidP="003C0EF5">
      <w:pPr>
        <w:widowControl w:val="0"/>
        <w:spacing w:line="420" w:lineRule="exact"/>
        <w:ind w:left="0" w:right="0"/>
        <w:jc w:val="both"/>
        <w:rPr>
          <w:rFonts w:cs="B Zar" w:hint="cs"/>
          <w:rtl/>
        </w:rPr>
      </w:pPr>
      <w:r w:rsidRPr="00075613">
        <w:rPr>
          <w:rFonts w:cs="B Zar" w:hint="cs"/>
          <w:rtl/>
        </w:rPr>
        <w:t>در «فص آدميه» كه نخستين باب از «فصوص الحكم» است، ابن عربي جهان را به مثابه جسد تصور كرده است كه «تجلي اعظم» يا عنصر ملكوتي، روح آن است. در عالم هرچه هست مظاهر اسماي الهي است. صور مادي انعكاس «اعيان ثابته» در علم الهي اند. او اعيان ثابته را « فيض اقدس» و موجوديت بالخارج را «فيض مقدس» مي نامد. ذات حق از يكسو ذات منزه است. او  داراي وجوب ذاتي است كه بندگان و پديده ها از آن سهمي ندارند؛ از اين رو او «ورأ الورأ ثم الورأ» است و ممكن هيچگاه به سرحد تنزيه حق نرسد، ولي در مقابل خود خداوند براي انسان كامل گفته است: «كنت سمعه و بصره»؛ يعني: «من شنوائي و گويائي او مي گردم»؛ از اين جهت واجب و ممكن يكي است</w:t>
      </w:r>
      <w:r>
        <w:rPr>
          <w:rStyle w:val="FootnoteReference"/>
          <w:rFonts w:cs="B Zar"/>
          <w:sz w:val="28"/>
          <w:szCs w:val="28"/>
          <w:rtl/>
        </w:rPr>
        <w:footnoteReference w:id="516"/>
      </w:r>
      <w:r w:rsidRPr="00075613">
        <w:rPr>
          <w:rFonts w:cs="B Zar" w:hint="cs"/>
          <w:rtl/>
        </w:rPr>
        <w:t xml:space="preserve">. </w:t>
      </w:r>
    </w:p>
    <w:p w:rsidR="00075613" w:rsidRPr="00075613" w:rsidP="003C0EF5">
      <w:pPr>
        <w:widowControl w:val="0"/>
        <w:spacing w:line="420" w:lineRule="exact"/>
        <w:ind w:left="0" w:right="0"/>
        <w:jc w:val="both"/>
        <w:rPr>
          <w:rFonts w:cs="B Zar" w:hint="cs"/>
          <w:i/>
          <w:iCs/>
          <w:rtl/>
        </w:rPr>
      </w:pPr>
      <w:r w:rsidRPr="00075613">
        <w:rPr>
          <w:rFonts w:cs="B Zar" w:hint="cs"/>
          <w:rtl/>
        </w:rPr>
        <w:t>ساير عرفا و صوفيه كه پيرو مكتب ابن عربي بوده‌اند، مكتب وحدت الوجود را به اين معناي همه خدايي كه شامل يك بعد «تنزيهي» و «تشبيهي» مي‌باشد و معتقد به «وحدت» و موهوم بودن مظاهر كثرت است در قالب نثر و نظم بيان داشته‌اند. يكي از اينان، شاعر و اديب بزرگ زبان فارسي</w:t>
      </w:r>
      <w:r w:rsidRPr="00075613">
        <w:rPr>
          <w:rFonts w:cs="B Zar" w:hint="cs"/>
          <w:rtl/>
          <w:lang w:bidi="fa-IR"/>
        </w:rPr>
        <w:t>،</w:t>
      </w:r>
      <w:r w:rsidRPr="00075613">
        <w:rPr>
          <w:rFonts w:cs="B Zar" w:hint="cs"/>
          <w:rtl/>
        </w:rPr>
        <w:t xml:space="preserve"> نورالدين جامي است كه در آثار گوناگون خود مسئلة وحدت الوجود را شرح داده است. او مي گويد: </w:t>
      </w:r>
      <w:r w:rsidRPr="00075613">
        <w:rPr>
          <w:rFonts w:cs="B Zar" w:hint="cs"/>
          <w:i/>
          <w:iCs/>
          <w:rtl/>
        </w:rPr>
        <w:t>«آنچه موجود و مشهود است حقيقت وجود است، اما به اعتبار تلبس به احكام و آثار اعيان، نه از حيث تجرد از آنها؛ زيرا كه از اين حيث، بطون و خفاء از لوازم او است. پس في الحقيقه، حقيقت وجود همچنان بر حقيقت خود اوست، بر وحدت حقيقي خود است كه ازلاً بوده و ابداً خواهد بود. اما به نظر  اغيار به سبب احتجاب به صورت کثرت احكام و آثار مقيد و متعين در مي‌آيد و متعدد و متكثر مي‌نمايد»</w:t>
      </w:r>
      <w:r>
        <w:rPr>
          <w:rStyle w:val="FootnoteReference"/>
          <w:rFonts w:cs="B Zar"/>
          <w:sz w:val="28"/>
          <w:szCs w:val="28"/>
          <w:rtl/>
        </w:rPr>
        <w:footnoteReference w:id="517"/>
      </w:r>
      <w:r w:rsidRPr="00075613">
        <w:rPr>
          <w:rFonts w:cs="B Zar" w:hint="cs"/>
          <w:rtl/>
        </w:rPr>
        <w:t xml:space="preserve">. در جاي ديگر از كتاب «لوايح» مي گويد: </w:t>
      </w:r>
      <w:r w:rsidRPr="00075613">
        <w:rPr>
          <w:rFonts w:cs="B Zar" w:hint="cs"/>
          <w:i/>
          <w:iCs/>
          <w:rtl/>
        </w:rPr>
        <w:t>«حقيقت الحقائق كه ذات الهي است، تعالي شانه، حقيقت همة اشياء است. او في حد ذاته واحد است كه عدد را به او راه نيست؛ اما به اعتبار تجليات متكثره و تعنيات متعدده در مراتب تازه حقائق جوهريه متبوعه است و تارةً حقايق عرضيه تابعه، پس ذات واحد به واسطه تعدد جواهر و اعراض، متكثر مي‌نمايد و من حيث‌الحقيقه يكي است كه اصلاً متعدد و متكثر نيست».</w:t>
      </w:r>
    </w:p>
    <w:p w:rsidR="00075613" w:rsidRPr="00075613" w:rsidP="003C0EF5">
      <w:pPr>
        <w:widowControl w:val="0"/>
        <w:spacing w:line="420" w:lineRule="exact"/>
        <w:ind w:left="0" w:right="0"/>
        <w:jc w:val="both"/>
        <w:rPr>
          <w:rFonts w:cs="B Zar" w:hint="cs"/>
          <w:rtl/>
        </w:rPr>
      </w:pPr>
      <w:r w:rsidRPr="00075613">
        <w:rPr>
          <w:rFonts w:cs="B Zar" w:hint="cs"/>
          <w:rtl/>
        </w:rPr>
        <w:t xml:space="preserve">         اي بر سر حرف اين و آن نازده خط</w:t>
      </w:r>
      <w:r w:rsidR="00F336FB">
        <w:rPr>
          <w:rFonts w:cs="B Zar" w:hint="cs"/>
          <w:rtl/>
        </w:rPr>
        <w:t xml:space="preserve">  </w:t>
      </w:r>
      <w:r w:rsidRPr="00075613">
        <w:rPr>
          <w:rFonts w:cs="B Zar" w:hint="cs"/>
          <w:rtl/>
        </w:rPr>
        <w:t xml:space="preserve">  پندار دوئي دليل بعد است نه خط</w:t>
      </w:r>
    </w:p>
    <w:p w:rsidR="00075613" w:rsidRPr="00075613" w:rsidP="003C0EF5">
      <w:pPr>
        <w:widowControl w:val="0"/>
        <w:spacing w:line="420" w:lineRule="exact"/>
        <w:ind w:left="0" w:right="0"/>
        <w:jc w:val="both"/>
        <w:rPr>
          <w:rFonts w:cs="B Zar" w:hint="cs"/>
          <w:rtl/>
        </w:rPr>
      </w:pPr>
      <w:r w:rsidRPr="00075613">
        <w:rPr>
          <w:rFonts w:cs="B Zar" w:hint="cs"/>
          <w:rtl/>
        </w:rPr>
        <w:t xml:space="preserve">          در جملة كائنات بي سهو و غلط</w:t>
      </w:r>
      <w:r w:rsidR="00F336FB">
        <w:rPr>
          <w:rFonts w:cs="B Zar" w:hint="cs"/>
          <w:rtl/>
        </w:rPr>
        <w:t xml:space="preserve">  </w:t>
      </w:r>
      <w:r w:rsidRPr="00075613">
        <w:rPr>
          <w:rFonts w:cs="B Zar" w:hint="cs"/>
          <w:rtl/>
        </w:rPr>
        <w:t>يك عين محتسب دان يك ذات فقط</w:t>
      </w:r>
      <w:r>
        <w:rPr>
          <w:rStyle w:val="FootnoteReference"/>
          <w:rFonts w:cs="B Zar"/>
          <w:sz w:val="28"/>
          <w:szCs w:val="28"/>
          <w:rtl/>
        </w:rPr>
        <w:footnoteReference w:id="518"/>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در جاي ديگر مي‌گويد:</w:t>
      </w:r>
    </w:p>
    <w:p w:rsidR="00075613" w:rsidRPr="00075613" w:rsidP="003C0EF5">
      <w:pPr>
        <w:widowControl w:val="0"/>
        <w:spacing w:line="420" w:lineRule="exact"/>
        <w:ind w:left="0" w:right="0"/>
        <w:jc w:val="both"/>
        <w:rPr>
          <w:rFonts w:cs="B Zar" w:hint="cs"/>
          <w:rtl/>
        </w:rPr>
      </w:pPr>
      <w:r w:rsidR="006264A4">
        <w:rPr>
          <w:rFonts w:cs="B Zar" w:hint="cs"/>
          <w:rtl/>
        </w:rPr>
        <w:t xml:space="preserve">    </w:t>
      </w:r>
      <w:r w:rsidRPr="00075613">
        <w:rPr>
          <w:rFonts w:cs="B Zar" w:hint="cs"/>
          <w:rtl/>
        </w:rPr>
        <w:t>بر شكل بتان ره زن عشاق حق است</w:t>
      </w:r>
      <w:r w:rsidR="00F336FB">
        <w:rPr>
          <w:rFonts w:cs="B Zar" w:hint="cs"/>
          <w:rtl/>
        </w:rPr>
        <w:t xml:space="preserve">     </w:t>
      </w:r>
      <w:r w:rsidRPr="00075613">
        <w:rPr>
          <w:rFonts w:cs="B Zar" w:hint="cs"/>
          <w:rtl/>
        </w:rPr>
        <w:t>لابلكه عيان در همه آفاق حق است</w:t>
      </w:r>
    </w:p>
    <w:p w:rsidR="00075613" w:rsidRPr="00075613" w:rsidP="003C0EF5">
      <w:pPr>
        <w:widowControl w:val="0"/>
        <w:spacing w:line="420" w:lineRule="exact"/>
        <w:ind w:left="0" w:right="0"/>
        <w:jc w:val="both"/>
        <w:rPr>
          <w:rFonts w:cs="B Zar" w:hint="cs"/>
          <w:rtl/>
        </w:rPr>
      </w:pPr>
      <w:r w:rsidR="006264A4">
        <w:rPr>
          <w:rFonts w:cs="B Zar" w:hint="cs"/>
          <w:rtl/>
        </w:rPr>
        <w:t xml:space="preserve">    </w:t>
      </w:r>
      <w:r w:rsidRPr="00075613">
        <w:rPr>
          <w:rFonts w:cs="B Zar" w:hint="cs"/>
          <w:rtl/>
        </w:rPr>
        <w:t xml:space="preserve"> چيزي كه بود ز روي تقييد، جهان</w:t>
      </w:r>
      <w:r w:rsidR="00F336FB">
        <w:rPr>
          <w:rFonts w:cs="B Zar" w:hint="cs"/>
          <w:rtl/>
        </w:rPr>
        <w:t xml:space="preserve">       </w:t>
      </w:r>
      <w:r w:rsidRPr="00075613">
        <w:rPr>
          <w:rFonts w:cs="B Zar" w:hint="cs"/>
          <w:rtl/>
        </w:rPr>
        <w:t>والله كه همان ز روي اطلاق، حق است</w:t>
      </w:r>
    </w:p>
    <w:p w:rsidR="00075613" w:rsidRPr="00075613" w:rsidP="003C0EF5">
      <w:pPr>
        <w:widowControl w:val="0"/>
        <w:spacing w:line="420" w:lineRule="exact"/>
        <w:ind w:left="0" w:right="0"/>
        <w:jc w:val="both"/>
        <w:rPr>
          <w:rFonts w:cs="B Zar" w:hint="cs"/>
          <w:spacing w:val="-6"/>
          <w:rtl/>
        </w:rPr>
      </w:pPr>
      <w:r w:rsidR="006264A4">
        <w:rPr>
          <w:rFonts w:cs="B Zar" w:hint="cs"/>
          <w:rtl/>
        </w:rPr>
        <w:t xml:space="preserve">   </w:t>
      </w:r>
      <w:r w:rsidRPr="00075613">
        <w:rPr>
          <w:rFonts w:cs="B Zar" w:hint="cs"/>
          <w:rtl/>
        </w:rPr>
        <w:t>چون حق به تفاصيل شئون گشت عشق</w:t>
      </w:r>
      <w:r w:rsidRPr="00075613">
        <w:rPr>
          <w:rFonts w:cs="B Zar" w:hint="cs"/>
          <w:spacing w:val="-6"/>
          <w:rtl/>
        </w:rPr>
        <w:tab/>
        <w:t>مشهود شد اين عالم پر سود و زيان</w:t>
      </w:r>
    </w:p>
    <w:p w:rsidR="00075613" w:rsidRPr="00075613" w:rsidP="003C0EF5">
      <w:pPr>
        <w:widowControl w:val="0"/>
        <w:spacing w:line="420" w:lineRule="exact"/>
        <w:ind w:left="0" w:right="0"/>
        <w:jc w:val="both"/>
        <w:rPr>
          <w:rFonts w:cs="B Zar" w:hint="cs"/>
          <w:spacing w:val="20"/>
          <w:rtl/>
        </w:rPr>
      </w:pPr>
      <w:r w:rsidRPr="00075613">
        <w:rPr>
          <w:rFonts w:cs="B Zar" w:hint="cs"/>
          <w:spacing w:val="20"/>
          <w:rtl/>
        </w:rPr>
        <w:t xml:space="preserve"> گر باز روند عالم و عالميان</w:t>
      </w:r>
      <w:r w:rsidR="00F336FB">
        <w:rPr>
          <w:rFonts w:cs="B Zar" w:hint="cs"/>
          <w:spacing w:val="20"/>
          <w:rtl/>
        </w:rPr>
        <w:t xml:space="preserve">    </w:t>
      </w:r>
      <w:r w:rsidRPr="00075613">
        <w:rPr>
          <w:rFonts w:cs="B Zar" w:hint="cs"/>
          <w:spacing w:val="20"/>
          <w:rtl/>
        </w:rPr>
        <w:t>با رتبة اجمال حق آيد به ميان</w:t>
      </w:r>
    </w:p>
    <w:p w:rsidR="00075613" w:rsidRPr="00075613" w:rsidP="003C0EF5">
      <w:pPr>
        <w:widowControl w:val="0"/>
        <w:spacing w:line="420" w:lineRule="exact"/>
        <w:ind w:left="0" w:right="0"/>
        <w:jc w:val="both"/>
        <w:rPr>
          <w:rFonts w:cs="B Zar" w:hint="cs"/>
          <w:rtl/>
        </w:rPr>
      </w:pPr>
      <w:r w:rsidRPr="00075613">
        <w:rPr>
          <w:rFonts w:cs="B Zar" w:hint="cs"/>
          <w:rtl/>
        </w:rPr>
        <w:t>بدينسان جامي به صراحت نظريه وحدت وجود و موجود را بيان  داشته است. آنچه در همة جهان عيان است، تجليات، بلكه ذات حق تعالي است. وقتي ذات منزه خود را در محدوده تشبيه و تقييد درمي‌آورد، جهان و انسان ظهور مي‌كند و هنگامي كه اين قيود برداشته مي‌شوند، دوباره حق (به اصطلاح اوپانيشاد، برهمان) ظاهر مي گردد و همة وجود به او بر مي‌گردد. اين نگرش چنانچه ملاحظه مي شود، هرگونه کثرت و دو گانگي را موهوم به شمار مي آورد. شيخ محمود شبستري، شاعر عارف ديگر ايراني نيز همين نگرش را در اشعار نغز خود منعكس ساخته است. او مي گويد:</w:t>
      </w:r>
    </w:p>
    <w:tbl>
      <w:tblPr>
        <w:tblStyle w:val="TableNormal"/>
        <w:bidiVisual/>
        <w:tblW w:w="0" w:type="auto"/>
        <w:jc w:val="center"/>
        <w:tblInd w:w="932" w:type="dxa"/>
        <w:tblLook w:val="0000"/>
      </w:tblPr>
      <w:tblGrid>
        <w:gridCol w:w="2614"/>
        <w:gridCol w:w="235"/>
        <w:gridCol w:w="2672"/>
      </w:tblGrid>
      <w:tr>
        <w:tblPrEx>
          <w:tblW w:w="0" w:type="auto"/>
          <w:jc w:val="center"/>
          <w:tblInd w:w="932" w:type="dxa"/>
          <w:tblLook w:val="0000"/>
        </w:tblPrEx>
        <w:trPr>
          <w:jc w:val="center"/>
        </w:trPr>
        <w:tc>
          <w:tcPr>
            <w:tcW w:w="3240" w:type="dxa"/>
          </w:tcPr>
          <w:p w:rsidR="00075613" w:rsidRPr="00075613" w:rsidP="003C0EF5">
            <w:pPr>
              <w:widowControl w:val="0"/>
              <w:spacing w:line="420" w:lineRule="exact"/>
              <w:ind w:left="0" w:right="0"/>
              <w:jc w:val="both"/>
              <w:rPr>
                <w:rFonts w:cs="B Zar"/>
              </w:rPr>
            </w:pPr>
            <w:r w:rsidRPr="00075613">
              <w:rPr>
                <w:rFonts w:cs="B Zar" w:hint="cs"/>
                <w:spacing w:val="-14"/>
                <w:rtl/>
              </w:rPr>
              <w:t>وجود اندر كمال خويش ساري است</w:t>
            </w:r>
            <w:r w:rsidRPr="00075613">
              <w:rPr>
                <w:rFonts w:cs="B Zar"/>
                <w:rtl/>
              </w:rPr>
              <w:br/>
            </w:r>
            <w:r w:rsidRPr="00075613">
              <w:rPr>
                <w:rFonts w:cs="B Zar" w:hint="cs"/>
                <w:rtl/>
              </w:rPr>
              <w:t>من و تو عارض ذات وجوديم</w:t>
            </w:r>
            <w:r w:rsidRPr="00075613">
              <w:rPr>
                <w:rFonts w:cs="B Zar"/>
                <w:rtl/>
              </w:rPr>
              <w:br/>
            </w:r>
            <w:r w:rsidRPr="00075613">
              <w:rPr>
                <w:rFonts w:cs="B Zar" w:hint="cs"/>
                <w:rtl/>
              </w:rPr>
              <w:t>ندائي آمد از كنج خرابات</w:t>
            </w:r>
            <w:r w:rsidRPr="00075613">
              <w:rPr>
                <w:rFonts w:cs="B Zar"/>
                <w:rtl/>
              </w:rPr>
              <w:br/>
            </w:r>
          </w:p>
        </w:tc>
        <w:tc>
          <w:tcPr>
            <w:tcW w:w="240" w:type="dxa"/>
          </w:tcPr>
          <w:p w:rsidR="00075613" w:rsidRPr="00075613" w:rsidP="003C0EF5">
            <w:pPr>
              <w:widowControl w:val="0"/>
              <w:spacing w:line="420" w:lineRule="exact"/>
              <w:ind w:left="0" w:right="0"/>
              <w:jc w:val="both"/>
              <w:rPr>
                <w:rFonts w:cs="B Zar" w:hint="cs"/>
                <w:sz w:val="28"/>
                <w:szCs w:val="28"/>
              </w:rPr>
            </w:pPr>
          </w:p>
        </w:tc>
        <w:tc>
          <w:tcPr>
            <w:tcW w:w="3240" w:type="dxa"/>
          </w:tcPr>
          <w:p w:rsidR="00075613" w:rsidRPr="00075613" w:rsidP="003C0EF5">
            <w:pPr>
              <w:widowControl w:val="0"/>
              <w:spacing w:line="420" w:lineRule="exact"/>
              <w:ind w:left="0" w:right="0"/>
              <w:jc w:val="both"/>
              <w:rPr>
                <w:rFonts w:cs="B Zar" w:hint="cs"/>
              </w:rPr>
            </w:pPr>
            <w:r w:rsidRPr="00075613">
              <w:rPr>
                <w:rFonts w:cs="B Zar" w:hint="cs"/>
                <w:rtl/>
              </w:rPr>
              <w:t>تعيّن‌ها امور اعتباري است</w:t>
            </w:r>
            <w:r w:rsidRPr="00075613">
              <w:rPr>
                <w:rFonts w:cs="B Zar"/>
                <w:rtl/>
              </w:rPr>
              <w:br/>
            </w:r>
            <w:r w:rsidRPr="00075613">
              <w:rPr>
                <w:rFonts w:cs="B Zar" w:hint="cs"/>
                <w:rtl/>
              </w:rPr>
              <w:t>مشبك‌هاي مرآت شهوديم</w:t>
            </w:r>
            <w:r w:rsidRPr="00075613">
              <w:rPr>
                <w:rFonts w:cs="B Zar"/>
                <w:rtl/>
              </w:rPr>
              <w:br/>
            </w:r>
            <w:r w:rsidRPr="00075613">
              <w:rPr>
                <w:rFonts w:cs="B Zar" w:hint="cs"/>
                <w:rtl/>
              </w:rPr>
              <w:t>كه التوحيد اسقاط الاضافات</w:t>
            </w:r>
            <w:r w:rsidRPr="00075613">
              <w:rPr>
                <w:rFonts w:cs="B Zar"/>
                <w:rtl/>
              </w:rPr>
              <w:br/>
            </w:r>
          </w:p>
        </w:tc>
      </w:tr>
    </w:tbl>
    <w:p w:rsidR="00075613" w:rsidRPr="00075613" w:rsidP="003C0EF5">
      <w:pPr>
        <w:widowControl w:val="0"/>
        <w:spacing w:line="420" w:lineRule="exact"/>
        <w:ind w:left="0" w:right="0"/>
        <w:jc w:val="both"/>
        <w:rPr>
          <w:rFonts w:cs="B Zar" w:hint="cs"/>
          <w:rtl/>
        </w:rPr>
      </w:pPr>
      <w:r w:rsidRPr="00075613">
        <w:rPr>
          <w:rFonts w:cs="B Zar" w:hint="cs"/>
          <w:rtl/>
        </w:rPr>
        <w:t>نظريه وحدت الوجود را ساده تر از اين نمي‌توان گفت، ولي از همه فصيح تر و گوياتر اين نظريه را جلال الدين رومي، بزرگترين سخنگوي عرفان شرق، در مثنوي خود بيان داشته است. رومي براي بيان فلسفه وحدت الوجود، پيراية تمثيل و داستان گوئي را برگزيده است. مي گويد:</w:t>
      </w:r>
    </w:p>
    <w:tbl>
      <w:tblPr>
        <w:tblStyle w:val="TableNormal"/>
        <w:bidiVisual/>
        <w:tblW w:w="0" w:type="auto"/>
        <w:jc w:val="center"/>
        <w:tblInd w:w="585" w:type="dxa"/>
        <w:tblLook w:val="0000"/>
      </w:tblPr>
      <w:tblGrid>
        <w:gridCol w:w="3000"/>
        <w:gridCol w:w="239"/>
        <w:gridCol w:w="2629"/>
      </w:tblGrid>
      <w:tr>
        <w:tblPrEx>
          <w:tblW w:w="0" w:type="auto"/>
          <w:jc w:val="center"/>
          <w:tblInd w:w="585" w:type="dxa"/>
          <w:tblLook w:val="0000"/>
        </w:tblPrEx>
        <w:trPr>
          <w:jc w:val="center"/>
        </w:trPr>
        <w:tc>
          <w:tcPr>
            <w:tcW w:w="3000" w:type="dxa"/>
          </w:tcPr>
          <w:p w:rsidR="00075613" w:rsidRPr="00075613" w:rsidP="003C0EF5">
            <w:pPr>
              <w:widowControl w:val="0"/>
              <w:spacing w:line="420" w:lineRule="exact"/>
              <w:ind w:left="0" w:right="0"/>
              <w:jc w:val="both"/>
              <w:rPr>
                <w:rFonts w:cs="B Zar"/>
              </w:rPr>
            </w:pPr>
            <w:r w:rsidRPr="00075613">
              <w:rPr>
                <w:rFonts w:cs="B Zar" w:hint="cs"/>
                <w:rtl/>
              </w:rPr>
              <w:t>چون كه بي رنگي اسير رنگ شد</w:t>
            </w:r>
            <w:r w:rsidRPr="00075613">
              <w:rPr>
                <w:rFonts w:cs="B Zar"/>
                <w:rtl/>
              </w:rPr>
              <w:br/>
            </w:r>
            <w:r w:rsidRPr="00075613">
              <w:rPr>
                <w:rFonts w:cs="B Zar" w:hint="cs"/>
                <w:rtl/>
              </w:rPr>
              <w:t>چون كه اين رنگ از ميان برداشتي</w:t>
            </w:r>
            <w:r w:rsidRPr="00075613">
              <w:rPr>
                <w:rFonts w:cs="B Zar"/>
                <w:rtl/>
              </w:rPr>
              <w:br/>
            </w:r>
          </w:p>
        </w:tc>
        <w:tc>
          <w:tcPr>
            <w:tcW w:w="239" w:type="dxa"/>
          </w:tcPr>
          <w:p w:rsidR="00075613" w:rsidRPr="00075613" w:rsidP="003C0EF5">
            <w:pPr>
              <w:widowControl w:val="0"/>
              <w:spacing w:line="420" w:lineRule="exact"/>
              <w:ind w:left="0" w:right="0"/>
              <w:jc w:val="both"/>
              <w:rPr>
                <w:rFonts w:cs="B Zar" w:hint="cs"/>
                <w:sz w:val="28"/>
                <w:szCs w:val="28"/>
              </w:rPr>
            </w:pPr>
          </w:p>
        </w:tc>
        <w:tc>
          <w:tcPr>
            <w:tcW w:w="2629" w:type="dxa"/>
          </w:tcPr>
          <w:p w:rsidR="00075613" w:rsidRPr="00075613" w:rsidP="003C0EF5">
            <w:pPr>
              <w:widowControl w:val="0"/>
              <w:spacing w:line="420" w:lineRule="exact"/>
              <w:ind w:left="0" w:right="0"/>
              <w:jc w:val="both"/>
              <w:rPr>
                <w:rFonts w:cs="B Zar" w:hint="cs"/>
              </w:rPr>
            </w:pPr>
            <w:r w:rsidRPr="00075613">
              <w:rPr>
                <w:rFonts w:cs="B Zar" w:hint="cs"/>
                <w:rtl/>
              </w:rPr>
              <w:t>موسئي با موسئي در جنگ شد</w:t>
            </w:r>
            <w:r w:rsidRPr="00075613">
              <w:rPr>
                <w:rFonts w:cs="B Zar"/>
                <w:rtl/>
              </w:rPr>
              <w:br/>
            </w:r>
            <w:r w:rsidRPr="00075613">
              <w:rPr>
                <w:rFonts w:cs="B Zar" w:hint="cs"/>
                <w:rtl/>
              </w:rPr>
              <w:t>موسي و فرعون كردند آشتي</w:t>
            </w:r>
            <w:r w:rsidRPr="00075613">
              <w:rPr>
                <w:rFonts w:cs="B Zar"/>
                <w:rtl/>
              </w:rPr>
              <w:br/>
            </w:r>
          </w:p>
        </w:tc>
      </w:tr>
    </w:tbl>
    <w:p w:rsidR="00075613" w:rsidRPr="00075613" w:rsidP="003C0EF5">
      <w:pPr>
        <w:widowControl w:val="0"/>
        <w:spacing w:line="420" w:lineRule="exact"/>
        <w:ind w:left="0" w:right="0"/>
        <w:jc w:val="both"/>
        <w:rPr>
          <w:rFonts w:cs="B Zar" w:hint="cs"/>
          <w:rtl/>
        </w:rPr>
      </w:pPr>
      <w:r w:rsidRPr="00075613">
        <w:rPr>
          <w:rFonts w:cs="B Zar" w:hint="cs"/>
          <w:rtl/>
        </w:rPr>
        <w:t>خواجه حافظ شيرازي نظريه وحدت الوجود را در قالب غزل و استعاره چنان گفته است:</w:t>
      </w:r>
    </w:p>
    <w:p w:rsidR="00075613" w:rsidRPr="00075613" w:rsidP="003C0EF5">
      <w:pPr>
        <w:widowControl w:val="0"/>
        <w:spacing w:line="420" w:lineRule="exact"/>
        <w:ind w:left="0" w:right="0"/>
        <w:jc w:val="center"/>
        <w:rPr>
          <w:rFonts w:cs="B Zar" w:hint="cs"/>
          <w:rtl/>
        </w:rPr>
      </w:pPr>
      <w:r w:rsidRPr="00075613">
        <w:rPr>
          <w:rFonts w:cs="B Zar" w:hint="cs"/>
          <w:rtl/>
        </w:rPr>
        <w:t>اين همه عكس مي و نقش مخالف كه نمود</w:t>
      </w:r>
    </w:p>
    <w:p w:rsidR="00075613" w:rsidRPr="00075613" w:rsidP="003C0EF5">
      <w:pPr>
        <w:widowControl w:val="0"/>
        <w:spacing w:line="420" w:lineRule="exact"/>
        <w:ind w:left="0" w:right="0"/>
        <w:jc w:val="center"/>
        <w:rPr>
          <w:rFonts w:cs="B Zar" w:hint="cs"/>
          <w:rtl/>
        </w:rPr>
      </w:pPr>
      <w:r w:rsidRPr="00075613">
        <w:rPr>
          <w:rFonts w:cs="B Zar" w:hint="cs"/>
          <w:rtl/>
        </w:rPr>
        <w:t>يك فروغ رخ ساقي است كه در جام افتاد</w:t>
      </w:r>
    </w:p>
    <w:p w:rsidR="00075613" w:rsidRPr="00075613" w:rsidP="003C0EF5">
      <w:pPr>
        <w:widowControl w:val="0"/>
        <w:spacing w:line="420" w:lineRule="exact"/>
        <w:ind w:left="0" w:right="0"/>
        <w:jc w:val="both"/>
        <w:rPr>
          <w:rFonts w:cs="B Zar" w:hint="cs"/>
          <w:rtl/>
        </w:rPr>
      </w:pPr>
      <w:r w:rsidRPr="00075613">
        <w:rPr>
          <w:rFonts w:cs="B Zar" w:hint="cs"/>
          <w:rtl/>
        </w:rPr>
        <w:t>بدينسان مي‌بينيم كه اكثريت جريانهاي اصلي عرفان اسلامي نيز معتقد به نظريه وحدت‌الوجود به معناي «وحدت وجود و موجود» مي باشند. در حاليكه يك جريان اقليتي (نقشبنديه به خصوص شاخة آنان در هند كه خواجه باقي الله آنرا پايه گذاري كرد) و نيز حكيمان اسلامي از جمله سهروردي و صدرا، معتقد به وحدت الشهود به معناي وحدت وجود و کثرت موجود  يا نظريه «ظلي» و يا «نوري» بوده اند. عرفاي متشرعه‌اي نظير خواجه باقي‌الله سرهندي براي رد نظريه وحدت الوجود دلائل كلامي و يا اشراقي را پيش گرفته و معتقدند كه اعتقاد به ظهور حقيقت نهائي در موجودات، نوعي نظريه «حلول» است و «واجب» و ممكن نمي توانند چنين رابطه‌اي داشته باشند. در عين حال آنان «موجودات» و جهان را «وهم» و «گمان» و فريب مطلق نمي‌دانند، بلكه براي آن اصالت نسبي قائلند؛ چرا كه طبق برداشت آنان، قرآن كريم و مآخذ اسلامي، اين ديدگاه را عرضه مي‌كنند. اين ديدگاه را به طور مفصل شيخ احمد سرهندي و شاه ولي‌الله، دو تن از بزرگان نقشبندي كه از متعصب‌ترين، در عین حال  بانفوذترين و معروف ترين علما و نگرش آفرينان اهل سنت در شبه قاره هند محسوب مي‌شوند، ارائه داده‌اند. حكيمان و فلاسفه نيز مكتب وحدت الوجود را رد كرده‌اند؛ چرا كه فلسفه مبتني بر فرض، يك نوع کثرت و دوگانگي است. يك فيلسوف و حكيم، لااقل مي بايستي ميان «عالم» و «معلوم»، نوعي دوگانگي و کثرت قائل شود، تا بتواند پژوهش هاي خود را بانجام برساند</w:t>
      </w:r>
      <w:r>
        <w:rPr>
          <w:rStyle w:val="FootnoteReference"/>
          <w:rFonts w:cs="B Zar"/>
          <w:sz w:val="28"/>
          <w:szCs w:val="28"/>
          <w:rtl/>
        </w:rPr>
        <w:footnoteReference w:id="519"/>
      </w:r>
      <w:r w:rsidRPr="00075613">
        <w:rPr>
          <w:rFonts w:cs="B Zar" w:hint="cs"/>
          <w:rtl/>
        </w:rPr>
        <w:t xml:space="preserve">. </w:t>
      </w:r>
    </w:p>
    <w:p w:rsidR="00075613" w:rsidRPr="00075613" w:rsidP="003C0EF5">
      <w:pPr>
        <w:widowControl w:val="0"/>
        <w:spacing w:line="420" w:lineRule="exact"/>
        <w:ind w:left="0" w:right="0"/>
        <w:jc w:val="both"/>
        <w:rPr>
          <w:rFonts w:cs="B Zar" w:hint="cs"/>
          <w:rtl/>
        </w:rPr>
      </w:pPr>
      <w:r w:rsidRPr="00075613">
        <w:rPr>
          <w:rFonts w:cs="B Zar" w:hint="cs"/>
          <w:rtl/>
        </w:rPr>
        <w:t>ودانتا، نخستين مكتب عرفاني ـ فلسفي در جهان است كه بر پايه نظريه «وحدت الوجود» به معناي «همه اوستي» بنا نهاده شده است. البته چنانچه مادر مدخل اين بخش گفتيم رسائل اوپانيشاد كه در يك دوره نسبتاً درازي به وسيله دهها تن از حكيمان آريائي تدوين گرديده‌اند، داراي يك ديد منسجم و يكنواخت نيستند. از برخي اظهارات راجع به رابطه «برهمان» و «جهان» چنين به نظر مي‌رسد كه اوپانيشاد نظريه وحدت الشهود يا نظريه ظلي و وحدت وجود و کثرت موجود را پذيرفته است؛ در حاليكه اظهارات فراواني در سائر رسائل اوپانيشاد، به خصوص در برهدارن ياكا، چاندوگيا و مندك اوپانيشاد، ديده مي شود كه اين گمان را پيش مي آورد كه اوپانيشاد، پانتيسم يا «جهان ـ خدائي» را ترويج مي كند و ذات برهمان را در پديده هاي كيهاني منعكس مي بيند. اين اغتشاش فكري ناشي از آن است كه اوپانيشاد يك نظريه سلسله مراتبي را راجع به درجات وجود مطلق پيش گرفته است.</w:t>
      </w:r>
    </w:p>
    <w:p w:rsidR="00075613" w:rsidRPr="00075613" w:rsidP="003C0EF5">
      <w:pPr>
        <w:widowControl w:val="0"/>
        <w:spacing w:line="420" w:lineRule="exact"/>
        <w:ind w:left="0" w:right="0"/>
        <w:jc w:val="both"/>
        <w:rPr>
          <w:rFonts w:cs="B Zar" w:hint="cs"/>
          <w:rtl/>
        </w:rPr>
      </w:pPr>
      <w:r w:rsidRPr="00075613">
        <w:rPr>
          <w:rFonts w:cs="B Zar" w:hint="cs"/>
          <w:rtl/>
        </w:rPr>
        <w:t>برحسب ديدگاه اوپانيشاد، حقيقت الوهي يك حقيقت ذومراتب است. ذات خداوند، مراتب يا بعد رخساره هاي مختلف دارد. از اوپانيشاد چهار بعد و رخسارة حقيقت الهي استنباط مي‌شوند:</w:t>
      </w:r>
    </w:p>
    <w:p w:rsidR="00075613" w:rsidRPr="00075613" w:rsidP="003C0EF5">
      <w:pPr>
        <w:widowControl w:val="0"/>
        <w:spacing w:line="420" w:lineRule="exact"/>
        <w:ind w:left="0" w:right="0"/>
        <w:jc w:val="both"/>
        <w:rPr>
          <w:rFonts w:cs="B Zar" w:hint="cs"/>
          <w:rtl/>
        </w:rPr>
      </w:pPr>
      <w:r w:rsidRPr="00075613">
        <w:rPr>
          <w:rFonts w:cs="B Zar" w:hint="cs"/>
          <w:rtl/>
        </w:rPr>
        <w:t>الف) تيرگون برهمان: ذات الهي در بعد تنزيهي و تشبيهي، هر دو به عنوان يك حقيقت دربرگيرنده وجود و منشاء اكمال مطلق؛</w:t>
      </w:r>
    </w:p>
    <w:p w:rsidR="00075613" w:rsidRPr="00075613" w:rsidP="003C0EF5">
      <w:pPr>
        <w:widowControl w:val="0"/>
        <w:spacing w:line="420" w:lineRule="exact"/>
        <w:ind w:left="0" w:right="0"/>
        <w:jc w:val="both"/>
        <w:rPr>
          <w:rFonts w:cs="B Zar" w:hint="cs"/>
          <w:rtl/>
        </w:rPr>
      </w:pPr>
      <w:r w:rsidRPr="00075613">
        <w:rPr>
          <w:rFonts w:cs="B Zar" w:hint="cs"/>
          <w:rtl/>
        </w:rPr>
        <w:t>ب) سگون برهمان: ذات الهي در بعد تنزيهي فقط به عنوان يك ذات؛</w:t>
      </w:r>
    </w:p>
    <w:p w:rsidR="00075613" w:rsidRPr="00075613" w:rsidP="003C0EF5">
      <w:pPr>
        <w:widowControl w:val="0"/>
        <w:spacing w:line="420" w:lineRule="exact"/>
        <w:ind w:left="0" w:right="0"/>
        <w:jc w:val="both"/>
        <w:rPr>
          <w:rFonts w:cs="B Zar" w:hint="cs"/>
          <w:rtl/>
        </w:rPr>
      </w:pPr>
      <w:r w:rsidRPr="00075613">
        <w:rPr>
          <w:rFonts w:cs="B Zar" w:hint="cs"/>
          <w:rtl/>
        </w:rPr>
        <w:t>ج) هيران گاربها يا پوروش: ذات الهي در بعد تشريهي به عنوان روح كلي جهان و خميرة خلقت جهان؛</w:t>
      </w:r>
    </w:p>
    <w:p w:rsidR="00075613" w:rsidRPr="00075613" w:rsidP="003C0EF5">
      <w:pPr>
        <w:widowControl w:val="0"/>
        <w:spacing w:line="420" w:lineRule="exact"/>
        <w:ind w:left="0" w:right="0"/>
        <w:jc w:val="both"/>
        <w:rPr>
          <w:rFonts w:cs="B Zar" w:hint="cs"/>
          <w:rtl/>
        </w:rPr>
      </w:pPr>
      <w:r w:rsidRPr="00075613">
        <w:rPr>
          <w:rFonts w:cs="B Zar" w:hint="cs"/>
          <w:rtl/>
        </w:rPr>
        <w:t>د) آتمان: ذات الهي در بعد تشبيهي فقط به عنوان روح نهاني انسان يا عنصر ملكوتي ازلي و ابدي در آدمي.</w:t>
      </w:r>
    </w:p>
    <w:p w:rsidR="00075613" w:rsidRPr="00075613" w:rsidP="003C0EF5">
      <w:pPr>
        <w:widowControl w:val="0"/>
        <w:spacing w:line="420" w:lineRule="exact"/>
        <w:ind w:left="0" w:right="0"/>
        <w:jc w:val="both"/>
        <w:rPr>
          <w:rFonts w:cs="B Zar" w:hint="cs"/>
          <w:rtl/>
        </w:rPr>
      </w:pPr>
      <w:r w:rsidRPr="00075613">
        <w:rPr>
          <w:rFonts w:cs="B Zar" w:hint="cs"/>
          <w:rtl/>
        </w:rPr>
        <w:t>در معارف اسلامي اين ابعاد و رخساره هاي ذات واجب، «اسماء و صفات» ناميده مي‌شوند. خداوند صمد، به عنوان ذات «الله» است؛ به عنوان رابطه با جهان «نورالسموات والارض»، و جوهر وجود انسان نفخة الهي است.</w:t>
      </w:r>
    </w:p>
    <w:p w:rsidR="00075613" w:rsidRPr="00075613" w:rsidP="003C0EF5">
      <w:pPr>
        <w:widowControl w:val="0"/>
        <w:spacing w:line="420" w:lineRule="exact"/>
        <w:ind w:left="0" w:right="0"/>
        <w:jc w:val="both"/>
        <w:rPr>
          <w:rFonts w:cs="B Zar"/>
          <w:rtl/>
        </w:rPr>
      </w:pPr>
      <w:r w:rsidRPr="00075613">
        <w:rPr>
          <w:rFonts w:cs="B Zar" w:hint="cs"/>
          <w:rtl/>
        </w:rPr>
        <w:t>همين حقيقت را عرفاي سه هزار سال پيش كه چه بسا با تعاليم برخي از انبياء الهي قبلاً برخوردار شده و اين فلسفة الهي را از آنان ياد گرفته بودند، در تعبيرات زمخت و بدسليقه‌تر و معاني ساده و گاه ناشيانة خويش، به عنوان برهمان، ايشور، هيران گاربها و آتمان، بيان داشته‌اند.</w:t>
      </w:r>
    </w:p>
    <w:p w:rsidR="002146DE" w:rsidP="003C0EF5">
      <w:pPr>
        <w:widowControl w:val="0"/>
        <w:spacing w:line="420" w:lineRule="exact"/>
        <w:ind w:left="0" w:right="0"/>
        <w:jc w:val="center"/>
        <w:rPr>
          <w:rFonts w:cs="B Zar" w:hint="cs"/>
          <w:b/>
          <w:bCs/>
          <w:sz w:val="28"/>
          <w:szCs w:val="28"/>
          <w:rtl/>
        </w:rPr>
      </w:pPr>
    </w:p>
    <w:p w:rsidR="00075613" w:rsidRPr="00075613" w:rsidP="003C0EF5">
      <w:pPr>
        <w:widowControl w:val="0"/>
        <w:spacing w:line="420" w:lineRule="exact"/>
        <w:ind w:left="0" w:right="0"/>
        <w:jc w:val="center"/>
        <w:rPr>
          <w:rFonts w:cs="B Zar" w:hint="cs"/>
          <w:b/>
          <w:bCs/>
          <w:sz w:val="28"/>
          <w:szCs w:val="28"/>
          <w:rtl/>
        </w:rPr>
      </w:pPr>
      <w:r w:rsidR="001F6F99">
        <w:rPr>
          <w:rFonts w:cs="B Zar" w:hint="cs"/>
          <w:b/>
          <w:bCs/>
          <w:sz w:val="28"/>
          <w:szCs w:val="28"/>
          <w:rtl/>
        </w:rPr>
        <w:t xml:space="preserve"> </w:t>
      </w:r>
    </w:p>
    <w:p w:rsidR="00075613" w:rsidRPr="00075613" w:rsidP="003C0EF5">
      <w:pPr>
        <w:widowControl w:val="0"/>
        <w:spacing w:line="420" w:lineRule="exact"/>
        <w:ind w:left="0" w:right="0"/>
        <w:jc w:val="center"/>
        <w:rPr>
          <w:rFonts w:cs="B Zar" w:hint="cs"/>
          <w:b/>
          <w:bCs/>
          <w:sz w:val="28"/>
          <w:szCs w:val="28"/>
          <w:rtl/>
        </w:rPr>
      </w:pPr>
      <w:r w:rsidRPr="00075613">
        <w:rPr>
          <w:rFonts w:cs="B Zar" w:hint="cs"/>
          <w:b/>
          <w:bCs/>
          <w:sz w:val="28"/>
          <w:szCs w:val="28"/>
          <w:rtl/>
        </w:rPr>
        <w:t>خداشناسي اوپانيشاد</w:t>
      </w:r>
    </w:p>
    <w:p w:rsidR="00075613" w:rsidRPr="00075613" w:rsidP="003C0EF5">
      <w:pPr>
        <w:widowControl w:val="0"/>
        <w:spacing w:line="420" w:lineRule="exact"/>
        <w:ind w:left="0" w:right="0"/>
        <w:jc w:val="both"/>
        <w:rPr>
          <w:rFonts w:cs="B Zar"/>
          <w:b/>
          <w:bCs/>
          <w:sz w:val="28"/>
          <w:szCs w:val="28"/>
        </w:rPr>
      </w:pPr>
    </w:p>
    <w:p w:rsidR="00075613" w:rsidRPr="00075613" w:rsidP="003C0EF5">
      <w:pPr>
        <w:widowControl w:val="0"/>
        <w:spacing w:line="420" w:lineRule="exact"/>
        <w:ind w:left="0" w:right="0"/>
        <w:jc w:val="both"/>
        <w:rPr>
          <w:rFonts w:cs="B Zar" w:hint="cs"/>
          <w:b/>
          <w:bCs/>
          <w:rtl/>
        </w:rPr>
      </w:pPr>
      <w:r w:rsidRPr="00075613">
        <w:rPr>
          <w:rFonts w:cs="B Zar" w:hint="cs"/>
          <w:b/>
          <w:bCs/>
          <w:rtl/>
        </w:rPr>
        <w:t>تصور برهمان يا ذات احديت</w:t>
      </w:r>
    </w:p>
    <w:p w:rsidR="00075613" w:rsidRPr="00075613" w:rsidP="003C0EF5">
      <w:pPr>
        <w:widowControl w:val="0"/>
        <w:spacing w:line="420" w:lineRule="exact"/>
        <w:ind w:left="0" w:right="0"/>
        <w:jc w:val="both"/>
        <w:rPr>
          <w:rFonts w:cs="B Zar" w:hint="cs"/>
          <w:rtl/>
        </w:rPr>
      </w:pPr>
      <w:r w:rsidRPr="00075613">
        <w:rPr>
          <w:rFonts w:cs="B Zar" w:hint="cs"/>
          <w:rtl/>
        </w:rPr>
        <w:t>برهمان ذات خداوند به عنوان يك حقيقت بسيط كلي است كه هم جنبة تنزيهي دارد و هم جنبة تشبيهي. او ذات واحد و صمد است، حقيقت ازلي، ابدي و سرمدي است كه از او تمام پديده‌ها و موجودات نشأت گرفته‌اند. اين نكته حكيمان هند باستاني را به شدت مشغول كرده بود كه در جهان هرچه هست، بي‌ثبات، حادث، فاني و گذراست. آنان بدين نتيجه رسيدند كه در وراي اين ابرهاي روان هستي، بايد يك آسمان نيلگون ثابت و جاويد به عنوان حقيقت نهائي وجود داشته باشد. اين اصل با دوام را كه در بحبوبة جهان تغييرپذير، وراي اين صحنه‌ها قرار دارد و در عين حال در آن دخالت مي‌كند، آريائي‌ها برهمان ناميدند.</w:t>
      </w:r>
    </w:p>
    <w:p w:rsidR="00075613" w:rsidRPr="00075613" w:rsidP="003C0EF5">
      <w:pPr>
        <w:widowControl w:val="0"/>
        <w:spacing w:line="420" w:lineRule="exact"/>
        <w:ind w:left="0" w:right="0"/>
        <w:jc w:val="both"/>
        <w:rPr>
          <w:rFonts w:cs="B Zar" w:hint="cs"/>
          <w:rtl/>
        </w:rPr>
      </w:pPr>
      <w:r w:rsidRPr="00075613">
        <w:rPr>
          <w:rFonts w:cs="B Zar" w:hint="cs"/>
          <w:rtl/>
        </w:rPr>
        <w:t xml:space="preserve">درباره ريشة لغوي كلمة برهمان و چگونگي آن كه به عنوان لقب اصلي ذات لايزال در نظر گرفته شد، نظريه هاي مختلف وجود دارد. </w:t>
      </w:r>
      <w:r w:rsidRPr="00075613">
        <w:rPr>
          <w:rFonts w:cs="B Zar" w:hint="cs"/>
          <w:iCs/>
          <w:rtl/>
        </w:rPr>
        <w:t>ماكس مولر</w:t>
      </w:r>
      <w:r w:rsidRPr="00075613">
        <w:rPr>
          <w:rFonts w:cs="B Zar" w:hint="cs"/>
          <w:rtl/>
        </w:rPr>
        <w:t xml:space="preserve"> معتقد است كه اين كلمه از ريشة بره و به معناي رشد و متورم شدن است. در عصر ودا، اين كلمه به معناي «كلمه» يا آيات ودا به كار برده مي شد؛ چرا كه چنين گمان مي‌رفت كه ودا به عنوان كلام الهي موجب رشد مي‌شود. </w:t>
      </w:r>
      <w:r w:rsidRPr="00075613">
        <w:rPr>
          <w:rFonts w:cs="B Zar" w:hint="cs"/>
          <w:i/>
          <w:iCs/>
          <w:rtl/>
        </w:rPr>
        <w:t>هاگ</w:t>
      </w:r>
      <w:r w:rsidRPr="00075613">
        <w:rPr>
          <w:rFonts w:cs="B Zar" w:hint="cs"/>
          <w:rtl/>
        </w:rPr>
        <w:t xml:space="preserve"> </w:t>
      </w:r>
      <w:r w:rsidRPr="00075613">
        <w:rPr>
          <w:rFonts w:cs="B Zar"/>
        </w:rPr>
        <w:t>(Haug)</w:t>
      </w:r>
      <w:r w:rsidRPr="00075613">
        <w:rPr>
          <w:rFonts w:cs="B Zar" w:hint="cs"/>
          <w:rtl/>
        </w:rPr>
        <w:t xml:space="preserve"> معتقد است كه معناي «برهمان» دعا و نيايش است. ممكن است در دوره اتهاروا ودا كه نگرش مراسمي و ادعيه و مناجات و طلسم و اوراد رواج داشت، كلمه برهمان در اين معنا به كار برده شده باشد. </w:t>
      </w:r>
      <w:r w:rsidRPr="00075613">
        <w:rPr>
          <w:rFonts w:cs="B Zar" w:hint="cs"/>
          <w:i/>
          <w:iCs/>
          <w:rtl/>
        </w:rPr>
        <w:t>الدنبرگ</w:t>
      </w:r>
      <w:r w:rsidRPr="00075613">
        <w:rPr>
          <w:rFonts w:cs="B Zar" w:hint="cs"/>
          <w:rtl/>
        </w:rPr>
        <w:t xml:space="preserve"> </w:t>
      </w:r>
      <w:r w:rsidRPr="00075613">
        <w:rPr>
          <w:rFonts w:cs="B Zar"/>
        </w:rPr>
        <w:t>(Oldenberg)</w:t>
      </w:r>
      <w:r w:rsidRPr="00075613">
        <w:rPr>
          <w:rFonts w:cs="B Zar" w:hint="cs"/>
          <w:rtl/>
        </w:rPr>
        <w:t xml:space="preserve"> معتقد است كه در عصر متأخر ويد و دورة حاكيمت روح، ياجور ودا و اتهاروا ودا كه مرحلة دوم جادوگري و اتميسم بود، مردم طلسم و ادوار جادوئي را به خاطر كارآئي آن، برهمان مي‌ناميده‌اند. در دوره‌اي كه رسائل برهمانا تدوين گرديد، كلمه برهمان به معناي سرودهائي بود كه در مراسم قرباني قرائت مي گرديد، ممكن است برخي از اين اوراد به عنوان طلسم جادوئي نيز به كار رفته باشند. </w:t>
      </w:r>
      <w:r w:rsidRPr="00075613">
        <w:rPr>
          <w:rFonts w:cs="B Zar" w:hint="cs"/>
          <w:i/>
          <w:iCs/>
          <w:rtl/>
        </w:rPr>
        <w:t>ديوسن</w:t>
      </w:r>
      <w:r w:rsidRPr="00075613">
        <w:rPr>
          <w:rFonts w:cs="B Zar" w:hint="cs"/>
          <w:rtl/>
        </w:rPr>
        <w:t xml:space="preserve"> </w:t>
      </w:r>
      <w:r w:rsidRPr="00075613">
        <w:rPr>
          <w:rFonts w:cs="B Zar"/>
        </w:rPr>
        <w:t>(Deussen)</w:t>
      </w:r>
      <w:r w:rsidRPr="00075613">
        <w:rPr>
          <w:rFonts w:cs="B Zar" w:hint="cs"/>
          <w:rtl/>
        </w:rPr>
        <w:t xml:space="preserve"> معتقد است كه معناي لغوي كلمة برهمان، «علو» و «تعالي» است و نخست براي آسمان و پديده‌هاي طبيعت به كار مي‌رفته است و بعد به معناي نيايش در آمد؛ چرا كه نيايش و سرود، انسان را از تعالي برخوردار مي‌سازد. </w:t>
      </w:r>
      <w:r w:rsidRPr="00075613">
        <w:rPr>
          <w:rFonts w:cs="B Zar" w:hint="cs"/>
          <w:i/>
          <w:iCs/>
          <w:rtl/>
        </w:rPr>
        <w:t>روت</w:t>
      </w:r>
      <w:r w:rsidRPr="00075613">
        <w:rPr>
          <w:rFonts w:cs="B Zar" w:hint="cs"/>
          <w:rtl/>
        </w:rPr>
        <w:t xml:space="preserve"> </w:t>
      </w:r>
      <w:r w:rsidRPr="00075613">
        <w:rPr>
          <w:rFonts w:cs="B Zar"/>
        </w:rPr>
        <w:t>(Roth)</w:t>
      </w:r>
      <w:r w:rsidRPr="00075613">
        <w:rPr>
          <w:rFonts w:cs="B Zar" w:hint="cs"/>
          <w:rtl/>
        </w:rPr>
        <w:t xml:space="preserve"> معتقد است كه در مرحلة اول، كلمه برهمان به معناي اراده انسان بوده و سپس به معناي سرود و اذكار و اوراد در آمده است؛ چرا كه از این طريق انسان اراده خود را بر نيروهاي طبيعت تحميل مي كرد. در اين مرحله كلمة برهمان يك جنبه تقدس آميز پيدا كرد. در عين حال در آن دوره كه بينش اتهارو ودا حاكم بود، چنان گمان مي شد كه ذكر و دعا و طلسم داراي نيرو و انرژي هستند. اين امر، زمينه را براي تحول بعدي كلمه آماده ساخت و در دورة آرن ياكا و رسائل اخيرِ برهمانا، تعبير برهمان براي تصور «روح كلي» و «انرژي جهاني» و حقيقت نهائي عالم و مصداق و منشاء كمالات مطلق و سپس براي ذات واجب‌الوجود و ذات لايزال به كار رفت و در اواخر ريگ ودا، انديشة آريائي ها به مرحله توحيد رسيد. آنان دريافتند كه خداي جهان نمي تواند بيش از يكي باشد كه آن را «پارجاپاتي» ناميدند. در دوره رسائل برهمانا نيز عنوان اصلي خداوند «پارجاپاتي» بود، ولي در دوره اخيرِ برهمانا، وقتي انديشه آريائي به مرحلة پنجم عرفان و فلسفه رسيد، آنان دريافتند كه خداي واقعي، غير از تصور ناقص خدائي است كه بر آسمان نشسته و رهبري شوراي الهه‌ها را به دست دارد. آنان دريافتند كه خداي راستين جوهر مجرد، ذات مطلق، مجموع كمالات مطلق و در عين حال كارمايه عالم است. همة عالم تجلي اين ذات مطلق است. براي اين تصورِ خدا در «مطلقيت»، آريائيها كلمة «برهمان» را كه احتمالاً در آن دوره براي «نيرو» و «انرژي» به كار مي‌رفته است، برگزيدند.</w:t>
      </w:r>
    </w:p>
    <w:p w:rsidR="00075613" w:rsidRPr="00075613" w:rsidP="003C0EF5">
      <w:pPr>
        <w:widowControl w:val="0"/>
        <w:spacing w:line="420" w:lineRule="exact"/>
        <w:ind w:left="0" w:right="0"/>
        <w:jc w:val="both"/>
        <w:rPr>
          <w:rFonts w:cs="B Zar" w:hint="cs"/>
          <w:rtl/>
        </w:rPr>
      </w:pPr>
      <w:r w:rsidRPr="00075613">
        <w:rPr>
          <w:rFonts w:cs="B Zar" w:hint="cs"/>
          <w:rtl/>
        </w:rPr>
        <w:t xml:space="preserve">در تيتريه اوپانيشاد، </w:t>
      </w:r>
      <w:r w:rsidRPr="00075613">
        <w:rPr>
          <w:rFonts w:cs="B Zar"/>
        </w:rPr>
        <w:t xml:space="preserve"> Taittiriya Upanishad</w:t>
      </w:r>
      <w:r w:rsidRPr="00075613">
        <w:rPr>
          <w:rFonts w:cs="B Zar" w:hint="cs"/>
          <w:rtl/>
        </w:rPr>
        <w:t xml:space="preserve"> ما مي‌توانيم منحني تكامل فكر وحدت الوجودي برهمان را سراغ بگيريم. در فصل سوم فرزند از پدرش تقاضا مي كند او را با ماهيت حقيقي سرمدي كه كار ماية عالم است، آگاه سازد. پدر نخست به او مي گويد:</w:t>
      </w:r>
    </w:p>
    <w:p w:rsidR="00075613" w:rsidRPr="00075613" w:rsidP="003C0EF5">
      <w:pPr>
        <w:pStyle w:val="BodyText2"/>
        <w:widowControl w:val="0"/>
        <w:spacing w:line="420" w:lineRule="exact"/>
        <w:ind w:left="0" w:right="0"/>
        <w:jc w:val="both"/>
        <w:rPr>
          <w:rFonts w:cs="B Zar" w:hint="cs"/>
          <w:rtl/>
        </w:rPr>
      </w:pPr>
      <w:r w:rsidRPr="00075613">
        <w:rPr>
          <w:rFonts w:cs="B Zar" w:hint="cs"/>
          <w:rtl/>
        </w:rPr>
        <w:t>«غذاپران (نفس انسان)، بينائي و شنوائي دل و گويائي، برهمان است. از هرچه همة جانداران پيدا مي شوند و از او زنده مي مانند و در او محو مي شوند، برهمان است».</w:t>
      </w:r>
    </w:p>
    <w:p w:rsidR="00075613" w:rsidRPr="00075613" w:rsidP="003C0EF5">
      <w:pPr>
        <w:widowControl w:val="0"/>
        <w:spacing w:line="420" w:lineRule="exact"/>
        <w:ind w:left="0" w:right="0"/>
        <w:jc w:val="both"/>
        <w:rPr>
          <w:rFonts w:cs="B Zar" w:hint="cs"/>
          <w:rtl/>
        </w:rPr>
      </w:pPr>
      <w:r w:rsidRPr="00075613">
        <w:rPr>
          <w:rFonts w:cs="B Zar" w:hint="cs"/>
          <w:rtl/>
        </w:rPr>
        <w:t>اين نخستين مرحله آغاز انديشة وحدت الوجودي است. برهمان با روح انسان يكي دانسته مي‌شود و او منشأ و نقطه بازگشت موجودات است، ولي هنوز بقاياي مرحلة حسي طبيعت پرستي ديده مي شود و چنان فكر مي شود كه غذا و قوت انسان، خداي اوست. بهرگ، پسر بران از اين پاسخ قانع نمي‌شود و بدين نتيجه می رسد كه غذا پيدا شده است و چيزي كه پيدا شده است، چگونه مي تواند برهمان باشد. دوباره پيش پدر آمد و گفت:‌«اي سزاوار تعظيم، برهمان را به من بفهمان».</w:t>
      </w:r>
    </w:p>
    <w:p w:rsidR="00075613" w:rsidRPr="00075613" w:rsidP="003C0EF5">
      <w:pPr>
        <w:widowControl w:val="0"/>
        <w:spacing w:line="420" w:lineRule="exact"/>
        <w:ind w:left="0" w:right="0"/>
        <w:jc w:val="both"/>
        <w:rPr>
          <w:rFonts w:cs="B Zar" w:hint="cs"/>
          <w:rtl/>
        </w:rPr>
      </w:pPr>
      <w:r w:rsidRPr="00075613">
        <w:rPr>
          <w:rFonts w:cs="B Zar" w:hint="cs"/>
          <w:rtl/>
        </w:rPr>
        <w:t xml:space="preserve">پدر گفت: </w:t>
      </w:r>
      <w:r w:rsidRPr="00075613">
        <w:rPr>
          <w:rFonts w:cs="B Zar" w:hint="cs"/>
          <w:i/>
          <w:iCs/>
          <w:rtl/>
        </w:rPr>
        <w:t>«سبب يافتن برهمان رياضت است</w:t>
      </w:r>
      <w:r w:rsidRPr="00075613">
        <w:rPr>
          <w:rFonts w:cs="B Zar" w:hint="cs"/>
          <w:rtl/>
        </w:rPr>
        <w:t xml:space="preserve">». بهرگ شروع به رياضت كرد. او فهميد كه همين پران (جان) برهمان است كه از او جانداران پيدا مي‌شوند؛ از او زنده مي‌مانند و در او محو مي‌شوند. سپس به خاطر آورد كه پران پيدا شده است و چيزي كه پيدا شده است، چگونه مي تواند برهمان باشد؟ باز پيش پدر آمد و گفت: </w:t>
      </w:r>
      <w:r w:rsidRPr="00075613">
        <w:rPr>
          <w:rFonts w:cs="B Zar" w:hint="cs"/>
          <w:i/>
          <w:iCs/>
          <w:rtl/>
        </w:rPr>
        <w:t>«برهمان را به من بفهمان</w:t>
      </w:r>
      <w:r w:rsidRPr="00075613">
        <w:rPr>
          <w:rFonts w:cs="B Zar" w:hint="cs"/>
          <w:rtl/>
        </w:rPr>
        <w:t>». باز پدر  خواست رياضت بكند تا حقيقت برهمان را دريابد. اين مرتبه پس از رياضت بدين نتيجه رسيد كه وگيان</w:t>
      </w:r>
      <w:r w:rsidRPr="00075613">
        <w:rPr>
          <w:rFonts w:cs="B Zar"/>
        </w:rPr>
        <w:t xml:space="preserve"> (Vigyan)</w:t>
      </w:r>
      <w:r w:rsidRPr="00075613">
        <w:rPr>
          <w:rFonts w:cs="B Zar" w:hint="cs"/>
          <w:rtl/>
        </w:rPr>
        <w:t xml:space="preserve"> (معرفت و عقل كلي) برهمان است؛ از او همة جانداران پيدا مي‌شوند و از او زنده مي‌مانند و در او محو مي شوند. از اين نظر نيز اقناع نشد؛ چرا كه به خاطر آورد كه معرفت پيدا شده است و حادث است و چيزي كه حادث است، چگونه مي‌توان آن را برهمان دانست. باز پيش پدر آمد و پدر از او خواست دست به رياضت بزند؛ چرا كه سبب يافتن برهمان رياضت است. مجدداً پسر به رياضت پرداخت، اين مرتبه بدين نتيجه رسيد كه برهمان سرور و لذت محض است؛ از او همه جانداران پيدا مي شوند، با او زنده مي مانند و در آن محو مي شوند. اين را فهميد و در سرور و لذت محض محو گرديد.</w:t>
      </w:r>
    </w:p>
    <w:p w:rsidR="00075613" w:rsidRPr="00075613" w:rsidP="003C0EF5">
      <w:pPr>
        <w:widowControl w:val="0"/>
        <w:spacing w:line="420" w:lineRule="exact"/>
        <w:ind w:left="0" w:right="0"/>
        <w:jc w:val="center"/>
        <w:rPr>
          <w:rFonts w:cs="B Zar" w:hint="cs"/>
          <w:rtl/>
        </w:rPr>
      </w:pPr>
      <w:r w:rsidRPr="00075613">
        <w:rPr>
          <w:rFonts w:cs="B Zar" w:hint="cs"/>
          <w:rtl/>
        </w:rPr>
        <w:t>هر كس كه خبر شد خبرش باز نيامد</w:t>
      </w:r>
      <w:r>
        <w:rPr>
          <w:rStyle w:val="FootnoteReference"/>
          <w:rFonts w:cs="B Zar"/>
          <w:sz w:val="28"/>
          <w:szCs w:val="28"/>
          <w:rtl/>
        </w:rPr>
        <w:footnoteReference w:id="520"/>
      </w:r>
    </w:p>
    <w:p w:rsidR="00075613" w:rsidRPr="00075613" w:rsidP="003C0EF5">
      <w:pPr>
        <w:widowControl w:val="0"/>
        <w:spacing w:line="420" w:lineRule="exact"/>
        <w:ind w:left="0" w:right="0"/>
        <w:jc w:val="both"/>
        <w:rPr>
          <w:rFonts w:cs="B Zar" w:hint="cs"/>
          <w:rtl/>
        </w:rPr>
      </w:pPr>
      <w:r w:rsidRPr="00075613">
        <w:rPr>
          <w:rFonts w:cs="B Zar" w:hint="cs"/>
          <w:rtl/>
        </w:rPr>
        <w:t xml:space="preserve">در اين بيان تمثيلي، اوپانيشاد مراحل تحول و تكامل فكر «برهمان» را بازگو كرده است. وصف اصلي برهمان، اين است كه او حقيقتي است كه وجود از او منشأ مي‌گيرد، با او ادامه دارد و </w:t>
      </w:r>
      <w:r w:rsidRPr="00075613">
        <w:rPr>
          <w:rFonts w:cs="B Zar" w:hint="cs"/>
          <w:rtl/>
          <w:lang w:bidi="fa-IR"/>
        </w:rPr>
        <w:t>به</w:t>
      </w:r>
      <w:r w:rsidRPr="00075613">
        <w:rPr>
          <w:rFonts w:cs="B Zar" w:hint="cs"/>
          <w:rtl/>
        </w:rPr>
        <w:t xml:space="preserve"> او بر مي گردد. وصف ديگري كه در همان مرحله اول، فكر آريائي بدان رسيده بود، اين است كه چنين ذاتي نبايد حادث باشد. پس برهمان منشأ وجود و قوام هستي است و به همين جهت، در اين مكالمه تيتاريا اوپانيشاد</w:t>
      </w:r>
      <w:r w:rsidRPr="00075613">
        <w:rPr>
          <w:rFonts w:cs="B Zar"/>
        </w:rPr>
        <w:t xml:space="preserve"> Taittiriya Upanishad</w:t>
      </w:r>
      <w:r w:rsidRPr="00075613">
        <w:rPr>
          <w:rFonts w:cs="B Zar" w:hint="cs"/>
          <w:rtl/>
        </w:rPr>
        <w:t xml:space="preserve"> ، فرزند درصدد دريافت پاسخ براي اين پرسش بنيادين فلسفه بر مي‌آيد كه حقيقت نهائي وجود چيست؟ آيا هيچ اصل سرمدي و ازلي در وراي پديده‌هاي گذراي هستي ـ كه اوپانيشاد آنرا «نام روپ»، اشكال عناويني جهان مي‌نامد ـ وجود دارد يا نه؟ قوام هستي از چيست؟جوهر آن كدام است؟ نخست براي او اين فرضيه پيش آمد كه ماده و «هيولي» كه سمبل آن «غذا» است، جوهر اصلي كائنات است. ماده‌گرايان از زمان ديمقراطيس تا به حال اين نظريه را داشته‌اند، ولي او با راهنمائي پدرش زود در مي‌يابد كه ماده بي حركت و بي جان نمي‌تواند منشأ حركت و حيات باشد. چيزي كه حادث باشد چگونه مي تواند قوام پديده‌هاي گذرا تلقي شود. در هند قديم نيز «لوكايات» معتقد به اصل ماده بودند. در مراحل سير و سلوك، سالك زود از اين مقام ابتدائي و سطحي مي گذرد. در گام بعدي او چنين احساس مي كند كه كار مايه و جوهر نهائي عالم، «حيات» يا «پران» است. پران از نظر لغوي به معناي «نفس» است. ماده نمي‌تواند «حيات» را به وجود بياورد، ولي «حيات» اصل بالاتري است كه احتمال دارد «ماده» نيز از تجليات آن باشد. نيروي زندگي يا «واتيل ‌الان» </w:t>
      </w:r>
      <w:r w:rsidRPr="00075613">
        <w:rPr>
          <w:rFonts w:cs="B Zar"/>
        </w:rPr>
        <w:t>(Vital elan)</w:t>
      </w:r>
      <w:r w:rsidRPr="00075613">
        <w:rPr>
          <w:rFonts w:cs="B Zar" w:hint="cs"/>
          <w:rtl/>
        </w:rPr>
        <w:t xml:space="preserve"> را برگسون و برخي ديگر از فلاسفه اصل سرزنده جهان دانسته‌اند. داروينيسم نيز نوعي اعتقاد به اين اصل است و آن را عاملي مي داند كه موجب تكامل موجودات مي گردد و حيات را از سطح خزندگان به سطح ميموني و سپس به سطح انساني مي‌رساند. برخي رسائل اوپانيشاد نيز «نيروي حيات» را اصلي مي‌دانند كه جهان انسان را با «جهان طبيعت» وصل كرده است</w:t>
      </w:r>
      <w:r>
        <w:rPr>
          <w:rStyle w:val="FootnoteReference"/>
          <w:rFonts w:cs="B Zar"/>
          <w:sz w:val="28"/>
          <w:szCs w:val="28"/>
          <w:rtl/>
        </w:rPr>
        <w:footnoteReference w:id="521"/>
      </w:r>
      <w:r w:rsidRPr="00075613">
        <w:rPr>
          <w:rFonts w:cs="B Zar" w:hint="cs"/>
          <w:rtl/>
        </w:rPr>
        <w:t>. پران يا نيروي حيات، در جهان جريان دارد و در اجسام مادي تجلي مي‌كند، ولي از پوروشن اوپانيشاد والاتر است</w:t>
      </w:r>
      <w:r>
        <w:rPr>
          <w:rStyle w:val="FootnoteReference"/>
          <w:rFonts w:cs="B Zar"/>
          <w:sz w:val="28"/>
          <w:szCs w:val="28"/>
          <w:rtl/>
        </w:rPr>
        <w:footnoteReference w:id="522"/>
      </w:r>
      <w:r w:rsidRPr="00075613">
        <w:rPr>
          <w:rFonts w:cs="B Zar" w:hint="cs"/>
          <w:rtl/>
        </w:rPr>
        <w:t xml:space="preserve">. </w:t>
      </w:r>
    </w:p>
    <w:p w:rsidR="00075613" w:rsidRPr="00075613" w:rsidP="003C0EF5">
      <w:pPr>
        <w:widowControl w:val="0"/>
        <w:spacing w:line="420" w:lineRule="exact"/>
        <w:ind w:left="0" w:right="0"/>
        <w:jc w:val="both"/>
        <w:rPr>
          <w:rFonts w:cs="B Zar" w:hint="cs"/>
          <w:rtl/>
        </w:rPr>
      </w:pPr>
      <w:r w:rsidRPr="00075613">
        <w:rPr>
          <w:rFonts w:cs="B Zar" w:hint="cs"/>
          <w:rtl/>
        </w:rPr>
        <w:t>البته در ايتاريا اوپانيشاد، سالك از اين مقام نيز فراتر مي رود و در مي يابد كه قوه حيات، حركت و نمو را در عالم توجيه مي كند، ولي عنصر «عقل» و «آگاهي» گياهان را توجيه نمي‌كند. چگونه حيات فاقد شعور و آگاهي مي‌تواند منجر به ايجاد آگاهي و شعور در جهان گردد؟ زندگي و حيات با «شعور» و «خودآگاهي» سنخيتي ندارند. مايانس، يا خودآگاهي، در مقوله ديگري والاتر از شعور عالم، عقل و حكمت انسان است و دريچه‌هائي به عوالم ديگر باز مي كند. پس ممكن است والاترين اصل عالم و قوام بخش هستي باشد؛ ولي باز فرزند با هدايت پدر، اين نكته را در مي يابد كه عقول آدميان در تضادند، و نمي‌توانند كامل باشند؛ چرا كه ميان دو كمال مطلق اصطكاكي نمي‌تواند وجود داشته باشد، پس «گيان» نيز نمي‌تواند حقيقت نهائي باشد. در اين لحظه سالك به اين نتيجه مي‌رسد كه حقيقت نهائي عالم و قوام بخش هستي هيچكدام از اينها نيست، بلكه ذات برهمان، همان سرور و لذت محض است.</w:t>
      </w:r>
    </w:p>
    <w:p w:rsidR="00075613" w:rsidRPr="00075613" w:rsidP="003C0EF5">
      <w:pPr>
        <w:widowControl w:val="0"/>
        <w:spacing w:line="420" w:lineRule="exact"/>
        <w:ind w:left="0" w:right="0"/>
        <w:jc w:val="both"/>
        <w:rPr>
          <w:rFonts w:cs="B Zar" w:hint="cs"/>
          <w:rtl/>
        </w:rPr>
      </w:pPr>
      <w:r w:rsidRPr="00075613">
        <w:rPr>
          <w:rFonts w:cs="B Zar" w:hint="cs"/>
          <w:rtl/>
        </w:rPr>
        <w:t>اما «برهمني»</w:t>
      </w:r>
      <w:r w:rsidRPr="00075613">
        <w:rPr>
          <w:rFonts w:cs="B Zar"/>
        </w:rPr>
        <w:t>(Brahman)</w:t>
      </w:r>
      <w:r w:rsidRPr="00075613">
        <w:rPr>
          <w:rFonts w:cs="B Zar" w:hint="cs"/>
          <w:rtl/>
        </w:rPr>
        <w:t xml:space="preserve"> كه اوپانيشاد به عنوان حقيقت نهائي معرفي مي كند، چگونه است؟ از بيان بالا آنچه به دست مي‌آيد اين است كه اولاً او ذات لايزال است، او «آسمان نيلگون» لاتغيير، ثابت، دائم و لامتناهي است كه در وراي پديده‌هاي گذرا، متغير و متحرك وجود دارد. ثانياً او حادث نيست و قديم است؛ چرا كه ريشي‌هاي باستان بدين نكته رسيده بودند كه حادث نمي‌تواند حقيقت نهائي عالم باشد. او منشأ پران</w:t>
      </w:r>
      <w:r w:rsidRPr="00075613">
        <w:rPr>
          <w:rFonts w:cs="B Zar"/>
        </w:rPr>
        <w:t xml:space="preserve"> (Paana)</w:t>
      </w:r>
      <w:r w:rsidRPr="00075613">
        <w:rPr>
          <w:rFonts w:cs="B Zar" w:hint="cs"/>
          <w:rtl/>
        </w:rPr>
        <w:t>، مانس</w:t>
      </w:r>
      <w:r w:rsidRPr="00075613">
        <w:rPr>
          <w:rFonts w:cs="B Zar"/>
        </w:rPr>
        <w:t>(Manas)</w:t>
      </w:r>
      <w:r w:rsidRPr="00075613">
        <w:rPr>
          <w:rFonts w:cs="B Zar" w:hint="cs"/>
          <w:rtl/>
        </w:rPr>
        <w:t xml:space="preserve"> و گيان</w:t>
      </w:r>
      <w:r w:rsidRPr="00075613">
        <w:rPr>
          <w:rFonts w:cs="B Zar"/>
        </w:rPr>
        <w:t xml:space="preserve"> (Giyan)</w:t>
      </w:r>
      <w:r w:rsidRPr="00075613">
        <w:rPr>
          <w:rFonts w:cs="B Zar" w:hint="cs"/>
          <w:rtl/>
        </w:rPr>
        <w:t>، ماده، روح و عقل، خود آگاهي و حكمت، منشأ وجود و معرفت، وجود محض و شعور محض است. از او هر پديده‌اي و هر موجودي نشأت گرفته و همة موجودات از او پا برجا هستند. مانداكا اوپانيشاد درباره برهمان مي‌گويد:</w:t>
      </w:r>
    </w:p>
    <w:p w:rsidR="00075613" w:rsidRPr="00075613" w:rsidP="003C0EF5">
      <w:pPr>
        <w:widowControl w:val="0"/>
        <w:spacing w:line="420" w:lineRule="exact"/>
        <w:ind w:left="0" w:right="0"/>
        <w:jc w:val="both"/>
        <w:rPr>
          <w:rFonts w:cs="B Zar" w:hint="cs"/>
          <w:i/>
          <w:iCs/>
          <w:rtl/>
        </w:rPr>
      </w:pPr>
      <w:r w:rsidRPr="00075613">
        <w:rPr>
          <w:rFonts w:cs="B Zar" w:hint="cs"/>
          <w:i/>
          <w:iCs/>
          <w:rtl/>
        </w:rPr>
        <w:t>«آن ذاتي است كه او را به حس‌هاي باطني و ظاهري نتوان دريافت و آن ذات از چيزي پيدا نشده است. او بيرنگ است و او را صفتي نيست؛ او را چشم نيست مثل چشم ها و او را گوش نيست مثل گوش‌ها و او را دست و پا نيست مثل دست و پاها. او هميشه است و او همه شمول. او در همه پراست و با آنكه در همه پر است، آنچنان لطيف است كه او را نمي‌توان يافت. از او همه موجودات و اشياء نشأت مي‌گيرند و هيچ نقصي در او صورت نمي گيرد. كساني كه عارف و دانايند بدينسان مي دانند»</w:t>
      </w:r>
      <w:r>
        <w:rPr>
          <w:rStyle w:val="FootnoteReference"/>
          <w:rFonts w:cs="B Zar"/>
          <w:i/>
          <w:iCs/>
          <w:sz w:val="28"/>
          <w:szCs w:val="28"/>
          <w:rtl/>
        </w:rPr>
        <w:footnoteReference w:id="523"/>
      </w:r>
      <w:r w:rsidRPr="00075613">
        <w:rPr>
          <w:rFonts w:cs="B Zar" w:hint="cs"/>
          <w:i/>
          <w:iCs/>
          <w:rtl/>
        </w:rPr>
        <w:t>.</w:t>
      </w:r>
    </w:p>
    <w:p w:rsidR="00075613" w:rsidRPr="00075613" w:rsidP="003C0EF5">
      <w:pPr>
        <w:widowControl w:val="0"/>
        <w:spacing w:line="420" w:lineRule="exact"/>
        <w:ind w:left="0" w:right="0"/>
        <w:jc w:val="both"/>
        <w:rPr>
          <w:rFonts w:cs="B Zar" w:hint="cs"/>
          <w:rtl/>
        </w:rPr>
      </w:pPr>
      <w:r w:rsidRPr="00075613">
        <w:rPr>
          <w:rFonts w:cs="B Zar" w:hint="cs"/>
          <w:rtl/>
        </w:rPr>
        <w:t xml:space="preserve">در جاي ديگر، مانداكا اوپانيشاد، ذات خداوند يا برهمان را چنين توصيف مي‌نمايد: </w:t>
      </w:r>
      <w:r w:rsidRPr="00075613">
        <w:rPr>
          <w:rFonts w:cs="B Zar" w:hint="cs"/>
          <w:i/>
          <w:iCs/>
          <w:rtl/>
        </w:rPr>
        <w:t xml:space="preserve">« و آن ذات عين نور است، و آن ذات بي صورت است، و آن ذات قديم است، پيدا نشده است و آن ذات را حواس ظاهري و باطني نيست و آن ذات پاك و لطيف است </w:t>
      </w:r>
      <w:r w:rsidRPr="00075613">
        <w:rPr>
          <w:rFonts w:hint="eastAsia"/>
          <w:i/>
          <w:iCs/>
          <w:rtl/>
        </w:rPr>
        <w:t>…</w:t>
      </w:r>
      <w:r w:rsidRPr="00075613">
        <w:rPr>
          <w:rFonts w:cs="B Zar" w:hint="eastAsia"/>
          <w:i/>
          <w:iCs/>
          <w:rtl/>
        </w:rPr>
        <w:t xml:space="preserve"> هم</w:t>
      </w:r>
      <w:r w:rsidRPr="00075613">
        <w:rPr>
          <w:rFonts w:cs="B Zar" w:hint="cs"/>
          <w:i/>
          <w:iCs/>
          <w:rtl/>
        </w:rPr>
        <w:t>ة</w:t>
      </w:r>
      <w:r w:rsidRPr="00075613">
        <w:rPr>
          <w:rFonts w:cs="B Zar" w:hint="eastAsia"/>
          <w:i/>
          <w:iCs/>
          <w:rtl/>
        </w:rPr>
        <w:t xml:space="preserve"> حس</w:t>
      </w:r>
      <w:r w:rsidRPr="00075613">
        <w:rPr>
          <w:rFonts w:cs="B Zar" w:hint="cs"/>
          <w:i/>
          <w:iCs/>
          <w:rtl/>
        </w:rPr>
        <w:t>‌</w:t>
      </w:r>
      <w:r w:rsidRPr="00075613">
        <w:rPr>
          <w:rFonts w:cs="B Zar" w:hint="eastAsia"/>
          <w:i/>
          <w:iCs/>
          <w:rtl/>
        </w:rPr>
        <w:t>هاي ظاهري كه پران  باش</w:t>
      </w:r>
      <w:r w:rsidRPr="00075613">
        <w:rPr>
          <w:rFonts w:cs="B Zar" w:hint="cs"/>
          <w:i/>
          <w:iCs/>
          <w:rtl/>
        </w:rPr>
        <w:t>ن</w:t>
      </w:r>
      <w:r w:rsidRPr="00075613">
        <w:rPr>
          <w:rFonts w:cs="B Zar" w:hint="eastAsia"/>
          <w:i/>
          <w:iCs/>
          <w:rtl/>
        </w:rPr>
        <w:t>د و بهوت آكاس و باد و آتش و آب و خاك</w:t>
      </w:r>
      <w:r w:rsidRPr="00075613">
        <w:rPr>
          <w:rFonts w:cs="B Zar" w:hint="cs"/>
          <w:i/>
          <w:iCs/>
          <w:rtl/>
        </w:rPr>
        <w:t>،</w:t>
      </w:r>
      <w:r w:rsidRPr="00075613">
        <w:rPr>
          <w:rFonts w:cs="B Zar" w:hint="eastAsia"/>
          <w:i/>
          <w:iCs/>
          <w:rtl/>
        </w:rPr>
        <w:t xml:space="preserve"> از آن ذات پيدا شده</w:t>
      </w:r>
      <w:r w:rsidRPr="00075613">
        <w:rPr>
          <w:rFonts w:cs="B Zar" w:hint="cs"/>
          <w:i/>
          <w:iCs/>
          <w:rtl/>
        </w:rPr>
        <w:t>‌</w:t>
      </w:r>
      <w:r w:rsidRPr="00075613">
        <w:rPr>
          <w:rFonts w:cs="B Zar" w:hint="eastAsia"/>
          <w:i/>
          <w:iCs/>
          <w:rtl/>
        </w:rPr>
        <w:t>اند</w:t>
      </w:r>
      <w:r w:rsidRPr="00075613">
        <w:rPr>
          <w:rFonts w:cs="B Zar" w:hint="cs"/>
          <w:i/>
          <w:iCs/>
          <w:rtl/>
        </w:rPr>
        <w:t>»</w:t>
      </w:r>
      <w:r>
        <w:rPr>
          <w:rStyle w:val="FootnoteReference"/>
          <w:rFonts w:cs="B Zar"/>
          <w:i/>
          <w:iCs/>
          <w:sz w:val="28"/>
          <w:szCs w:val="28"/>
          <w:rtl/>
        </w:rPr>
        <w:footnoteReference w:id="524"/>
      </w:r>
      <w:r w:rsidRPr="00075613">
        <w:rPr>
          <w:rFonts w:cs="B Zar" w:hint="eastAsia"/>
          <w:i/>
          <w:iCs/>
          <w:rtl/>
        </w:rPr>
        <w:t>.</w:t>
      </w:r>
      <w:r w:rsidRPr="00075613">
        <w:rPr>
          <w:rFonts w:cs="B Zar" w:hint="cs"/>
          <w:rtl/>
        </w:rPr>
        <w:t xml:space="preserve"> در كهاند دوم همين اوپانيشاد مي‌خوانيم:</w:t>
      </w:r>
    </w:p>
    <w:p w:rsidR="00075613" w:rsidRPr="00075613" w:rsidP="003C0EF5">
      <w:pPr>
        <w:widowControl w:val="0"/>
        <w:spacing w:line="420" w:lineRule="exact"/>
        <w:ind w:left="0" w:right="0"/>
        <w:jc w:val="both"/>
        <w:rPr>
          <w:rFonts w:cs="B Zar" w:hint="cs"/>
          <w:i/>
          <w:iCs/>
          <w:rtl/>
        </w:rPr>
      </w:pPr>
      <w:r w:rsidRPr="00075613">
        <w:rPr>
          <w:rFonts w:cs="B Zar" w:hint="cs"/>
          <w:i/>
          <w:iCs/>
          <w:rtl/>
        </w:rPr>
        <w:t>«او در اطلاق، مطلق ترين مطلق‌هاست و در قيد، مقيدترين مقيدها است. آن برهماني است منزه و پاك. او قسمت‌پذير نيست و آنچنان نوراني است كه نور نورهاست</w:t>
      </w:r>
      <w:r w:rsidRPr="00075613">
        <w:rPr>
          <w:rFonts w:hint="eastAsia"/>
          <w:i/>
          <w:iCs/>
          <w:rtl/>
        </w:rPr>
        <w:t>…</w:t>
      </w:r>
      <w:r w:rsidRPr="00075613">
        <w:rPr>
          <w:rFonts w:cs="B Zar" w:hint="eastAsia"/>
          <w:i/>
          <w:iCs/>
          <w:rtl/>
        </w:rPr>
        <w:t xml:space="preserve"> روشنائي آفتاب و ماه و ستاره</w:t>
      </w:r>
      <w:r w:rsidRPr="00075613">
        <w:rPr>
          <w:rFonts w:cs="B Zar" w:hint="cs"/>
          <w:i/>
          <w:iCs/>
          <w:rtl/>
        </w:rPr>
        <w:t>‌</w:t>
      </w:r>
      <w:r w:rsidRPr="00075613">
        <w:rPr>
          <w:rFonts w:cs="B Zar" w:hint="eastAsia"/>
          <w:i/>
          <w:iCs/>
          <w:rtl/>
        </w:rPr>
        <w:t>ها و برق و آتش ب</w:t>
      </w:r>
      <w:r w:rsidRPr="00075613">
        <w:rPr>
          <w:rFonts w:cs="B Zar" w:hint="cs"/>
          <w:i/>
          <w:iCs/>
          <w:rtl/>
        </w:rPr>
        <w:t xml:space="preserve">ه </w:t>
      </w:r>
      <w:r w:rsidRPr="00075613">
        <w:rPr>
          <w:rFonts w:cs="B Zar" w:hint="eastAsia"/>
          <w:i/>
          <w:iCs/>
          <w:rtl/>
        </w:rPr>
        <w:t>روشني او نتوان</w:t>
      </w:r>
      <w:r w:rsidRPr="00075613">
        <w:rPr>
          <w:rFonts w:cs="B Zar" w:hint="cs"/>
          <w:i/>
          <w:iCs/>
          <w:rtl/>
        </w:rPr>
        <w:t>ن</w:t>
      </w:r>
      <w:r w:rsidRPr="00075613">
        <w:rPr>
          <w:rFonts w:cs="B Zar" w:hint="eastAsia"/>
          <w:i/>
          <w:iCs/>
          <w:rtl/>
        </w:rPr>
        <w:t>د رسيد و از روشني او همة اينها روشن هستند و همة روشني</w:t>
      </w:r>
      <w:r w:rsidRPr="00075613">
        <w:rPr>
          <w:rFonts w:cs="B Zar" w:hint="cs"/>
          <w:i/>
          <w:iCs/>
          <w:rtl/>
        </w:rPr>
        <w:t>‌</w:t>
      </w:r>
      <w:r w:rsidRPr="00075613">
        <w:rPr>
          <w:rFonts w:cs="B Zar" w:hint="eastAsia"/>
          <w:i/>
          <w:iCs/>
          <w:rtl/>
        </w:rPr>
        <w:t>ها از اوست.</w:t>
      </w:r>
      <w:r w:rsidRPr="00075613">
        <w:rPr>
          <w:rFonts w:cs="B Zar" w:hint="cs"/>
          <w:i/>
          <w:iCs/>
          <w:rtl/>
        </w:rPr>
        <w:t xml:space="preserve"> آن برهمان بي زوال است پيش، او است، پس، او است، چپ، او است، راست، اوست، بالا، اوست، پائين، اوست، همه جا از او پر است و هر چه ديده مي شود، همان برهمان بزرگ است»</w:t>
      </w:r>
      <w:r>
        <w:rPr>
          <w:rStyle w:val="FootnoteReference"/>
          <w:rFonts w:cs="B Zar"/>
          <w:i/>
          <w:iCs/>
          <w:sz w:val="28"/>
          <w:szCs w:val="28"/>
          <w:rtl/>
        </w:rPr>
        <w:footnoteReference w:id="525"/>
      </w:r>
      <w:r w:rsidRPr="00075613">
        <w:rPr>
          <w:rFonts w:cs="B Zar" w:hint="cs"/>
          <w:i/>
          <w:iCs/>
          <w:rtl/>
        </w:rPr>
        <w:t>.</w:t>
      </w:r>
    </w:p>
    <w:p w:rsidR="00075613" w:rsidRPr="00075613" w:rsidP="003C0EF5">
      <w:pPr>
        <w:widowControl w:val="0"/>
        <w:spacing w:line="420" w:lineRule="exact"/>
        <w:ind w:left="0" w:right="0"/>
        <w:jc w:val="both"/>
        <w:rPr>
          <w:rFonts w:cs="B Zar" w:hint="cs"/>
          <w:i/>
          <w:iCs/>
          <w:rtl/>
        </w:rPr>
      </w:pPr>
      <w:r w:rsidRPr="00075613">
        <w:rPr>
          <w:rFonts w:cs="B Zar" w:hint="cs"/>
          <w:rtl/>
        </w:rPr>
        <w:t>در فصل سوم اين اوپانيشاد، ذات لايزال برهمان چنين توصيف شده است</w:t>
      </w:r>
      <w:r w:rsidRPr="00075613">
        <w:rPr>
          <w:rFonts w:cs="B Zar" w:hint="cs"/>
          <w:i/>
          <w:iCs/>
          <w:rtl/>
        </w:rPr>
        <w:t>: «و آن بزرگ است و به روشنايي خود روشن است و صورت او به انديشه در نمي‌آيد، با آنكه از هر لطيفي لطيف‌تر است، به نظر در نمي‌آيد و از هر دوري دورتر است و از هر قريب، قريب‌تر. او را به چشم نتوان ديد و به زبان نتوان توصيف كرد، او را به هيچ حسي نتوان دريافت، او را از گياهان خالص و معرفت صرف مي توان يافت و دلهاي كساني كه از معرفت توحيد صاف و روشن شده است، آن ذاتي را كه قسمت پذير نيست مي بينند»</w:t>
      </w:r>
      <w:r>
        <w:rPr>
          <w:rStyle w:val="FootnoteReference"/>
          <w:rFonts w:cs="B Zar"/>
          <w:i/>
          <w:iCs/>
          <w:sz w:val="28"/>
          <w:szCs w:val="28"/>
          <w:rtl/>
        </w:rPr>
        <w:footnoteReference w:id="526"/>
      </w:r>
      <w:r w:rsidRPr="00075613">
        <w:rPr>
          <w:rFonts w:cs="B Zar" w:hint="cs"/>
          <w:i/>
          <w:iCs/>
          <w:rtl/>
        </w:rPr>
        <w:t>.</w:t>
      </w:r>
    </w:p>
    <w:p w:rsidR="00075613" w:rsidRPr="00075613" w:rsidP="003C0EF5">
      <w:pPr>
        <w:widowControl w:val="0"/>
        <w:spacing w:line="420" w:lineRule="exact"/>
        <w:ind w:left="0" w:right="0"/>
        <w:jc w:val="both"/>
        <w:rPr>
          <w:rFonts w:cs="B Zar" w:hint="cs"/>
          <w:rtl/>
        </w:rPr>
      </w:pPr>
      <w:r w:rsidRPr="00075613">
        <w:rPr>
          <w:rFonts w:cs="B Zar" w:hint="cs"/>
          <w:rtl/>
        </w:rPr>
        <w:t>اين تصور از ذات لايزال، يك نگرش متعالي و بسيار پيشرفته ريشيهاي سه هزار سال پيش را نشان مي</w:t>
      </w:r>
      <w:r w:rsidRPr="00075613">
        <w:rPr>
          <w:rFonts w:cs="B Zar"/>
        </w:rPr>
        <w:t xml:space="preserve"> </w:t>
      </w:r>
      <w:r w:rsidRPr="00075613">
        <w:rPr>
          <w:rFonts w:cs="B Zar" w:hint="cs"/>
          <w:rtl/>
        </w:rPr>
        <w:t>دهد كه انديشه بشر، در مراحل پيشرفت انديشه مذهبي بدان رسيده است. خداوند ذات ماورائي و منزهي است كه نه تنها ماوراي حواس پنجگانه انسان است، بلكه حتي حس</w:t>
      </w:r>
      <w:r w:rsidRPr="00075613">
        <w:rPr>
          <w:rFonts w:cs="B Zar"/>
        </w:rPr>
        <w:t xml:space="preserve"> </w:t>
      </w:r>
      <w:r w:rsidRPr="00075613">
        <w:rPr>
          <w:rFonts w:cs="B Zar" w:hint="cs"/>
          <w:rtl/>
        </w:rPr>
        <w:t xml:space="preserve">هاي باطني و اشراق نيز تجلي ذات او را نمي‌توانند مشاهده كنند. تنها پرتوي از صفات ، اسماء و افعال او را ممكن است از طريق اشراق مشاهده كنند. اين نكته‌اي است كه قرآن كريم به طور تمثيلي در داستان غش كردن موسي بر كوه طور بيان داشته است. موسي آن آرزوي ديرينه بشر را براي مشاهدة ذات حق بازگو مي كند، ولي تنها تجلي افعال الهي او را از پا درآورد. اوپانيشاد مي‌گويد: </w:t>
      </w:r>
      <w:r w:rsidRPr="00075613">
        <w:rPr>
          <w:rFonts w:cs="B Zar" w:hint="cs"/>
          <w:i/>
          <w:iCs/>
          <w:rtl/>
        </w:rPr>
        <w:t>«آن ذاتي است كه حتي با «حس باطني» نيز او را نتوان درك كرد»</w:t>
      </w:r>
      <w:r w:rsidRPr="00075613">
        <w:rPr>
          <w:rFonts w:cs="B Zar" w:hint="cs"/>
          <w:rtl/>
        </w:rPr>
        <w:t>. اوپانيشاد تصور انسان انگارانه خداوند را به شدت رد مي‌كند و با صراحت مي‌گويد كه او داراي خصائص انساني (چشم، گوش و غيره) نيست. اسلام اين تصور تنزيه ذات اقدس را به چنان اوجي رسانيده است كه براي ما چنين اظهاراتي بسيار پيش پا افتاده و عادي به نظر مي‌رسد؛ ولي بايد در نظر بگيريم كه اوپانيشاد در حدود سه هزار سال قبل و بلافاصله پس از عصر ودا تدوين گرديده است، كه در آن عصر، خدايان بر روي آسمان، درست نظير اجتماع انسانها را تشكيل داده و حتي در تورات تحريف شده تصور كشتي گرفتن خدا و يا نشستن او بر روي عرش عنوان مي‌شده و يوناني‌ها هنوز از جرگه خدائي بر فراز آسمانها و رقابت خدايان و عشق بازي‌هاي آنان و مرگ و زيست آنان سخن به ميان مي‌آوردند. اين جهش بزرگ فكري آريائي‌هاي هند و ايران كه با قاطعيت و صراحت بسيار چشمگير، تصور انسان انگاري خداوند را رد مي‌كرده‌اند، بسيار شگفت‌آور و اعجاب برانگيز به نظر مي‌رسد. از همين روي افرادي نظير شاهزاده دانشمند مغولي، داراشكوه و غيره، بدين نتيجه رسيدند كه ريشي‌هائي كه اوپانيشادها را تدوين كرده اند، از تعاليم پيامبران الهي برخوردار بوده‌اند.</w:t>
      </w:r>
    </w:p>
    <w:p w:rsidR="00075613" w:rsidRPr="00075613" w:rsidP="003C0EF5">
      <w:pPr>
        <w:widowControl w:val="0"/>
        <w:spacing w:line="420" w:lineRule="exact"/>
        <w:ind w:left="0" w:right="0"/>
        <w:jc w:val="both"/>
        <w:rPr>
          <w:rFonts w:cs="B Zar" w:hint="cs"/>
          <w:rtl/>
        </w:rPr>
      </w:pPr>
      <w:r w:rsidRPr="00075613">
        <w:rPr>
          <w:rFonts w:cs="B Zar" w:hint="cs"/>
          <w:rtl/>
        </w:rPr>
        <w:t xml:space="preserve">از همان دورة اوپانيشاد حكيمان به اين نتيجه رسيده بودند كه ذات متعال را نمي‌توان تعريف و توصيف كرد؛ چنانكه در بيان مانداكا اوپانيشاد </w:t>
      </w:r>
      <w:r w:rsidRPr="00075613">
        <w:rPr>
          <w:rFonts w:cs="B Zar"/>
        </w:rPr>
        <w:t>Mundaka</w:t>
      </w:r>
      <w:r w:rsidRPr="00075613">
        <w:rPr>
          <w:rFonts w:cs="B Zar" w:hint="cs"/>
          <w:rtl/>
        </w:rPr>
        <w:t xml:space="preserve"> </w:t>
      </w:r>
      <w:r w:rsidRPr="00075613">
        <w:rPr>
          <w:rFonts w:cs="B Zar"/>
        </w:rPr>
        <w:t>Upanishad</w:t>
      </w:r>
      <w:r w:rsidRPr="00075613">
        <w:rPr>
          <w:rFonts w:cs="B Zar" w:hint="cs"/>
          <w:rtl/>
        </w:rPr>
        <w:t xml:space="preserve"> ديده مي‌شود. تنها روشي كه براي بيان حقيقت الوهي مي توان در پيش گرفت، روش به كار بردن اضداد است. اوپانيشاد براي توصيف ذات برهمان همين روش را به كار مي‌برد. </w:t>
      </w:r>
      <w:r w:rsidRPr="00075613">
        <w:rPr>
          <w:rFonts w:cs="B Zar" w:hint="cs"/>
          <w:i/>
          <w:iCs/>
          <w:rtl/>
        </w:rPr>
        <w:t>«او در اطلاق، مطلق‌ترين مطلق‌ها است و در قيد، مقيدترين مقيدها.</w:t>
      </w:r>
      <w:r>
        <w:rPr>
          <w:rStyle w:val="FootnoteReference"/>
          <w:rFonts w:cs="B Zar"/>
          <w:i/>
          <w:iCs/>
          <w:sz w:val="28"/>
          <w:szCs w:val="28"/>
          <w:rtl/>
        </w:rPr>
        <w:footnoteReference w:id="527"/>
      </w:r>
      <w:r w:rsidRPr="00075613">
        <w:rPr>
          <w:rFonts w:cs="B Zar" w:hint="cs"/>
          <w:i/>
          <w:iCs/>
          <w:rtl/>
        </w:rPr>
        <w:t xml:space="preserve"> پيش، اوست. پس، اوست، راست، اوست. چپ، اوست. بالا، اوست. پائين، اوست</w:t>
      </w:r>
      <w:r>
        <w:rPr>
          <w:rStyle w:val="FootnoteReference"/>
          <w:rFonts w:cs="B Zar"/>
          <w:i/>
          <w:iCs/>
          <w:sz w:val="28"/>
          <w:szCs w:val="28"/>
          <w:rtl/>
        </w:rPr>
        <w:footnoteReference w:id="528"/>
      </w:r>
      <w:r w:rsidRPr="00075613">
        <w:rPr>
          <w:rFonts w:cs="B Zar" w:hint="cs"/>
          <w:i/>
          <w:iCs/>
          <w:rtl/>
        </w:rPr>
        <w:t>. او از هر دوري دورتر، و از هر نزديكي نزديكتراست»</w:t>
      </w:r>
      <w:r w:rsidRPr="00075613">
        <w:rPr>
          <w:rFonts w:cs="B Zar" w:hint="cs"/>
          <w:rtl/>
        </w:rPr>
        <w:t>.</w:t>
      </w:r>
      <w:r>
        <w:rPr>
          <w:rStyle w:val="FootnoteReference"/>
          <w:rFonts w:cs="B Zar"/>
          <w:sz w:val="28"/>
          <w:szCs w:val="28"/>
          <w:rtl/>
        </w:rPr>
        <w:footnoteReference w:id="529"/>
      </w:r>
      <w:r w:rsidRPr="00075613">
        <w:rPr>
          <w:rFonts w:cs="B Zar" w:hint="cs"/>
          <w:rtl/>
        </w:rPr>
        <w:t xml:space="preserve"> تمام اينگونه اظهارات منعكس كننده اين نگرش است كه ذات حق چون در هيچ مقوله عقل بشري نمي‌گنجد، از اين رو او را تنها در «اضداد» و با نسبت دادن صفات تنقيض مي‌توان توصيف كرد. اين روش نيز روشي است كه قرآن كريم و پس ازآن، امير مؤمنان، علي عليه السلام، در بيان ذات الهي پيش گرفته اند. البته با عمق و لطافت والاتر و بيانات نغز و پرشكوه‌تر.</w:t>
      </w:r>
    </w:p>
    <w:p w:rsidR="00075613" w:rsidRPr="00075613" w:rsidP="003C0EF5">
      <w:pPr>
        <w:widowControl w:val="0"/>
        <w:spacing w:line="420" w:lineRule="exact"/>
        <w:ind w:left="0" w:right="0"/>
        <w:jc w:val="both"/>
        <w:rPr>
          <w:rFonts w:cs="B Zar" w:hint="cs"/>
          <w:rtl/>
        </w:rPr>
      </w:pPr>
      <w:r w:rsidRPr="00075613">
        <w:rPr>
          <w:rFonts w:cs="B Zar" w:hint="cs"/>
          <w:rtl/>
        </w:rPr>
        <w:t>در كاتها اوپانيشاد</w:t>
      </w:r>
      <w:r w:rsidRPr="00075613">
        <w:rPr>
          <w:rFonts w:cs="B Zar"/>
        </w:rPr>
        <w:t xml:space="preserve"> Katha Upanishad</w:t>
      </w:r>
      <w:r w:rsidRPr="00075613">
        <w:rPr>
          <w:rFonts w:cs="B Zar" w:hint="cs"/>
          <w:rtl/>
        </w:rPr>
        <w:t xml:space="preserve"> و رسائل ديگر اوپانيشاد گفته شده است كه خداوند را تنها با (ني تی، ني تی) «اين نيست، اين نيست» مي‌توان توصيف كرد، نه «اين هست، اين هست». بدين معنا كه ذات لايزال را تنها مي توان با سلب صفات بيان كرد، نه با اثبات صفات. اگر عميق‌تر نگاه كنيم، بدين نتيجه خواهيم رسيد كه براي ذات تعالي، تنها مي توانيم (صفات سلبيه) قائل شويم، نه صفات ثبوتيه. تنها مي توانيم بگوئيم او محدود نيست، هيچ جا نيست كه در آن نباشد؛ او در مكان نيست، محدود به زمان نيست، حلول ندارد؛ چنان نيست كه با ما نباشد و حتي از رگ گردن نزديكتر است و چنين نيست، چنين نيست. </w:t>
      </w:r>
    </w:p>
    <w:p w:rsidR="00075613" w:rsidRPr="00075613" w:rsidP="003C0EF5">
      <w:pPr>
        <w:widowControl w:val="0"/>
        <w:spacing w:line="420" w:lineRule="exact"/>
        <w:ind w:left="0" w:right="0"/>
        <w:jc w:val="both"/>
        <w:rPr>
          <w:rFonts w:cs="B Zar" w:hint="cs"/>
          <w:rtl/>
        </w:rPr>
      </w:pPr>
      <w:r w:rsidRPr="00075613">
        <w:rPr>
          <w:rFonts w:cs="B Zar" w:hint="cs"/>
          <w:rtl/>
        </w:rPr>
        <w:t>صفات ثبوتيه‌اي كه متكلمين به آن قائل شده‌اند و در متون آسماني ذكر شده است، همه قائم و استوار بر سلب هستند. وقتي مي گوئيم او بصير است، بايد نخست چشم و بصيرت به معناي عادي را نفي كنيم، تا او را بصير بگوئيم. وقتي سميع بگوئيم همينگونه است. وقتي عليم بگوئيم، بايد نخست دريافت علم را در حد حواس و ذهن و دماغ، و حالت تدريجي كسب علم را از او سلب كنيم تا به معناي خاص، صفت «عليم» بودن را به او نسبت دهيم، حتي در مورد «قديم» بودن نيز همچنين است؛ چرا كه تصور آغاز بايد از نقطة خاصي رد بشود تا به معناي خاص، قديم ناميده شود. البته شايد يگانه صفتي كه كاملاً و به طور غير مشروط مي توان بر او اطلاق كرد، صفت «واحد» است و از همين رو اسلام «توحيد» را تكيه گاه خود قرار مي دهد. تمام صفات ثبوتيه ديگر مبتني بر سلب مي باشند و در نهايت در زمره صفات سلبيه قرار دارند. اين است كه اوپانيشاد مي گويد كه او را تنها با «ني‌تي ني‌تي»، اين نيست، اين نيست، مي توان توصيف نمود.</w:t>
      </w:r>
    </w:p>
    <w:p w:rsidR="00075613" w:rsidRPr="00075613" w:rsidP="003C0EF5">
      <w:pPr>
        <w:widowControl w:val="0"/>
        <w:spacing w:line="420" w:lineRule="exact"/>
        <w:ind w:left="0" w:right="0"/>
        <w:jc w:val="both"/>
        <w:rPr>
          <w:rFonts w:cs="B Zar" w:hint="cs"/>
          <w:rtl/>
        </w:rPr>
      </w:pPr>
      <w:r w:rsidRPr="00075613">
        <w:rPr>
          <w:rFonts w:cs="B Zar" w:hint="cs"/>
          <w:rtl/>
        </w:rPr>
        <w:t>دكتر رادا كريشنان مي‌گويد كه هر موجودي كه با صفات ثبوتيه معرفي شود، ذاتيت و فرديت به معناي محدود آن را پيدا مي‌كند؛ در حاليكه برهمان چنان كه اوپانيشاد آنرا معرفي مي‌كند، ماوراي ذاتيت است. اصلاً ذات نيست، حق است، حقيقت است؛ موجود نيست، وجود است؛ زيبا نيست، زيبائي مطلق است؛ قادر نيست، قدرت مطلق است؛ حكيم به معناي حكمت مطلق است؛ جليل به معناي جلال مطلق است. ذات الهي در افق هاي فراسوي ذاتيت قرار دارد. او ذات نيست، حقيقت است، حق است، صمد است. اين گونه حقيقت را شانکارا «يرگومان برهمان»، برهمان «فراسوي صفات» ناميده است. او «مطلقيتِ وجود»، و راس اسماء و صفات است، ماوراي زمان و مكان است. نه زمان او را متغيّر مي‌‌سازد، نه مكان او را محدود. او ابتدا و انتها ندارد، و مستقل از بود و هست است</w:t>
      </w:r>
      <w:r>
        <w:rPr>
          <w:rStyle w:val="FootnoteReference"/>
          <w:rFonts w:cs="B Zar"/>
          <w:sz w:val="28"/>
          <w:szCs w:val="28"/>
          <w:rtl/>
        </w:rPr>
        <w:footnoteReference w:id="530"/>
      </w:r>
      <w:r w:rsidRPr="00075613">
        <w:rPr>
          <w:rFonts w:cs="B Zar" w:hint="cs"/>
          <w:rtl/>
        </w:rPr>
        <w:t>؛ رب‌العالمين و رب همگان مي‌باشد.</w:t>
      </w:r>
      <w:r>
        <w:rPr>
          <w:rStyle w:val="FootnoteReference"/>
          <w:rFonts w:cs="B Zar"/>
          <w:sz w:val="28"/>
          <w:szCs w:val="28"/>
          <w:rtl/>
        </w:rPr>
        <w:footnoteReference w:id="531"/>
      </w:r>
      <w:r w:rsidRPr="00075613">
        <w:rPr>
          <w:rFonts w:cs="B Zar" w:hint="cs"/>
          <w:rtl/>
        </w:rPr>
        <w:t xml:space="preserve"> او منشأ همة تحولات است، ولي هيچ  تغييري در ذات او حادث نمي‌شود</w:t>
      </w:r>
      <w:r>
        <w:rPr>
          <w:rStyle w:val="FootnoteReference"/>
          <w:rFonts w:cs="B Zar"/>
          <w:sz w:val="28"/>
          <w:szCs w:val="28"/>
          <w:rtl/>
        </w:rPr>
        <w:footnoteReference w:id="532"/>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طبق نظريه فلسفه الهي اوپانيشاد و سائر حكماي رباني، واجب الوجود منتهي اليه حاجات و تعلقات است و در درجه اعلاي كمال و جلال و جمال قرار گرفته و هيچگونه نقص و قصور و عدمي در ذات او راه ندارد. ذات او چنانكه صدرالمتالهين مي‌گويد، «بسيط الحقيقه» است و ذاتي است كه از جميع جهات بسيط است و در عين وحدت و بساطت كامل، مشتمل بر كليه حقائق وجود است، چون تمام صفات كماليه در او متحقق اند. از اين رو هيچ جهت امكانيه و جهت امتناعيه در او وجود ندارد. پس هر وجودي و هر كمالي متعلق به هر وجودي باشد، حاصل در ذات واجب‌الوجود و يا صادر از ذات اوست. قرآن كريم مي‌فرمايد: «ربنا وسعت كل شي و رحمه و علماً»؛ يعني: پروردگار ما! همه چيزها را به رحمت و علم خويش قرار داده است. بدين ترتيب هر وجه كمال، عين وجود حق است، پس بايد واجب‌الوجود بالذات، از فرط فعليت و كمال تحصل، جامع جميع نشأت وجود و كمال ‌باشد. ذات او از لحاظ تماميت و فضليت وجود و كمالات، مستند جميع كمالات و منبع كلية خيرات و ذات او بدين معني تام و فوق‌تمام است</w:t>
      </w:r>
      <w:r>
        <w:rPr>
          <w:rStyle w:val="FootnoteReference"/>
          <w:rFonts w:cs="B Zar"/>
          <w:sz w:val="28"/>
          <w:szCs w:val="28"/>
          <w:rtl/>
        </w:rPr>
        <w:footnoteReference w:id="533"/>
      </w:r>
      <w:r w:rsidRPr="00075613">
        <w:rPr>
          <w:rFonts w:cs="B Zar" w:hint="cs"/>
          <w:rtl/>
        </w:rPr>
        <w:t>. اين نظريه ملاصدرا با نظريه اوپانيشاد تفاوت زيادي ندارد. از همين روي اوپانيشاد در چندين مورد ذات خداوند را نه موجود، بلكه «وجود»؛ نه جميل، بلكه «جمال» ؛ نه عليم، بلكه «علم» و نه قادر، بلكه «قدرت» معرفي مي‌كند. به خاطر «فرط» و مطلقيت است كه خداوند در بعد تنزيهي، «صفت مطلق» است و نه موصوف. كمال كمالات از او نشأت گرفته و به او منتهي مي‌شوند. او متصف به اين كمالات نيست.</w:t>
      </w:r>
    </w:p>
    <w:p w:rsidR="00075613" w:rsidRPr="00075613" w:rsidP="003C0EF5">
      <w:pPr>
        <w:widowControl w:val="0"/>
        <w:spacing w:line="420" w:lineRule="exact"/>
        <w:ind w:left="0" w:right="0"/>
        <w:jc w:val="both"/>
        <w:rPr>
          <w:rFonts w:cs="B Zar" w:hint="cs"/>
          <w:rtl/>
        </w:rPr>
      </w:pPr>
      <w:r w:rsidRPr="00075613">
        <w:rPr>
          <w:rFonts w:cs="B Zar" w:hint="cs"/>
          <w:rtl/>
        </w:rPr>
        <w:t>ذات حضرت معبود ماهيت ندارد، زيرا او وجود صرف و عينيت محض است كه ساير موجودات و انيات ـ چنانكه ملاصدرا تاكيد مي كندـ از منبع ازلي او منبعث شده است. پس همانطور كه وجود در نفس خود از حيث حقيقت خويش موجود است، ماهيت در  حد ذات و از حيث نفس خويش موجود نيست؛ بلكه به وسيله وجود و در تبعيت از وجود، موجود است؛ همچنان خداوند وجود محض است و اسماء و صفات او به مثابه ماهيت هستند و به تبعيت وجودش موجود هستند</w:t>
      </w:r>
      <w:r>
        <w:rPr>
          <w:rStyle w:val="FootnoteReference"/>
          <w:rFonts w:cs="B Zar"/>
          <w:sz w:val="28"/>
          <w:szCs w:val="28"/>
          <w:rtl/>
        </w:rPr>
        <w:footnoteReference w:id="534"/>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نظرگاه اوپانيشاد در مسئلة نهائي ، با ديدگاه معتزله نزديكتر است كه گفته اند او ذات محض و عاري از صفات است. او وجودي است بسيط، تام و كامل، در حد اعلاي تماميت و كمال؛ حتي مافوق تمام و كمال؛ او يرگومان برهمان، برهمان ماوراي صفات است؛ چون بسيط محض اس؛، تمام صفات را در بر دارد، ولي صفت خاصي ندارد و چون «فعل محض» است، «قوه» در او وجود ندارد. او ذات لامتناهي است. مانتاريا اوپانيشاد مي‌گويد:</w:t>
      </w:r>
    </w:p>
    <w:p w:rsidR="00075613" w:rsidRPr="00075613" w:rsidP="003C0EF5">
      <w:pPr>
        <w:widowControl w:val="0"/>
        <w:spacing w:line="420" w:lineRule="exact"/>
        <w:ind w:left="0" w:right="0"/>
        <w:jc w:val="both"/>
        <w:rPr>
          <w:rFonts w:cs="B Zar" w:hint="cs"/>
          <w:rtl/>
        </w:rPr>
      </w:pPr>
      <w:r w:rsidRPr="00075613">
        <w:rPr>
          <w:rFonts w:cs="B Zar" w:hint="cs"/>
          <w:i/>
          <w:iCs/>
          <w:rtl/>
        </w:rPr>
        <w:t>«برهمان</w:t>
      </w:r>
      <w:r w:rsidRPr="00075613">
        <w:rPr>
          <w:rFonts w:cs="B Zar"/>
          <w:i/>
          <w:iCs/>
        </w:rPr>
        <w:t xml:space="preserve"> (Brahman)</w:t>
      </w:r>
      <w:r w:rsidRPr="00075613">
        <w:rPr>
          <w:rFonts w:cs="B Zar" w:hint="cs"/>
          <w:i/>
          <w:iCs/>
          <w:rtl/>
        </w:rPr>
        <w:t xml:space="preserve"> لامتناهي است؛ در شرق بي‌نهايت است؛ در غرب لامتناهي است؛ در جنوب لامتناهي است؛ در شمال لامتناهي است؛ در فوق بي نهايت است؛ در پائين بی نهایت است. او در همه جهات و از همه جهان بي نهايت است. او والاترين معبود و «نفس كلي» است كه قابل تصور نيست. غير قابل سنجش و پيمايش و «لم يلد و لم يولد» است كه كسي نمي تواند به كنه وجود و ذات او پي ببرد</w:t>
      </w:r>
      <w:r w:rsidRPr="00075613">
        <w:rPr>
          <w:rFonts w:cs="B Zar" w:hint="cs"/>
          <w:rtl/>
        </w:rPr>
        <w:t>»</w:t>
      </w:r>
      <w:r>
        <w:rPr>
          <w:rStyle w:val="FootnoteReference"/>
          <w:rFonts w:cs="B Zar"/>
          <w:sz w:val="28"/>
          <w:szCs w:val="28"/>
          <w:rtl/>
        </w:rPr>
        <w:footnoteReference w:id="535"/>
      </w:r>
      <w:r w:rsidRPr="00075613">
        <w:rPr>
          <w:rFonts w:cs="B Zar" w:hint="cs"/>
          <w:rtl/>
        </w:rPr>
        <w:t>. او «آكاساتما»</w:t>
      </w:r>
      <w:r w:rsidRPr="00075613">
        <w:rPr>
          <w:rFonts w:cs="B Zar"/>
        </w:rPr>
        <w:t>akasatma</w:t>
      </w:r>
      <w:r w:rsidRPr="00075613">
        <w:rPr>
          <w:rFonts w:cs="B Zar" w:hint="cs"/>
          <w:rtl/>
        </w:rPr>
        <w:t xml:space="preserve"> و نفس لامحدود است. همه وجود از او نشأت گرفته و در وجود او محو خواهد شد</w:t>
      </w:r>
      <w:r>
        <w:rPr>
          <w:rStyle w:val="FootnoteReference"/>
          <w:rFonts w:cs="B Zar"/>
          <w:sz w:val="28"/>
          <w:szCs w:val="28"/>
          <w:rtl/>
        </w:rPr>
        <w:footnoteReference w:id="536"/>
      </w:r>
      <w:r w:rsidRPr="00075613">
        <w:rPr>
          <w:rFonts w:cs="B Zar" w:hint="cs"/>
          <w:rtl/>
        </w:rPr>
        <w:t>. اين نقش كلي و وجود محض است كه «يرگومان برهمان» است. برهماني است، بدون صفات و يك وجود بسيط كه او را نمي‌توان تعريف و توصيف كرد. حتي چگونگي كنه ذات او را نمي توان تصور كرد، مگر در مقولة ني تي ني‌تي (چنين نيست، چنين نيست)</w:t>
      </w:r>
      <w:r>
        <w:rPr>
          <w:rStyle w:val="FootnoteReference"/>
          <w:rFonts w:cs="B Zar"/>
          <w:sz w:val="28"/>
          <w:szCs w:val="28"/>
          <w:rtl/>
        </w:rPr>
        <w:footnoteReference w:id="537"/>
      </w:r>
      <w:r w:rsidRPr="00075613">
        <w:rPr>
          <w:rFonts w:cs="B Zar" w:hint="cs"/>
          <w:rtl/>
        </w:rPr>
        <w:t>. اين خداوند است، در بعد مطلقيت و تجرد محض.</w:t>
      </w:r>
    </w:p>
    <w:p w:rsidR="00075613" w:rsidRPr="00075613" w:rsidP="003C0EF5">
      <w:pPr>
        <w:widowControl w:val="0"/>
        <w:spacing w:line="420" w:lineRule="exact"/>
        <w:ind w:left="0" w:right="0"/>
        <w:jc w:val="both"/>
        <w:rPr>
          <w:rFonts w:cs="B Zar" w:hint="cs"/>
          <w:rtl/>
        </w:rPr>
      </w:pPr>
      <w:r w:rsidRPr="00075613">
        <w:rPr>
          <w:rFonts w:cs="B Zar" w:hint="cs"/>
          <w:rtl/>
        </w:rPr>
        <w:t>اين ذات مطلق و مجرد فراسوي صفات و اسماء چگونه است؟ و چگونه مي توان به آن پي برد؟ اوپانيشاد معتقد است كه انسان تنها از طريق اشراق مي‌تواند به برخي صفات برهمان پي ببرد و روزنه اي براي فنا در اقيانوس آن باز كند. در اوپانيشاد كراراً گفته شده است كه ذات برهمان قابل توصيف نيست، قابل اشراق است</w:t>
      </w:r>
      <w:r>
        <w:rPr>
          <w:rStyle w:val="FootnoteReference"/>
          <w:rFonts w:cs="B Zar"/>
          <w:sz w:val="28"/>
          <w:szCs w:val="28"/>
          <w:rtl/>
        </w:rPr>
        <w:footnoteReference w:id="538"/>
      </w:r>
      <w:r w:rsidRPr="00075613">
        <w:rPr>
          <w:rFonts w:cs="B Zar" w:hint="cs"/>
          <w:rtl/>
        </w:rPr>
        <w:t xml:space="preserve">. در مانداكا اوپانيشاد </w:t>
      </w:r>
      <w:r w:rsidRPr="00075613">
        <w:rPr>
          <w:rFonts w:cs="B Zar"/>
        </w:rPr>
        <w:t xml:space="preserve"> Mundaka</w:t>
      </w:r>
      <w:r w:rsidRPr="00075613">
        <w:rPr>
          <w:rFonts w:cs="B Zar" w:hint="cs"/>
          <w:rtl/>
        </w:rPr>
        <w:t xml:space="preserve"> </w:t>
      </w:r>
      <w:r w:rsidRPr="00075613">
        <w:rPr>
          <w:rFonts w:cs="B Zar"/>
        </w:rPr>
        <w:t>Upanishad</w:t>
      </w:r>
      <w:r w:rsidRPr="00075613">
        <w:rPr>
          <w:rFonts w:cs="B Zar" w:hint="cs"/>
          <w:rtl/>
        </w:rPr>
        <w:t xml:space="preserve"> نيز اين نكته به صراحت بيان گرديده است كه ذات برهمان قابل توصيف نيست. در اين رساله مي‌خوانيم: «برهمان را به چشم نمي‌توان ديد و او را به زبان نمي‌توان توصيف كرد و او را به هيچ حسي نمي‌توان دريافت و او را بر يافت اعمال نتوان يافت؛ او را از گياهان خالص و معرفت صرف مي توان يافت و دلهاي كساني كه از معرفت توحيد صاف و روشن شده است، تنها براي آنان ميسور است كه اين ذاتي را كه قسمت پذير نيست، در آئينة دل ببينند</w:t>
      </w:r>
      <w:r>
        <w:rPr>
          <w:rStyle w:val="FootnoteReference"/>
          <w:rFonts w:cs="B Zar"/>
          <w:sz w:val="28"/>
          <w:szCs w:val="28"/>
          <w:rtl/>
        </w:rPr>
        <w:footnoteReference w:id="539"/>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در اين قطعه نيز همان نكته مورد تأكيد قرار گرفته است كه تنها از طريق اشراق مي توان برهمان را درك كرد، ولي آنان كه مدعي اشراق و رياضت بودند، ذات برهمان را چگونه تعريف كرده اند؟ اوپانيشاد پس از آنكه مي گويد برهمان را با ني‌تي ني‌تي، يعني سلب صفات مي‌توان توصيف كرد، سه صفت اصلي را براي اين جوهر كلي جهان قائل شده است. اين صفات عبارت اند از  «سات»، «چيت» و «آناند». «سات»، به معناي «حق» يا «حقيقت مطلق» است، «چيت»، وجود مطلق و «آناند»، سرور و لذت مطلق است.</w:t>
      </w:r>
    </w:p>
    <w:p w:rsidR="00075613" w:rsidRPr="00075613" w:rsidP="003C0EF5">
      <w:pPr>
        <w:widowControl w:val="0"/>
        <w:spacing w:line="420" w:lineRule="exact"/>
        <w:ind w:left="0" w:right="0"/>
        <w:jc w:val="both"/>
        <w:rPr>
          <w:rFonts w:cs="B Zar" w:hint="cs"/>
          <w:rtl/>
        </w:rPr>
      </w:pPr>
      <w:r w:rsidRPr="00075613">
        <w:rPr>
          <w:rFonts w:cs="B Zar" w:hint="cs"/>
          <w:rtl/>
        </w:rPr>
        <w:t xml:space="preserve">«سات» يا حقيقت مطلق، بدين معنا است كه تمام حقايق جهان، حقايق نسبي است و دل تنها حقيقت اصيل ذات برهمان است. او قائم به ذات است. برهمان وجودي است خالص از هر امري زايد بر ذات. وجودي است كامل و موكد در نهايت شدت نورانيت و هستي كه محدود و متناهي نيست؛ چنانكه ملاصدرا مي‌فرمايد: </w:t>
      </w:r>
      <w:r w:rsidRPr="00075613">
        <w:rPr>
          <w:rFonts w:cs="B Zar" w:hint="cs"/>
          <w:i/>
          <w:iCs/>
          <w:rtl/>
        </w:rPr>
        <w:t>«ذات حق غيرمتناهي است و غير متناهي بودن نيز غير متناهي است. هيچ حدي او را محدود نمي‌سازد و هيچ رسمي او را شامل نمي‌گردد. او «حي الله القيوم» است</w:t>
      </w:r>
      <w:r w:rsidRPr="00075613">
        <w:rPr>
          <w:rFonts w:cs="B Zar" w:hint="cs"/>
          <w:rtl/>
        </w:rPr>
        <w:t>»</w:t>
      </w:r>
      <w:r>
        <w:rPr>
          <w:rStyle w:val="FootnoteReference"/>
          <w:rFonts w:cs="B Zar"/>
          <w:sz w:val="28"/>
          <w:szCs w:val="28"/>
          <w:rtl/>
        </w:rPr>
        <w:footnoteReference w:id="540"/>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 xml:space="preserve">برهمان وجودي بسيط و عاري از ماهيت است. شكل و صورتي براي او متصور نيست. او وجود خالص و وجود محض است، به گفته اوپانيشاد، او «سات» و «چيت» است، نه تنها وجود مطلق است، بلكه «ذات مطلق» هم هست. او در ذات خويش نه جوهر است و نه عرض، زيرا هر يك ازاين دو صفت «جوهريت» و «عرضيت»، صفتي است براي ماهيتي مانند انسان، آنگاه كه او را به طور كلي و به معني عام تصور كنيم، ولي ذات برهمان چنين نيست. تصور خارجي چنين حقيقي كه سات و چيت وجود محض بدون جوهريت و عرضيت است، ممكن نيست؛ چرا كه صدرالمتالهين گفته است: </w:t>
      </w:r>
      <w:r w:rsidRPr="00075613">
        <w:rPr>
          <w:rFonts w:cs="B Zar" w:hint="cs"/>
          <w:i/>
          <w:iCs/>
          <w:rtl/>
        </w:rPr>
        <w:t>«تصور حقيقت خارجي هر چيزي عبارت است از حصول معناي آن چيز در ذهن و انتقال يافتن آن معني از خارج به ذهن</w:t>
      </w:r>
      <w:r w:rsidRPr="00075613">
        <w:rPr>
          <w:rFonts w:cs="B Zar" w:hint="cs"/>
          <w:rtl/>
        </w:rPr>
        <w:t>». اين امر در مورد وجود مطلق است  كه برهمان است، ممكن نيست؛ زيرا تصور او ممكن نيست. او وجود مطلق است، قطره چگونه مي‌تواند در داخل اقيانوس، تصوري از اقيانوس را به دست آورد. از اين رو ممكن نيست به حقيقت آن راه يافت؛ مگر از طريق شهود. وقتي از طريق شهود يك عارف به حقيقت مطلق پي ببرد متوجه مي‌شود او «آناند»، يعني اقيانوسي از لذات ماورائي و سرور است. كلمه «آناند» در چندين جا در اوپانيشاد به كار رفته است. معناي لغوي و تحت اللفظي كلمه «لذت» است و حتي در خود اوپانيشاد در برخي موارد آن به معناي لذت‌ها و سرورهاي مادي و جنسي به كار رفته است. يكي از اين موارد كوشي تاكا اوپانيشاد است،</w:t>
      </w:r>
      <w:r>
        <w:rPr>
          <w:rStyle w:val="FootnoteReference"/>
          <w:rFonts w:cs="B Zar"/>
          <w:sz w:val="28"/>
          <w:szCs w:val="28"/>
          <w:rtl/>
        </w:rPr>
        <w:footnoteReference w:id="541"/>
      </w:r>
      <w:r w:rsidRPr="00075613">
        <w:rPr>
          <w:rFonts w:cs="B Zar" w:hint="cs"/>
          <w:rtl/>
        </w:rPr>
        <w:t xml:space="preserve"> ولي در اوپانيشادهاي بعدي عموماً به معناي لذت روحي و معنوي و سپس به معناي لذت و سرور ماورائي كه تنها قابل اشراق است و قابل توصيف نيست به كار رفته است. در جزو سوم تانتاريا اوپانيشاد گفته شده است: «بهرگ پسر ورون، پيش پدر رفت و گفت: </w:t>
      </w:r>
      <w:r w:rsidRPr="00075613">
        <w:rPr>
          <w:rFonts w:cs="B Zar" w:hint="cs"/>
          <w:i/>
          <w:iCs/>
          <w:rtl/>
        </w:rPr>
        <w:t>«اي سزاوار! تعظيم برهمان را به من بفهمان</w:t>
      </w:r>
      <w:r w:rsidRPr="00075613">
        <w:rPr>
          <w:rFonts w:cs="B Zar" w:hint="cs"/>
          <w:rtl/>
        </w:rPr>
        <w:t>». پدر مرحله به مرحله پسر را به سوي حقيقت ذات مجرد رهنمون گرديد و بالاخره از طريق رياضت و كشف شهود دريافت كه: سرور محض، برهمان است. همة جانداران از او پيدا مي‌شوند، در او زنده مي‌مانند و در او محو مي‌شوند، اين را فهميد و در سرور محض محو گرديد</w:t>
      </w:r>
      <w:r>
        <w:rPr>
          <w:rStyle w:val="FootnoteReference"/>
          <w:rFonts w:cs="B Zar"/>
          <w:sz w:val="28"/>
          <w:szCs w:val="28"/>
          <w:rtl/>
        </w:rPr>
        <w:footnoteReference w:id="542"/>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سن آگوستين</w:t>
      </w:r>
      <w:r w:rsidRPr="00075613">
        <w:rPr>
          <w:rFonts w:cs="B Zar"/>
        </w:rPr>
        <w:t xml:space="preserve">(Augustine) </w:t>
      </w:r>
      <w:r w:rsidRPr="00075613">
        <w:rPr>
          <w:rFonts w:cs="B Zar" w:hint="cs"/>
          <w:rtl/>
        </w:rPr>
        <w:t>، يكي از عرفاي مسيحي نيز والاترين مرحله اشراق را مرحلة سرور محض ناميده است</w:t>
      </w:r>
      <w:r>
        <w:rPr>
          <w:rStyle w:val="FootnoteReference"/>
          <w:rFonts w:cs="B Zar"/>
          <w:sz w:val="28"/>
          <w:szCs w:val="28"/>
          <w:rtl/>
        </w:rPr>
        <w:footnoteReference w:id="543"/>
      </w:r>
      <w:r w:rsidRPr="00075613">
        <w:rPr>
          <w:rFonts w:cs="B Zar" w:hint="cs"/>
          <w:rtl/>
        </w:rPr>
        <w:t xml:space="preserve">. وقتي عارف به علم اليقين مي‌رسد، اقيانوسي از لذات و سرور را احساس مي‌كند. عرفاي اسلامي اين حالت را تسكينيت يا سكينه خوانده‌اند. ابن سينا در گفتار سوم اشارات و تشبيهات كه در عرفان و تصوف است، آخرين درجة سير و سلوك عارف را چنين بيان مي‌كند: </w:t>
      </w:r>
      <w:r w:rsidRPr="00075613">
        <w:rPr>
          <w:rFonts w:cs="B Zar" w:hint="cs"/>
          <w:i/>
          <w:iCs/>
          <w:rtl/>
        </w:rPr>
        <w:t>«وقتي رياضت به پايان رسيد و سالك به حق واصل گرديد، درون آئينه او حق جلوه‌گر مي‌شود و لذات حقيقي به وي مي‌رسد و از خود مسرور مي‌گردد؛ زيرا اثر حق در درون اوست</w:t>
      </w:r>
      <w:r w:rsidRPr="00075613">
        <w:rPr>
          <w:rFonts w:cs="B Zar" w:hint="cs"/>
          <w:rtl/>
        </w:rPr>
        <w:t>»</w:t>
      </w:r>
      <w:r>
        <w:rPr>
          <w:rStyle w:val="FootnoteReference"/>
          <w:rFonts w:cs="B Zar"/>
          <w:sz w:val="28"/>
          <w:szCs w:val="28"/>
          <w:rtl/>
        </w:rPr>
        <w:footnoteReference w:id="544"/>
      </w:r>
      <w:r w:rsidRPr="00075613">
        <w:rPr>
          <w:rFonts w:cs="B Zar" w:hint="cs"/>
          <w:rtl/>
        </w:rPr>
        <w:t xml:space="preserve">. در آيه ديگر تانتاريا اوپانيشاد، باز بر صفت آناند يا سرور تكيه شده است. مي گويد: </w:t>
      </w:r>
      <w:r w:rsidRPr="00075613">
        <w:rPr>
          <w:rFonts w:cs="B Zar" w:hint="cs"/>
          <w:i/>
          <w:iCs/>
          <w:rtl/>
        </w:rPr>
        <w:t>«ذات برهمان عين سرور است، هركه او را چنين بداند از هيچ چيز واهمه‌اي نخواهد داشت و اين خزانه سرور، آتمان</w:t>
      </w:r>
      <w:r w:rsidRPr="00075613">
        <w:rPr>
          <w:rFonts w:cs="B Zar"/>
          <w:i/>
          <w:iCs/>
        </w:rPr>
        <w:t xml:space="preserve">(atman) </w:t>
      </w:r>
      <w:r w:rsidRPr="00075613">
        <w:rPr>
          <w:rFonts w:cs="B Zar" w:hint="cs"/>
          <w:i/>
          <w:iCs/>
          <w:rtl/>
        </w:rPr>
        <w:t xml:space="preserve"> در بدن است</w:t>
      </w:r>
      <w:r w:rsidRPr="00075613">
        <w:rPr>
          <w:rFonts w:cs="B Zar" w:hint="cs"/>
          <w:rtl/>
        </w:rPr>
        <w:t>»</w:t>
      </w:r>
      <w:r>
        <w:rPr>
          <w:rStyle w:val="FootnoteReference"/>
          <w:rFonts w:cs="B Zar"/>
          <w:sz w:val="28"/>
          <w:szCs w:val="28"/>
          <w:rtl/>
        </w:rPr>
        <w:footnoteReference w:id="545"/>
      </w:r>
      <w:r w:rsidRPr="00075613">
        <w:rPr>
          <w:rFonts w:cs="B Zar" w:hint="cs"/>
          <w:rtl/>
        </w:rPr>
        <w:t xml:space="preserve">. در اين آيه نيز برهمان به عنوان سرور محض توصيف شده و سپس خزانه آنها نفس مطمئنه (نفس ملكوتي يا تجلي الهي) در داخل نفس انسان تلقي شده است. رسائي انسان به ذات لامتناهي در بعد تنزيهي و مجرد ممكن نيست. او تنها در مراحل سير و سلوك عرفاني، چنانكه ابن سينا توضيح داده است،  وقتي جوهر ملكوتي داخل خود را مشاهده مي‌كند، آن را به عنوان سرور محض در مي‌يابد، و سايه‌اي از اين درياي ناپيدا كنار سرور، بر او نيز سايه مي‌افكند و او به وجد و شادماني در مي‌آيد. </w:t>
      </w:r>
    </w:p>
    <w:p w:rsidR="00075613" w:rsidRPr="00075613" w:rsidP="003C0EF5">
      <w:pPr>
        <w:widowControl w:val="0"/>
        <w:spacing w:line="420" w:lineRule="exact"/>
        <w:ind w:left="0" w:right="0"/>
        <w:jc w:val="both"/>
        <w:rPr>
          <w:rFonts w:cs="B Zar"/>
          <w:rtl/>
        </w:rPr>
      </w:pPr>
      <w:r w:rsidRPr="00075613">
        <w:rPr>
          <w:rFonts w:cs="B Zar" w:hint="cs"/>
          <w:rtl/>
        </w:rPr>
        <w:t>در چاندوگيا اوپانيشاد و نيز در برهدارن ياكا اوپانيشاد، برهمان به عنوان آناند محض معرفي شده است. چاندوگيا اوپانيشاد مي‌گويد كه برهمان آناند و آكاس است. آكاس، به معناي آسمان نيلگون لامتناهي است. معنايش اين است كه عارف در حالت شهود، برهمان را يك فضاي لامحدود سرور و لذت احساس مي كند</w:t>
      </w:r>
      <w:r>
        <w:rPr>
          <w:rStyle w:val="FootnoteReference"/>
          <w:rFonts w:cs="B Zar"/>
          <w:sz w:val="28"/>
          <w:szCs w:val="28"/>
          <w:rtl/>
        </w:rPr>
        <w:footnoteReference w:id="546"/>
      </w:r>
      <w:r w:rsidRPr="00075613">
        <w:rPr>
          <w:rFonts w:cs="B Zar" w:hint="cs"/>
          <w:rtl/>
        </w:rPr>
        <w:t>. برهدارن ياكا اوپانيشاد در بيان سلسله مراتب لذات و سرور مي‌گويد كه والاترين سرور، سرور ذات برهمان است</w:t>
      </w:r>
      <w:r>
        <w:rPr>
          <w:rStyle w:val="FootnoteReference"/>
          <w:rFonts w:cs="B Zar"/>
          <w:sz w:val="28"/>
          <w:szCs w:val="28"/>
          <w:rtl/>
        </w:rPr>
        <w:footnoteReference w:id="547"/>
      </w:r>
      <w:r w:rsidRPr="00075613">
        <w:rPr>
          <w:rFonts w:cs="B Zar" w:hint="cs"/>
          <w:rtl/>
        </w:rPr>
        <w:t xml:space="preserve">. درباره اينكه آيا سه تعبير ذات مطلق (سات)، وجود مطلق (چيت) و لذت مطلق (آناند)، بيانگر صفات خداوند، يا نمايانگر حالات عارفي است كه به مقام عين‌اليقين مي‌رسد. ميان علماي هندو و حكيمان اختلاف است. شانکارا بزرگترين حكيم قرن هشتم ميلادي معتقد است كه ذات خداوند را در بعد «مطلقيت» و «تجرد» نمي‌توان تعريف كرد و توصيف او به عنوان «سات»، «چيت» و «آناند» تنها احساسي است كه عارف پيدا مي‌كند. شانكارامي‌گويد: </w:t>
      </w:r>
      <w:r w:rsidRPr="00075613">
        <w:rPr>
          <w:rFonts w:cs="B Zar" w:hint="cs"/>
          <w:i/>
          <w:iCs/>
          <w:rtl/>
        </w:rPr>
        <w:t>«از همين رو در محاورة قدما و متون مقدس هندوها، «آناند» با پسوند «مايا»</w:t>
      </w:r>
      <w:r w:rsidRPr="00075613">
        <w:rPr>
          <w:rFonts w:cs="B Zar"/>
          <w:i/>
          <w:iCs/>
        </w:rPr>
        <w:t xml:space="preserve">(Maya) </w:t>
      </w:r>
      <w:r w:rsidRPr="00075613">
        <w:rPr>
          <w:rFonts w:cs="B Zar" w:hint="cs"/>
          <w:i/>
          <w:iCs/>
          <w:rtl/>
        </w:rPr>
        <w:t xml:space="preserve"> (آنند مايا</w:t>
      </w:r>
      <w:r w:rsidRPr="00075613">
        <w:rPr>
          <w:rFonts w:cs="B Zar"/>
          <w:i/>
          <w:iCs/>
        </w:rPr>
        <w:t xml:space="preserve"> Anandamaya=</w:t>
      </w:r>
      <w:r w:rsidRPr="00075613">
        <w:rPr>
          <w:rFonts w:cs="B Zar" w:hint="cs"/>
          <w:i/>
          <w:iCs/>
          <w:rtl/>
        </w:rPr>
        <w:t>) همراه است. مايا، به معناي فريب نظر است. حتي اين صفاتي كه به ذات احديت نسبت داده مي‌شود نيز مجازي است. در نهايت برداشت عارف است؛ سراب است؛ فريب و خيال است. او فراسوي همة اينان قرار دارد، توصيف ما از ذات واقعي او نيست، بلكه او ساية اين ذات مطلق است كه عارف در حالات كشف و شهود آن را مي بيند»</w:t>
      </w:r>
      <w:r w:rsidRPr="00075613">
        <w:rPr>
          <w:rFonts w:cs="B Zar" w:hint="cs"/>
          <w:rtl/>
        </w:rPr>
        <w:t>. رادا كريشنان معتقد است كه هرچيزي كه با صفات معرفي شود، (ذاتيت) و (فرديت) پيدا مي كند</w:t>
      </w:r>
      <w:r w:rsidRPr="00075613">
        <w:rPr>
          <w:rFonts w:cs="B Zar"/>
          <w:rtl/>
        </w:rPr>
        <w:t xml:space="preserve"> </w:t>
      </w:r>
      <w:r>
        <w:rPr>
          <w:rStyle w:val="FootnoteReference"/>
          <w:rFonts w:cs="B Zar"/>
          <w:rtl/>
        </w:rPr>
        <w:footnoteReference w:id="548"/>
      </w:r>
      <w:r w:rsidRPr="00075613">
        <w:rPr>
          <w:rFonts w:cs="B Zar" w:hint="cs"/>
          <w:rtl/>
        </w:rPr>
        <w:t>. او معتقد است كه ما كلمه ذات را به وجود مطلق، تنها به طور استعاره و در معاني مجازي به كار مي بريم. در معناي واقعي، خداوند در «مطلقيت» و تجرد محض</w:t>
      </w:r>
      <w:r w:rsidRPr="00075613">
        <w:rPr>
          <w:rFonts w:cs="B Zar" w:hint="cs"/>
          <w:rtl/>
          <w:lang w:bidi="fa-IR"/>
        </w:rPr>
        <w:t>،</w:t>
      </w:r>
      <w:r w:rsidRPr="00075613">
        <w:rPr>
          <w:rFonts w:cs="B Zar" w:hint="cs"/>
          <w:rtl/>
        </w:rPr>
        <w:t xml:space="preserve"> وراي تصور محدود «ذات» و «صفات» است؛ چرا كه «ذات» تلقي كردن برهمان، محدودسازي لامحدود است. هرچه «ذات» است، در مقابل خارج از ذات قرار دارد. پس محدود شدن در حاليكه برهمان در بعد «نرگن» بودن يا در بعد مطلقيت و عدم تناهي، محدوديتي را نمي‌شناسد، او محدود به «من» و «غيرمن» نيست. پس چگونه مي تواند در ذات باشد و در حاليكه در محدوده «حد» و «رسم» نمي‌گنجد. پس چگونه مي توان او را تعريف كرد؟ رادا كريشنان اين نتيجه را مي گيرد كه در حقيقت الوهي در بعد «مطلقيت» و تجرد قابل توصيف نيست، ولي انسان او را تنها در بعد مادون‌تر،  كه بعد ذاتيت است و شانکارا آن را ساگون برهمان</w:t>
      </w:r>
      <w:r w:rsidRPr="00075613">
        <w:rPr>
          <w:rFonts w:cs="B Zar"/>
        </w:rPr>
        <w:t xml:space="preserve"> (Sagun Brahman</w:t>
      </w:r>
      <w:r w:rsidRPr="00075613">
        <w:rPr>
          <w:rFonts w:cs="B Zar" w:hint="cs"/>
          <w:rtl/>
        </w:rPr>
        <w:t xml:space="preserve"> (برهمان داراي صفات) ناميده است، درك مي كند و صفت اصلي برهمان در اين بعد مادون تر «چيت»</w:t>
      </w:r>
      <w:r w:rsidRPr="00075613">
        <w:rPr>
          <w:rFonts w:cs="B Zar"/>
        </w:rPr>
        <w:t>(Chit)</w:t>
      </w:r>
      <w:r w:rsidRPr="00075613">
        <w:rPr>
          <w:rFonts w:cs="B Zar" w:hint="cs"/>
          <w:rtl/>
        </w:rPr>
        <w:t xml:space="preserve">  و «آناند</w:t>
      </w:r>
      <w:r w:rsidRPr="00075613">
        <w:rPr>
          <w:rFonts w:cs="B Zar"/>
        </w:rPr>
        <w:t>(Ananda)</w:t>
      </w:r>
      <w:r w:rsidRPr="00075613">
        <w:rPr>
          <w:rFonts w:cs="B Zar" w:hint="cs"/>
          <w:rtl/>
        </w:rPr>
        <w:t>» است.</w:t>
      </w:r>
    </w:p>
    <w:p w:rsidR="00DC5DDB" w:rsidP="003C0EF5">
      <w:pPr>
        <w:widowControl w:val="0"/>
        <w:spacing w:line="420" w:lineRule="exact"/>
        <w:ind w:left="0" w:right="0"/>
        <w:jc w:val="center"/>
        <w:rPr>
          <w:rFonts w:cs="B Zar" w:hint="cs"/>
          <w:b/>
          <w:bCs/>
          <w:sz w:val="28"/>
          <w:szCs w:val="28"/>
          <w:rtl/>
        </w:rPr>
      </w:pPr>
      <w:r w:rsidRPr="00075613" w:rsidR="00075613">
        <w:rPr>
          <w:rFonts w:cs="B Zar"/>
          <w:b/>
          <w:bCs/>
          <w:sz w:val="28"/>
          <w:szCs w:val="28"/>
          <w:rtl/>
        </w:rPr>
        <w:br w:type="page"/>
      </w:r>
    </w:p>
    <w:p w:rsidR="00075613" w:rsidRPr="00075613" w:rsidP="003C0EF5">
      <w:pPr>
        <w:widowControl w:val="0"/>
        <w:spacing w:line="420" w:lineRule="exact"/>
        <w:ind w:left="0" w:right="0"/>
        <w:jc w:val="center"/>
        <w:rPr>
          <w:rFonts w:cs="B Zar" w:hint="cs"/>
          <w:b/>
          <w:bCs/>
          <w:sz w:val="28"/>
          <w:szCs w:val="28"/>
          <w:rtl/>
        </w:rPr>
      </w:pPr>
      <w:r w:rsidR="00F12A97">
        <w:rPr>
          <w:rFonts w:cs="B Zar" w:hint="cs"/>
          <w:b/>
          <w:bCs/>
          <w:sz w:val="28"/>
          <w:szCs w:val="28"/>
          <w:rtl/>
        </w:rPr>
        <w:t xml:space="preserve"> </w:t>
      </w:r>
    </w:p>
    <w:p w:rsidR="00075613" w:rsidRPr="00075613" w:rsidP="003C0EF5">
      <w:pPr>
        <w:widowControl w:val="0"/>
        <w:spacing w:line="420" w:lineRule="exact"/>
        <w:ind w:left="0" w:right="0"/>
        <w:jc w:val="center"/>
        <w:rPr>
          <w:rFonts w:cs="B Zar" w:hint="cs"/>
          <w:b/>
          <w:bCs/>
          <w:sz w:val="28"/>
          <w:szCs w:val="28"/>
          <w:rtl/>
        </w:rPr>
      </w:pPr>
      <w:r w:rsidRPr="00075613">
        <w:rPr>
          <w:rFonts w:cs="B Zar" w:hint="cs"/>
          <w:b/>
          <w:bCs/>
          <w:sz w:val="28"/>
          <w:szCs w:val="28"/>
          <w:rtl/>
        </w:rPr>
        <w:t>جهان بيني اوپانيشاد</w:t>
      </w:r>
    </w:p>
    <w:p w:rsidR="00075613" w:rsidRPr="00075613" w:rsidP="003C0EF5">
      <w:pPr>
        <w:widowControl w:val="0"/>
        <w:spacing w:line="420" w:lineRule="exact"/>
        <w:ind w:left="0" w:right="0"/>
        <w:jc w:val="both"/>
        <w:rPr>
          <w:rFonts w:cs="B Zar"/>
          <w:b/>
          <w:bCs/>
        </w:rPr>
      </w:pPr>
    </w:p>
    <w:p w:rsidR="00075613" w:rsidRPr="00075613" w:rsidP="003C0EF5">
      <w:pPr>
        <w:widowControl w:val="0"/>
        <w:spacing w:line="420" w:lineRule="exact"/>
        <w:ind w:left="0" w:right="0"/>
        <w:jc w:val="both"/>
        <w:rPr>
          <w:rFonts w:cs="B Zar" w:hint="cs"/>
          <w:b/>
          <w:bCs/>
          <w:rtl/>
        </w:rPr>
      </w:pPr>
      <w:r w:rsidRPr="00075613">
        <w:rPr>
          <w:rFonts w:cs="B Zar" w:hint="cs"/>
          <w:b/>
          <w:bCs/>
          <w:rtl/>
        </w:rPr>
        <w:t>رابطة خداو جهان</w:t>
      </w:r>
    </w:p>
    <w:p w:rsidR="00075613" w:rsidRPr="00075613" w:rsidP="003C0EF5">
      <w:pPr>
        <w:widowControl w:val="0"/>
        <w:spacing w:line="420" w:lineRule="exact"/>
        <w:ind w:left="0" w:right="0"/>
        <w:jc w:val="both"/>
        <w:rPr>
          <w:rFonts w:cs="B Zar" w:hint="cs"/>
          <w:rtl/>
        </w:rPr>
      </w:pPr>
      <w:r w:rsidRPr="00075613">
        <w:rPr>
          <w:rFonts w:cs="B Zar" w:hint="cs"/>
          <w:rtl/>
        </w:rPr>
        <w:t>چنانچه در فصل گذشته شرح داديم، برهمان وجودي است بسيط، غير مركب، ولي تام و كامل و در درجة اعلاي كمال و تماميت. اين تأكيد بر تماميت مطلق، در فلسفه وحدت الوجودي ودانتا</w:t>
      </w:r>
      <w:r w:rsidRPr="00075613">
        <w:rPr>
          <w:rFonts w:cs="B Zar"/>
        </w:rPr>
        <w:t xml:space="preserve"> (Vedanta)</w:t>
      </w:r>
      <w:r w:rsidRPr="00075613">
        <w:rPr>
          <w:rFonts w:cs="B Zar" w:hint="cs"/>
          <w:rtl/>
        </w:rPr>
        <w:t xml:space="preserve"> منجر به آن شده است كه تمام موجودات و اشياء را غرقه در ذات برهمان ببينند. هر موجودي داراي جنبه ها و مراتبي از كمال مي باشد و چون ذات برهمان ذاتي است كه تمام كمالات در آن نه به صورت «بالقوه»، بلكه بالفعل وجود دارند. پس هرچه هست، تجلي ذات برهمان و سايه‌اي از كمال مطلق اوست. برهمان سرسلسلة موجودات، جوهر وجود آنان و مرجع نهائي همة آنان است. در جهان بيني اوپانيشاد رابطه ميان جهان و جهان آفرين، يك رابطة مكانيكي و «ماشين واره اي» نيست. در رابطة مكانيكي وقتي يك سازواره ساخته شد، برحسب قوانين خاص خود عمل مي كند و رابطة آن با موجد، رابطة مخلوقيت و خالقيت، در برهه زماني گذشته است. رابطة ميان دستگاه اصلي و اجزاي آن نيز رابطة خشك و محدودي است. هر جزو كاركرد مستقل خودش را انجام مي‌دهد. رابطه ميان اشياء و موجودات رابطه «اندام واره‌اي» است. رابطة اجزاي اندام با يكديگر و نيز با روح و نفس، رابطه زنده و مستمري است. اگر اين رابطه يك لحظه قطع شود، اندام از ايفاي كاركرد خويش بازخواهد ماند، ولي حتي در رابطه «اندام واره‌اي» هم كاركرد اندام، بسته به حفظ اين رابطه است و ربطي به موجوديت آن ندارد. مثلاً اگر اين رابطه حياتي ميان «دست» و اندام وارة اصلي قطع شود، دست فلج مي‌شود، ولي ازبين نمي‌رود. بدينسان رابطة خدا و جهان حتي يك رابطة اندام واره‌اي نيز نيست، بلكه يك «رابطه نوري» است. مقصود ما از رابطه نوري آن رابطه‌اي است كه ميان خورشيد و اشعه خورشيد يا ميان چراغ و نور آن وجود دارد. در رابطة نوري خورشيد و اشعه آن، رابطه‌اي  نه تنها مستمر است، بلكه وجود شعاع و كاركرد آن مبتني و متكي به خورشيد است. اگر آن نباشد، شعاع آن هم نيست. ثانياً وجود «شعاع» در مقابل خورشيد يك وجود نسبي است، اگر با ديده ژرف‌تر بنگريم، مي بينيم كه هرچه هست، خورشيد است. شايد همين علت بوده است كه در تمام اديان بزرگ دنيا و فرهنگ‌ها، خداوند را به عنوان نور يا نورالانوار معرفي كرده اند.</w:t>
      </w:r>
    </w:p>
    <w:p w:rsidR="00075613" w:rsidRPr="00075613" w:rsidP="003C0EF5">
      <w:pPr>
        <w:widowControl w:val="0"/>
        <w:spacing w:line="420" w:lineRule="exact"/>
        <w:ind w:left="0" w:right="0"/>
        <w:jc w:val="both"/>
        <w:rPr>
          <w:rFonts w:cs="B Zar" w:hint="cs"/>
          <w:rtl/>
        </w:rPr>
      </w:pPr>
      <w:r w:rsidRPr="00075613">
        <w:rPr>
          <w:rFonts w:cs="B Zar" w:hint="cs"/>
          <w:rtl/>
        </w:rPr>
        <w:t xml:space="preserve">طبق نظر اوپانيشاد، موجودات و اشياء نه  تنها قائم بالذات نيستند، بلكه هست نسبي دارند. در واقع آنان در ذات برهمان غرقه‌اند؛ تجليات اسماء و صفات او هستند. در برهدارن ياكا اوپانيشاد، مايتري از حكيم جاگنولاكا، دربارة رابطه جهان و جهان آفرين سؤال مي‌كند. استاد در پاسخ، تمثيل رابطة نقاره و صداي آن و يا ني و آواي آن را به كار مي برد. نظير رابطه خورشيد و اشعه، رابطة صداي نقاره با نقاره رابطه مستمر دارد. جاگنولاكا مي گويد: </w:t>
      </w:r>
      <w:r w:rsidRPr="00075613">
        <w:rPr>
          <w:rFonts w:cs="B Zar" w:hint="cs"/>
          <w:i/>
          <w:iCs/>
          <w:rtl/>
        </w:rPr>
        <w:t>«وقتي كه نقاره نواخته مي‌شود و آوازهائي از آن ظاهر مي‌شوند، روشهاي هنري كه نقارچي به كار مي‌برد، هرچند از نظر اعتباري از صدا جدا است، اما در ذات از آن جدا نيست</w:t>
      </w:r>
      <w:r w:rsidRPr="00075613">
        <w:rPr>
          <w:rFonts w:cs="B Zar" w:hint="cs"/>
          <w:rtl/>
        </w:rPr>
        <w:t>».</w:t>
      </w:r>
      <w:r>
        <w:rPr>
          <w:rStyle w:val="FootnoteReference"/>
          <w:rFonts w:cs="B Zar"/>
          <w:sz w:val="28"/>
          <w:szCs w:val="28"/>
          <w:rtl/>
        </w:rPr>
        <w:footnoteReference w:id="549"/>
      </w:r>
      <w:r w:rsidRPr="00075613">
        <w:rPr>
          <w:rFonts w:cs="B Zar" w:hint="cs"/>
          <w:rtl/>
        </w:rPr>
        <w:t xml:space="preserve"> سپس جاگنولاكا، همين تمثيل را اينگونه ادامه مي‌دهد: </w:t>
      </w:r>
      <w:r w:rsidRPr="00075613">
        <w:rPr>
          <w:rFonts w:cs="B Zar" w:hint="cs"/>
          <w:i/>
          <w:iCs/>
          <w:rtl/>
        </w:rPr>
        <w:t>«چنانچه وقتي شنكها (يكي از آلات موسيقي) نواخته مي‌شود، آوازهائي كه از آن ظاهر مي‌شوند و هنرهايي كه نوازنده شنكها در نواختن به كار مي‌برد، در اعتبار از آواز شنكها جدا هستند، ولي در ذات جدا نيستند. در عين حال بي آواز، شنكه شنيده نمي‌شود و  هرگاه شنيده شود با آواز شنيده مي‌شود. همانگونه وقتي ني «بين» نواخته مي‌شود، آوازهائي از آن ظاهر مي‌شود؛ هرچند به طور نسبي از «ني» و نوازندة ني جدا نيستند. در عين حال ني بي آواز شنيده نمي‌شود. هرگاه شنيده شود، به وسيله آواز شنيده مي‌شود. پس چيزي كه بي چيزي ديگر يافته نشود، آن را عين او بايد دانست.</w:t>
      </w:r>
      <w:r>
        <w:rPr>
          <w:rStyle w:val="FootnoteReference"/>
          <w:rFonts w:cs="B Zar"/>
          <w:sz w:val="28"/>
          <w:szCs w:val="28"/>
          <w:rtl/>
        </w:rPr>
        <w:footnoteReference w:id="550"/>
      </w:r>
      <w:r w:rsidRPr="00075613">
        <w:rPr>
          <w:rFonts w:cs="B Zar" w:hint="cs"/>
          <w:rtl/>
        </w:rPr>
        <w:t xml:space="preserve">» </w:t>
      </w:r>
    </w:p>
    <w:p w:rsidR="00075613" w:rsidRPr="00075613" w:rsidP="003C0EF5">
      <w:pPr>
        <w:widowControl w:val="0"/>
        <w:spacing w:line="420" w:lineRule="exact"/>
        <w:ind w:left="0" w:right="0"/>
        <w:jc w:val="both"/>
        <w:rPr>
          <w:rFonts w:cs="B Zar" w:hint="cs"/>
          <w:rtl/>
        </w:rPr>
      </w:pPr>
      <w:r w:rsidRPr="00075613">
        <w:rPr>
          <w:rFonts w:cs="B Zar" w:hint="cs"/>
          <w:rtl/>
        </w:rPr>
        <w:t>پس از آن جاگنولاكا، تمثيل ديگري به كار مي‌برد و مي‌گويد كه رابطه خدا و جهان رابطه دود با آتش است. همچنان كه دود از آتش بلند مي‌شود و خاصه طبيعي وجود آن است، جهان نيز همينگونه از ذات احد و صمد نشأت گرفته است. وقتي آتشي با چوب‌هاي تر افروخته باشند، دودهاي مختلف در رنگ و شكل‌ از اطراف آن برمي‌آيد، همچنين، اين انفاس مختلف بي اختيار از آن بيرون آمده است</w:t>
      </w:r>
      <w:r>
        <w:rPr>
          <w:rStyle w:val="FootnoteReference"/>
          <w:rFonts w:cs="B Zar"/>
          <w:sz w:val="28"/>
          <w:szCs w:val="28"/>
          <w:rtl/>
        </w:rPr>
        <w:footnoteReference w:id="551"/>
      </w:r>
      <w:r w:rsidRPr="00075613">
        <w:rPr>
          <w:rFonts w:cs="B Zar" w:hint="cs"/>
          <w:rtl/>
        </w:rPr>
        <w:t>. در اين گفته ريگ ودا و سام ودا و غيره كه گفته شده است انفاس از ذات برهمان بيرون آمده‌اند، علامتي ‌است از موجودات و هستي. دود شكل‌هاي مختلف مي‌گيرد و به رنگهاي گوناگون در مي‌آيد، ولي از آتش جدا نيستند. جاگنولاكا تشبيه ديگري نيز به كار مي برد و مي‌گويد: «</w:t>
      </w:r>
      <w:r w:rsidRPr="00075613">
        <w:rPr>
          <w:rFonts w:cs="B Zar" w:hint="cs"/>
          <w:i/>
          <w:iCs/>
          <w:rtl/>
        </w:rPr>
        <w:t>چنانچه سنگ نمك از اندرون و برون همه نمك است، چون در صورت داشتن آب و بعد از بسته شدن، به صورت قطعات مختلف نمك در مي‌آيد و باز به صورت اولية آب بر‌مي‌گردد، همچنين به يقين اين مايتري، آن آتما كه از درون و برون عين «معرفت» است، به صورت عناصر ملموس ظاهر گشته، باز همراه آن عناصر به صورت معرفت محض در خواهد آمد و همه صورت‌ها در او محو مي‌شوند و نام‌هاي عليحده‌اي براي خود ندارند</w:t>
      </w:r>
      <w:r>
        <w:rPr>
          <w:rStyle w:val="FootnoteReference"/>
          <w:rFonts w:cs="B Zar"/>
          <w:i/>
          <w:iCs/>
          <w:sz w:val="28"/>
          <w:szCs w:val="28"/>
          <w:rtl/>
        </w:rPr>
        <w:footnoteReference w:id="552"/>
      </w:r>
      <w:r w:rsidRPr="00075613">
        <w:rPr>
          <w:rFonts w:cs="B Zar" w:hint="cs"/>
          <w:i/>
          <w:iCs/>
          <w:rtl/>
        </w:rPr>
        <w:t>.</w:t>
      </w:r>
      <w:r w:rsidRPr="00075613">
        <w:rPr>
          <w:rFonts w:cs="B Zar" w:hint="cs"/>
          <w:rtl/>
        </w:rPr>
        <w:t xml:space="preserve">» </w:t>
      </w:r>
    </w:p>
    <w:p w:rsidR="00075613" w:rsidRPr="00075613" w:rsidP="003C0EF5">
      <w:pPr>
        <w:widowControl w:val="0"/>
        <w:spacing w:line="420" w:lineRule="exact"/>
        <w:ind w:left="0" w:right="0"/>
        <w:jc w:val="both"/>
        <w:rPr>
          <w:rFonts w:cs="B Zar" w:hint="cs"/>
          <w:i/>
          <w:iCs/>
          <w:rtl/>
        </w:rPr>
      </w:pPr>
      <w:r w:rsidRPr="00075613">
        <w:rPr>
          <w:rFonts w:cs="B Zar" w:hint="cs"/>
          <w:rtl/>
        </w:rPr>
        <w:t>در مانداكا اوپانيشاد</w:t>
      </w:r>
      <w:r w:rsidRPr="00075613">
        <w:rPr>
          <w:rFonts w:cs="B Zar"/>
        </w:rPr>
        <w:t xml:space="preserve"> Mundaka</w:t>
      </w:r>
      <w:r w:rsidRPr="00075613">
        <w:rPr>
          <w:rFonts w:cs="B Zar" w:hint="cs"/>
          <w:rtl/>
        </w:rPr>
        <w:t xml:space="preserve"> </w:t>
      </w:r>
      <w:r w:rsidRPr="00075613">
        <w:rPr>
          <w:rFonts w:cs="B Zar"/>
        </w:rPr>
        <w:t xml:space="preserve">Upanishad </w:t>
      </w:r>
      <w:r w:rsidRPr="00075613">
        <w:rPr>
          <w:rFonts w:cs="B Zar" w:hint="cs"/>
          <w:rtl/>
        </w:rPr>
        <w:t xml:space="preserve"> رابطة خدا و جهان به عنوان رابطه عنكبوت و تار عنكبوت بيان گرديده است. فردي به نام شولاكا كه دولتمند و صاحب ثروت بود، زن و فرزند را رها كرده، به دنبال معرفت به سير و سلوك عرفاني پرداخت، نزد عارفي به نام انگيراس آمد و از او پرسيد با كدام معرفت همه چيز دانسته مي‌شود؟ انگرس</w:t>
      </w:r>
      <w:r w:rsidRPr="00075613">
        <w:rPr>
          <w:rFonts w:cs="B Zar"/>
        </w:rPr>
        <w:t xml:space="preserve"> (Angiras)</w:t>
      </w:r>
      <w:r w:rsidRPr="00075613">
        <w:rPr>
          <w:rFonts w:cs="B Zar" w:hint="cs"/>
          <w:rtl/>
        </w:rPr>
        <w:t xml:space="preserve"> در پاسخ به شولاكا</w:t>
      </w:r>
      <w:r w:rsidRPr="00075613">
        <w:rPr>
          <w:rFonts w:cs="B Zar"/>
        </w:rPr>
        <w:t>(Shaukala)</w:t>
      </w:r>
      <w:r w:rsidRPr="00075613">
        <w:rPr>
          <w:rFonts w:cs="B Zar" w:hint="cs"/>
          <w:rtl/>
        </w:rPr>
        <w:t xml:space="preserve"> مي‌گويد كه معرفت  دوگونه است: يكي معرفت شريعت و متونی نظير ريگ ودا</w:t>
      </w:r>
      <w:r w:rsidRPr="00075613">
        <w:rPr>
          <w:rFonts w:cs="B Zar"/>
        </w:rPr>
        <w:t xml:space="preserve"> (Rig Veda)</w:t>
      </w:r>
      <w:r w:rsidRPr="00075613">
        <w:rPr>
          <w:rFonts w:cs="B Zar" w:hint="cs"/>
          <w:rtl/>
        </w:rPr>
        <w:t xml:space="preserve"> و سام ودا</w:t>
      </w:r>
      <w:r w:rsidRPr="00075613">
        <w:rPr>
          <w:rFonts w:cs="B Zar"/>
        </w:rPr>
        <w:t xml:space="preserve"> (Sama Veda)</w:t>
      </w:r>
      <w:r w:rsidRPr="00075613">
        <w:rPr>
          <w:rFonts w:cs="B Zar" w:hint="cs"/>
          <w:rtl/>
        </w:rPr>
        <w:t xml:space="preserve"> و ديگري معرفتِ والاترِ ذات برهمان و رابطة حياتي او با جهان خلقت و دريافتن او در «آفاق» و «انفس». سپس مي‌گويد: </w:t>
      </w:r>
      <w:r w:rsidRPr="00075613">
        <w:rPr>
          <w:rFonts w:cs="B Zar" w:hint="cs"/>
          <w:i/>
          <w:iCs/>
          <w:rtl/>
        </w:rPr>
        <w:t>«همانطور كه عنكبوت تارهايي از خود پيدا مي‌كند، باز در خود فرو مي‌كشد و چنانچه زمين جميع نباتات را از خود بر مي‌آورد و همانطوريكه از آدم‌هاي زنده موهاي خرد و كلان مي‌رويد، همچنين از ذات بي‌زوال، همه عالم پيدا و ايجاد مي‌شود.</w:t>
      </w:r>
      <w:r>
        <w:rPr>
          <w:rStyle w:val="FootnoteReference"/>
          <w:rFonts w:cs="B Zar"/>
          <w:i/>
          <w:iCs/>
          <w:sz w:val="28"/>
          <w:szCs w:val="28"/>
          <w:rtl/>
        </w:rPr>
        <w:footnoteReference w:id="553"/>
      </w:r>
      <w:r w:rsidRPr="00075613">
        <w:rPr>
          <w:rFonts w:cs="B Zar" w:hint="cs"/>
          <w:i/>
          <w:iCs/>
          <w:rtl/>
        </w:rPr>
        <w:t xml:space="preserve">» </w:t>
      </w:r>
    </w:p>
    <w:p w:rsidR="00075613" w:rsidRPr="00075613" w:rsidP="003C0EF5">
      <w:pPr>
        <w:widowControl w:val="0"/>
        <w:spacing w:line="420" w:lineRule="exact"/>
        <w:ind w:left="0" w:right="0"/>
        <w:jc w:val="both"/>
        <w:rPr>
          <w:rFonts w:cs="B Zar" w:hint="cs"/>
          <w:rtl/>
        </w:rPr>
      </w:pPr>
      <w:r w:rsidRPr="00075613">
        <w:rPr>
          <w:rFonts w:cs="B Zar" w:hint="cs"/>
          <w:rtl/>
        </w:rPr>
        <w:t>ولي تمثيلي كه بيش از همه براي نشان دادن ذات خداوند و جهان به كار برده شده است، رابطه آتش و شراره‌هاي آتش یا روشنائي و نور آن است. در مانداكا اوپانيشاد در برهمان دوم، كهاند اول گفته مي‌شود</w:t>
      </w:r>
      <w:r w:rsidRPr="00075613">
        <w:rPr>
          <w:rFonts w:cs="B Zar" w:hint="cs"/>
          <w:i/>
          <w:iCs/>
          <w:rtl/>
        </w:rPr>
        <w:t xml:space="preserve">: «چنانچه آتشي كه خوب روشن شده باشد، از آن هزاران شراره برمي‌خيزد كه همه در واقع جزئي از آن آتش هستند. همينطور از آن چهره (يعني ذات بي نقصان)، همه جيواتما (يعني جان همه موجودات)، ظاهر مي‌شوند و در همان ذات فرو مي روند. آن ذات عين نور است و آن ذاتي بي صورت است و آن ذات پروش (روح كلي) است و در درون همه وجود دارد و قديم است؛ زاده نشده است و از حواس ظاهري درك نمي شود و پاك و لطيف است. همة حسهاي ظاهري و باطني؛ پران، دل، بهوت آكاس، باد، آتش، آب و خاك، از آن ذات پيدا شده اند. همه عالم صورت اوست و طبقة هفتم بهشت و سماء، كه بالاتر از همه اوست، سراي اوست و آفتاب و ماه هر دو چشم است و جهان هر دو گوش اوست؛ كل عالم دل اوست، زمين پاهاي اوست و آن ذات، جان همه و جان جانان است </w:t>
      </w:r>
      <w:r w:rsidRPr="00075613">
        <w:rPr>
          <w:rFonts w:hint="eastAsia"/>
          <w:i/>
          <w:iCs/>
          <w:rtl/>
        </w:rPr>
        <w:t>…</w:t>
      </w:r>
      <w:r w:rsidRPr="00075613">
        <w:rPr>
          <w:rFonts w:cs="B Zar" w:hint="eastAsia"/>
          <w:i/>
          <w:iCs/>
          <w:rtl/>
        </w:rPr>
        <w:t xml:space="preserve"> هم</w:t>
      </w:r>
      <w:r w:rsidRPr="00075613">
        <w:rPr>
          <w:rFonts w:cs="B Zar" w:hint="cs"/>
          <w:i/>
          <w:iCs/>
          <w:rtl/>
        </w:rPr>
        <w:t>ه</w:t>
      </w:r>
      <w:r w:rsidRPr="00075613">
        <w:rPr>
          <w:rFonts w:cs="B Zar" w:hint="eastAsia"/>
          <w:i/>
          <w:iCs/>
          <w:rtl/>
        </w:rPr>
        <w:t xml:space="preserve"> </w:t>
      </w:r>
      <w:r w:rsidRPr="00075613">
        <w:rPr>
          <w:rFonts w:cs="B Zar" w:hint="cs"/>
          <w:i/>
          <w:iCs/>
          <w:rtl/>
        </w:rPr>
        <w:t>ن</w:t>
      </w:r>
      <w:r w:rsidRPr="00075613">
        <w:rPr>
          <w:rFonts w:cs="B Zar" w:hint="eastAsia"/>
          <w:i/>
          <w:iCs/>
          <w:rtl/>
        </w:rPr>
        <w:t>باتات</w:t>
      </w:r>
      <w:r w:rsidRPr="00075613">
        <w:rPr>
          <w:rFonts w:cs="B Zar" w:hint="cs"/>
          <w:i/>
          <w:iCs/>
          <w:rtl/>
        </w:rPr>
        <w:t xml:space="preserve"> و جمادات و موجودات از او پيدا شده است و همه موجودات از او نشأت گرفته‌اند. اقسام فرشتگان و آدميان و حيوانات و پرنده‌ها و بادها از او پيدا شده‌اند؛ و بحر محيط و اقيانوسها از او زاده شده‌اند؛ هرچيز از او زاده شده است و او عين همه است</w:t>
      </w:r>
      <w:r>
        <w:rPr>
          <w:rStyle w:val="FootnoteReference"/>
          <w:rFonts w:cs="B Zar"/>
          <w:sz w:val="28"/>
          <w:szCs w:val="28"/>
          <w:rtl/>
        </w:rPr>
        <w:footnoteReference w:id="554"/>
      </w:r>
      <w:r w:rsidRPr="00075613">
        <w:rPr>
          <w:rFonts w:cs="B Zar" w:hint="cs"/>
          <w:i/>
          <w:iCs/>
          <w:rtl/>
        </w:rPr>
        <w:t>»</w:t>
      </w:r>
      <w:r w:rsidRPr="00075613">
        <w:rPr>
          <w:rFonts w:cs="B Zar" w:hint="cs"/>
          <w:rtl/>
        </w:rPr>
        <w:t xml:space="preserve">. </w:t>
      </w:r>
    </w:p>
    <w:p w:rsidR="00075613" w:rsidRPr="00075613" w:rsidP="003C0EF5">
      <w:pPr>
        <w:widowControl w:val="0"/>
        <w:spacing w:line="420" w:lineRule="exact"/>
        <w:ind w:left="0" w:right="0"/>
        <w:jc w:val="both"/>
        <w:rPr>
          <w:rFonts w:cs="B Zar" w:hint="cs"/>
          <w:rtl/>
        </w:rPr>
      </w:pPr>
      <w:r w:rsidRPr="00075613">
        <w:rPr>
          <w:rFonts w:cs="B Zar" w:hint="cs"/>
          <w:rtl/>
        </w:rPr>
        <w:t xml:space="preserve">در كهاند </w:t>
      </w:r>
      <w:r w:rsidRPr="00075613">
        <w:rPr>
          <w:rFonts w:cs="B Zar"/>
        </w:rPr>
        <w:t xml:space="preserve"> (Khand)</w:t>
      </w:r>
      <w:r w:rsidRPr="00075613">
        <w:rPr>
          <w:rFonts w:cs="B Zar" w:hint="cs"/>
          <w:rtl/>
        </w:rPr>
        <w:t>دوم همين اوپانيشاد، استاد به شاگردش مي‌گويد</w:t>
      </w:r>
      <w:r w:rsidRPr="00075613">
        <w:rPr>
          <w:rFonts w:cs="B Zar" w:hint="cs"/>
          <w:i/>
          <w:iCs/>
          <w:rtl/>
        </w:rPr>
        <w:t xml:space="preserve">: «اي نكو خو، برهمان ظاهر است، او نزديكتر است، در حجره دل مي باشد و در حجره دل سير مي كند. همه عالم از متحرك و جاندار و جسم و نفس در ميان اوست </w:t>
      </w:r>
      <w:r w:rsidRPr="00075613">
        <w:rPr>
          <w:rFonts w:hint="eastAsia"/>
          <w:i/>
          <w:iCs/>
          <w:rtl/>
        </w:rPr>
        <w:t>…</w:t>
      </w:r>
      <w:r w:rsidRPr="00075613">
        <w:rPr>
          <w:rFonts w:cs="B Zar" w:hint="eastAsia"/>
          <w:i/>
          <w:iCs/>
          <w:rtl/>
        </w:rPr>
        <w:t xml:space="preserve"> </w:t>
      </w:r>
      <w:r w:rsidRPr="00075613">
        <w:rPr>
          <w:rFonts w:cs="B Zar" w:hint="cs"/>
          <w:i/>
          <w:iCs/>
          <w:rtl/>
        </w:rPr>
        <w:t>اصل همه اوست. او عين نور است و از هر لطيفي لطيف‌تر است. همة عالم و آنچه در عالم است، همه در ميان اوست. آن ذات بي‌زوال، پران است. دل است و راست، حق است و بي مرگ است</w:t>
      </w:r>
      <w:r>
        <w:rPr>
          <w:rStyle w:val="FootnoteReference"/>
          <w:rFonts w:cs="B Zar"/>
          <w:i/>
          <w:iCs/>
          <w:sz w:val="28"/>
          <w:szCs w:val="28"/>
          <w:rtl/>
        </w:rPr>
        <w:footnoteReference w:id="555"/>
      </w:r>
      <w:r w:rsidRPr="00075613">
        <w:rPr>
          <w:rFonts w:cs="B Zar" w:hint="cs"/>
          <w:i/>
          <w:iCs/>
          <w:rtl/>
        </w:rPr>
        <w:t>»</w:t>
      </w:r>
      <w:r w:rsidRPr="00075613">
        <w:rPr>
          <w:rFonts w:cs="B Zar" w:hint="cs"/>
          <w:rtl/>
        </w:rPr>
        <w:t>. اوپانيشاد براي ثبات اين نكته كه برهمان يا ذات احديت كار مايه عالم است، يك تعبير زيباي ديگر به كار برده است. چنانچه دانه‌هاي مرواريد در يك رشته كشيده مي‌شود و از طريق آن رشته به هم اتصال پيدا مي‌كنند و به صورت يك تسبيح در مي‌آيند، همينطور ارض و سماء، بهشت و زمين و فضا، همه در رشته ذات برهمان كشيده شده اند</w:t>
      </w:r>
      <w:r>
        <w:rPr>
          <w:rStyle w:val="FootnoteReference"/>
          <w:rFonts w:cs="B Zar"/>
          <w:sz w:val="28"/>
          <w:szCs w:val="28"/>
          <w:rtl/>
        </w:rPr>
        <w:footnoteReference w:id="556"/>
      </w:r>
      <w:r w:rsidRPr="00075613">
        <w:rPr>
          <w:rFonts w:cs="B Zar" w:hint="cs"/>
          <w:rtl/>
        </w:rPr>
        <w:t xml:space="preserve">. </w:t>
      </w:r>
    </w:p>
    <w:p w:rsidR="00075613" w:rsidRPr="00075613" w:rsidP="003C0EF5">
      <w:pPr>
        <w:widowControl w:val="0"/>
        <w:spacing w:line="420" w:lineRule="exact"/>
        <w:ind w:left="0" w:right="0"/>
        <w:jc w:val="both"/>
        <w:rPr>
          <w:rFonts w:cs="B Zar" w:hint="cs"/>
          <w:rtl/>
        </w:rPr>
      </w:pPr>
      <w:r w:rsidRPr="00075613">
        <w:rPr>
          <w:rFonts w:cs="B Zar" w:hint="cs"/>
          <w:rtl/>
        </w:rPr>
        <w:t>بدينسان، هزار سال پيش از ميلاد مسيح، ريشي هاي آريائي به طور بسيار گويا و رسا، نظريه و جهان‌بيني وحدت‌الوجودي و همه اوستي را عنوان كرده بودند. از اظهارات يادشده اوپانيشاد به وضوح بر مي‌آيد كه برحسب آن ديدگاه ، جهان با جهان آفرين رابطه حياتي دارد. البته از برخي تعبيرات و تمثيلهاي ياد شده، نظير آب و نمك يا دانه‌هاي مرواريد و رشته‌هاي آن، ممكن است چنان گمان شود كه اوپانيشاد نيز نظير فلسفه سام كهيا، دو عنصر را در جهان مي‌نگرد، «روح خدائي» و ماده كه از آميزش اين دو، موجودات شكل گرفته‌اند؛ ولي واقعيت چنين نيست. فلسفة ودانت و جهان بيني اوپانيشاد هيچگونه دوگانگي را نمي‌پذيرند. اشياء و موجودات صرفاً آب‌ها يا انعكاس برهمان هستند. فلسفه ودانت معتقد به «تادات ميه» يا همانستي آفريده و آفريدگار است.</w:t>
      </w:r>
    </w:p>
    <w:p w:rsidR="00075613" w:rsidRPr="00075613" w:rsidP="003C0EF5">
      <w:pPr>
        <w:widowControl w:val="0"/>
        <w:spacing w:line="420" w:lineRule="exact"/>
        <w:ind w:left="0" w:right="0"/>
        <w:jc w:val="both"/>
        <w:rPr>
          <w:rFonts w:cs="B Zar" w:hint="cs"/>
          <w:rtl/>
        </w:rPr>
      </w:pPr>
      <w:r w:rsidRPr="00075613">
        <w:rPr>
          <w:rFonts w:cs="B Zar" w:hint="cs"/>
          <w:rtl/>
        </w:rPr>
        <w:t>اما چنان كه در فصل گذشته خاطر نشان ساخته‌ايم، نگرش وحدت‌الوجودي اوپانيشاد به معناي «همه خدائي» است و نه جهان ـ خدائي. مونيسم است و نه پانتيسم. اوپانيشاد، جهان را انعكاسي از صفات و اسماء خدا، بلكه يك شعاع از ذات نورالانور مي‌داند، ولي خداوند را در جهان خلاصه نمي كند. جهان از جهان آفرين جدا نيست و در عين حال خدا نيست، شمول برهمان بر كليه اشياء، از قبيل شمول كلي بر جزئيات خود نيست، بلكه شمول او بر موجودات، از سنخ ظهور و تجلي او در هيكل ماهيات است.</w:t>
      </w:r>
    </w:p>
    <w:p w:rsidR="00075613" w:rsidP="003C0EF5">
      <w:pPr>
        <w:widowControl w:val="0"/>
        <w:spacing w:line="420" w:lineRule="exact"/>
        <w:ind w:left="0" w:right="0"/>
        <w:jc w:val="both"/>
        <w:rPr>
          <w:rFonts w:cs="B Zar" w:hint="cs"/>
          <w:rtl/>
        </w:rPr>
      </w:pPr>
      <w:r w:rsidRPr="00075613">
        <w:rPr>
          <w:rFonts w:cs="B Zar" w:hint="cs"/>
          <w:rtl/>
        </w:rPr>
        <w:t>تمام اشياء و پديده‌ها عليرغم کثرت سطحي، بر درجه‌اي از درجات هستي در وحدت همه شمول برهمان در مي‌غلطند؛ اما اين ماهيت اتحاد متناهي با لامتناهي، قطره با دريا و موجودات با برهمان چگونه است؟ اين امر را نمي توان تبيين كرد و حتي عقل انسان از درك آن ناتوان است. اين امر وراي پروازهاي فلسفه و منطق قرار دارد. دكتر رادا كريشنان كه خود از صاحب نظران برجسته فلسفه شرق و غرب محسوب مي شده است، مي‌گويد: «فلسفه مي بايستي با تواضع و فروتني تمام، اذعان كند كه ماهيت دقيق پيوستگي ميان جهان و جهان آفرين را درك نمي كند. موضع دقيق و درست فلسفه در اين مسئله، موضع «من نمي دانم» است. ريشي هاي اوپانيشاد با فروتني اذعان داشته بودند كه ماهيت برهمان و رابطه اش را با جهان با ني تی ني تی يا سلب صفات مي‌توانند بيان كنند، نه با اثبات صفات. البته فيلسوفان و متكلمان بعدي كه تواضع و خودشكني رسولان آريائي و حكيمان پيشين را نداشتند، در صدد تعريف و كلاسه نمودن ذات نامتناهي و رابطه آن با متناهي برآمدند كه با موضع ريشي هاي اوپانيشاد سازگاري ندارد</w:t>
      </w:r>
      <w:r>
        <w:rPr>
          <w:rStyle w:val="FootnoteReference"/>
          <w:rFonts w:cs="B Zar"/>
          <w:rtl/>
        </w:rPr>
        <w:footnoteReference w:id="557"/>
      </w:r>
      <w:r w:rsidRPr="00075613">
        <w:rPr>
          <w:rFonts w:cs="B Zar" w:hint="cs"/>
          <w:rtl/>
        </w:rPr>
        <w:t>.</w:t>
      </w:r>
    </w:p>
    <w:p w:rsidR="00A973E2" w:rsidRPr="00075613"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هيران گاربها، پوروش و دراج:</w:t>
      </w:r>
    </w:p>
    <w:p w:rsidR="00075613" w:rsidRPr="00075613" w:rsidP="003C0EF5">
      <w:pPr>
        <w:widowControl w:val="0"/>
        <w:spacing w:line="420" w:lineRule="exact"/>
        <w:ind w:left="0" w:right="0"/>
        <w:jc w:val="both"/>
        <w:rPr>
          <w:rFonts w:cs="B Zar" w:hint="cs"/>
          <w:rtl/>
        </w:rPr>
      </w:pPr>
      <w:r w:rsidRPr="00075613">
        <w:rPr>
          <w:rFonts w:cs="B Zar" w:hint="cs"/>
          <w:rtl/>
        </w:rPr>
        <w:t>طبق ديدگاه اوپانيشاد، ذات خداوندي داراي چهار بعد است:</w:t>
      </w:r>
    </w:p>
    <w:p w:rsidR="00075613" w:rsidRPr="00075613" w:rsidP="003C0EF5">
      <w:pPr>
        <w:widowControl w:val="0"/>
        <w:spacing w:line="420" w:lineRule="exact"/>
        <w:ind w:left="0" w:right="0"/>
        <w:jc w:val="both"/>
        <w:rPr>
          <w:rFonts w:cs="B Zar" w:hint="cs"/>
          <w:rtl/>
        </w:rPr>
      </w:pPr>
      <w:r w:rsidRPr="00075613">
        <w:rPr>
          <w:rFonts w:cs="B Zar" w:hint="cs"/>
          <w:rtl/>
        </w:rPr>
        <w:t>الف: بعد تجردي به عنوان يك حقيقت مجرد و مطلق، خداوند در اين بعد برهمان ناميده مي‌شود؛</w:t>
      </w:r>
    </w:p>
    <w:p w:rsidR="00075613" w:rsidRPr="00075613" w:rsidP="003C0EF5">
      <w:pPr>
        <w:widowControl w:val="0"/>
        <w:spacing w:line="420" w:lineRule="exact"/>
        <w:ind w:left="0" w:right="0"/>
        <w:jc w:val="both"/>
        <w:rPr>
          <w:rFonts w:cs="B Zar" w:hint="cs"/>
          <w:rtl/>
        </w:rPr>
      </w:pPr>
      <w:r w:rsidRPr="00075613">
        <w:rPr>
          <w:rFonts w:cs="B Zar" w:hint="cs"/>
          <w:rtl/>
        </w:rPr>
        <w:t>ب: بعد تشخصي به عنوان يك ذات الوهي، خداوند در اين بعد ايشو ناميده مي شود؛</w:t>
      </w:r>
    </w:p>
    <w:p w:rsidR="00075613" w:rsidRPr="00075613" w:rsidP="003C0EF5">
      <w:pPr>
        <w:widowControl w:val="0"/>
        <w:spacing w:line="420" w:lineRule="exact"/>
        <w:ind w:left="0" w:right="0"/>
        <w:jc w:val="both"/>
        <w:rPr>
          <w:rFonts w:cs="B Zar" w:hint="cs"/>
          <w:rtl/>
        </w:rPr>
      </w:pPr>
      <w:r w:rsidRPr="00075613">
        <w:rPr>
          <w:rFonts w:cs="B Zar" w:hint="cs"/>
          <w:rtl/>
        </w:rPr>
        <w:t>ج: بعد تجلي در «انفس»، در اين بعد او آتمان ناميده مي‌‌شود؛</w:t>
      </w:r>
    </w:p>
    <w:p w:rsidR="00075613" w:rsidRPr="00075613" w:rsidP="003C0EF5">
      <w:pPr>
        <w:widowControl w:val="0"/>
        <w:spacing w:line="420" w:lineRule="exact"/>
        <w:ind w:left="0" w:right="0"/>
        <w:jc w:val="both"/>
        <w:rPr>
          <w:rFonts w:cs="B Zar" w:hint="cs"/>
          <w:rtl/>
        </w:rPr>
      </w:pPr>
      <w:r w:rsidRPr="00075613">
        <w:rPr>
          <w:rFonts w:cs="B Zar" w:hint="cs"/>
          <w:rtl/>
        </w:rPr>
        <w:t>د: بعد تجلي در «آفاق»، در اين بعد او را هيران گاربها</w:t>
      </w:r>
      <w:r w:rsidRPr="00075613">
        <w:rPr>
          <w:rFonts w:cs="B Zar"/>
        </w:rPr>
        <w:t xml:space="preserve"> (Hiran Garbha)</w:t>
      </w:r>
      <w:r w:rsidRPr="00075613">
        <w:rPr>
          <w:rFonts w:cs="B Zar" w:hint="cs"/>
          <w:rtl/>
        </w:rPr>
        <w:t xml:space="preserve"> يا پوروش</w:t>
      </w:r>
      <w:r w:rsidRPr="00075613">
        <w:rPr>
          <w:rFonts w:cs="B Zar"/>
        </w:rPr>
        <w:t xml:space="preserve"> (Purush)</w:t>
      </w:r>
      <w:r w:rsidRPr="00075613">
        <w:rPr>
          <w:rFonts w:cs="B Zar" w:hint="cs"/>
          <w:rtl/>
        </w:rPr>
        <w:t xml:space="preserve"> مي‌نامند. والاترين تصور خداوند در مقوله تانتاريا</w:t>
      </w:r>
      <w:r w:rsidRPr="00075613">
        <w:rPr>
          <w:rFonts w:cs="B Zar"/>
        </w:rPr>
        <w:t xml:space="preserve"> Taittiriya </w:t>
      </w:r>
      <w:r w:rsidRPr="00075613">
        <w:rPr>
          <w:rFonts w:cs="B Zar" w:hint="cs"/>
          <w:rtl/>
        </w:rPr>
        <w:t xml:space="preserve"> و تجرد مطلقيت است. همين حقيقت مجرد در يك مرتبه پائين تر در خلقت تجلي پيدا مي‌كند. در كاتها اوپانيشاد گفته شده است: </w:t>
      </w:r>
      <w:r w:rsidRPr="00075613">
        <w:rPr>
          <w:rFonts w:cs="B Zar" w:hint="cs"/>
          <w:i/>
          <w:iCs/>
          <w:rtl/>
        </w:rPr>
        <w:t>«هركس بداند كه بالاتر از حواس، دل است و بالاتر از دل، عقل است و بالاتر از عقل كل، هيران گاربها است و بالاتر از هيران گاربها، موجود سه صفتي است (كنايه است از خداوند در بعد تشخيص و ذاتيت كه سه صفت او، چيت، سات و آناند است) و بالاتر از آن ذاتي است كه در همه پر است و محيط است و بي نشان است»</w:t>
      </w:r>
      <w:r>
        <w:rPr>
          <w:rStyle w:val="FootnoteReference"/>
          <w:rFonts w:cs="B Zar"/>
          <w:i/>
          <w:iCs/>
          <w:sz w:val="28"/>
          <w:szCs w:val="28"/>
          <w:rtl/>
        </w:rPr>
        <w:footnoteReference w:id="558"/>
      </w:r>
      <w:r w:rsidRPr="00075613">
        <w:rPr>
          <w:rFonts w:cs="B Zar" w:hint="cs"/>
          <w:i/>
          <w:iCs/>
          <w:rtl/>
        </w:rPr>
        <w:t>.</w:t>
      </w:r>
      <w:r w:rsidRPr="00075613">
        <w:rPr>
          <w:rFonts w:cs="B Zar" w:hint="cs"/>
          <w:rtl/>
        </w:rPr>
        <w:t xml:space="preserve"> </w:t>
      </w:r>
    </w:p>
    <w:p w:rsidR="00075613" w:rsidRPr="00075613" w:rsidP="003C0EF5">
      <w:pPr>
        <w:widowControl w:val="0"/>
        <w:spacing w:line="420" w:lineRule="exact"/>
        <w:ind w:left="0" w:right="0"/>
        <w:jc w:val="both"/>
        <w:rPr>
          <w:rFonts w:cs="B Zar" w:hint="cs"/>
          <w:rtl/>
        </w:rPr>
      </w:pPr>
      <w:r w:rsidRPr="00075613">
        <w:rPr>
          <w:rFonts w:cs="B Zar" w:hint="cs"/>
          <w:rtl/>
        </w:rPr>
        <w:t>از نظر لغوي، كلمه هيران گاربها</w:t>
      </w:r>
      <w:r w:rsidRPr="00075613">
        <w:rPr>
          <w:rFonts w:cs="B Zar"/>
        </w:rPr>
        <w:t xml:space="preserve">Hiran Garbha </w:t>
      </w:r>
      <w:r w:rsidRPr="00075613">
        <w:rPr>
          <w:rFonts w:cs="B Zar" w:hint="cs"/>
          <w:rtl/>
        </w:rPr>
        <w:t xml:space="preserve"> كه در اوپانيشاد كراراً بدان اشاره شده است، به معناي تخم طلائي يا زهدان زرين است. ذات مطلق (برهمان) وقتي خواست، عالم بوجود مي آيد؛ تخم طلايي را بر آب‌هاي تاريك موج در موج اقيانوسي آرام (كنايه از عدم مطلق) ايجاد كرد. سپس از هيران گاربها، كل كيهان و سائر موجودات ايجاد شدند. در اوپانيشاد او به عنوان هسته آفرينش و نگهدارنده ارض و سماء و حيات بخش موجودات معرفي مي شود. پيداست كه هيران گاربها در تعبير اساطيري و تمثيلي، اشاره‌اي است به جنبه خالقيت و تجلي او در جهان.</w:t>
      </w:r>
    </w:p>
    <w:p w:rsidR="00075613" w:rsidRPr="00075613" w:rsidP="003C0EF5">
      <w:pPr>
        <w:widowControl w:val="0"/>
        <w:spacing w:line="420" w:lineRule="exact"/>
        <w:ind w:left="0" w:right="0"/>
        <w:jc w:val="both"/>
        <w:rPr>
          <w:rFonts w:cs="B Zar" w:hint="cs"/>
          <w:rtl/>
        </w:rPr>
      </w:pPr>
      <w:r w:rsidRPr="00075613">
        <w:rPr>
          <w:rFonts w:cs="B Zar" w:hint="cs"/>
          <w:rtl/>
        </w:rPr>
        <w:t>نخستين بار سخن از هيران گاربها در آخرين سرودهاي ريگ ودا ديده مي‌شود. در سرود صد و بيست و نهم از كتاب دهم ريگ ودا سخن از تخم طلائي به ميان آمده است كه بر آبهاي عدم پديدار گشت</w:t>
      </w:r>
      <w:r>
        <w:rPr>
          <w:rStyle w:val="FootnoteReference"/>
          <w:rFonts w:cs="B Zar"/>
          <w:sz w:val="28"/>
          <w:szCs w:val="28"/>
          <w:rtl/>
        </w:rPr>
        <w:footnoteReference w:id="559"/>
      </w:r>
      <w:r w:rsidRPr="00075613">
        <w:rPr>
          <w:rFonts w:cs="B Zar" w:hint="cs"/>
          <w:rtl/>
        </w:rPr>
        <w:t>. اين تخم به عنوان هسته اصلي آفرينش معرفي مي‌شود</w:t>
      </w:r>
      <w:r>
        <w:rPr>
          <w:rStyle w:val="FootnoteReference"/>
          <w:rFonts w:cs="B Zar"/>
          <w:sz w:val="28"/>
          <w:szCs w:val="28"/>
          <w:rtl/>
        </w:rPr>
        <w:footnoteReference w:id="560"/>
      </w:r>
      <w:r w:rsidRPr="00075613">
        <w:rPr>
          <w:rFonts w:cs="B Zar" w:hint="cs"/>
          <w:rtl/>
        </w:rPr>
        <w:t>. در چاندوگيا اوپانيشاد، اشارات پراكنده ودا به صورت يك نظريه آفرينش مفصل عنوان مي‌گردد</w:t>
      </w:r>
      <w:r>
        <w:rPr>
          <w:rStyle w:val="FootnoteReference"/>
          <w:rFonts w:cs="B Zar"/>
          <w:sz w:val="28"/>
          <w:szCs w:val="28"/>
          <w:rtl/>
        </w:rPr>
        <w:footnoteReference w:id="561"/>
      </w:r>
      <w:r w:rsidRPr="00075613">
        <w:rPr>
          <w:rFonts w:cs="B Zar" w:hint="cs"/>
          <w:rtl/>
        </w:rPr>
        <w:t>. از برخي قطعات ريگ ودا و اوپانيشاد اين گمان پيش مي‌آيد كه در آغاز، آريائي‌ها خورشيد را هيران گاربها مي‌ناميده‌اند. وقتي آنان به تدريج از مرحله پرستش طبيعت به مرحله توحيد و اعتقاد به پارجاپاتي يا خداي بزرگ مي‌رسيدند، گمان مي‌كردند كه خورشيد هسته آفرينش است كه پارجاپاتي به وجود مي‌آورد. خورشيد از نظر صوري نيز با تخم يا بيضه شبيه بود، رنگ آن طلائي بود؛ از اين رو آن را بيضة طلائي ناميدند. آريائيهاي مرحلة پرستش طبيعت كه مشاهده قوي داشتند، متوجه شدند كه خورشيد جنب و جوش و تحرك ايجاد مي كند و در حيات بخشي به نباتات، نقش بسيار اساسي دارد. از اين جهت آنان هستي، زندگاني و آفرينندگي را به آن نسبت دادند. در صبحگاهان آنان تصور مي‌كردند گوئي اين بيضه طلائي بر امواج آرام آسمان شب ظاهر مي شود و تاريكي را مي‌زدايد. در پرشنا اوپانيشاد و رسائل ديگر اوپانيشاد اشاراتي وجود دارد كه اثبات كننده و يا لااقل تقويت كننده اين مفروضه مي باشد.</w:t>
      </w:r>
      <w:r>
        <w:rPr>
          <w:rStyle w:val="FootnoteReference"/>
          <w:rFonts w:cs="B Zar"/>
          <w:sz w:val="28"/>
          <w:szCs w:val="28"/>
          <w:rtl/>
        </w:rPr>
        <w:footnoteReference w:id="562"/>
      </w:r>
    </w:p>
    <w:p w:rsidR="00075613" w:rsidRPr="00075613" w:rsidP="003C0EF5">
      <w:pPr>
        <w:widowControl w:val="0"/>
        <w:spacing w:line="420" w:lineRule="exact"/>
        <w:ind w:left="0" w:right="0"/>
        <w:jc w:val="both"/>
        <w:rPr>
          <w:rFonts w:cs="B Zar" w:hint="cs"/>
          <w:rtl/>
        </w:rPr>
      </w:pPr>
      <w:r w:rsidRPr="00075613">
        <w:rPr>
          <w:rFonts w:cs="B Zar" w:hint="cs"/>
          <w:rtl/>
        </w:rPr>
        <w:t xml:space="preserve">در مرحله بعدي، وقتي نگرش وحدت الوجودي ميان آريائيها رواج پيدا كرد، هيران گاربها به عنوان يكي از تجليات خداوند كه موجب ايجاد عالم مي گردد درآمد. اين روند، چنانكه مفسر اوپانيشاد، پال ديوسن </w:t>
      </w:r>
      <w:r w:rsidRPr="00075613">
        <w:rPr>
          <w:rFonts w:cs="B Zar"/>
        </w:rPr>
        <w:t>(Deussen)</w:t>
      </w:r>
      <w:r w:rsidRPr="00075613">
        <w:rPr>
          <w:rFonts w:cs="B Zar" w:hint="cs"/>
          <w:rtl/>
        </w:rPr>
        <w:t xml:space="preserve"> خاطر نشان ساخته، از سوتاس وتر اوپانيشاد به بعد مشهودتر گرديده است. اينك هيران گاربها كنايه‌اي از بعد تشبيهي و تجسمي خداوند در جهان و تجلي الهي در عالم است. خداوند نور ارض و سماء است و اين نور را ريشي‌هاي آريائي هيران گاربها ناميدند. از نظر جهانبيني اوپاينشاد، رابطه ميان خدا و جهان تنها به طور مجازي، رابطه خالقيت و مخلوقيت است؛ ولي در حقيقت رابطه «ظل» و صاحب ظل تجلي و صاحب تجلي است. جهان به مثابه اشعه‌اي از خورشيد الوهيت است. مجموعه اين اشعه‌ها را هيران گاربها گويند. البته به طور مجازي، خداوند كه صادر كننده تجليات است، خالق و آفريننده ناميده مي شود. در قطعات گوناگون اوپانيشاد و نيز در مهابهارات، هيران گاربها تخم و منشا همه آفرينش‌ها معرفي شده است. در مرحله سوم، ظاهراً پس از آنكه ريشي‌ها نظريه آتمان يا نفس ملكوتي در داخل انسان را تدوين نمودند، از طريق سير تعقل و اشراق بدين نتيجه رسيدند كه جهان نيز همانند انسان مي‌‌بايستي داراي يك روح جهاني يا نفس كلي باشد. در اين مرحله تعبير هيران گاربها را براي آن روح جهاني كه پوتوي از ذات برهمان است به كار بردند. در اين مرحله هيران گاربها روح آفاق است و همان رابطه را با جهان دارد كه آتمان</w:t>
      </w:r>
      <w:r w:rsidRPr="00075613">
        <w:rPr>
          <w:rFonts w:cs="B Zar"/>
        </w:rPr>
        <w:t xml:space="preserve">(Atman) </w:t>
      </w:r>
      <w:r w:rsidRPr="00075613">
        <w:rPr>
          <w:rFonts w:cs="B Zar" w:hint="cs"/>
          <w:rtl/>
        </w:rPr>
        <w:t xml:space="preserve"> با انسان؛ همچنانكه عالم اصغر داراي يك عنصر ملكوتي است، جوهر و اساس وجود و رمز وجود آن و كارمايه اصلي عالم است. عارفان و حكيمان همواره بر اين نكته تاكيد داشته اند كه در وراي نمودها، يك بود است. در وراي عالم محسوسات نيز يك جوهر غيبي وجود دارد كه كارمايه و قوام دهنده وجود اشياء و موجودات است. </w:t>
      </w:r>
    </w:p>
    <w:p w:rsidR="00075613" w:rsidRPr="00075613" w:rsidP="003C0EF5">
      <w:pPr>
        <w:widowControl w:val="0"/>
        <w:spacing w:line="420" w:lineRule="exact"/>
        <w:ind w:left="0" w:right="0"/>
        <w:jc w:val="both"/>
        <w:rPr>
          <w:rFonts w:cs="B Zar" w:hint="cs"/>
          <w:rtl/>
        </w:rPr>
      </w:pPr>
      <w:r w:rsidRPr="00075613">
        <w:rPr>
          <w:rFonts w:cs="B Zar" w:hint="cs"/>
          <w:rtl/>
        </w:rPr>
        <w:t xml:space="preserve">كانت مي‌گويد: </w:t>
      </w:r>
      <w:r w:rsidRPr="00075613">
        <w:rPr>
          <w:rFonts w:cs="B Zar" w:hint="cs"/>
          <w:i/>
          <w:iCs/>
          <w:rtl/>
        </w:rPr>
        <w:t xml:space="preserve">«علم ما محدود به پديده‌هاي حسي است، ولي، شي‌ء ـ در ـ خود </w:t>
      </w:r>
      <w:r w:rsidRPr="00075613">
        <w:rPr>
          <w:rFonts w:cs="B Zar"/>
          <w:i/>
          <w:iCs/>
        </w:rPr>
        <w:t>(Thing-in-itself)</w:t>
      </w:r>
      <w:r w:rsidRPr="00075613">
        <w:rPr>
          <w:rFonts w:cs="B Zar" w:hint="cs"/>
          <w:i/>
          <w:iCs/>
          <w:rtl/>
        </w:rPr>
        <w:t>، وراي حوزه معلومات ما است. اين شي‌ء ـ درـ خود، نه تنها سرّ معرفت حقيقي از يك پديده، بلكه تعيين كننده آن نيز هست</w:t>
      </w:r>
      <w:r w:rsidRPr="00075613">
        <w:rPr>
          <w:rFonts w:cs="B Zar" w:hint="cs"/>
          <w:rtl/>
        </w:rPr>
        <w:t xml:space="preserve">». اسپينوزا روحي را كه در جهان جريان دارد، جوهر مي‌نامد. او جوهر را منشاء و زمينه وجود جهان مي‌داند؛ همچنانكه سيب زمينه رنگ سرخِ پوستِ آن است و شير علت سپيدي و صفت سيال بودن است، جوهر علت دروني و يا علت لازم </w:t>
      </w:r>
      <w:r w:rsidRPr="00075613">
        <w:rPr>
          <w:rFonts w:cs="B Zar"/>
        </w:rPr>
        <w:t>(Immanent Cause)</w:t>
      </w:r>
      <w:r w:rsidRPr="00075613">
        <w:rPr>
          <w:rFonts w:cs="B Zar" w:hint="cs"/>
          <w:rtl/>
        </w:rPr>
        <w:t xml:space="preserve"> جهان و هستي است. ماكس مولر معتقد است كه مفهوم برهمان و هيران گاربها در اوپانيشاد با مفهوم جوهر در فلسفه اسپينوزا قابل مقايسه است.  </w:t>
      </w:r>
    </w:p>
    <w:p w:rsidR="00075613" w:rsidRPr="00075613" w:rsidP="003C0EF5">
      <w:pPr>
        <w:widowControl w:val="0"/>
        <w:spacing w:line="420" w:lineRule="exact"/>
        <w:ind w:left="0" w:right="0"/>
        <w:jc w:val="both"/>
        <w:rPr>
          <w:rFonts w:cs="B Zar" w:hint="cs"/>
          <w:i/>
          <w:iCs/>
          <w:rtl/>
        </w:rPr>
      </w:pPr>
      <w:r w:rsidRPr="00075613">
        <w:rPr>
          <w:rFonts w:cs="B Zar" w:hint="cs"/>
          <w:rtl/>
        </w:rPr>
        <w:t>از برخي قطعات اوپانيشاد چنان به نظر مي‌رسد كه هيران گاربها در عين آنكه رخساره‌اي از ذات خالق مطلق است، مخلوق هم هست. هيران گاربها</w:t>
      </w:r>
      <w:r w:rsidRPr="00075613">
        <w:rPr>
          <w:rFonts w:cs="B Zar"/>
        </w:rPr>
        <w:t xml:space="preserve">(Hiran Garbha) </w:t>
      </w:r>
      <w:r w:rsidRPr="00075613">
        <w:rPr>
          <w:rFonts w:cs="B Zar" w:hint="cs"/>
          <w:rtl/>
        </w:rPr>
        <w:t xml:space="preserve"> به عنوان مادر اول معرفي شده است كه ساير موجودات و مخلوقات از او صادر گرديده‌اند. در مندك اوپانيشاد مي‌خوانيم: </w:t>
      </w:r>
      <w:r w:rsidRPr="00075613">
        <w:rPr>
          <w:rFonts w:cs="B Zar" w:hint="cs"/>
          <w:i/>
          <w:iCs/>
          <w:rtl/>
        </w:rPr>
        <w:t>«آن ذات، داننده همه است. به اجمال و تفضيل، علم او بر همه محيط است و از همان ذات بي‌زوال، هيران گاربها زاده شده است و سپس از هيران گاربها، ساير اشياء زاده شده‌اند</w:t>
      </w:r>
      <w:r w:rsidRPr="00075613">
        <w:rPr>
          <w:rFonts w:cs="B Zar" w:hint="cs"/>
          <w:rtl/>
        </w:rPr>
        <w:t>»</w:t>
      </w:r>
      <w:r>
        <w:rPr>
          <w:rStyle w:val="FootnoteReference"/>
          <w:rFonts w:cs="B Zar"/>
          <w:sz w:val="28"/>
          <w:szCs w:val="28"/>
          <w:rtl/>
        </w:rPr>
        <w:footnoteReference w:id="563"/>
      </w:r>
      <w:r w:rsidRPr="00075613">
        <w:rPr>
          <w:rFonts w:cs="B Zar" w:hint="cs"/>
          <w:rtl/>
        </w:rPr>
        <w:t>. در اين قطعه با صراحت هيران گاربها، به عنوان صادر اول معرفي شده است. در قطعة ديگر مانداكا</w:t>
      </w:r>
      <w:r w:rsidRPr="00075613">
        <w:rPr>
          <w:rFonts w:cs="B Zar"/>
        </w:rPr>
        <w:t xml:space="preserve">(Mundaka) </w:t>
      </w:r>
      <w:r w:rsidRPr="00075613">
        <w:rPr>
          <w:rFonts w:cs="B Zar" w:hint="cs"/>
          <w:rtl/>
        </w:rPr>
        <w:t xml:space="preserve"> اوپانيشاد گفته شده است كه: </w:t>
      </w:r>
      <w:r w:rsidRPr="00075613">
        <w:rPr>
          <w:rFonts w:cs="B Zar" w:hint="cs"/>
          <w:i/>
          <w:iCs/>
          <w:rtl/>
        </w:rPr>
        <w:t>«آن ذات عين نور است، و آن ذات برهمان بي‌صورت است، و آن ذات پوروش است، در درون همه، و آن ذات قديم است، زاده شده است و آن ذات پاك و لطيف است و آن ذات هيران گاربها برتر است»</w:t>
      </w:r>
      <w:r>
        <w:rPr>
          <w:rStyle w:val="FootnoteReference"/>
          <w:rFonts w:cs="B Zar"/>
          <w:i/>
          <w:iCs/>
          <w:sz w:val="28"/>
          <w:szCs w:val="28"/>
          <w:rtl/>
        </w:rPr>
        <w:footnoteReference w:id="564"/>
      </w:r>
      <w:r w:rsidRPr="00075613">
        <w:rPr>
          <w:rFonts w:cs="B Zar" w:hint="cs"/>
          <w:i/>
          <w:iCs/>
          <w:rtl/>
        </w:rPr>
        <w:t>.</w:t>
      </w:r>
      <w:r w:rsidRPr="00075613">
        <w:rPr>
          <w:rFonts w:cs="B Zar" w:hint="cs"/>
          <w:rtl/>
        </w:rPr>
        <w:t xml:space="preserve"> در كاتها</w:t>
      </w:r>
      <w:r w:rsidRPr="00075613">
        <w:rPr>
          <w:rFonts w:cs="B Zar"/>
        </w:rPr>
        <w:t xml:space="preserve">(Katha) </w:t>
      </w:r>
      <w:r w:rsidRPr="00075613">
        <w:rPr>
          <w:rFonts w:cs="B Zar" w:hint="cs"/>
          <w:rtl/>
        </w:rPr>
        <w:t xml:space="preserve"> اوپانيشاد گفته شده است كه هيران گاربها نخستين پيدايش آفريدگار بوده است. مي‌خوانيم: </w:t>
      </w:r>
      <w:r w:rsidRPr="00075613">
        <w:rPr>
          <w:rFonts w:cs="B Zar" w:hint="cs"/>
          <w:i/>
          <w:iCs/>
          <w:rtl/>
        </w:rPr>
        <w:t>«آفريدگاري كه پيدايش اول او هيران گاربها است و در ميان دلِ جميع جانداران مي‌باشد. اين مقيد همان خداوند و قادري مي‌باشد كه عين هيران گاربها است و عين همه پيدايش‌ها گشته است و همه ديوها و حواس در او هستند»</w:t>
      </w:r>
      <w:r>
        <w:rPr>
          <w:rStyle w:val="FootnoteReference"/>
          <w:rFonts w:cs="B Zar"/>
          <w:i/>
          <w:iCs/>
          <w:sz w:val="28"/>
          <w:szCs w:val="28"/>
          <w:rtl/>
        </w:rPr>
        <w:footnoteReference w:id="565"/>
      </w:r>
      <w:r w:rsidRPr="00075613">
        <w:rPr>
          <w:rFonts w:cs="B Zar" w:hint="cs"/>
          <w:i/>
          <w:iCs/>
          <w:rtl/>
        </w:rPr>
        <w:t xml:space="preserve">. </w:t>
      </w:r>
    </w:p>
    <w:p w:rsidR="00075613" w:rsidRPr="00075613" w:rsidP="003C0EF5">
      <w:pPr>
        <w:widowControl w:val="0"/>
        <w:spacing w:line="420" w:lineRule="exact"/>
        <w:ind w:left="0" w:right="0"/>
        <w:jc w:val="both"/>
        <w:rPr>
          <w:rFonts w:cs="B Zar" w:hint="cs"/>
          <w:rtl/>
        </w:rPr>
      </w:pPr>
      <w:r w:rsidRPr="00075613">
        <w:rPr>
          <w:rFonts w:cs="B Zar" w:hint="cs"/>
          <w:rtl/>
        </w:rPr>
        <w:t xml:space="preserve">خداوند در بعد خالقيت برهمان، ايشور </w:t>
      </w:r>
      <w:r w:rsidRPr="00075613">
        <w:rPr>
          <w:rFonts w:cs="B Zar"/>
        </w:rPr>
        <w:t>(Ishawar)</w:t>
      </w:r>
      <w:r w:rsidRPr="00075613">
        <w:rPr>
          <w:rFonts w:cs="B Zar" w:hint="cs"/>
          <w:rtl/>
        </w:rPr>
        <w:t xml:space="preserve"> و آتمان</w:t>
      </w:r>
      <w:r w:rsidRPr="00075613">
        <w:rPr>
          <w:rFonts w:cs="B Zar"/>
        </w:rPr>
        <w:t xml:space="preserve">(Atman) </w:t>
      </w:r>
      <w:r w:rsidRPr="00075613">
        <w:rPr>
          <w:rFonts w:cs="B Zar" w:hint="cs"/>
          <w:rtl/>
        </w:rPr>
        <w:t xml:space="preserve"> است و در بعد مخلوقيت هيران گاربها</w:t>
      </w:r>
      <w:r w:rsidRPr="00075613">
        <w:rPr>
          <w:rFonts w:cs="B Zar"/>
        </w:rPr>
        <w:t xml:space="preserve">(Hirangarbha) </w:t>
      </w:r>
      <w:r w:rsidRPr="00075613">
        <w:rPr>
          <w:rFonts w:cs="B Zar" w:hint="cs"/>
          <w:rtl/>
        </w:rPr>
        <w:t>. اين امر متناقض و متضاد به نظر مي‌رسد كه چگونه يك ذات هم مي‌تواند خالق باشد و هم مخلوق، ولي اوپانيشاد معتقد است كه او هم خالق است، هم مخلوق؛ هم صادر كننده است و هم صادر شده؛ خود عاقل است و خود معقول</w:t>
      </w:r>
      <w:r>
        <w:rPr>
          <w:rStyle w:val="FootnoteReference"/>
          <w:rFonts w:cs="B Zar"/>
          <w:rtl/>
        </w:rPr>
        <w:footnoteReference w:id="566"/>
      </w:r>
      <w:r w:rsidRPr="00075613">
        <w:rPr>
          <w:rFonts w:cs="B Zar" w:hint="cs"/>
          <w:rtl/>
        </w:rPr>
        <w:t>. ديدگاه اوپانيشاد وحدت‌الوجودي مطلق است. برهمان، علت فاعلي و علت مادي، هر دو است. در تايتاريا اوپانيشاد</w:t>
      </w:r>
      <w:r w:rsidRPr="00075613">
        <w:rPr>
          <w:rFonts w:cs="B Zar"/>
        </w:rPr>
        <w:t xml:space="preserve"> </w:t>
      </w:r>
      <w:r w:rsidRPr="00075613">
        <w:rPr>
          <w:rFonts w:cs="B Zar" w:hint="cs"/>
          <w:rtl/>
        </w:rPr>
        <w:t>و برهداران ياكا اوپانيشاد</w:t>
      </w:r>
      <w:r w:rsidRPr="00075613">
        <w:rPr>
          <w:rFonts w:cs="B Zar"/>
        </w:rPr>
        <w:t xml:space="preserve"> Brhdaranyaka Upanishad </w:t>
      </w:r>
      <w:r w:rsidRPr="00075613">
        <w:rPr>
          <w:rFonts w:cs="B Zar" w:hint="cs"/>
          <w:rtl/>
        </w:rPr>
        <w:t xml:space="preserve"> گفته شده است: </w:t>
      </w:r>
      <w:r w:rsidRPr="00075613">
        <w:rPr>
          <w:rFonts w:cs="B Zar" w:hint="cs"/>
          <w:i/>
          <w:iCs/>
          <w:rtl/>
        </w:rPr>
        <w:t>«او خود، خودش را آفريد</w:t>
      </w:r>
      <w:r>
        <w:rPr>
          <w:rStyle w:val="FootnoteReference"/>
          <w:rFonts w:cs="B Zar"/>
          <w:i/>
          <w:iCs/>
          <w:sz w:val="28"/>
          <w:szCs w:val="28"/>
          <w:rtl/>
        </w:rPr>
        <w:footnoteReference w:id="567"/>
      </w:r>
      <w:r w:rsidRPr="00075613">
        <w:rPr>
          <w:rFonts w:cs="B Zar" w:hint="cs"/>
          <w:i/>
          <w:iCs/>
          <w:rtl/>
        </w:rPr>
        <w:t>»</w:t>
      </w:r>
      <w:r w:rsidRPr="00075613">
        <w:rPr>
          <w:rFonts w:cs="B Zar" w:hint="cs"/>
          <w:rtl/>
        </w:rPr>
        <w:t>. ديگر اينكه برهمان جهان را خلق نمود و سپس در آن تجلي پيدا كرد</w:t>
      </w:r>
      <w:r>
        <w:rPr>
          <w:rStyle w:val="FootnoteReference"/>
          <w:rFonts w:cs="B Zar"/>
          <w:sz w:val="28"/>
          <w:szCs w:val="28"/>
          <w:rtl/>
        </w:rPr>
        <w:footnoteReference w:id="568"/>
      </w:r>
      <w:r w:rsidRPr="00075613">
        <w:rPr>
          <w:rFonts w:cs="B Zar" w:hint="cs"/>
          <w:rtl/>
        </w:rPr>
        <w:t>. پارجاپاتي</w:t>
      </w:r>
      <w:r w:rsidRPr="00075613">
        <w:rPr>
          <w:rFonts w:cs="B Zar"/>
        </w:rPr>
        <w:t xml:space="preserve">(Parjapati) </w:t>
      </w:r>
      <w:r w:rsidRPr="00075613">
        <w:rPr>
          <w:rFonts w:cs="B Zar" w:hint="cs"/>
          <w:rtl/>
        </w:rPr>
        <w:t xml:space="preserve"> ، برطبق اساطير اوپانيشاد از تنهائي خسته شد و از درون خود جهان را آفريد. نخست بيضه طلائي يا هيران گاربها بر آبهاي عدم پديدار شد.</w:t>
      </w:r>
    </w:p>
    <w:p w:rsidR="00075613" w:rsidRPr="00075613" w:rsidP="003C0EF5">
      <w:pPr>
        <w:widowControl w:val="0"/>
        <w:spacing w:line="420" w:lineRule="exact"/>
        <w:ind w:left="0" w:right="0"/>
        <w:jc w:val="both"/>
        <w:rPr>
          <w:rFonts w:cs="B Zar" w:hint="cs"/>
          <w:i/>
          <w:iCs/>
          <w:rtl/>
        </w:rPr>
      </w:pPr>
      <w:r w:rsidRPr="00075613">
        <w:rPr>
          <w:rFonts w:cs="B Zar" w:hint="cs"/>
          <w:rtl/>
        </w:rPr>
        <w:t xml:space="preserve">تحليل نظريه هيران گاربها، ما را بدين نتيجه مي‌رساند كه كنايه اي از «صادر اول» است. فيلسوفان يونان و برخي حكيمان اسلامي، «عقل اول» را صادر اول دانسته اند. قرنها پيش از فلاسفة يونان، ريشي‌هاي هند بدين نتيجه رسيده بودند كه از «واحد»، فقط واحد مي‌تواند صادر شود و آنان اين واحد را هيران گاربها ناميدند. فلاسفه بعدي نيز معتقد بودند كه واجب الوجود «واحد حقيقي» است؛ پس واجب و لازم است كه اولين موجود صادر از او يكي باشد، كه هم در اصل وجود و هم در مقام فصل و تأثير مجرد از ماده باشد؛ زيرا جسم به علت تركيب از هيولي و صورت، فاقد وحدت است. ريشي‌ها اين صادر اول را هيران گاربها ناميدند. اسم ديگري كه در اوپانيشاد براي صادر اول به كار رفته است، «پوروش» است. پوروش در آغاز به معناي «روح كيهاني» و «نفس كلي» به كار رفته است. در كاربرد ابتدائي كلمه پوروش و هيران گاربها به عنوان اصطلاحات معادل استعمال شده‌اند. پوروش همچنين جنبة تجسمي و تشبيهي ذات متعال است. نخستين بار كلمه پوروش در سرودهاي اخير ريگ ودا عنوان شده است. سرود شماره نود، در كتاب دهم ريگ ودا، سرود پوروش نام دارد و چنين است: </w:t>
      </w:r>
      <w:r w:rsidRPr="00075613">
        <w:rPr>
          <w:rFonts w:cs="B Zar" w:hint="cs"/>
          <w:i/>
          <w:iCs/>
          <w:rtl/>
        </w:rPr>
        <w:t>«پوروش با هزار چهره، با هزار چشم و پا، كل جهان و آفاق را زير پاي خود قرار داده، و قد برافراشته است. او ده انگشت بالاتر از كيهان قرار دارد. پوروش سراسر جهان را در بر گرفته است، هرچه بوده و هرچه خواهد بود، زير نظر اوست. او سلطان ابديت است و عظمت او شگفت‌آور. جهان و هستي، تجلي يك چهارم ذات اوست. سه چهارم وجود او فراسوي آفاق قرار دارد.</w:t>
      </w:r>
      <w:r>
        <w:rPr>
          <w:rStyle w:val="FootnoteReference"/>
          <w:rFonts w:cs="B Zar"/>
          <w:i/>
          <w:iCs/>
          <w:sz w:val="28"/>
          <w:szCs w:val="28"/>
          <w:rtl/>
        </w:rPr>
        <w:footnoteReference w:id="569"/>
      </w:r>
      <w:r w:rsidRPr="00075613">
        <w:rPr>
          <w:rFonts w:cs="B Zar" w:hint="cs"/>
          <w:i/>
          <w:iCs/>
          <w:rtl/>
        </w:rPr>
        <w:t>»</w:t>
      </w:r>
    </w:p>
    <w:p w:rsidR="00075613" w:rsidRPr="00075613" w:rsidP="003C0EF5">
      <w:pPr>
        <w:widowControl w:val="0"/>
        <w:spacing w:line="420" w:lineRule="exact"/>
        <w:ind w:left="0" w:right="0"/>
        <w:jc w:val="both"/>
        <w:rPr>
          <w:rFonts w:cs="B Zar" w:hint="cs"/>
          <w:rtl/>
        </w:rPr>
      </w:pPr>
      <w:r w:rsidRPr="00075613">
        <w:rPr>
          <w:rFonts w:cs="B Zar" w:hint="cs"/>
          <w:rtl/>
        </w:rPr>
        <w:t>اين سرود، يكي از مهمترين سرودها و زيباترين آنهاست. پوروش جنبه تجسمي خداوند با تجلي او در «آفاق» و جهان است، ولي حقيقت الوهي، تنها داراي بعد تجسمي و تشبيهي نيست، بلكه سه چهارم (كنايه از بخش عمده) حالت تشريحي دارد.</w:t>
      </w:r>
    </w:p>
    <w:p w:rsidR="00075613" w:rsidRPr="00075613" w:rsidP="003C0EF5">
      <w:pPr>
        <w:widowControl w:val="0"/>
        <w:spacing w:line="420" w:lineRule="exact"/>
        <w:ind w:left="0" w:right="0"/>
        <w:jc w:val="both"/>
        <w:rPr>
          <w:rFonts w:cs="B Zar" w:hint="cs"/>
          <w:rtl/>
        </w:rPr>
      </w:pPr>
      <w:r w:rsidRPr="00075613">
        <w:rPr>
          <w:rFonts w:cs="B Zar" w:hint="cs"/>
          <w:rtl/>
        </w:rPr>
        <w:t>در اين قطعه ريگ ودا، پوروش</w:t>
      </w:r>
      <w:r w:rsidRPr="00075613">
        <w:rPr>
          <w:rFonts w:cs="B Zar"/>
        </w:rPr>
        <w:t xml:space="preserve">(Purush) </w:t>
      </w:r>
      <w:r w:rsidRPr="00075613">
        <w:rPr>
          <w:rFonts w:cs="B Zar" w:hint="cs"/>
          <w:rtl/>
        </w:rPr>
        <w:t xml:space="preserve"> به عنوان يكي از اسامي پارجاپاتي</w:t>
      </w:r>
      <w:r w:rsidRPr="00075613">
        <w:rPr>
          <w:rFonts w:cs="B Zar"/>
        </w:rPr>
        <w:t xml:space="preserve"> (Parjapati)</w:t>
      </w:r>
      <w:r w:rsidRPr="00075613">
        <w:rPr>
          <w:rFonts w:cs="B Zar" w:hint="cs"/>
          <w:rtl/>
        </w:rPr>
        <w:t xml:space="preserve"> يا ذات خداوند به كار رفته است. در اوپانيشادهاي اوليه نيز اصطلاح پوروش به همين معنا مستعمل گرديده است. كاتها</w:t>
      </w:r>
      <w:r w:rsidRPr="00075613">
        <w:rPr>
          <w:rFonts w:cs="B Zar"/>
        </w:rPr>
        <w:t xml:space="preserve">(Katha) </w:t>
      </w:r>
      <w:r w:rsidRPr="00075613">
        <w:rPr>
          <w:rFonts w:cs="B Zar" w:hint="cs"/>
          <w:rtl/>
        </w:rPr>
        <w:t xml:space="preserve"> اوپانيشاد مي‌گويد: </w:t>
      </w:r>
      <w:r w:rsidRPr="00075613">
        <w:rPr>
          <w:rFonts w:cs="B Zar" w:hint="cs"/>
          <w:i/>
          <w:iCs/>
          <w:rtl/>
        </w:rPr>
        <w:t>«والاتر از همه پوروش است، احدي والاتر از او نيست، او هدف نهائي و قله هستي است».</w:t>
      </w:r>
      <w:r>
        <w:rPr>
          <w:rStyle w:val="FootnoteReference"/>
          <w:rFonts w:cs="B Zar"/>
          <w:sz w:val="28"/>
          <w:szCs w:val="28"/>
          <w:rtl/>
        </w:rPr>
        <w:footnoteReference w:id="570"/>
      </w:r>
      <w:r w:rsidRPr="00075613">
        <w:rPr>
          <w:rFonts w:cs="B Zar" w:hint="cs"/>
          <w:rtl/>
        </w:rPr>
        <w:t xml:space="preserve"> البته از سوتاس وتر اوپانيشاد</w:t>
      </w:r>
      <w:r w:rsidRPr="00075613">
        <w:rPr>
          <w:rFonts w:cs="B Zar"/>
        </w:rPr>
        <w:t xml:space="preserve"> Svetasvatara Upanishad </w:t>
      </w:r>
      <w:r w:rsidRPr="00075613">
        <w:rPr>
          <w:rFonts w:cs="B Zar" w:hint="cs"/>
          <w:rtl/>
        </w:rPr>
        <w:t xml:space="preserve"> به بعد، پوروش</w:t>
      </w:r>
      <w:r w:rsidRPr="00075613">
        <w:rPr>
          <w:rFonts w:cs="B Zar"/>
        </w:rPr>
        <w:t xml:space="preserve">(Purush) </w:t>
      </w:r>
      <w:r w:rsidRPr="00075613">
        <w:rPr>
          <w:rFonts w:cs="B Zar" w:hint="cs"/>
          <w:rtl/>
        </w:rPr>
        <w:t>، به معناي روح جهاني و نفس كيهاني به كار رفته و يك تفاوت ظريفي ميان هيران گاربها و پوروش گذاشته شده است؛ بدين صورت كه هيران گاربها «صادر اول» يا كنايه‌اي از جنبة خالقيت خداوند و پوروش «روح جهاني» و قوام بخش وجود نگهدارنده آن، كه همه جا را پر كرده است و به عنوان كنايه از جنبة ربوبيت او به كار رفته است. در سوتاس وتر اوپانيشاد گفته شده است كه پوروش روح جهاني است</w:t>
      </w:r>
      <w:r>
        <w:rPr>
          <w:rStyle w:val="FootnoteReference"/>
          <w:rFonts w:cs="B Zar"/>
          <w:sz w:val="28"/>
          <w:szCs w:val="28"/>
          <w:rtl/>
        </w:rPr>
        <w:footnoteReference w:id="571"/>
      </w:r>
      <w:r w:rsidRPr="00075613">
        <w:rPr>
          <w:rFonts w:cs="B Zar" w:hint="cs"/>
          <w:rtl/>
        </w:rPr>
        <w:t>. در ايتاريا آرن ياكا گفته شده است كه خورشيد و ماه، دو چشمان پوروش هستند. آتش كلام او و زمين (آتش فشان) دهان او، و فضا و پهناي آسمان، قدِ برافراشته او است.</w:t>
      </w:r>
      <w:r>
        <w:rPr>
          <w:rStyle w:val="FootnoteReference"/>
          <w:rFonts w:cs="B Zar"/>
          <w:sz w:val="28"/>
          <w:szCs w:val="28"/>
          <w:rtl/>
        </w:rPr>
        <w:footnoteReference w:id="572"/>
      </w:r>
      <w:r w:rsidRPr="00075613">
        <w:rPr>
          <w:rFonts w:cs="B Zar" w:hint="cs"/>
          <w:rtl/>
        </w:rPr>
        <w:t xml:space="preserve"> در مهانارايانا اوپانيشاد نيز گفته شده است كه پوروش كل آفاق را پر كرده است</w:t>
      </w:r>
      <w:r>
        <w:rPr>
          <w:rStyle w:val="FootnoteReference"/>
          <w:rFonts w:cs="B Zar"/>
          <w:sz w:val="28"/>
          <w:szCs w:val="28"/>
          <w:rtl/>
        </w:rPr>
        <w:footnoteReference w:id="573"/>
      </w:r>
      <w:r w:rsidRPr="00075613">
        <w:rPr>
          <w:rFonts w:cs="B Zar" w:hint="cs"/>
          <w:rtl/>
        </w:rPr>
        <w:t>. يك تفاوت ديگري كه از برخي قطعات بعدي ميان هيران گاربها و پوروش به نظر مي رسد، اين است كه هيران گاربها اصطلاحي است براي روح كلي كيهان و پوروش روح و يا نفس ملكوتي است كه در تك تك موجودات و اشياء وجود دارد. در كاتها اوپانيشاد، حتي نفس انسان كه در قطعات ديگر، آتمان يا پران ناميده شده است، به عنوان پوروش معرفي شده است. رب‌العالمين به صورت پوروش در داخل حريم قلب انسان قرار دارد.</w:t>
      </w:r>
      <w:r>
        <w:rPr>
          <w:rStyle w:val="FootnoteReference"/>
          <w:rFonts w:cs="B Zar"/>
          <w:sz w:val="28"/>
          <w:szCs w:val="28"/>
          <w:rtl/>
        </w:rPr>
        <w:footnoteReference w:id="574"/>
      </w:r>
      <w:r w:rsidRPr="00075613">
        <w:rPr>
          <w:rFonts w:cs="B Zar" w:hint="cs"/>
          <w:rtl/>
        </w:rPr>
        <w:t xml:space="preserve"> از آن پس در زبان سانسكريت كلمة پوروش به معناي «انسان» در آمد. در زبان هندي كنوني آدمي يا مرد را پوروش مي نامند.</w:t>
      </w:r>
    </w:p>
    <w:p w:rsidR="00075613" w:rsidRPr="00075613" w:rsidP="003C0EF5">
      <w:pPr>
        <w:widowControl w:val="0"/>
        <w:spacing w:line="420" w:lineRule="exact"/>
        <w:ind w:left="0" w:right="0"/>
        <w:jc w:val="both"/>
        <w:rPr>
          <w:rFonts w:cs="B Zar" w:hint="cs"/>
          <w:b/>
          <w:b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واراج</w:t>
      </w:r>
      <w:r w:rsidRPr="00075613">
        <w:rPr>
          <w:rFonts w:cs="B Zar"/>
          <w:b/>
          <w:bCs/>
        </w:rPr>
        <w:t xml:space="preserve">(Varaj) </w:t>
      </w:r>
      <w:r w:rsidRPr="00075613">
        <w:rPr>
          <w:rFonts w:cs="B Zar" w:hint="cs"/>
          <w:b/>
          <w:bCs/>
          <w:rtl/>
        </w:rPr>
        <w:t xml:space="preserve"> يا وارات</w:t>
      </w:r>
      <w:r w:rsidRPr="00075613">
        <w:rPr>
          <w:rFonts w:cs="B Zar"/>
          <w:b/>
          <w:bCs/>
        </w:rPr>
        <w:t xml:space="preserve"> (Varat) </w:t>
      </w:r>
      <w:r w:rsidRPr="00075613">
        <w:rPr>
          <w:rFonts w:cs="B Zar" w:hint="cs"/>
          <w:b/>
          <w:bCs/>
          <w:rtl/>
        </w:rPr>
        <w:t>:</w:t>
      </w:r>
    </w:p>
    <w:p w:rsidR="00075613" w:rsidRPr="00075613" w:rsidP="003C0EF5">
      <w:pPr>
        <w:widowControl w:val="0"/>
        <w:spacing w:line="420" w:lineRule="exact"/>
        <w:ind w:left="0" w:right="0"/>
        <w:jc w:val="both"/>
        <w:rPr>
          <w:rFonts w:cs="B Zar" w:hint="cs"/>
          <w:rtl/>
        </w:rPr>
      </w:pPr>
      <w:r w:rsidRPr="00075613">
        <w:rPr>
          <w:rFonts w:cs="B Zar" w:hint="cs"/>
          <w:rtl/>
        </w:rPr>
        <w:t>در مقابل «روح جهاني» يا «نفس كلي» (پوروش و هيران گاربها)، يك عنصر ديگري در آفرينش جهان به كار رفته است. در اوپانيشاد، اين عنصر واراج يا ووارات ناميده مي‌شود. واراج</w:t>
      </w:r>
      <w:r w:rsidRPr="00075613">
        <w:rPr>
          <w:rFonts w:cs="B Zar"/>
        </w:rPr>
        <w:t xml:space="preserve"> (Varaj)</w:t>
      </w:r>
      <w:r w:rsidRPr="00075613">
        <w:rPr>
          <w:rFonts w:cs="B Zar" w:hint="cs"/>
          <w:rtl/>
        </w:rPr>
        <w:t xml:space="preserve"> يا وارات</w:t>
      </w:r>
      <w:r w:rsidRPr="00075613">
        <w:rPr>
          <w:rFonts w:cs="B Zar"/>
        </w:rPr>
        <w:t xml:space="preserve"> (Varat)</w:t>
      </w:r>
      <w:r w:rsidRPr="00075613">
        <w:rPr>
          <w:rFonts w:cs="B Zar" w:hint="cs"/>
          <w:rtl/>
        </w:rPr>
        <w:t>، به معناي ماده و يا هيولي است</w:t>
      </w:r>
      <w:r>
        <w:rPr>
          <w:rStyle w:val="FootnoteReference"/>
          <w:rFonts w:cs="B Zar"/>
          <w:sz w:val="28"/>
          <w:szCs w:val="28"/>
          <w:rtl/>
        </w:rPr>
        <w:footnoteReference w:id="575"/>
      </w:r>
      <w:r w:rsidRPr="00075613">
        <w:rPr>
          <w:rFonts w:cs="B Zar" w:hint="cs"/>
          <w:rtl/>
        </w:rPr>
        <w:t xml:space="preserve">. ديوسن مي‌گويد: </w:t>
      </w:r>
      <w:r w:rsidRPr="00075613">
        <w:rPr>
          <w:rFonts w:cs="B Zar" w:hint="cs"/>
          <w:i/>
          <w:iCs/>
          <w:rtl/>
        </w:rPr>
        <w:t>«واراج، تعبير اساطيري ماده اوليه است</w:t>
      </w:r>
      <w:r w:rsidRPr="00075613">
        <w:rPr>
          <w:rFonts w:cs="B Zar" w:hint="cs"/>
          <w:rtl/>
        </w:rPr>
        <w:t>». در تعبيرات اساطيري، حقايق و نكات علمي و فلسفي به صورت اشخاص و اشياء ترسيم مي‌شوند. در چاندوگيا</w:t>
      </w:r>
      <w:r w:rsidRPr="00075613">
        <w:rPr>
          <w:rFonts w:cs="B Zar"/>
        </w:rPr>
        <w:t xml:space="preserve"> (Chandogya) </w:t>
      </w:r>
      <w:r w:rsidRPr="00075613">
        <w:rPr>
          <w:rFonts w:cs="B Zar" w:hint="cs"/>
          <w:rtl/>
        </w:rPr>
        <w:t xml:space="preserve"> اوپانيشاد، واراج به عنوان موجودي پوست كلفت كه خورندة خوراك و غذاست و جهان به خاطر او ملموس و قابل مشاهده گرديده، معرفي شده است</w:t>
      </w:r>
      <w:r>
        <w:rPr>
          <w:rStyle w:val="FootnoteReference"/>
          <w:rFonts w:cs="B Zar"/>
          <w:sz w:val="28"/>
          <w:szCs w:val="28"/>
          <w:rtl/>
        </w:rPr>
        <w:footnoteReference w:id="576"/>
      </w:r>
      <w:r w:rsidRPr="00075613">
        <w:rPr>
          <w:rFonts w:cs="B Zar" w:hint="cs"/>
          <w:rtl/>
        </w:rPr>
        <w:t>. در برهدارن ياكا</w:t>
      </w:r>
      <w:r w:rsidRPr="00075613">
        <w:rPr>
          <w:rFonts w:cs="B Zar"/>
        </w:rPr>
        <w:t xml:space="preserve"> Brhdaranyaka </w:t>
      </w:r>
      <w:r w:rsidRPr="00075613">
        <w:rPr>
          <w:rFonts w:cs="B Zar" w:hint="cs"/>
          <w:rtl/>
        </w:rPr>
        <w:t xml:space="preserve"> اوپانيشاد گفته شده است كه واراج يك موجود مادينه است، با پوروش كه موجود نرينه است، جفت شدند و در نتيجه همبستري اين دو، كيهان و ساير موجودات و اشياء زاده شدند</w:t>
      </w:r>
      <w:r>
        <w:rPr>
          <w:rStyle w:val="FootnoteReference"/>
          <w:rFonts w:cs="B Zar"/>
          <w:sz w:val="28"/>
          <w:szCs w:val="28"/>
          <w:rtl/>
        </w:rPr>
        <w:footnoteReference w:id="577"/>
      </w:r>
      <w:r w:rsidRPr="00075613">
        <w:rPr>
          <w:rFonts w:cs="B Zar" w:hint="cs"/>
          <w:rtl/>
        </w:rPr>
        <w:t>. اين بيان تمثيليِ اين اعتقاد است كه جهان و ساير موجودات، مشتمل بر دو عنصر «روح ملكوتي» و «ماده اوليه» مي‌باشند. همچنان كه جسد، قالبي است كه در آن آتمان جريان دارد و آتمان جوهر آن است، وارات يا ماده، ظرف يا قالبي است كه در آن هيران گاربها يا پوروش جريان دارد. رادا كريشنان چهار مرتبه انسان را با چهار مرتبه جهان مقايسه مي‌كند: مرتبه اول، جسد يا قالب است كه در مورد انسان، آن را واسو يا جسد و در مورد جهان وارات يا هيكل مادي مي‌نامد. مرتبة دوم، نفس آدمي است كه در مورد جهان، هيران گاربها يا پوروش ناميده مي‌شود. مرتبة سوم، نفس عقلاني يا پراجناي انسان است. اين نفس در جهان ايشور است. والاترين مرتبه در انسان، آتمان يا جوهر ملكوتي است كه اين مرتبه در جهان برهمان ناميده مي‌شود</w:t>
      </w:r>
      <w:r>
        <w:rPr>
          <w:rStyle w:val="FootnoteReference"/>
          <w:rFonts w:cs="B Zar"/>
          <w:rtl/>
        </w:rPr>
        <w:footnoteReference w:id="578"/>
      </w:r>
      <w:r w:rsidRPr="00075613">
        <w:rPr>
          <w:rFonts w:cs="B Zar" w:hint="cs"/>
          <w:rtl/>
        </w:rPr>
        <w:t>. انديشمندان و فيلسوفان در تمام فرهنگ‌ها، دو عنصر را در خلقت و ساخت جهان و موجودات در نظر گرفته‌اند: روح و ماده. ارسطو معتقد بود كه هر شي‌ء، مجموعه‌اي از صورت و هيولي است؛ صورت حقيقتي است كه از ماده‌اي خام به نام هيولي پديدار گشته است و خودِ اين صورت به نوبة خود صورتي عاليتر خواهد بود. مثلاً انسان بالغ، صورت فعلي كودك است و كودك ماده و هيولاي آن. همينطور جنين به صورت نطفه و نطفه هيولي و ماده جنين است. هيولي و صورت ارسطوئي هر دو داخل اصطلاح وارات، در اوپانيشاد هستند. البته در كنار اين دو، اوپانيشاد عنصر سومين، يعني هيران گاربها</w:t>
      </w:r>
      <w:r w:rsidRPr="00075613">
        <w:rPr>
          <w:rFonts w:cs="B Zar"/>
        </w:rPr>
        <w:t xml:space="preserve">(Hirangarbha) </w:t>
      </w:r>
      <w:r w:rsidRPr="00075613">
        <w:rPr>
          <w:rFonts w:cs="B Zar" w:hint="cs"/>
          <w:rtl/>
        </w:rPr>
        <w:t xml:space="preserve"> يا پوروش</w:t>
      </w:r>
      <w:r w:rsidRPr="00075613">
        <w:rPr>
          <w:rFonts w:cs="B Zar"/>
        </w:rPr>
        <w:t xml:space="preserve">(Purush) </w:t>
      </w:r>
      <w:r w:rsidRPr="00075613">
        <w:rPr>
          <w:rFonts w:cs="B Zar" w:hint="cs"/>
          <w:rtl/>
        </w:rPr>
        <w:t xml:space="preserve"> را نيز عنوان مي كند.</w:t>
      </w:r>
    </w:p>
    <w:p w:rsidR="00075613" w:rsidP="003C0EF5">
      <w:pPr>
        <w:widowControl w:val="0"/>
        <w:spacing w:line="420" w:lineRule="exact"/>
        <w:ind w:left="0" w:right="0"/>
        <w:jc w:val="both"/>
        <w:rPr>
          <w:rFonts w:cs="B Zar" w:hint="cs"/>
          <w:i/>
          <w:iCs/>
          <w:rtl/>
        </w:rPr>
      </w:pPr>
      <w:r w:rsidRPr="00075613">
        <w:rPr>
          <w:rFonts w:cs="B Zar" w:hint="cs"/>
          <w:rtl/>
        </w:rPr>
        <w:t>در اينجا اين نكته مطرح مي‌شود كه آيا وارات و پوروش، دو روي يك سكه‌اند يا دو واقعيت مختلف. از برخي قطعات چاندوگيا</w:t>
      </w:r>
      <w:r w:rsidRPr="00075613">
        <w:rPr>
          <w:rFonts w:cs="B Zar"/>
        </w:rPr>
        <w:t xml:space="preserve">(Chandogya) </w:t>
      </w:r>
      <w:r w:rsidRPr="00075613">
        <w:rPr>
          <w:rFonts w:cs="B Zar" w:hint="cs"/>
          <w:rtl/>
        </w:rPr>
        <w:t xml:space="preserve"> اوپانيشاد اين گمان پيش مي‌آيد كه اوپانيشاد جهان را مركب از دو عنصر كاملاً منفك مي داند و واراج يا ووارات، همان ماده محض دميقراطيس </w:t>
      </w:r>
      <w:r w:rsidRPr="00075613">
        <w:rPr>
          <w:rFonts w:cs="B Zar"/>
        </w:rPr>
        <w:t>(Democritus)</w:t>
      </w:r>
      <w:r w:rsidRPr="00075613">
        <w:rPr>
          <w:rFonts w:cs="B Zar" w:hint="cs"/>
          <w:rtl/>
        </w:rPr>
        <w:t xml:space="preserve"> است كه مشتمل بر اجزاي مادي است. در چاندوگيا اوپانيشاد، ادالاك اين نظريه را عنوان مي كند كه ماده، در عناصر مختلف انقسام پذير است. عناصر اصلي كه در آفرينش به كار رفته‌، عبارت اند از: آب ، آتش، اثير و هوا. عنصر اصلي در تكوين موجودات عالم آب است. سپس از تركيب‌ آن با آتش و خاك، اجسام ساخته شده اند. در «پاراسنا» و اريتريا اوپانيشاد گفته شده است كه نخست آكاش (اثير) نشأت گرفته است. درباره اثير، قدما عقيده داشته اند كه فضا و حتي فواصل ميان ذرات اجسام را اثير پر كرده است و  وسيله انتقال نور و امواج الكترونيكي اثير، اشاره‌اي است به ماده رقيق و لطيف آسماني. سپس از اثير هوا ايجاد گرديد. از هوا آتش به وجود آمد و از آن، آب و خاك را به وجود آورد.</w:t>
      </w:r>
      <w:r>
        <w:rPr>
          <w:rStyle w:val="FootnoteReference"/>
          <w:rFonts w:cs="B Zar"/>
          <w:sz w:val="28"/>
          <w:szCs w:val="28"/>
          <w:rtl/>
        </w:rPr>
        <w:footnoteReference w:id="579"/>
      </w:r>
      <w:r w:rsidRPr="00075613">
        <w:rPr>
          <w:rFonts w:cs="B Zar" w:hint="cs"/>
          <w:rtl/>
        </w:rPr>
        <w:t xml:space="preserve"> از نظر فيزيك كنوني اين نظريه ممكن است ناشيانه به نظر برسد، ولي از نظر تاريخ علم، داراي اهميت است؛ چرا كه نخستين بار نظريه عناصر پنجگانه عنوان شد.</w:t>
      </w:r>
      <w:r>
        <w:rPr>
          <w:rStyle w:val="FootnoteReference"/>
          <w:rFonts w:cs="B Zar"/>
          <w:rtl/>
        </w:rPr>
        <w:footnoteReference w:id="580"/>
      </w:r>
      <w:r w:rsidRPr="00075613">
        <w:rPr>
          <w:rFonts w:cs="B Zar" w:hint="cs"/>
          <w:rtl/>
        </w:rPr>
        <w:t xml:space="preserve"> مجموعه اين عناصر يا هيولاي اوليه كه اشكال و هياكل مادي از آن ساخته شدند، واراج يا وارات است كه در مكتب فلسفي سام كهيا بعداً  پراكرتي ناميده شد و در كنار «روح» يك واقعيت ازلي ديگري محسوب گرديد. فلسفه سام كهيا، معتقد به دوگانگي «برهمان» و «پراكرتي»، ماده و معنا است، ولي فلسفه ودانت اوپانيشاد نمي‌تواند اين دوگانگي را بپذيرد. نظريه وحدت الوجودي كه ودانت ترويج مي كند، دوگانگي پذير نيست. ماده و معنا، هر دو تجسم برهمان هستند. قالب‌هاي جسماني و نقش روح آن، هيولي و صورت، واراج و هيران گاربها يا پوروش، همه تجليات مختلف يك حقيقت واحداند. اگر واراج را به عنوان قطب متقابل پوروش بپذيريم، ما به دوگانگي تن در داده‌ايم. اين از ويژگي‌هاي فلسفه ارسطوئي است و نگرش وحدت الوجودي اوپانيشاد آن را نمي پذيرد. ديوسن يكي از واردترين صاحبنظران باختري فلسفه اوپانيشاد است. او مي‌گويد: «برخلاف فلسفه سام كهيا، در اوپانيشاد، پوروش و پركراتي، هر دو، جنبه‌ها و رخساره‌هائي از تجليات برهمان هستند</w:t>
      </w:r>
      <w:r w:rsidRPr="00075613">
        <w:rPr>
          <w:rFonts w:cs="B Zar"/>
          <w:rtl/>
        </w:rPr>
        <w:t xml:space="preserve"> </w:t>
      </w:r>
      <w:r>
        <w:rPr>
          <w:rStyle w:val="FootnoteReference"/>
          <w:rFonts w:cs="B Zar"/>
          <w:rtl/>
        </w:rPr>
        <w:footnoteReference w:id="581"/>
      </w:r>
      <w:r w:rsidRPr="00075613">
        <w:rPr>
          <w:rFonts w:cs="B Zar" w:hint="cs"/>
          <w:rtl/>
        </w:rPr>
        <w:t xml:space="preserve">. البته در پوروش و هيران گاربها، پوروش نور است و واراج سايه‌اي است كه همواره با نور همراه است. واراج، پائين‌ترين مرتبه و نور الهي مرتبة بلندتر و فناء في‌الله و ادغام شده در برهمان والاترين مرتبه است. رادا كريشنان مي‌گويد: </w:t>
      </w:r>
      <w:r w:rsidRPr="00075613">
        <w:rPr>
          <w:rFonts w:cs="B Zar" w:hint="cs"/>
          <w:i/>
          <w:iCs/>
          <w:rtl/>
        </w:rPr>
        <w:t>«در موجودات جهان و اشياء، همه حلقه‌هائي در زنجيرة تكامل هستند كه سررشتة آن ماده و نهايت آن آناند يا فناء في‌الله است»</w:t>
      </w:r>
      <w:r w:rsidRPr="00075613">
        <w:rPr>
          <w:rFonts w:cs="B Zar"/>
          <w:i/>
          <w:iCs/>
          <w:rtl/>
        </w:rPr>
        <w:t xml:space="preserve"> </w:t>
      </w:r>
      <w:r>
        <w:rPr>
          <w:rStyle w:val="FootnoteReference"/>
          <w:rFonts w:cs="B Zar"/>
          <w:i/>
          <w:iCs/>
          <w:rtl/>
        </w:rPr>
        <w:footnoteReference w:id="582"/>
      </w:r>
      <w:r w:rsidRPr="00075613">
        <w:rPr>
          <w:rFonts w:cs="B Zar" w:hint="cs"/>
          <w:i/>
          <w:iCs/>
          <w:rtl/>
        </w:rPr>
        <w:t>.</w:t>
      </w:r>
    </w:p>
    <w:p w:rsidR="00514B17" w:rsidRPr="00075613" w:rsidP="003C0EF5">
      <w:pPr>
        <w:widowControl w:val="0"/>
        <w:spacing w:line="420" w:lineRule="exact"/>
        <w:ind w:left="0" w:right="0"/>
        <w:jc w:val="both"/>
        <w:rPr>
          <w:rFonts w:cs="B Zar" w:hint="cs"/>
          <w:i/>
          <w:iCs/>
          <w:rtl/>
        </w:rPr>
      </w:pPr>
    </w:p>
    <w:p w:rsidR="00075613" w:rsidRPr="00075613" w:rsidP="003C0EF5">
      <w:pPr>
        <w:widowControl w:val="0"/>
        <w:spacing w:line="420" w:lineRule="exact"/>
        <w:ind w:left="0" w:right="0"/>
        <w:jc w:val="both"/>
        <w:rPr>
          <w:rFonts w:cs="B Zar"/>
          <w:b/>
          <w:bCs/>
          <w:rtl/>
        </w:rPr>
      </w:pPr>
      <w:r w:rsidRPr="00075613">
        <w:rPr>
          <w:rFonts w:cs="B Zar" w:hint="cs"/>
          <w:b/>
          <w:bCs/>
          <w:rtl/>
        </w:rPr>
        <w:t>نظريه مايا</w:t>
      </w:r>
      <w:r w:rsidRPr="00075613">
        <w:rPr>
          <w:rFonts w:cs="B Zar"/>
          <w:b/>
          <w:bCs/>
        </w:rPr>
        <w:t xml:space="preserve">(Maya) </w:t>
      </w:r>
    </w:p>
    <w:p w:rsidR="00075613" w:rsidRPr="00075613" w:rsidP="003C0EF5">
      <w:pPr>
        <w:widowControl w:val="0"/>
        <w:spacing w:line="420" w:lineRule="exact"/>
        <w:ind w:left="0" w:right="0"/>
        <w:jc w:val="both"/>
        <w:rPr>
          <w:rFonts w:cs="B Zar" w:hint="cs"/>
          <w:rtl/>
        </w:rPr>
      </w:pPr>
      <w:r w:rsidRPr="00075613">
        <w:rPr>
          <w:rFonts w:cs="B Zar" w:hint="cs"/>
          <w:rtl/>
        </w:rPr>
        <w:t>از نظر اوپانيشاد، جهان آفريدة خدا نيست، بلكه ظل يا سايه خداوند است. خداوند به قول رادا كريشنان، علت مقدم ياتالي خلقت نيست، بلكه صاحب تجلي است. جهان از باز شدن حقيقت ازلي و خود پيدائي اوست.</w:t>
      </w:r>
    </w:p>
    <w:p w:rsidR="00075613" w:rsidRPr="00075613" w:rsidP="003C0EF5">
      <w:pPr>
        <w:widowControl w:val="0"/>
        <w:spacing w:line="420" w:lineRule="exact"/>
        <w:ind w:left="0" w:right="0"/>
        <w:jc w:val="both"/>
        <w:rPr>
          <w:rFonts w:cs="B Zar" w:hint="cs"/>
          <w:rtl/>
        </w:rPr>
      </w:pPr>
      <w:r w:rsidRPr="00075613">
        <w:rPr>
          <w:rFonts w:cs="B Zar" w:hint="cs"/>
          <w:rtl/>
        </w:rPr>
        <w:t>روند تجلي لامتناهي به صورت متناهي و چگونگي خودنمائي و خود تعيّني ذات خداوند بوده است. اين را فلسفة ودانت با صراحت بيان نكرده است. بهگون داس يكي از انديشمندان برجسته هندو، در نيمة اول قرن حاضر مي‌گويد:</w:t>
      </w:r>
      <w:r w:rsidRPr="00075613">
        <w:rPr>
          <w:rFonts w:cs="B Zar" w:hint="cs"/>
          <w:i/>
          <w:iCs/>
          <w:rtl/>
        </w:rPr>
        <w:t xml:space="preserve"> «وحدت از طريق يك روند ديالكتيكي «وجود» و «لاوجود»، به صورت كثرت درآمده است»</w:t>
      </w:r>
      <w:r w:rsidRPr="00075613">
        <w:rPr>
          <w:rFonts w:cs="B Zar" w:hint="cs"/>
          <w:rtl/>
        </w:rPr>
        <w:t xml:space="preserve">. او مي‌گويد: </w:t>
      </w:r>
      <w:r w:rsidRPr="00075613">
        <w:rPr>
          <w:rFonts w:cs="B Zar" w:hint="cs"/>
          <w:i/>
          <w:iCs/>
          <w:rtl/>
        </w:rPr>
        <w:t>«رابطة خدا و جهان را اوپانيشاد در سه كلمه «اهام اتات نا» بيان كرده است</w:t>
      </w:r>
      <w:r w:rsidRPr="00075613">
        <w:rPr>
          <w:rFonts w:cs="B Zar" w:hint="cs"/>
          <w:rtl/>
        </w:rPr>
        <w:t>»</w:t>
      </w:r>
      <w:r>
        <w:rPr>
          <w:rStyle w:val="FootnoteReference"/>
          <w:rFonts w:cs="B Zar"/>
          <w:sz w:val="28"/>
          <w:szCs w:val="28"/>
          <w:rtl/>
        </w:rPr>
        <w:footnoteReference w:id="583"/>
      </w:r>
      <w:r w:rsidRPr="00075613">
        <w:rPr>
          <w:rFonts w:cs="B Zar" w:hint="cs"/>
          <w:rtl/>
        </w:rPr>
        <w:t>. معناي آن را مي‌توان، «وجود ـ لا ـ وجود» دانست. خدا وجود مطلق است، جهان و انسان نيز تجلي همان وجود است، ولي به طور اسرارآميزي در وسط، يك لا ظاهر شده است. اين خلاصه رابطه متناهي و لامتناهي است. همين لا تشخيص فرديت موجود است. اگر اين لا از ميان برداشته شود، ديگر اول و آخر، وجود مطلق است و بس. حافظ و مولاناي روم و سایر عرفا در سراسر جهان براي برداشته شدن حجت همين لا بي قرار بوده است، ولي همين لا نيز رمز و بستر خلقت است. عكس در آئينه صاحب عكس است، ولي يك لاوسيله قرار دارد. «ظل» نيست، آنچه هست صاحب ظل است. وقتي وجود صاحب عكسي در آئينه با «لاوجود» توأم شود، «عكس» يا ظل ظاهر مي‌شود؛ وقتي وجود مطلق با لاوجود توأم شود، موجودات پا به عرصة هستي مي‌نهند.</w:t>
      </w:r>
    </w:p>
    <w:p w:rsidR="00075613" w:rsidRPr="00075613" w:rsidP="003C0EF5">
      <w:pPr>
        <w:widowControl w:val="0"/>
        <w:spacing w:line="420" w:lineRule="exact"/>
        <w:ind w:left="0" w:right="0"/>
        <w:jc w:val="both"/>
        <w:rPr>
          <w:rFonts w:cs="B Zar" w:hint="cs"/>
          <w:rtl/>
        </w:rPr>
      </w:pPr>
      <w:r w:rsidRPr="00075613">
        <w:rPr>
          <w:rFonts w:cs="B Zar" w:hint="cs"/>
          <w:rtl/>
        </w:rPr>
        <w:t xml:space="preserve">رابطه ميان خدا و جهان و يا عالم عينيت و عالم شهود، رابطه يك موجود با سايه يا شبح آن است. در عالم هستي و موجودات، هيچگونه واقعيت بالذات وجود ندارد، تنها واجب‌الوجود اصل حقيقت است و سایر موجودات جهان و انسان، تجليات اسماء و افعال او. كل كيهان و تمام هستي، همانند سايه‌هائي از حقایقي است كه در علم برهمان قرار دارند، اوپانيشاد يك گام فراتر مي‌رود و اصلاً اينان را سايه و انوار و اشعة ذات احديت مي‌داند. صاحب سايه در سايه و خورشيد در اشعه حلول نمي‌كند؛ چرا؟ چنانكه صدرالمتالهين نيز خاطر نشان ساخته است، حلول و اتحاد و نظاير آن مقتضي تعدد وجود است؛ در حاليكه ممكنات و پديده‌ها در واقع نيستند، آنچه هست اوست، همچنانكه عكس‌ها در آئينه، هستند و نيستند. افلاطون نيز تصوري مشابه آن داشته، منتهي اينكه اوپانيشاد و فلسفه ودانت سخن از سايه عالم ملكوت و ذات احديت به ميان مي‌آورد و افلاطون اشياء و موجودات را انعكاس عالم مثل تلقي مي‌نمايد. سايه در مقابل صاحب سايه، اشعه در مقابل خورشيد، انعكاس در مقابل عالم مثالي «نمود» واقعيت دارند؛ البته نمود و واقعيت آن نسبي است. در يك سطح مي‌توان گفت اينان هستند، در سطح ديگر مي‌توان گفت اصلاً موجوديتي ندارند. آنچه مي‌بينيم يك فريب، يك پندار ذهني و يك خطاي باصره است. آنچه را ما موجودات واقعي تلقي مي‌كنيم، سايه‌واره‌اند و ما را دچار توهم و خطاي حسي مي‌كنند. اوپانيشاد همين واقعيت‌هاي سايه وار نسبي جهان را «مايا» مي نامد. «مايا» به عنوان نظريه جهان شناسنان، تنها در اوپانيشاد مطرح شد. ولي بذرهاي اولية آن را مي‌توان در ريگ ودا سراغ گرفت. مطالعة ريگ ودا نشان مي‌دهد كه آريائي‌هاي اوليه نيز معتقد به دو گونه نظام جهاني بودند. جهان برين و جهان زيرين؛ جهان ملكوت و لاهوت و جهان ناسوت. جهان برين عبارت بود از قلمرو خدايان؛ جائي كه جرگه خدايان قرار داشت. خداي جنگ، خداي صلح، خداي عشق، خداي نفرت، در كنار آنان «راكشس» يا ديوان نيز حضور داشتند، و اين دو نيز در جهان بالا دائماً درگير بودند. خدايان آنچه براي انسان‌ها و سائر موجودات پيش خواهد آمد، از بالا در «طرح محمل» ترسيم مي‌كرده‌اند؛ اين طرح كلي يا «شأن جهاني» را حكيمان ودائي «ريت» نام داده بودند. آنچه در جهان زيرين صورت مي‌گيرد، به نمايش درآمدن اين فيلم بر پرده حوادث عالم بوده است. در ريگ ودا بخصوص </w:t>
      </w:r>
      <w:r w:rsidRPr="00075613">
        <w:rPr>
          <w:rFonts w:cs="B Zar" w:hint="cs"/>
          <w:iCs/>
          <w:rtl/>
        </w:rPr>
        <w:t>رون،</w:t>
      </w:r>
      <w:r w:rsidRPr="00075613">
        <w:rPr>
          <w:rFonts w:cs="B Zar" w:hint="cs"/>
          <w:rtl/>
        </w:rPr>
        <w:t xml:space="preserve"> خداي حافظ نواميس و ايجاد كننده نظم، به عنوان خدائي كه در «تدوين» و ساخته شدن «ريت» نقش اصلي داشت، معرفي مي‌شده است. حقائق جهان، سايه اين ريت است و بس</w:t>
      </w:r>
      <w:r>
        <w:rPr>
          <w:rStyle w:val="FootnoteReference"/>
          <w:rFonts w:cs="B Zar"/>
          <w:sz w:val="28"/>
          <w:szCs w:val="28"/>
          <w:rtl/>
        </w:rPr>
        <w:footnoteReference w:id="584"/>
      </w:r>
      <w:r w:rsidRPr="00075613">
        <w:rPr>
          <w:rFonts w:cs="B Zar" w:hint="cs"/>
          <w:rtl/>
        </w:rPr>
        <w:t>. چون جهان عيني نشأت گرفته از عالم مثال با نظم جهاني است، از اين رو ريت را ريگ ودا به عنوان پدر جهاني معرفي مي‌كند</w:t>
      </w:r>
      <w:r>
        <w:rPr>
          <w:rStyle w:val="FootnoteReference"/>
          <w:rFonts w:cs="B Zar"/>
          <w:sz w:val="28"/>
          <w:szCs w:val="28"/>
          <w:rtl/>
        </w:rPr>
        <w:footnoteReference w:id="585"/>
      </w:r>
      <w:r w:rsidRPr="00075613">
        <w:rPr>
          <w:rFonts w:cs="B Zar" w:hint="cs"/>
          <w:rtl/>
        </w:rPr>
        <w:t>. ويشنو تخم كاشته «ريت» است</w:t>
      </w:r>
      <w:r>
        <w:rPr>
          <w:rStyle w:val="FootnoteReference"/>
          <w:rFonts w:cs="B Zar"/>
          <w:sz w:val="28"/>
          <w:szCs w:val="28"/>
          <w:rtl/>
        </w:rPr>
        <w:footnoteReference w:id="586"/>
      </w:r>
      <w:r w:rsidRPr="00075613">
        <w:rPr>
          <w:rFonts w:cs="B Zar" w:hint="cs"/>
          <w:rtl/>
        </w:rPr>
        <w:t>. زمين و آسمان به خاطر ريت استواراند</w:t>
      </w:r>
      <w:r>
        <w:rPr>
          <w:rStyle w:val="FootnoteReference"/>
          <w:rFonts w:cs="B Zar"/>
          <w:sz w:val="28"/>
          <w:szCs w:val="28"/>
          <w:rtl/>
        </w:rPr>
        <w:footnoteReference w:id="587"/>
      </w:r>
      <w:r w:rsidRPr="00075613">
        <w:rPr>
          <w:rFonts w:cs="B Zar" w:hint="cs"/>
          <w:rtl/>
        </w:rPr>
        <w:t>. ريت واقعيت ثابت فراسوئي است كه تغيير نمي‌كند. سايه‌ها تغيير مي‌‌كنند، افراد مي‌آيند و مي‌روند، ولي ريت ثابت است. ريت اصل است و پديده‌هاي عيني انعكاس آن، آنچه واقعيت دارد ريت است. حوادث چيزي جز عكس اين ريت به صورت تصويرهاي دونده بر پرده سينماي كيهاني نيست. البته در جهان بيني ودائي، جهان و پديده‌هاي آن داراي عينيت و واقعيت تلقي مي‌شوند. ريشي‌هاي ريگ ودا، مردان عملي بودند و نه فيلسوف مآبان. براي آنان، اموري كه در جهان مشاهده مي‌شود، عيني و واقعي تلقي مي‌شده است، ولي واقعيت آن در مقايسه با ريت اولاً ناقص، ثانياً نسبي و ثالثاً گذرا بوده است؛ در حاليكه آنچه ثابت و لايتغير بوده ريت است. در مرحلة بعدي حاكميت تفكر عرفاني وحدت‌الوجودي، عنوان شد كه نظريه «مايا»، برخي از عناصر نظريه ريت را اقتباس كرده و آن را در مقوله وحدت‌الوجودي، از نو تفسير نموده است.</w:t>
      </w:r>
    </w:p>
    <w:p w:rsidR="00075613" w:rsidRPr="00075613" w:rsidP="003C0EF5">
      <w:pPr>
        <w:widowControl w:val="0"/>
        <w:spacing w:line="420" w:lineRule="exact"/>
        <w:ind w:left="0" w:right="0"/>
        <w:jc w:val="both"/>
        <w:rPr>
          <w:rFonts w:cs="B Zar" w:hint="cs"/>
          <w:rtl/>
        </w:rPr>
      </w:pPr>
      <w:r w:rsidRPr="00075613">
        <w:rPr>
          <w:rFonts w:cs="B Zar" w:hint="cs"/>
          <w:rtl/>
        </w:rPr>
        <w:t>كلمه مايا</w:t>
      </w:r>
      <w:r w:rsidRPr="00075613">
        <w:rPr>
          <w:rFonts w:cs="B Zar"/>
        </w:rPr>
        <w:t xml:space="preserve">(Maya) </w:t>
      </w:r>
      <w:r w:rsidRPr="00075613">
        <w:rPr>
          <w:rFonts w:cs="B Zar" w:hint="cs"/>
          <w:rtl/>
        </w:rPr>
        <w:t xml:space="preserve"> در ريگ ودا نيز به كار رفته است. معناي اوليه آن طلسم، جادو، سحر و چشم بندي بوده است. در ريگ ودا</w:t>
      </w:r>
      <w:r w:rsidRPr="00075613">
        <w:rPr>
          <w:rFonts w:cs="B Zar"/>
        </w:rPr>
        <w:t xml:space="preserve"> (Rig Veda) </w:t>
      </w:r>
      <w:r w:rsidRPr="00075613">
        <w:rPr>
          <w:rFonts w:cs="B Zar" w:hint="cs"/>
          <w:rtl/>
        </w:rPr>
        <w:t xml:space="preserve"> گفته شده است: </w:t>
      </w:r>
      <w:r w:rsidRPr="00075613">
        <w:rPr>
          <w:rFonts w:cs="B Zar" w:hint="cs"/>
          <w:i/>
          <w:iCs/>
          <w:rtl/>
        </w:rPr>
        <w:t>«خداي اندر، از طريق مايا (طلسم‌هاي جادوئي و چشم‌بندي و فريب و نظر) خود را تغيير داد و به صورت شكل‌هاي گوناگون مخلوقات درآمد»</w:t>
      </w:r>
      <w:r>
        <w:rPr>
          <w:rStyle w:val="FootnoteReference"/>
          <w:rFonts w:cs="B Zar"/>
          <w:sz w:val="28"/>
          <w:szCs w:val="28"/>
          <w:rtl/>
        </w:rPr>
        <w:footnoteReference w:id="588"/>
      </w:r>
      <w:r w:rsidRPr="00075613">
        <w:rPr>
          <w:rFonts w:cs="B Zar" w:hint="cs"/>
          <w:rtl/>
        </w:rPr>
        <w:t>. ريشي‌هاي</w:t>
      </w:r>
      <w:r w:rsidRPr="00075613">
        <w:rPr>
          <w:rFonts w:cs="B Zar"/>
        </w:rPr>
        <w:t xml:space="preserve">(Rishi) </w:t>
      </w:r>
      <w:r w:rsidRPr="00075613">
        <w:rPr>
          <w:rFonts w:cs="B Zar" w:hint="cs"/>
          <w:rtl/>
        </w:rPr>
        <w:t xml:space="preserve"> اوپانيشاد، احتمالاً اصطلاح مايا را از همين قطعه ريگ ودا اقتباس كرده‌اند</w:t>
      </w:r>
      <w:r>
        <w:rPr>
          <w:rStyle w:val="FootnoteReference"/>
          <w:rFonts w:cs="B Zar"/>
          <w:sz w:val="28"/>
          <w:szCs w:val="28"/>
          <w:rtl/>
        </w:rPr>
        <w:footnoteReference w:id="589"/>
      </w:r>
      <w:r w:rsidRPr="00075613">
        <w:rPr>
          <w:rFonts w:cs="B Zar" w:hint="cs"/>
          <w:rtl/>
        </w:rPr>
        <w:t>. همچنانكه اندر خداي ودا از طريق مايا خود را به اشكال گوناگون درآورد، برهمان نيز با روند مايا خود را به صورت موجودات و اشياء در مي‌آورد. همچنانكه در آمدن ايندرا به صورت موجودات مختلف، حقيقت نبوده، بلكه يك فريب و شگرد جادودئي بوده است. در واقع وراي شكل‌هاي متعدد، حقيقت واحدي وجود داشت. همچنان تجلي برهمان به صورت موجودات و اشياء، واقعيت تام نيست، بلكه يك فريب و اشتباه ادراكي است. از اينجا كلمة مايا دستخوش تحول گرديد و معناي تازه‌اي به خود گرفت كه رايج و متداول گرديد و از آن پس هرجا كلمه مايا به كار مي رفت، همين معنا در نظر گرفته مي شد، يا لااقل آن را تداعي مي‌كرد. اين معناي متداول كلمة مايا عبارت بود از فريب، صور خيالي، خطاي باصره، پندار، خطاي حسي، اشتباه ادراكي، آنچه ضد حقيقت باشد، توهم، خيال، انگاره ذهني، تخيل صورت وهمي و غيره. اكثر اسماء و افعالی كه از اين ريشه ساخته شده‌اند، معناي فريب و توهم را مي‌رسانيده‌اند. ماياپتي، به معناي خداوند خطاي باصره است و ماياچار فريب دهنده را مي‌گويند. مايا ودا، اين نظريه را مي‌گويند كه جهان جز خطاي باصره چيزي نيست</w:t>
      </w:r>
      <w:r>
        <w:rPr>
          <w:rStyle w:val="FootnoteReference"/>
          <w:rFonts w:cs="B Zar"/>
          <w:sz w:val="28"/>
          <w:szCs w:val="28"/>
          <w:rtl/>
        </w:rPr>
        <w:footnoteReference w:id="590"/>
      </w:r>
      <w:r w:rsidRPr="00075613">
        <w:rPr>
          <w:rFonts w:cs="B Zar" w:hint="cs"/>
          <w:rtl/>
        </w:rPr>
        <w:t xml:space="preserve">. اكثر زبان شناسان مايا را به عنوان فريب ترجمه كرده اند. سر مونئر وليمز و جان داوسون </w:t>
      </w:r>
      <w:r w:rsidRPr="00075613">
        <w:rPr>
          <w:rFonts w:cs="B Zar"/>
        </w:rPr>
        <w:t>(John Dowson)</w:t>
      </w:r>
      <w:r w:rsidRPr="00075613">
        <w:rPr>
          <w:rFonts w:cs="B Zar" w:hint="cs"/>
          <w:rtl/>
        </w:rPr>
        <w:t>، هر دو، كلمه مايا را به عنوان فريب ترجمه كرده‌اند</w:t>
      </w:r>
      <w:r w:rsidRPr="00075613">
        <w:rPr>
          <w:rFonts w:cs="B Zar"/>
          <w:rtl/>
        </w:rPr>
        <w:t xml:space="preserve"> </w:t>
      </w:r>
      <w:r>
        <w:rPr>
          <w:rStyle w:val="FootnoteReference"/>
          <w:rFonts w:cs="B Zar"/>
          <w:rtl/>
        </w:rPr>
        <w:footnoteReference w:id="591"/>
      </w:r>
      <w:r w:rsidRPr="00075613">
        <w:rPr>
          <w:rFonts w:cs="B Zar" w:hint="cs"/>
          <w:rtl/>
        </w:rPr>
        <w:t xml:space="preserve">. با توجه به معناي لغوي، پال ديوسن </w:t>
      </w:r>
      <w:r w:rsidRPr="00075613">
        <w:rPr>
          <w:rFonts w:cs="B Zar"/>
        </w:rPr>
        <w:t>(Deussen)</w:t>
      </w:r>
      <w:r w:rsidRPr="00075613">
        <w:rPr>
          <w:rFonts w:cs="B Zar" w:hint="cs"/>
          <w:rtl/>
        </w:rPr>
        <w:t xml:space="preserve"> و برخي ديگر از صاحب نظران فلسفه اوپانيشاد، به اين نتيجه رسيده‌اند كه طبق نظر اوپانيشاد، برهمان يا ذات احديت يگانه حقيقت است و جهان عيني يك فريب، يك پندار و يك فانتزي است. آنچه ما واقعيت و عينيت مي‌پنداريم، واهمه و اشتباه ادراكي ما و انگارسازي ذهني ما است كه واقعيتي ندارد. ديوسن مي‌نويسد: چهارگونه نظريه آفرينش و تلقي از جهان وجود دارد:</w:t>
      </w:r>
    </w:p>
    <w:p w:rsidR="00075613" w:rsidRPr="00075613" w:rsidP="003C0EF5">
      <w:pPr>
        <w:widowControl w:val="0"/>
        <w:spacing w:line="420" w:lineRule="exact"/>
        <w:ind w:left="0" w:right="0"/>
        <w:jc w:val="both"/>
        <w:rPr>
          <w:rFonts w:cs="B Zar" w:hint="cs"/>
          <w:rtl/>
        </w:rPr>
      </w:pPr>
      <w:r w:rsidRPr="00075613">
        <w:rPr>
          <w:rFonts w:cs="B Zar" w:hint="cs"/>
          <w:rtl/>
        </w:rPr>
        <w:t>1ـ تلقي اول اين است كه ماده ازلي است و در كنار برهمان يا حقيقت روحاني وجود داشته است؛ منتهي اينكه به صورت هيولي بوده و خداوند آن را به صورت اجسام درآورده است؛</w:t>
      </w:r>
    </w:p>
    <w:p w:rsidR="00075613" w:rsidRPr="00075613" w:rsidP="003C0EF5">
      <w:pPr>
        <w:widowControl w:val="0"/>
        <w:spacing w:line="420" w:lineRule="exact"/>
        <w:ind w:left="0" w:right="0"/>
        <w:jc w:val="both"/>
        <w:rPr>
          <w:rFonts w:cs="B Zar" w:hint="cs"/>
          <w:rtl/>
        </w:rPr>
      </w:pPr>
      <w:r w:rsidRPr="00075613">
        <w:rPr>
          <w:rFonts w:cs="B Zar" w:hint="cs"/>
          <w:rtl/>
        </w:rPr>
        <w:t>2ـ تلقي دوم اين است كه خداوند جهان را از عدم محض خلق كرد و سپس قوانين بخصوص و سنن ويژه‌اي را بر آن حاكم ساخت؛</w:t>
      </w:r>
    </w:p>
    <w:p w:rsidR="00075613" w:rsidRPr="00075613" w:rsidP="003C0EF5">
      <w:pPr>
        <w:widowControl w:val="0"/>
        <w:spacing w:line="420" w:lineRule="exact"/>
        <w:ind w:left="0" w:right="0"/>
        <w:jc w:val="both"/>
        <w:rPr>
          <w:rFonts w:cs="B Zar" w:hint="cs"/>
          <w:rtl/>
        </w:rPr>
      </w:pPr>
      <w:r w:rsidRPr="00075613">
        <w:rPr>
          <w:rFonts w:cs="B Zar" w:hint="cs"/>
          <w:rtl/>
        </w:rPr>
        <w:t>3ـ تلقي سوم اين است كه خداوند جهان را از طريق خود تعييني به وجود آورده و جهان چيزي جز ذات الهي نيست؛</w:t>
      </w:r>
    </w:p>
    <w:p w:rsidR="00075613" w:rsidRPr="00075613" w:rsidP="003C0EF5">
      <w:pPr>
        <w:widowControl w:val="0"/>
        <w:spacing w:line="420" w:lineRule="exact"/>
        <w:ind w:left="0" w:right="0"/>
        <w:jc w:val="both"/>
        <w:rPr>
          <w:rFonts w:cs="B Zar" w:hint="cs"/>
          <w:rtl/>
        </w:rPr>
      </w:pPr>
      <w:r w:rsidRPr="00075613">
        <w:rPr>
          <w:rFonts w:cs="B Zar" w:hint="cs"/>
          <w:rtl/>
        </w:rPr>
        <w:t>4ـ تلقي چهارم اين است كه تنها خداوند «حقيقت» است و هيچ موجود ديگري اصالت ندارد. هرچه هست فريب نظر و اشتباه حسي ما است؛ همچنانكه ما در عالم رويا، موجودات و منظره‌هائي را مي‌بينيم و در آن حالت آنان را حقيقت مي‌پنداريم، ولي وقتي بيدار مي‌شويم، در مي‌يابيم كه هرچه ديده‌ايم، وهم و گمان بوده است. واقعيت جهان نيز اين‌گونه است</w:t>
      </w:r>
      <w:r>
        <w:rPr>
          <w:rStyle w:val="FootnoteReference"/>
          <w:rFonts w:cs="B Zar"/>
          <w:sz w:val="28"/>
          <w:szCs w:val="28"/>
          <w:rtl/>
        </w:rPr>
        <w:footnoteReference w:id="592"/>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ديوسن معتقد است كه اصرار اوپانيشاد بر اين امر كه جهان و هستي مايا است، به معناي تائيد نظريه چهارم است. ديوسن و صاحب‌نظران ديگر كه معتقدند جهان بيني اوپانيشاد جهان را فاقد عينيت مي‌داند، دلائل گوناگون عنوان كرده‌اند. دليل اصلي آنان اين است كه اوپانيشاد معتقد به مونيسم يا همه خدائي مطلق است. وقتي هرچه هست خدا است، پس اشياء و موجوداتي كه در برابر اين حقيقت تام و مطلق قرار دارند، اصلاً نيستند. نفي اصالت و عينيت جهان و هستي نتيجه منطقي وحدت‌الوجودي اوپانيشاد است. در قطعات مختلف رسائل اوپانيشاد، ذات برهمان يگانه حقيقت معرفي شده است، و بر اين نكته تأكيد به عمل آمده است كه اگر به معرفت برهمان دست پيدا كرديم، در واقع معرفت تام سراسر وجود را بدست آورده‌ايم. آنچه واقعيت دارد، ذات احديت است. گوناگوني و چند گانگي جهان هستي، مايا است؛ خطاي حسي و فريب نظر است و بس</w:t>
      </w:r>
      <w:r>
        <w:rPr>
          <w:rStyle w:val="FootnoteReference"/>
          <w:rFonts w:cs="B Zar"/>
          <w:sz w:val="28"/>
          <w:szCs w:val="28"/>
          <w:rtl/>
        </w:rPr>
        <w:footnoteReference w:id="593"/>
      </w:r>
      <w:r w:rsidRPr="00075613">
        <w:rPr>
          <w:rFonts w:cs="B Zar" w:hint="cs"/>
          <w:rtl/>
        </w:rPr>
        <w:t>. در چاندوگيا اوپانيشاد اعلام مي‌شود: «متناهي در لامتناهي غرقه است، آتمان (ذات خدا) كل هستي را دربر گرفته است».</w:t>
      </w:r>
      <w:r>
        <w:rPr>
          <w:rStyle w:val="FootnoteReference"/>
          <w:rFonts w:cs="B Zar"/>
          <w:sz w:val="28"/>
          <w:szCs w:val="28"/>
          <w:rtl/>
        </w:rPr>
        <w:footnoteReference w:id="594"/>
      </w:r>
      <w:r w:rsidRPr="00075613">
        <w:rPr>
          <w:rFonts w:cs="B Zar" w:hint="cs"/>
          <w:rtl/>
        </w:rPr>
        <w:t xml:space="preserve"> در مانداكا</w:t>
      </w:r>
      <w:r w:rsidRPr="00075613">
        <w:rPr>
          <w:rFonts w:cs="B Zar"/>
        </w:rPr>
        <w:t>(Mundaka)</w:t>
      </w:r>
      <w:r w:rsidRPr="00075613">
        <w:rPr>
          <w:rFonts w:cs="B Zar" w:hint="cs"/>
          <w:rtl/>
        </w:rPr>
        <w:t xml:space="preserve"> اوپانيشاد گفته شده است</w:t>
      </w:r>
      <w:r w:rsidRPr="00075613">
        <w:rPr>
          <w:rFonts w:cs="B Zar" w:hint="cs"/>
          <w:i/>
          <w:iCs/>
          <w:rtl/>
        </w:rPr>
        <w:t>: «آتمان</w:t>
      </w:r>
      <w:r w:rsidRPr="00075613">
        <w:rPr>
          <w:rFonts w:cs="B Zar"/>
          <w:i/>
          <w:iCs/>
        </w:rPr>
        <w:t xml:space="preserve">(Atman) </w:t>
      </w:r>
      <w:r w:rsidRPr="00075613">
        <w:rPr>
          <w:rFonts w:cs="B Zar" w:hint="cs"/>
          <w:i/>
          <w:iCs/>
          <w:rtl/>
        </w:rPr>
        <w:t xml:space="preserve"> نفس است، كلام است، فكر است، ذهن است، گل است، خوشبو است، حتي هر ذره خاك از اوست»</w:t>
      </w:r>
      <w:r>
        <w:rPr>
          <w:rStyle w:val="FootnoteReference"/>
          <w:rFonts w:cs="B Zar"/>
          <w:sz w:val="28"/>
          <w:szCs w:val="28"/>
          <w:rtl/>
        </w:rPr>
        <w:footnoteReference w:id="595"/>
      </w:r>
      <w:r w:rsidRPr="00075613">
        <w:rPr>
          <w:rFonts w:cs="B Zar" w:hint="cs"/>
          <w:rtl/>
        </w:rPr>
        <w:t>. در تيتريه اوپانيشاد</w:t>
      </w:r>
      <w:r w:rsidRPr="00075613">
        <w:rPr>
          <w:rFonts w:cs="B Zar"/>
        </w:rPr>
        <w:t xml:space="preserve"> Taittiriya Upanishad </w:t>
      </w:r>
      <w:r w:rsidRPr="00075613">
        <w:rPr>
          <w:rFonts w:cs="B Zar" w:hint="cs"/>
          <w:rtl/>
        </w:rPr>
        <w:t xml:space="preserve"> گفته شده است كه بهارگو</w:t>
      </w:r>
      <w:r w:rsidRPr="00075613">
        <w:rPr>
          <w:rFonts w:cs="B Zar"/>
        </w:rPr>
        <w:t xml:space="preserve"> (Bhargava) </w:t>
      </w:r>
      <w:r w:rsidRPr="00075613">
        <w:rPr>
          <w:rFonts w:cs="B Zar" w:hint="cs"/>
          <w:rtl/>
        </w:rPr>
        <w:t>، فرزند وردن</w:t>
      </w:r>
      <w:r w:rsidRPr="00075613">
        <w:rPr>
          <w:rFonts w:cs="B Zar"/>
        </w:rPr>
        <w:t xml:space="preserve">(Vardhan) </w:t>
      </w:r>
      <w:r w:rsidRPr="00075613">
        <w:rPr>
          <w:rFonts w:cs="B Zar" w:hint="cs"/>
          <w:rtl/>
        </w:rPr>
        <w:t>، پيش پدرش آمد و گفت اي سزاوار تعظيم! برهمان را به من بفهمان. پدر به او گفت كه غذا و پران و بينائي و شنوائي و دل و گويايي برهمان هستند. از هرچه همه جانداران زاده مي شوند و از آن زندگي آنان قوام دارد و در آنچه محو مي شوند، آن برهمان است. سپس به تدريج پدر، به پسر ياد مي‌دهد كه پران (جان) و جانداران، دل و دماغ و قواي انفسي، همه برهمان هستند. سپس اضافه مي‌شود كه آب و غذا و بهوت آكاش</w:t>
      </w:r>
      <w:r w:rsidRPr="00075613">
        <w:rPr>
          <w:rFonts w:cs="B Zar"/>
        </w:rPr>
        <w:t xml:space="preserve">(Akash) </w:t>
      </w:r>
      <w:r w:rsidRPr="00075613">
        <w:rPr>
          <w:rFonts w:cs="B Zar" w:hint="cs"/>
          <w:rtl/>
        </w:rPr>
        <w:t xml:space="preserve"> و اثير همه برهمان هستند؛ حتي روشنائي كه در ستاره‌ها هست و لذتي كه در معاشرت با زن حاصل مي‌شود ، همه برهمان است</w:t>
      </w:r>
      <w:r>
        <w:rPr>
          <w:rStyle w:val="FootnoteReference"/>
          <w:rFonts w:cs="B Zar"/>
          <w:sz w:val="28"/>
          <w:szCs w:val="28"/>
          <w:rtl/>
        </w:rPr>
        <w:footnoteReference w:id="596"/>
      </w:r>
      <w:r w:rsidRPr="00075613">
        <w:rPr>
          <w:rFonts w:cs="B Zar" w:hint="cs"/>
          <w:rtl/>
        </w:rPr>
        <w:t>. وقتي هرچه هست برهمان باشد، پس آنچه ما غير از برهمان مي‌بينيم واهمة ما و اشتباه ادراكي ماست؛ خيالبافي‌ها و انگارهاي تخيلاتي محض است. در برهداران ياكا اوپانيشاد</w:t>
      </w:r>
      <w:r w:rsidRPr="00075613">
        <w:rPr>
          <w:rFonts w:cs="B Zar"/>
        </w:rPr>
        <w:t xml:space="preserve"> Brhdaranyaka </w:t>
      </w:r>
      <w:r w:rsidRPr="00075613">
        <w:rPr>
          <w:rFonts w:cs="B Zar" w:hint="cs"/>
          <w:rtl/>
        </w:rPr>
        <w:t xml:space="preserve"> اوپانيشاد مي‌خوانيم: </w:t>
      </w:r>
      <w:r w:rsidRPr="00075613">
        <w:rPr>
          <w:rFonts w:cs="B Zar" w:hint="cs"/>
          <w:i/>
          <w:iCs/>
          <w:rtl/>
        </w:rPr>
        <w:t>«برهمان كسي را كه جدا از آتمان بداند رد مي‌كند. عاملين آنها را كه جدا از آتمان (ذات احديت) بدانند، مردود مي‌شمرد. آنها كه ديوتاها (خدايان يا عناصر طبيعت) را جدا از آتمان</w:t>
      </w:r>
      <w:r w:rsidRPr="00075613">
        <w:rPr>
          <w:rFonts w:cs="B Zar"/>
          <w:i/>
          <w:iCs/>
        </w:rPr>
        <w:t xml:space="preserve">(Atman) </w:t>
      </w:r>
      <w:r w:rsidRPr="00075613">
        <w:rPr>
          <w:rFonts w:cs="B Zar" w:hint="cs"/>
          <w:i/>
          <w:iCs/>
          <w:rtl/>
        </w:rPr>
        <w:t xml:space="preserve"> بدانند، مردود مي‌شمرد. همه عالمين، همه ديوتاها، همه موجودات، همه اشياء ‌كه مي‌بينيم، آتمان هستند و بس»</w:t>
      </w:r>
      <w:r w:rsidRPr="00075613">
        <w:rPr>
          <w:rFonts w:cs="B Zar" w:hint="cs"/>
          <w:rtl/>
        </w:rPr>
        <w:t>.</w:t>
      </w:r>
      <w:r>
        <w:rPr>
          <w:rStyle w:val="FootnoteReference"/>
          <w:rFonts w:cs="B Zar"/>
          <w:sz w:val="28"/>
          <w:szCs w:val="28"/>
          <w:rtl/>
        </w:rPr>
        <w:footnoteReference w:id="597"/>
      </w:r>
      <w:r w:rsidRPr="00075613">
        <w:rPr>
          <w:rFonts w:cs="B Zar" w:hint="cs"/>
          <w:rtl/>
        </w:rPr>
        <w:t xml:space="preserve"> همين نكته در قطعات مختلف چاندوگيا</w:t>
      </w:r>
      <w:r w:rsidRPr="00075613">
        <w:rPr>
          <w:rFonts w:cs="B Zar"/>
        </w:rPr>
        <w:t xml:space="preserve">(Chandogya) </w:t>
      </w:r>
      <w:r w:rsidRPr="00075613">
        <w:rPr>
          <w:rFonts w:cs="B Zar" w:hint="cs"/>
          <w:rtl/>
        </w:rPr>
        <w:t xml:space="preserve"> اوپانيشاد نيز مورد تأكيد قرار داشته است. مثلاً در بخش سوم گفته شده است: </w:t>
      </w:r>
      <w:r w:rsidRPr="00075613">
        <w:rPr>
          <w:rFonts w:cs="B Zar" w:hint="cs"/>
          <w:i/>
          <w:iCs/>
          <w:rtl/>
        </w:rPr>
        <w:t xml:space="preserve">«اين عالم همه برهمان است و از او پيدا شده است و در او محو مي‌شود، </w:t>
      </w:r>
      <w:r w:rsidRPr="00075613">
        <w:rPr>
          <w:rFonts w:hint="eastAsia"/>
          <w:i/>
          <w:iCs/>
          <w:rtl/>
        </w:rPr>
        <w:t>…</w:t>
      </w:r>
      <w:r w:rsidRPr="00075613">
        <w:rPr>
          <w:rFonts w:cs="B Zar" w:hint="eastAsia"/>
          <w:i/>
          <w:iCs/>
          <w:rtl/>
        </w:rPr>
        <w:t xml:space="preserve"> دل</w:t>
      </w:r>
      <w:r w:rsidRPr="00075613">
        <w:rPr>
          <w:rFonts w:cs="B Zar" w:hint="cs"/>
          <w:i/>
          <w:iCs/>
          <w:rtl/>
        </w:rPr>
        <w:t>،</w:t>
      </w:r>
      <w:r w:rsidRPr="00075613">
        <w:rPr>
          <w:rFonts w:cs="B Zar" w:hint="eastAsia"/>
          <w:i/>
          <w:iCs/>
          <w:rtl/>
        </w:rPr>
        <w:t xml:space="preserve"> عين اوست، پران</w:t>
      </w:r>
      <w:r w:rsidRPr="00075613">
        <w:rPr>
          <w:rFonts w:cs="B Zar" w:hint="cs"/>
          <w:i/>
          <w:iCs/>
          <w:rtl/>
        </w:rPr>
        <w:t>،</w:t>
      </w:r>
      <w:r w:rsidRPr="00075613">
        <w:rPr>
          <w:rFonts w:cs="B Zar" w:hint="eastAsia"/>
          <w:i/>
          <w:iCs/>
          <w:rtl/>
        </w:rPr>
        <w:t xml:space="preserve"> تن اوست، روشني</w:t>
      </w:r>
      <w:r w:rsidRPr="00075613">
        <w:rPr>
          <w:rFonts w:cs="B Zar" w:hint="cs"/>
          <w:i/>
          <w:iCs/>
          <w:rtl/>
        </w:rPr>
        <w:t>،</w:t>
      </w:r>
      <w:r w:rsidRPr="00075613">
        <w:rPr>
          <w:rFonts w:cs="B Zar" w:hint="eastAsia"/>
          <w:i/>
          <w:iCs/>
          <w:rtl/>
        </w:rPr>
        <w:t xml:space="preserve"> صورت اوست، فضا</w:t>
      </w:r>
      <w:r w:rsidRPr="00075613">
        <w:rPr>
          <w:rFonts w:cs="B Zar" w:hint="cs"/>
          <w:i/>
          <w:iCs/>
          <w:rtl/>
        </w:rPr>
        <w:t>،</w:t>
      </w:r>
      <w:r w:rsidRPr="00075613">
        <w:rPr>
          <w:rFonts w:cs="B Zar" w:hint="eastAsia"/>
          <w:i/>
          <w:iCs/>
          <w:rtl/>
        </w:rPr>
        <w:t xml:space="preserve"> روح اوست، او كنندة همه كارهاست، دارندة همة آرزوهاست</w:t>
      </w:r>
      <w:r>
        <w:rPr>
          <w:rStyle w:val="FootnoteReference"/>
          <w:rFonts w:cs="B Zar"/>
          <w:i/>
          <w:iCs/>
          <w:sz w:val="28"/>
          <w:szCs w:val="28"/>
          <w:rtl/>
        </w:rPr>
        <w:footnoteReference w:id="598"/>
      </w:r>
      <w:r w:rsidRPr="00075613">
        <w:rPr>
          <w:rFonts w:cs="B Zar" w:hint="eastAsia"/>
          <w:i/>
          <w:iCs/>
          <w:rtl/>
        </w:rPr>
        <w:t>.</w:t>
      </w:r>
      <w:r w:rsidRPr="00075613">
        <w:rPr>
          <w:rFonts w:cs="B Zar" w:hint="cs"/>
          <w:i/>
          <w:iCs/>
          <w:rtl/>
        </w:rPr>
        <w:t xml:space="preserve"> همة بوها، بوي اوست، همه مزه‌ها، مزه اوست و او همه عالم را فرا گرفته است </w:t>
      </w:r>
      <w:r w:rsidRPr="00075613">
        <w:rPr>
          <w:rFonts w:hint="eastAsia"/>
          <w:i/>
          <w:iCs/>
          <w:rtl/>
        </w:rPr>
        <w:t>…</w:t>
      </w:r>
      <w:r w:rsidRPr="00075613">
        <w:rPr>
          <w:rFonts w:cs="B Zar" w:hint="eastAsia"/>
          <w:i/>
          <w:iCs/>
          <w:rtl/>
        </w:rPr>
        <w:t xml:space="preserve"> آن كننده همه كارهاست، برآرندة همه آرزوهاست، بوينده همه بوها است و برهمه محيط است</w:t>
      </w:r>
      <w:r w:rsidRPr="00075613">
        <w:rPr>
          <w:rFonts w:cs="B Zar" w:hint="cs"/>
          <w:i/>
          <w:iCs/>
          <w:rtl/>
        </w:rPr>
        <w:t>»</w:t>
      </w:r>
      <w:r>
        <w:rPr>
          <w:rStyle w:val="FootnoteReference"/>
          <w:rFonts w:cs="B Zar"/>
          <w:i/>
          <w:iCs/>
          <w:sz w:val="28"/>
          <w:szCs w:val="28"/>
          <w:rtl/>
        </w:rPr>
        <w:footnoteReference w:id="599"/>
      </w:r>
      <w:r w:rsidRPr="00075613">
        <w:rPr>
          <w:rFonts w:cs="B Zar" w:hint="eastAsia"/>
          <w:i/>
          <w:iCs/>
          <w:rtl/>
        </w:rPr>
        <w:t>.</w:t>
      </w:r>
    </w:p>
    <w:p w:rsidR="00075613" w:rsidRPr="00075613" w:rsidP="003C0EF5">
      <w:pPr>
        <w:widowControl w:val="0"/>
        <w:spacing w:line="420" w:lineRule="exact"/>
        <w:ind w:left="0" w:right="0"/>
        <w:jc w:val="both"/>
        <w:rPr>
          <w:rFonts w:cs="B Zar" w:hint="cs"/>
          <w:rtl/>
        </w:rPr>
      </w:pPr>
      <w:r w:rsidRPr="00075613">
        <w:rPr>
          <w:rFonts w:cs="B Zar" w:hint="cs"/>
          <w:rtl/>
        </w:rPr>
        <w:t>ديوسن استدلال كرده است كه پس از اينگونه اظهارات صريح، هيچ جائي براي يك واقعيت و عينيت غير از برهمان يا ذات احديت وجود ندارد. صراحتاً گفته شده است كه آنچه ما جهان عيني تلقي مي كنيم، گمان و توهم ما و در واقع آن ذات برهمان است</w:t>
      </w:r>
      <w:r w:rsidRPr="00075613">
        <w:rPr>
          <w:rFonts w:cs="B Zar"/>
          <w:rtl/>
        </w:rPr>
        <w:t xml:space="preserve"> </w:t>
      </w:r>
      <w:r>
        <w:rPr>
          <w:rStyle w:val="FootnoteReference"/>
          <w:rFonts w:cs="B Zar"/>
          <w:rtl/>
        </w:rPr>
        <w:footnoteReference w:id="600"/>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استدلال ديگر ديوسن براي اثبات اين نظريه كه اوپانيشاد و فلسفه ودانت جهان را فاقد اصالت و عينيت مي داند، اين است كه كلمة مايا كه براي موجودات و هستي به كار رفته است، به معناي فريب و توهم است. به عنوان نمونه در سوتاس وتر اوپانيشاد گفته شده است</w:t>
      </w:r>
      <w:r w:rsidRPr="00075613">
        <w:rPr>
          <w:rFonts w:cs="B Zar" w:hint="cs"/>
          <w:i/>
          <w:iCs/>
          <w:rtl/>
        </w:rPr>
        <w:t>: «ماده (پردهنم)، دائماً در حال تغيير است، هرا (خداوند) قطب ثابت و لايتغير است، او همانند حاكم مطلق بر پردهنم حكم مي‌راند، از طريق فكر و ذكر پيرامون ذات لايزال او، تسليم مطلق به او و فناي تدريجي در او، فرد از مايا (فريب هستي) مي جهد، و از رنج آلام و گرداب مرگ و تولد ميرهد</w:t>
      </w:r>
      <w:r>
        <w:rPr>
          <w:rStyle w:val="FootnoteReference"/>
          <w:rFonts w:cs="B Zar"/>
          <w:i/>
          <w:iCs/>
          <w:sz w:val="28"/>
          <w:szCs w:val="28"/>
          <w:rtl/>
        </w:rPr>
        <w:footnoteReference w:id="601"/>
      </w:r>
      <w:r w:rsidRPr="00075613">
        <w:rPr>
          <w:rFonts w:cs="B Zar" w:hint="cs"/>
          <w:i/>
          <w:iCs/>
          <w:rtl/>
        </w:rPr>
        <w:t>»</w:t>
      </w:r>
      <w:r w:rsidRPr="00075613">
        <w:rPr>
          <w:rFonts w:cs="B Zar" w:hint="cs"/>
          <w:rtl/>
        </w:rPr>
        <w:t>. در ميتراين اوپانيشاد</w:t>
      </w:r>
      <w:r>
        <w:rPr>
          <w:rStyle w:val="FootnoteReference"/>
          <w:rFonts w:cs="B Zar"/>
          <w:sz w:val="28"/>
          <w:szCs w:val="28"/>
          <w:rtl/>
        </w:rPr>
        <w:footnoteReference w:id="602"/>
      </w:r>
      <w:r w:rsidRPr="00075613">
        <w:rPr>
          <w:rFonts w:cs="B Zar" w:hint="cs"/>
          <w:rtl/>
        </w:rPr>
        <w:t xml:space="preserve"> و پرسنا اوپانيشاد</w:t>
      </w:r>
      <w:r>
        <w:rPr>
          <w:rStyle w:val="FootnoteReference"/>
          <w:rFonts w:cs="B Zar"/>
          <w:sz w:val="28"/>
          <w:szCs w:val="28"/>
          <w:rtl/>
        </w:rPr>
        <w:footnoteReference w:id="603"/>
      </w:r>
      <w:r w:rsidRPr="00075613">
        <w:rPr>
          <w:rFonts w:cs="B Zar" w:hint="cs"/>
          <w:rtl/>
        </w:rPr>
        <w:t xml:space="preserve"> نيز كلمه مايا، به معناي فريب و توهم بكار رفته است. در كيواليا اوپانيشاد كه از جمله اوپانيشادهاي منظوم دسته سوم است ودر مجموعه ديوسن نقل گرديده است، گفته شده است:</w:t>
      </w:r>
    </w:p>
    <w:p w:rsidR="00075613" w:rsidRPr="00075613" w:rsidP="003C0EF5">
      <w:pPr>
        <w:widowControl w:val="0"/>
        <w:spacing w:line="420" w:lineRule="exact"/>
        <w:ind w:left="0" w:right="0"/>
        <w:jc w:val="both"/>
        <w:rPr>
          <w:rFonts w:cs="B Zar" w:hint="cs"/>
          <w:i/>
          <w:iCs/>
          <w:rtl/>
        </w:rPr>
      </w:pPr>
      <w:r w:rsidRPr="00075613">
        <w:rPr>
          <w:rFonts w:cs="B Zar" w:hint="cs"/>
          <w:i/>
          <w:iCs/>
          <w:rtl/>
        </w:rPr>
        <w:t>«وقتي نفس او را مايا كور مي‌كند، او در اين حالت صرفاً جسم را مي بيند، و به دنبال زن و زر و اطعمه و اشربه و لذات كام و دهن است</w:t>
      </w:r>
      <w:r>
        <w:rPr>
          <w:rStyle w:val="FootnoteReference"/>
          <w:rFonts w:cs="B Zar"/>
          <w:i/>
          <w:iCs/>
          <w:sz w:val="28"/>
          <w:szCs w:val="28"/>
          <w:rtl/>
        </w:rPr>
        <w:footnoteReference w:id="604"/>
      </w:r>
      <w:r w:rsidRPr="00075613">
        <w:rPr>
          <w:rFonts w:cs="B Zar" w:hint="cs"/>
          <w:i/>
          <w:iCs/>
          <w:rtl/>
        </w:rPr>
        <w:t>.»</w:t>
      </w:r>
    </w:p>
    <w:p w:rsidR="00075613" w:rsidRPr="00075613" w:rsidP="003C0EF5">
      <w:pPr>
        <w:widowControl w:val="0"/>
        <w:spacing w:line="420" w:lineRule="exact"/>
        <w:ind w:left="0" w:right="0"/>
        <w:jc w:val="both"/>
        <w:rPr>
          <w:rFonts w:cs="B Zar" w:hint="cs"/>
          <w:rtl/>
        </w:rPr>
      </w:pPr>
      <w:r w:rsidRPr="00075613">
        <w:rPr>
          <w:rFonts w:cs="B Zar" w:hint="cs"/>
          <w:rtl/>
        </w:rPr>
        <w:t>ديوسن از اينگونه قطعات اوپانيشاد نتيجه گرفته است كه مايا</w:t>
      </w:r>
      <w:r w:rsidRPr="00075613">
        <w:rPr>
          <w:rFonts w:cs="B Zar"/>
        </w:rPr>
        <w:t xml:space="preserve">(Maya) </w:t>
      </w:r>
      <w:r w:rsidRPr="00075613">
        <w:rPr>
          <w:rFonts w:cs="B Zar" w:hint="cs"/>
          <w:rtl/>
        </w:rPr>
        <w:t xml:space="preserve"> در فرهنگ اوپانيشاد، به معناي فريب و خطاي ادراكي و توهم به كار رفته است. از اين رو مي‌توان نتيجه گرفت كه برحسب جهان بيني ودانت، جهان هستي عينيت ندارند و آنچه ما عيني مي پنداريم، انگارش ذهني و خطاي ادراكي ماست. سوامي وويكاناند</w:t>
      </w:r>
      <w:r w:rsidRPr="00075613">
        <w:rPr>
          <w:rFonts w:cs="B Zar"/>
        </w:rPr>
        <w:t xml:space="preserve">(Vivekananda) </w:t>
      </w:r>
      <w:r w:rsidRPr="00075613">
        <w:rPr>
          <w:rFonts w:cs="B Zar" w:hint="cs"/>
          <w:rtl/>
        </w:rPr>
        <w:t>، سري اربيندو</w:t>
      </w:r>
      <w:r w:rsidRPr="00075613">
        <w:rPr>
          <w:rFonts w:cs="B Zar"/>
        </w:rPr>
        <w:t xml:space="preserve">(Sri Auribindo) </w:t>
      </w:r>
      <w:r w:rsidRPr="00075613">
        <w:rPr>
          <w:rFonts w:cs="B Zar" w:hint="cs"/>
          <w:rtl/>
        </w:rPr>
        <w:t xml:space="preserve"> و رادا كريشنان</w:t>
      </w:r>
      <w:r w:rsidRPr="00075613">
        <w:rPr>
          <w:rFonts w:cs="B Zar"/>
        </w:rPr>
        <w:t xml:space="preserve">(Radhakrishnan) </w:t>
      </w:r>
      <w:r w:rsidRPr="00075613">
        <w:rPr>
          <w:rFonts w:cs="B Zar" w:hint="cs"/>
          <w:rtl/>
        </w:rPr>
        <w:t xml:space="preserve"> كه از جمله انديشمندان و رهبران جنبش احياي فلسفه ودانت بوده و به عنوان متفكرين «نوودا نتي» شناخته شده‌اند، به شدت با اين برداشت مخالف هستند. رادا كريشنان مي‌گويد: «تفسير ديوسن</w:t>
      </w:r>
      <w:r w:rsidRPr="00075613">
        <w:rPr>
          <w:rFonts w:cs="B Zar"/>
        </w:rPr>
        <w:t xml:space="preserve">(Deussen) </w:t>
      </w:r>
      <w:r w:rsidRPr="00075613">
        <w:rPr>
          <w:rFonts w:cs="B Zar" w:hint="cs"/>
          <w:rtl/>
        </w:rPr>
        <w:t xml:space="preserve"> از نظريه مايا و سمسار</w:t>
      </w:r>
      <w:r w:rsidRPr="00075613">
        <w:rPr>
          <w:rFonts w:cs="B Zar"/>
        </w:rPr>
        <w:t xml:space="preserve">(Samsara) </w:t>
      </w:r>
      <w:r w:rsidRPr="00075613">
        <w:rPr>
          <w:rFonts w:cs="B Zar" w:hint="cs"/>
          <w:rtl/>
        </w:rPr>
        <w:t xml:space="preserve">، مبتني بر پيشداوري اوست؛ چرا كه وي از پيشاپيش اين نظريه را عنوان كرده بود كه جوهر تمام اديان راستين دست كم گرفتن زندگي دنيوي و افكار و اصالت جهان عيني است. براي اثبات اين فرضيه، ديوسن مطالب متون را با عينك خاصي مطالعه مي‌كند؛ از يك سو او اعتراف مي‌كند كه نظريه اوپانيشاد وحدت الوجودي است و فلسفة ودانت، جهان را نه تنها تجلي، بلكه تجسم خداوند مي‌دانند. از سوي ديگر مي‌گويد اوپانيشاد براي جهان عينيت و اصالت و براي زندگي دنيوي ارزشي قائل نيست. رادا كريشنان مي‌گويد: </w:t>
      </w:r>
      <w:r w:rsidRPr="00075613">
        <w:rPr>
          <w:rFonts w:cs="B Zar" w:hint="cs"/>
          <w:i/>
          <w:iCs/>
          <w:rtl/>
        </w:rPr>
        <w:t>«تلقي دنيا به عنوان تجسم خداوند با تحقير دنيا و انكار واقعيت بودن آن نمي‌خواند. وقتي «متناهي» جلوه‌اي از نامتناهي است، در اين صورت واقعيت دارد و فريب نيست»</w:t>
      </w:r>
      <w:r w:rsidRPr="00075613">
        <w:rPr>
          <w:rFonts w:cs="B Zar"/>
          <w:i/>
          <w:iCs/>
          <w:rtl/>
        </w:rPr>
        <w:t xml:space="preserve"> </w:t>
      </w:r>
      <w:r>
        <w:rPr>
          <w:rStyle w:val="FootnoteReference"/>
          <w:rFonts w:cs="B Zar"/>
          <w:i/>
          <w:iCs/>
          <w:rtl/>
        </w:rPr>
        <w:footnoteReference w:id="605"/>
      </w:r>
      <w:r w:rsidRPr="00075613">
        <w:rPr>
          <w:rFonts w:cs="B Zar" w:hint="cs"/>
          <w:i/>
          <w:iCs/>
          <w:rtl/>
        </w:rPr>
        <w:t>.</w:t>
      </w:r>
    </w:p>
    <w:p w:rsidR="00075613" w:rsidRPr="00075613" w:rsidP="003C0EF5">
      <w:pPr>
        <w:widowControl w:val="0"/>
        <w:spacing w:line="420" w:lineRule="exact"/>
        <w:ind w:left="0" w:right="0"/>
        <w:jc w:val="both"/>
        <w:rPr>
          <w:rFonts w:cs="B Zar" w:hint="cs"/>
          <w:rtl/>
        </w:rPr>
      </w:pPr>
      <w:r w:rsidRPr="00075613">
        <w:rPr>
          <w:rFonts w:cs="B Zar" w:hint="cs"/>
          <w:rtl/>
        </w:rPr>
        <w:t>چون جهان خود پيدائي و خود آشكاري ذات لايزال است، از اين رو دنيا داراي اصالت و زندگي داراي تقدس است. بسياري از قطعات اوپانيشاد اعلام مي كنند كه جهان تجسمي از ذات برهمان است، پس چگونه مي‌تواند غير حقيقي تلقي شود. رادا كريشنان مي‌گويد كه ديوسن نظريه‌اي عنوان كرده است كه با متن و روح اوپانيشاد سازگار نيست. كتاب فلسفه اوپانيشاد او</w:t>
      </w:r>
      <w:r w:rsidRPr="00075613">
        <w:rPr>
          <w:rFonts w:cs="B Zar" w:hint="cs"/>
          <w:rtl/>
          <w:lang w:bidi="fa-IR"/>
        </w:rPr>
        <w:t>،</w:t>
      </w:r>
      <w:r w:rsidRPr="00075613">
        <w:rPr>
          <w:rFonts w:cs="B Zar" w:hint="cs"/>
          <w:rtl/>
        </w:rPr>
        <w:t xml:space="preserve"> نظريه فريب بودن جهان هستي را به كانت نسبت مي‌دهد، به قول رادا كريشنان</w:t>
      </w:r>
      <w:r w:rsidRPr="00075613">
        <w:rPr>
          <w:rFonts w:cs="B Zar" w:hint="cs"/>
          <w:i/>
          <w:iCs/>
          <w:rtl/>
        </w:rPr>
        <w:t>: «مشكل ديوسن اين است كه او كانت را در پرتو تعاليم اوپانيشاد و اوپانيشاد را در پرتو فلسفة كانت تفسير مي‌كند و در نتيجه عملاً هر دو را بد فهميده است و بد تفسير مي‌كند</w:t>
      </w:r>
      <w:r w:rsidRPr="00075613">
        <w:rPr>
          <w:rFonts w:cs="B Zar" w:hint="cs"/>
          <w:rtl/>
        </w:rPr>
        <w:t>»</w:t>
      </w:r>
      <w:r>
        <w:rPr>
          <w:rStyle w:val="FootnoteReference"/>
          <w:rFonts w:cs="B Zar"/>
          <w:sz w:val="28"/>
          <w:szCs w:val="28"/>
          <w:rtl/>
        </w:rPr>
        <w:footnoteReference w:id="606"/>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البته درست است كه از برخي قطعات و اظهارات اوپانيشاد بر مي‌آيد كه جهان چيزي جز نام‌هائي نيست كه عقل تجزيه‌گر بر وحدت راستين وجود مي‌نهد. جهان يك انگارش اعتباري است. در وراي كثرت نمودها، بود واحدي قرار دارد. روند خود پيدائي ذات مطلق، درعين روند «خود پوشيدگي» و «خودحجابي» بوده است. وقتي انسان به مرحله‌اي رسيد كه خود را ببيند، به خدا مي‌رسد، وقتي جهان را با ديده بصيرت ديد، به جهان آفرين مي‌رسد. جهان تجلي اسماء و صفات اوست و در عين حال بر رخ او پرده مي كشد. جوهر درخت آفرينش اوست، ولي ما شاخه‌ها و برگ‌ها و ميوه‌ها را مي‌بينيم. حقيقت واقعي از دید ما غايب است. در چاندوگيا اوپانيشاد اين نكته در پيرايه تمثيل زيبائي بيان گرديده است. استاد از شاگرد مي پرسد</w:t>
      </w:r>
      <w:r w:rsidRPr="00075613">
        <w:rPr>
          <w:rFonts w:cs="B Zar" w:hint="cs"/>
          <w:i/>
          <w:iCs/>
          <w:rtl/>
        </w:rPr>
        <w:t>: «ـ ميوه درخت نياگرودها را بياور. ـ آوردم استاد. ـ آن را بشكن. ـ شكستم. ـ چه مي‌بينيد؟ ـ تخم‌هاي ريز. ـ يكي از تخم‌ها را بشكن. ـ شكستم. ـ چه ديديد؟ ـ هيچ! ـ كل اين درخت پهناور در همين «هيچ» نهفته است. هرچه هست اين «هيچ» است.»</w:t>
      </w:r>
    </w:p>
    <w:p w:rsidR="00075613" w:rsidRPr="00075613" w:rsidP="003C0EF5">
      <w:pPr>
        <w:widowControl w:val="0"/>
        <w:spacing w:line="420" w:lineRule="exact"/>
        <w:ind w:left="0" w:right="0"/>
        <w:jc w:val="both"/>
        <w:rPr>
          <w:rFonts w:cs="B Zar" w:hint="cs"/>
          <w:i/>
          <w:iCs/>
          <w:rtl/>
        </w:rPr>
      </w:pPr>
      <w:r w:rsidRPr="00075613">
        <w:rPr>
          <w:rFonts w:cs="B Zar" w:hint="cs"/>
          <w:rtl/>
        </w:rPr>
        <w:t xml:space="preserve">در اين مكالمة استاد و شاگرد، رابطه ميان برهمان و مايا توضيح داده شده است. آنچه واقعيت و اصالت مطلق دارد، همين «هيچ» است، ولي اين امر بدين معنا نيست كه برگ و تنه و ميوه و تخم هاي آن عينيت ندارند و يا فاقد اصالت هستند؛ البته اصالت آنان نسبي است. نظرية درست آن است كه بگوئيم اوپانيشاد معتقد به سلسله مراتب وجود است. آنچه اصالت مطلق دارد، وجود مطلق است. موجودات ديگر اصالت نسبي دارند، همچنانكه حتي ظل و يا اشعة آفتاب و يا قطره‌هاي آب، به خودي خود داراي اصالت نيستند. كسي كه معتقد به اصالت خورشيد است، اصالت اشعة آن را انكار نمي‌كند؛ ولي اين اشعه داراي موجوديت نسبي است و در مقابل وجود تمام عيار خورشيد هيچ نيست. قطره اصالت دارد، ولي در مقابل اصالت مطلق اوقيانوس، گوئي كه نيست. بدينسان مايا، به معناي انكار اصالت جهان كون و فساد، و يا به معناي آن نيست. جهان خارج يك توهم و خيال و سايه و سراب، فانتزي و انگار ذهني است؛ خيالبافي و اشتباه ادراكي است؛ مايا به معناي نظريه سلسله مراتب وجود و اصالت نسبي موجودات ممكن، در مقابل وجود مطلق است. در برخي قطعات اوپانيشاد، مايا، نه تنها داراي عينيت، بلكه داراي مقام ازليت معرفي شده است. از همين مكتب سام كهيا بدين نتيجه رسيد كه در كنار پوروش (روح ملكوتي عالم)، پاركرتي (ماده) نيز يك حقيقت ازلي است. داراشكوه در مجموعة خود، قطعه‌اي از سيوتاس واتارا اوپانيشاد را ترجمه كرده است كه چنين است: </w:t>
      </w:r>
      <w:r w:rsidRPr="00075613">
        <w:rPr>
          <w:rFonts w:cs="B Zar" w:hint="cs"/>
          <w:i/>
          <w:iCs/>
          <w:rtl/>
        </w:rPr>
        <w:t>«مايا كه با برهمان درآميخت سبب پيدايش عالم شد و عالم را «برهم چاكرا» مي‌گويند. مايا به مثابه چوب دایره دور پاية ارابه است و سه چوب ايجاد، ابقاء و فناء به منزله سه چوبي كه در دایره است به يكديگر متصل هستند. مايا به مثابه دريائي است كه پنج حس، به منزلة پنج چشمه است كه به آن دريا متصل‌اند و پنج عنصر، به منزلة گردابهاي آن و پنج پران، موج‌هاي آن. «دانائيت» كه حواس پنجگانه است، به منزلة منبع او و پنج عنصرهاي كثيف، به منزله موجهاي اوست»</w:t>
      </w:r>
      <w:r>
        <w:rPr>
          <w:rStyle w:val="FootnoteReference"/>
          <w:rFonts w:cs="B Zar"/>
          <w:i/>
          <w:iCs/>
          <w:sz w:val="28"/>
          <w:szCs w:val="28"/>
          <w:rtl/>
        </w:rPr>
        <w:footnoteReference w:id="607"/>
      </w:r>
      <w:r w:rsidRPr="00075613">
        <w:rPr>
          <w:rFonts w:cs="B Zar" w:hint="cs"/>
          <w:i/>
          <w:iCs/>
          <w:rtl/>
        </w:rPr>
        <w:t>.</w:t>
      </w:r>
    </w:p>
    <w:p w:rsidR="00075613" w:rsidRPr="00075613" w:rsidP="003C0EF5">
      <w:pPr>
        <w:widowControl w:val="0"/>
        <w:spacing w:line="420" w:lineRule="exact"/>
        <w:ind w:left="0" w:right="0"/>
        <w:jc w:val="both"/>
        <w:rPr>
          <w:rFonts w:cs="B Zar" w:hint="cs"/>
          <w:rtl/>
        </w:rPr>
      </w:pPr>
      <w:r w:rsidRPr="00075613">
        <w:rPr>
          <w:rFonts w:cs="B Zar" w:hint="cs"/>
          <w:rtl/>
        </w:rPr>
        <w:t>در تمثيل اول، «مايا» به منزله چوب‌هاي حلقة بيروني چرخ ارابه تشبيه شده‌اند. جهان و هستي از آن جهت به چرخ تشبيه شده است؛ چون ويژگي اصلي آن حركت است. اين چرخ از دو عنصر تشكيل مي‌شود. اسكلت داخلي به صورت چوبها محوري هستند كه ثقل چرخ ارابه بر آنها قرار مي‌گيرد و اگر آن چوبهاي محوري و هسته‌اي نباشند، چرخ يك لحظه نمي‌تواند وزن و ثقل ارابه را حمل كند. چوب‌هاي دورادور اين چرخ بر زمين است و با خاك تماس دارد.</w:t>
      </w:r>
    </w:p>
    <w:p w:rsidR="00075613" w:rsidRPr="00075613" w:rsidP="003C0EF5">
      <w:pPr>
        <w:widowControl w:val="0"/>
        <w:spacing w:line="420" w:lineRule="exact"/>
        <w:ind w:left="0" w:right="0"/>
        <w:jc w:val="both"/>
        <w:rPr>
          <w:rFonts w:cs="B Zar" w:hint="cs"/>
          <w:rtl/>
        </w:rPr>
      </w:pPr>
      <w:r w:rsidRPr="00075613">
        <w:rPr>
          <w:rFonts w:cs="B Zar" w:hint="cs"/>
          <w:rtl/>
        </w:rPr>
        <w:t>در چرخ هستي كيهاني، اولين (حلقه بيروني)، به برهمان و دومين (اسكلت داخلي)، به مايا تشبيه شده است. آنچه زمين حس مي‌كند و ما از دور مي‌بينيم دایره چرخ است نه چوبهاي ريز، ولي محكم محوري آن؛ همچنان، آنچه كه در جهان ملموس و محسوس است، «مايا» است و نه برهمان، ولي صاحبان معرفت مي‌دانند كه دايرة چرخ بر چوبهاي محوري استوار است که از همان جنس است. البته چوب‌هاي محوري و دايره بيروني چرخ ارابه هر دو داراي عينيت و واقعيت هستند. در اين قطعه مقصود از مايا، ماده، واراجا يا پراكرتي به نظر مي‌رسد.</w:t>
      </w:r>
    </w:p>
    <w:p w:rsidR="00075613" w:rsidRPr="00075613" w:rsidP="003C0EF5">
      <w:pPr>
        <w:widowControl w:val="0"/>
        <w:spacing w:line="420" w:lineRule="exact"/>
        <w:ind w:left="0" w:right="0"/>
        <w:jc w:val="both"/>
        <w:rPr>
          <w:rFonts w:cs="B Zar" w:hint="cs"/>
          <w:rtl/>
        </w:rPr>
      </w:pPr>
      <w:r w:rsidRPr="00075613">
        <w:rPr>
          <w:rFonts w:cs="B Zar" w:hint="cs"/>
          <w:rtl/>
        </w:rPr>
        <w:t xml:space="preserve">در تشبيه بعدي نيز مايا به معناي صور محسوس مادي اشياء به كار رفته است. اين دريائي است كه حواس، پنج چشمه آن هستند و عناصر كثيف، به مثابه موجهاي آن. پيدا است كه مايا اشاره به صورت‌هاي مادي و محسوس اشياء و موجودات است. سپس در ترجمه داراشكوه اضافه شده است: </w:t>
      </w:r>
      <w:r w:rsidRPr="00075613">
        <w:rPr>
          <w:rFonts w:cs="B Zar" w:hint="cs"/>
          <w:i/>
          <w:iCs/>
          <w:rtl/>
        </w:rPr>
        <w:t>«جيو آتما (نفس موجودات)، از پرما آتما (نفس كلي يا خداوند) ناشي شده است. پرم آتما و جيو آتما هر دو قديم هستند. مايا نيز ازلي است، ولي ابدي نيست.»</w:t>
      </w:r>
      <w:r w:rsidRPr="00075613">
        <w:rPr>
          <w:rFonts w:cs="B Zar" w:hint="cs"/>
          <w:rtl/>
        </w:rPr>
        <w:t xml:space="preserve"> </w:t>
      </w:r>
    </w:p>
    <w:p w:rsidR="00075613" w:rsidRPr="00075613" w:rsidP="003C0EF5">
      <w:pPr>
        <w:widowControl w:val="0"/>
        <w:spacing w:line="420" w:lineRule="exact"/>
        <w:ind w:left="0" w:right="0"/>
        <w:jc w:val="both"/>
        <w:rPr>
          <w:rFonts w:cs="B Zar" w:hint="cs"/>
          <w:rtl/>
        </w:rPr>
      </w:pPr>
      <w:r w:rsidRPr="00075613">
        <w:rPr>
          <w:rFonts w:cs="B Zar" w:hint="cs"/>
          <w:rtl/>
        </w:rPr>
        <w:t>مايا مقيد و فناپذير است و جيو آتما مطلق و بي زوال. نفس انسان از طريق معرفت مي‌تواند مايا (حجاب هستي يا صور مادي) را فاني سازد در حاليكه جيوآتما فناپذير نيست</w:t>
      </w:r>
      <w:r>
        <w:rPr>
          <w:rStyle w:val="FootnoteReference"/>
          <w:rFonts w:cs="B Zar"/>
          <w:sz w:val="28"/>
          <w:szCs w:val="28"/>
          <w:rtl/>
        </w:rPr>
        <w:footnoteReference w:id="608"/>
      </w:r>
      <w:r w:rsidRPr="00075613">
        <w:rPr>
          <w:rFonts w:cs="B Zar" w:hint="cs"/>
          <w:rtl/>
        </w:rPr>
        <w:t>. در اين اظهارات كلمة مايا معادل واراج يا پراكرتي در فلسفة سام كهيا، به نظر مي‌رسد سام كهيا پراكرتي را قديم مي‌داند، ولي ابدي نيست. البته اين مطالبي كه داراشكوه نقل كرده است، بدين صورت در مجموعه‌هاي فعلي، نظير مجموعه‌اي كه ديوسن يا رادا كريشنان ترتيب داده، وجود ندارند. ممكن است چنانچه دكتر تاراچند گفته است، داراشكوه نسخه‌هاي قديمي‌تر اوپانيشاد را در دست داشته كه در قرون بعدي مورد افزايش و ويرايش‌ قرار گرفته اند</w:t>
      </w:r>
      <w:r>
        <w:rPr>
          <w:rStyle w:val="FootnoteReference"/>
          <w:rFonts w:cs="B Zar"/>
          <w:sz w:val="28"/>
          <w:szCs w:val="28"/>
          <w:rtl/>
        </w:rPr>
        <w:footnoteReference w:id="609"/>
      </w:r>
      <w:r w:rsidRPr="00075613">
        <w:rPr>
          <w:rFonts w:cs="B Zar" w:hint="cs"/>
          <w:rtl/>
        </w:rPr>
        <w:t>. ممكن است انديشمندان مكتب سام كهيا چنين قطعاتي از اوپانيشاد را مد نظر داشته باشند كه به نظريه قديم بودن دو عنصر پوروش ـ پراكرتي رسيده اند و سپس شارحين و مفسران ودانتي و پيروان شانكارا، قطعاتي را كه مطابق ذوق و سليقه خود ندانسته، حذف كرده‌اند. داراشكوه در ترجمه خود، از برهمانان زبده حوزة علمي شهر بنارس كمك گرفته بود و دليلي در دست نيست كه بگوئيم آنان مطالب اوپانيشاد را نفهميده و يا اضافاتي به آن مطالب ملحق كرده‌اند. از قطعات فوق، نظريات وويكاناند و رادا كريشنان، تائيد مي‌شود كه معتقدند اوپانيشاد منكر اصالت جهان عيني محسوس مادي نيست. از قطعات بالا ثابت مي‌شود كه نه تنها اصالت جنبه‌هاي محسوس مادي جهان را اصالت مي‌دهد، بلكه آن را قديم نيز مي‌داند. پس چگونه مي‌توان آن را فانتزي و انگار ذهني فاقد واقعيت عيني تلقي كرد. متاسفانه اين نظريه از چندين قرن پيش، در ميان هندوها رواج پيدا كرد كه اوپانيشاد جهان را فاقد اصالت، و يك فريب و سراب مي‌داند و زندگي دنيوي را فاقد ارزش مي‌شمرد.</w:t>
      </w:r>
      <w:r w:rsidRPr="00075613">
        <w:rPr>
          <w:rFonts w:cs="B Zar"/>
        </w:rPr>
        <w:t xml:space="preserve"> </w:t>
      </w:r>
      <w:r w:rsidRPr="00075613">
        <w:rPr>
          <w:rFonts w:cs="B Zar" w:hint="cs"/>
          <w:rtl/>
        </w:rPr>
        <w:t xml:space="preserve">عرفان والاي اوپانيشاد، در دست تصوف منحط هندو، بهانه‌اي براي رواج رهبان‌گري و تخدير توده‌ها گرديد. يكي از علل تفسير نادرست جهان بيني اوپانيشاد و تفسير نادرست نظرية مايا، اشتباه در فهم كلمة «ست» است. در اوپانيشاد در جاهاي مختلف گفته شده است كه تنها برهمان سات است و هر چيز و موجود ديگر «سات» است. مفسران و شارحان معناي حق و معناي ست را باطل گرفته اند. اين امر موجب شده است آنان نتيجه گيري كنند كه اوپانيشاد تنها براي برهمان اصالت قائل است و هر چه غير از او را باطل و غير حقيقي مي‌داند، ولي سوامي وويكاناند خاطر نشان ساخته است كه معناي ست فاني و گذرا است، ولي هرچه فاني و يا گذرا باشد، فاقد اصالت و حقيقت نيست. گذشته از آن اگر معناي ست باطل باشد، آن را مي بايستي مردود شمردن اصالت، نمودها در مقابل بود تلقي كرد و نه ابطال مطلق. </w:t>
      </w:r>
    </w:p>
    <w:p w:rsidR="00075613" w:rsidRPr="00075613" w:rsidP="003C0EF5">
      <w:pPr>
        <w:widowControl w:val="0"/>
        <w:spacing w:line="420" w:lineRule="exact"/>
        <w:ind w:left="0" w:right="0"/>
        <w:jc w:val="both"/>
        <w:rPr>
          <w:rFonts w:cs="B Zar" w:hint="cs"/>
          <w:rtl/>
        </w:rPr>
      </w:pPr>
      <w:r w:rsidRPr="00075613">
        <w:rPr>
          <w:rFonts w:cs="B Zar" w:hint="cs"/>
          <w:rtl/>
        </w:rPr>
        <w:t>خاور شناسان و دانشمندان غربي نيز تفسير نادرست نظريه مايا را بسيار رواج داده‌اند. ماكس مولر، پال ديوسن و گروه نيرومند هندشناسان از يكسو و ماكس وبر و جامعه شناسان از سوي ديگر، همه بسيج شدند تا به هنديان بفهمانند كه متون مقدس آنان و دين اصلي آنها هيچ اصالتي براي هستي و هيچ ارزشي براي زندگي دنيوي و جاه و حشم و ملك و مال سراي فاني قائل نيست. اين نكته بسيار جالب است كه خاورشناسان، گويا به  طور برنامه‌ريزي شده، از قرن نوزدهم به بعد به احياي مواريث صادقانه و رهبانه گرايانه ساير ملل خاوري پرداخته‌اند. از همين دوره، شرق شناسان به تحليل از مواريث صوفيان اسلامي ايراني پرداختند. در چين تعاليم دين بودائيسم و تاواليسم را احياء كردند. در هند كه هيچكس ترديد نداشت دين هندو عرفان گرايانه است‎؛ آنان بر تفسير خاص نظرية مايا تأكيد  داشتند. البته ما حق نداريم انگيزه‌هاي تحقيقات ساير دانشمندان غربي را زير سئوال بكشيم. بسياري از آنان مردان وارسته‌اي بودند كه زندگي خود را وقف تحقيق و پژوهش نموده بودند وسهم بزرگي در شناسائي مواريث فرهنگي ملل شرق اعم از هند، چين و جهان اسلام داشته‌اند. در عين حال اين امر نيز به هيچ وجه قابل ترديد نيست كه بسياري از خاورشناسان وابستگي و يا دلبستگي به سياست مستعمره سازي كشورهاي خود داشتند و چه بسا خواسته‌اند با تخدير كردن، و رام نمودن و آرام نگهداشتن ملل شرقي، خدمت مختصري به كشور متبوع خود و به ملت خود انجام داده باشند.</w:t>
      </w:r>
    </w:p>
    <w:p w:rsidR="00075613" w:rsidRPr="00075613" w:rsidP="003C0EF5">
      <w:pPr>
        <w:widowControl w:val="0"/>
        <w:spacing w:line="420" w:lineRule="exact"/>
        <w:ind w:left="0" w:right="0"/>
        <w:jc w:val="center"/>
        <w:rPr>
          <w:rFonts w:cs="B Zar" w:hint="cs"/>
          <w:b/>
          <w:bCs/>
          <w:sz w:val="28"/>
          <w:szCs w:val="28"/>
          <w:rtl/>
        </w:rPr>
      </w:pPr>
      <w:r w:rsidR="006C640D">
        <w:rPr>
          <w:rFonts w:cs="B Zar" w:hint="cs"/>
          <w:b/>
          <w:bCs/>
          <w:sz w:val="28"/>
          <w:szCs w:val="28"/>
          <w:rtl/>
        </w:rPr>
        <w:t xml:space="preserve"> </w:t>
      </w:r>
    </w:p>
    <w:p w:rsidR="00075613" w:rsidRPr="00075613" w:rsidP="003C0EF5">
      <w:pPr>
        <w:widowControl w:val="0"/>
        <w:spacing w:line="420" w:lineRule="exact"/>
        <w:ind w:left="0" w:right="0"/>
        <w:jc w:val="center"/>
        <w:rPr>
          <w:rFonts w:cs="B Zar" w:hint="cs"/>
          <w:b/>
          <w:bCs/>
          <w:sz w:val="28"/>
          <w:szCs w:val="28"/>
          <w:rtl/>
        </w:rPr>
      </w:pPr>
      <w:r w:rsidRPr="00075613">
        <w:rPr>
          <w:rFonts w:cs="B Zar" w:hint="cs"/>
          <w:b/>
          <w:bCs/>
          <w:sz w:val="28"/>
          <w:szCs w:val="28"/>
          <w:rtl/>
        </w:rPr>
        <w:t>انسان شناسي اوپانيشاد</w:t>
      </w:r>
    </w:p>
    <w:p w:rsidR="00075613" w:rsidRPr="00075613" w:rsidP="003C0EF5">
      <w:pPr>
        <w:widowControl w:val="0"/>
        <w:spacing w:line="420" w:lineRule="exact"/>
        <w:ind w:left="0" w:right="0"/>
        <w:jc w:val="both"/>
        <w:rPr>
          <w:rFonts w:cs="B Zar" w:hint="cs"/>
          <w:b/>
          <w:bCs/>
          <w:sz w:val="28"/>
          <w:szCs w:val="28"/>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اهميت انسان شناسي در اوپانيشاد:</w:t>
      </w:r>
    </w:p>
    <w:p w:rsidR="00075613" w:rsidP="003C0EF5">
      <w:pPr>
        <w:widowControl w:val="0"/>
        <w:spacing w:line="420" w:lineRule="exact"/>
        <w:ind w:left="0" w:right="0"/>
        <w:jc w:val="both"/>
        <w:rPr>
          <w:rFonts w:cs="B Zar" w:hint="cs"/>
          <w:rtl/>
        </w:rPr>
      </w:pPr>
      <w:r w:rsidRPr="00075613">
        <w:rPr>
          <w:rFonts w:cs="B Zar" w:hint="cs"/>
          <w:rtl/>
        </w:rPr>
        <w:t>يكي از ويژگي‌هاي مرحله پنجم انديشة ديني كه مرحله عرفان و فلسفه است، انتقال توجه از برون به درون و از جهان به انسان است. در مرحله طبيعت پرستي و شرك، توجه انسان متوجه جهان طبيعت بود؛ ولي با فرا رسيدن مرحله انديشه فلسفي ـ عرفاني، انسان دريافت كه گمشدة او در برون نيست، بلكه در «درون» است؛ جايگاه خدا در خارج نيست، در قلب انسان است: «كرهمناه كو سي سي تو رنيم» خدا در داخل تو قرار دارد تو برهماني! انسان متوجه شد كسي را كه در به در به دنبال آن مي گردد،  در حريم قلب او جاي دارد.</w:t>
      </w:r>
    </w:p>
    <w:p w:rsidR="00282DE3" w:rsidRPr="00075613"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«آنچه خود داشت ز بيگانه تمنا مي كرد»</w:t>
      </w:r>
    </w:p>
    <w:p w:rsidR="00075613" w:rsidRPr="00075613" w:rsidP="003C0EF5">
      <w:pPr>
        <w:widowControl w:val="0"/>
        <w:spacing w:line="420" w:lineRule="exact"/>
        <w:ind w:left="0" w:right="0"/>
        <w:jc w:val="both"/>
        <w:rPr>
          <w:rFonts w:cs="B Zar" w:hint="cs"/>
          <w:rtl/>
        </w:rPr>
      </w:pPr>
      <w:r w:rsidRPr="00075613">
        <w:rPr>
          <w:rFonts w:cs="B Zar" w:hint="cs"/>
          <w:rtl/>
        </w:rPr>
        <w:t xml:space="preserve"> او دريافت كه عالمي بزرگتر از جهان خارج در داخل وجود اسرارآميز اوست. جالب‌تر از مباحث آسمان و كوه و دريا، زيباتر از گل ها و بوستانها، پرشكوه‌تر از قله‌هاي كوه‌ها، پهناورتر از اعماق صحراها، آرام‌تر و ژرف‌تر از اوقيانوسها، «نفس» او و معرفت روح اوست.</w:t>
      </w:r>
    </w:p>
    <w:p w:rsidR="00075613" w:rsidRPr="00075613" w:rsidP="003C0EF5">
      <w:pPr>
        <w:widowControl w:val="0"/>
        <w:spacing w:line="420" w:lineRule="exact"/>
        <w:ind w:left="0" w:right="0"/>
        <w:jc w:val="both"/>
        <w:rPr>
          <w:rFonts w:cs="B Zar" w:hint="cs"/>
          <w:rtl/>
        </w:rPr>
      </w:pPr>
      <w:r w:rsidRPr="00075613">
        <w:rPr>
          <w:rFonts w:cs="B Zar" w:hint="cs"/>
          <w:rtl/>
        </w:rPr>
        <w:t>انتقال توجه از برون به درون در تاريخ انديشة تمام ملل باستاني تمدن خيز صورت گرفته است. در مراحل نخستين، انديشة بشر در تمام اديان و ملل متوجة طبيعت بوده و سپس در مرحله دوم به درون متوجه شده است. در يونان، پيش از سقراط، حكيماني نظير تالس، هرقليطوس، پارميندس، زنون ايليائي، فيثاغورث و امپدوكلس، همه متوجه شناخت ماهيت و قوانين حاكم بر طبيعت بوده‌اند. نخستين بار در دورة سقراط، انديشه يونان متوجه درون گرديد. سقراط گفت</w:t>
      </w:r>
      <w:r w:rsidRPr="00075613">
        <w:rPr>
          <w:rFonts w:cs="B Zar" w:hint="cs"/>
          <w:i/>
          <w:iCs/>
          <w:rtl/>
        </w:rPr>
        <w:t>: «شناخت قوانين و عناصر اوليه جهان مادي خوب است، اما فيلسوف و حكيم، موضوع بسيار جالب تر و شايسته تري از درختان و احجار و ستارگان دارد، و آن روح و نفس انسان است. انسان چيست؟ و چه مي تواند بشود؟»</w:t>
      </w:r>
    </w:p>
    <w:p w:rsidR="00075613" w:rsidRPr="00075613" w:rsidP="003C0EF5">
      <w:pPr>
        <w:widowControl w:val="0"/>
        <w:spacing w:line="420" w:lineRule="exact"/>
        <w:ind w:left="0" w:right="0"/>
        <w:jc w:val="both"/>
        <w:rPr>
          <w:rFonts w:cs="B Zar" w:hint="cs"/>
          <w:rtl/>
        </w:rPr>
      </w:pPr>
      <w:r w:rsidRPr="00075613">
        <w:rPr>
          <w:rFonts w:cs="B Zar" w:hint="cs"/>
          <w:rtl/>
        </w:rPr>
        <w:t>در هند اين مرحله با اوپانيشادها ‌آغاز گرديد. آريائي‌هاي عصر ودا اذعان داشتند كه انسان موجودي دو بعدي است و از جسم و روح مركب است. ولي محور توجه آنان علم‌النفس نبوده، بلكه طبيعت خارج بوده است. آنها هنوز اسير زندان حواس پنجگانه و حسيات بوده‌اند. البته در اواخر عصر ودا، برخي نشانه‌هاي ايجاد نظريه آتمان مشاهده مي شده است. مثلاً در يكي از قطعات سام ودا</w:t>
      </w:r>
      <w:r w:rsidRPr="00075613">
        <w:rPr>
          <w:rFonts w:cs="B Zar"/>
        </w:rPr>
        <w:t xml:space="preserve">(Sama Veda) </w:t>
      </w:r>
      <w:r w:rsidRPr="00075613">
        <w:rPr>
          <w:rFonts w:cs="B Zar" w:hint="cs"/>
          <w:rtl/>
        </w:rPr>
        <w:t xml:space="preserve"> مي خوانيم:</w:t>
      </w:r>
    </w:p>
    <w:p w:rsidR="00075613" w:rsidRPr="00075613" w:rsidP="003C0EF5">
      <w:pPr>
        <w:widowControl w:val="0"/>
        <w:spacing w:line="420" w:lineRule="exact"/>
        <w:ind w:left="0" w:right="0"/>
        <w:jc w:val="both"/>
        <w:rPr>
          <w:rFonts w:cs="B Zar" w:hint="cs"/>
          <w:i/>
          <w:iCs/>
          <w:rtl/>
        </w:rPr>
      </w:pPr>
      <w:r w:rsidRPr="00075613">
        <w:rPr>
          <w:rFonts w:cs="B Zar" w:hint="cs"/>
          <w:i/>
          <w:iCs/>
          <w:rtl/>
        </w:rPr>
        <w:t>«حكيمان انعكاس نور خورشيد را در ماه مي بينند، ولي ما انعكاس نور خدا را در داخل آئينه قلب خود مي بينيم»</w:t>
      </w:r>
      <w:r>
        <w:rPr>
          <w:rStyle w:val="FootnoteReference"/>
          <w:rFonts w:cs="B Zar"/>
          <w:i/>
          <w:iCs/>
          <w:sz w:val="28"/>
          <w:szCs w:val="28"/>
          <w:rtl/>
        </w:rPr>
        <w:footnoteReference w:id="610"/>
      </w:r>
      <w:r w:rsidRPr="00075613">
        <w:rPr>
          <w:rFonts w:cs="B Zar" w:hint="cs"/>
          <w:i/>
          <w:iCs/>
          <w:rtl/>
        </w:rPr>
        <w:t>.</w:t>
      </w:r>
    </w:p>
    <w:p w:rsidR="00075613" w:rsidRPr="00075613" w:rsidP="003C0EF5">
      <w:pPr>
        <w:widowControl w:val="0"/>
        <w:spacing w:line="420" w:lineRule="exact"/>
        <w:ind w:left="0" w:right="0"/>
        <w:jc w:val="both"/>
        <w:rPr>
          <w:rFonts w:cs="B Zar" w:hint="cs"/>
          <w:rtl/>
        </w:rPr>
      </w:pPr>
      <w:r w:rsidRPr="00075613">
        <w:rPr>
          <w:rFonts w:cs="B Zar" w:hint="cs"/>
          <w:rtl/>
        </w:rPr>
        <w:t>در قطعه ديگر، يكي از ريشي‌ها مي‌گويد: «من خودم همانند خورشيد شده‌ام، من آسيب ناپذير هستم، هيچكس نمي‌تواند مرا از پاي درآورد».</w:t>
      </w:r>
      <w:r>
        <w:rPr>
          <w:rStyle w:val="FootnoteReference"/>
          <w:rFonts w:cs="B Zar"/>
          <w:sz w:val="28"/>
          <w:szCs w:val="28"/>
          <w:rtl/>
        </w:rPr>
        <w:footnoteReference w:id="611"/>
      </w:r>
      <w:r w:rsidRPr="00075613">
        <w:rPr>
          <w:rFonts w:cs="B Zar" w:hint="cs"/>
          <w:rtl/>
        </w:rPr>
        <w:t xml:space="preserve"> مي‌توان اينگونه اظهارات را علائم ابتدائي تدوين نظريه وحدت الوجودي و فناء في الله تلقي كرد. ولي چندين قرن طول كشيد تا انديشة آريائي از مناسك‌گري دورة رسائل برهمانا</w:t>
      </w:r>
      <w:r w:rsidRPr="00075613">
        <w:rPr>
          <w:rFonts w:cs="B Zar"/>
        </w:rPr>
        <w:t xml:space="preserve">(Brahmana) </w:t>
      </w:r>
      <w:r w:rsidRPr="00075613">
        <w:rPr>
          <w:rFonts w:cs="B Zar" w:hint="cs"/>
          <w:rtl/>
        </w:rPr>
        <w:t xml:space="preserve"> عبور كند و به مرحله عرفاني اوپانيشاد برسد.</w:t>
      </w:r>
    </w:p>
    <w:p w:rsidR="00075613" w:rsidP="00282DE3">
      <w:pPr>
        <w:widowControl w:val="0"/>
        <w:spacing w:line="410" w:lineRule="exact"/>
        <w:ind w:left="0" w:right="0"/>
        <w:jc w:val="both"/>
        <w:rPr>
          <w:rFonts w:cs="B Zar" w:hint="cs"/>
          <w:rtl/>
        </w:rPr>
      </w:pPr>
      <w:r w:rsidRPr="00075613">
        <w:rPr>
          <w:rFonts w:cs="B Zar" w:hint="cs"/>
          <w:rtl/>
        </w:rPr>
        <w:t>در رسائل اوپانيشاد بود كه عقربه فكر آريائي از برون به طور كامل به درون متوجه شد. در اوپانيشاد دو محور اصلي وجود دارد: برهمان (ذات احديت) و آتمان (نفس ملكوتي تجلي خدا در انسان). مي‌توان گفت در رسائل اوپانيشاد حتي بيش از برهمان، آتمان مطرح شده است. ريشي‌هاي آريائي، علاقه‌اي به طرح مسائل نظري الهيات نداشتند. براي آنان مهمتر آن بود كه رابطة ذات خداوند با انسان چگونه است، انسان چسان مي‌تواند او را در اعماق وجود خود دريابد و خود را در خدا فنا سازد. جوهر اصلي تعاليم اوپانيشاد، تأكيد شديد بر معرفت «آتمان»</w:t>
      </w:r>
      <w:r w:rsidRPr="00075613">
        <w:rPr>
          <w:rFonts w:cs="B Zar"/>
        </w:rPr>
        <w:t xml:space="preserve">(Atman) </w:t>
      </w:r>
      <w:r w:rsidRPr="00075613">
        <w:rPr>
          <w:rFonts w:cs="B Zar" w:hint="cs"/>
          <w:rtl/>
        </w:rPr>
        <w:t xml:space="preserve"> (خدا در خود) است و آنرا يگانه طريق نجات از گردونة موت و زندگي و نيل به اصل خود معرفي مي‌نمايد. عدة زيادي از رسائل اوپانيشاد در بست به اين موضوع اختصاص يافته‌اند. بر همين اساس بوده كه روش سير و سلوكي به نام يوگ (يوگا) در هند بوجود آمد. يوگ چيزي جز روشهاي سيستماتيك براي دريافت آتمان يا هستة ملكوتي نبوده است. مكتب اوپانيشاد مكتب محدوديت انسان و نفس انسان است. فلسفة اوپانيشاد درست در مقابل فلسفة تجربي غرب قرار دارد. در تمدن غربي تمام توجه انسان به تسخير جهان خارج مبذول گرديده است؛ در حاليكه در اوپانيشاد و فلسفه ايده آليستي هند كه برپايه آن قرار دارد، توجه به تسخير نفس است. در تمدن غرب براي جستجوي قوانين حاكم بر طبيعت و در فلسفة اوپانيشاد توجه مبذول به شناختن نفس و كشف گوهر ملكوتي در داخل خود است. اوپانيشاد احتمالاً براي نخستين بار در تاريخ بشر، مباحث علم النفس را به طور دامنه‌دار و منظم مورد بحث قرار داده است كه بعداً يونانيان، ايرانيان و مسلمين آن را به اوج رسانيدند.</w:t>
      </w:r>
    </w:p>
    <w:p w:rsidR="00EF39C3" w:rsidRPr="00075613" w:rsidP="00282DE3">
      <w:pPr>
        <w:widowControl w:val="0"/>
        <w:spacing w:line="41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اقسام نفس</w:t>
      </w:r>
    </w:p>
    <w:p w:rsidR="00075613" w:rsidRPr="00075613" w:rsidP="004E10DA">
      <w:pPr>
        <w:widowControl w:val="0"/>
        <w:spacing w:line="410" w:lineRule="exact"/>
        <w:ind w:left="0" w:right="0"/>
        <w:jc w:val="both"/>
        <w:rPr>
          <w:rFonts w:cs="B Zar" w:hint="cs"/>
          <w:rtl/>
        </w:rPr>
      </w:pPr>
      <w:r w:rsidRPr="00075613">
        <w:rPr>
          <w:rFonts w:cs="B Zar" w:hint="cs"/>
          <w:rtl/>
        </w:rPr>
        <w:t>در رسائل اوپانيشاد، مباحث علم نفس به طور سيستماتيك و به سبك متون فلسقي، مطرح نشده، بلكه به طور پراكنده در قالب تمثيل و داستان و مكالمات و تشبيه و كنايه مورد اشاره قرار گرفته است. از مطالعة اوپانيشاد چنان بر مي‌آيد كه براي انسان چهار نوع نفس، يا بهتر است بگوئيم چهار مرتبه و درجه براي نفس قائل است. اين چهار مرتبه عبارتند از:</w:t>
      </w:r>
    </w:p>
    <w:p w:rsidR="00075613" w:rsidRPr="00075613" w:rsidP="004E10DA">
      <w:pPr>
        <w:widowControl w:val="0"/>
        <w:spacing w:line="410" w:lineRule="exact"/>
        <w:ind w:left="0" w:right="0"/>
        <w:jc w:val="both"/>
        <w:rPr>
          <w:rFonts w:cs="B Zar" w:hint="cs"/>
          <w:rtl/>
        </w:rPr>
      </w:pPr>
      <w:r w:rsidRPr="00075613">
        <w:rPr>
          <w:rFonts w:cs="B Zar" w:hint="cs"/>
          <w:rtl/>
        </w:rPr>
        <w:t>1ـ نفس جسماني يا شعوري: و آن نفسي است كه از طريق حواس ظاهره درك مي‌شود. ادراك آن سطحي و ظاهري و فردي و جزئي و آني است و به كنه اشياء فرو نمي‌رود. به عبارت ديگر منِ ظاهري و سطحي يك فرد است. وقتي كسي «من» بگويد و مقصود او از من، حالت در قيافه و لباس و آرايش خاصي باشد، اين منِ ظاهري و نفس آرايشي وي است.</w:t>
      </w:r>
    </w:p>
    <w:p w:rsidR="00075613" w:rsidRPr="00075613" w:rsidP="004E10DA">
      <w:pPr>
        <w:widowControl w:val="0"/>
        <w:spacing w:line="410" w:lineRule="exact"/>
        <w:ind w:left="0" w:right="0"/>
        <w:jc w:val="both"/>
        <w:rPr>
          <w:rFonts w:cs="B Zar" w:hint="cs"/>
          <w:rtl/>
        </w:rPr>
      </w:pPr>
      <w:r w:rsidRPr="00075613">
        <w:rPr>
          <w:rFonts w:cs="B Zar" w:hint="cs"/>
          <w:rtl/>
        </w:rPr>
        <w:t>2ـ نفس رواني يا تحت‌الشعوري: اين نفس محدود به حواس ظاهره نيست؛ در محدوده زمان و مكان زنداني نيست؛ با تغيير شكل و صورت و لباس و آرايش تغييري نمي‌كند، ولي دستخوش رنج و آلام مي‌گردد و لذات و غم را احساس مي نمايد.</w:t>
      </w:r>
    </w:p>
    <w:p w:rsidR="00075613" w:rsidRPr="00075613" w:rsidP="004E10DA">
      <w:pPr>
        <w:widowControl w:val="0"/>
        <w:spacing w:line="410" w:lineRule="exact"/>
        <w:ind w:left="0" w:right="0"/>
        <w:jc w:val="both"/>
        <w:rPr>
          <w:rFonts w:cs="B Zar" w:hint="cs"/>
          <w:rtl/>
        </w:rPr>
      </w:pPr>
      <w:r w:rsidRPr="00075613">
        <w:rPr>
          <w:rFonts w:cs="B Zar" w:hint="cs"/>
          <w:rtl/>
        </w:rPr>
        <w:t>3ـ نفس روحي يا لاشعوري: اين نفس فراسوي احساس لذت است؛ دستخوش تغيير نيست؛ در كودكي و جواني، پيري و عالم احتضار، در خواب و بيداري، هوش و بيهوشي، همراه انسان است، همان است كه پس از مرگ به سزا يا جزاي اعمال مي‌رسد.</w:t>
      </w:r>
    </w:p>
    <w:p w:rsidR="00075613" w:rsidP="004E10DA">
      <w:pPr>
        <w:widowControl w:val="0"/>
        <w:spacing w:line="410" w:lineRule="exact"/>
        <w:ind w:left="0" w:right="0"/>
        <w:jc w:val="both"/>
        <w:rPr>
          <w:rFonts w:cs="B Zar" w:hint="cs"/>
          <w:rtl/>
        </w:rPr>
      </w:pPr>
      <w:r w:rsidRPr="00075613">
        <w:rPr>
          <w:rFonts w:cs="B Zar" w:hint="cs"/>
          <w:rtl/>
        </w:rPr>
        <w:t>4ـ  ابر نفس يا آتمان: تجلي خدا در انسان و نفخه الهي در آدمي است. همان چيزي است كه با كشف آن در اعماق وجود، انسان به ابديت مي‌رسد. اين عنصر الهي است، فراسوي همه و عنصري است ازلي و ابدي.</w:t>
      </w:r>
    </w:p>
    <w:p w:rsidR="00EB3D99" w:rsidRPr="00075613"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نفس فيزيكي يا وجود مادي</w:t>
      </w:r>
    </w:p>
    <w:p w:rsidR="00075613" w:rsidRPr="00075613" w:rsidP="003C0EF5">
      <w:pPr>
        <w:widowControl w:val="0"/>
        <w:spacing w:line="420" w:lineRule="exact"/>
        <w:ind w:left="0" w:right="0"/>
        <w:jc w:val="both"/>
        <w:rPr>
          <w:rFonts w:cs="B Zar" w:hint="cs"/>
          <w:rtl/>
        </w:rPr>
      </w:pPr>
      <w:r w:rsidRPr="00075613">
        <w:rPr>
          <w:rFonts w:cs="B Zar" w:hint="cs"/>
          <w:rtl/>
        </w:rPr>
        <w:t xml:space="preserve">چهار لاية وجود انسان و مراتب چهارگانه نفس او، در موارد مختلف در اوپانيشادها، مورد تأكيد قرار گرفته است. يكي از اين موارد در بخش هشتم چاندگيا اوپانيشاد است. در اين بخش طبقه بندي وجود انسان، به سبك داستاني تمثيلي بيان گرديده است. روزي خداي بزرگ، پارجاپاتي، كه رياست جرگه خدائي را به عهده داشت، در مجلس ملكوتي خود اعلام كرد: </w:t>
      </w:r>
      <w:r w:rsidRPr="00075613">
        <w:rPr>
          <w:rFonts w:cs="B Zar" w:hint="cs"/>
          <w:i/>
          <w:iCs/>
          <w:rtl/>
        </w:rPr>
        <w:t>«آن نفس برتر انسان و فراسوي پيري و مرگ و اندوه و خوردن و آشاميدن را بايد جست و دانست، «هركه اين نفس» را دريابد، بر همة عالم چيره مي گردد».</w:t>
      </w:r>
    </w:p>
    <w:p w:rsidR="00075613" w:rsidRPr="00075613" w:rsidP="003C0EF5">
      <w:pPr>
        <w:widowControl w:val="0"/>
        <w:spacing w:line="420" w:lineRule="exact"/>
        <w:ind w:left="0" w:right="0"/>
        <w:jc w:val="both"/>
        <w:rPr>
          <w:rFonts w:cs="B Zar" w:hint="cs"/>
          <w:rtl/>
        </w:rPr>
      </w:pPr>
      <w:r w:rsidRPr="00075613">
        <w:rPr>
          <w:rFonts w:cs="B Zar" w:hint="cs"/>
          <w:rtl/>
        </w:rPr>
        <w:t>خدايان و ديوان اين سخنان پارجاپاتي</w:t>
      </w:r>
      <w:r w:rsidRPr="00075613">
        <w:rPr>
          <w:rFonts w:cs="B Zar"/>
        </w:rPr>
        <w:t xml:space="preserve">(Parjapati) </w:t>
      </w:r>
      <w:r w:rsidRPr="00075613">
        <w:rPr>
          <w:rFonts w:cs="B Zar" w:hint="cs"/>
          <w:rtl/>
        </w:rPr>
        <w:t xml:space="preserve"> را شنيدند و در صدد كشف آن نفس برتر برآمدند. ساير خدايان و ديوان در همان مراحل اول شناخت نفس برتر بازماندند؛ تنها اندر، خداي بزرگ و روچن، رئيس ديوان موفق شدند كه مراحل مقدماتي را گذرانده و در «درس خارج» به خداي خدايان رسيدند. سي و دو سال هر دو رياضت كشيدند، دانش اندوختند، سپس شايستة آن شدند كه در محضر خداي پارجاپاتي التماس نمايند تا نفس برتر را به آنان معرفي كند.</w:t>
      </w:r>
      <w:r>
        <w:rPr>
          <w:rStyle w:val="FootnoteReference"/>
          <w:rFonts w:cs="B Zar"/>
          <w:sz w:val="28"/>
          <w:szCs w:val="28"/>
          <w:rtl/>
        </w:rPr>
        <w:footnoteReference w:id="612"/>
      </w:r>
    </w:p>
    <w:p w:rsidR="00075613" w:rsidRPr="00075613" w:rsidP="003C0EF5">
      <w:pPr>
        <w:widowControl w:val="0"/>
        <w:spacing w:line="420" w:lineRule="exact"/>
        <w:ind w:left="0" w:right="0"/>
        <w:jc w:val="both"/>
        <w:rPr>
          <w:rFonts w:cs="B Zar" w:hint="cs"/>
          <w:rtl/>
        </w:rPr>
      </w:pPr>
      <w:r w:rsidRPr="00075613">
        <w:rPr>
          <w:rFonts w:cs="B Zar" w:hint="cs"/>
          <w:rtl/>
        </w:rPr>
        <w:t>اين همه شرايط و تفاصيل، براي تبيين اين نكته تمثيلي است، كه دريافتن «آتمان» يا نفس ملكوتي كار سهل و آساني نيست و تنها زيرك‌ترين و چالاك‌ترين نفوس مي‌توانند به اين كار بپردازند. در ميان آنان كساني كه علاوه بر زيركي، پاك هم هست</w:t>
      </w:r>
      <w:r w:rsidRPr="00075613">
        <w:rPr>
          <w:rFonts w:cs="B Zar" w:hint="cs"/>
          <w:rtl/>
          <w:lang w:bidi="fa-IR"/>
        </w:rPr>
        <w:t>ند</w:t>
      </w:r>
      <w:r w:rsidRPr="00075613">
        <w:rPr>
          <w:rFonts w:cs="B Zar" w:hint="cs"/>
          <w:rtl/>
        </w:rPr>
        <w:t xml:space="preserve">، به معرفت خدا در داخل خود نائل مي‌آيند (بايد اشاره كنيم كه داراشكوه «خدايان» را فرشتگان ترجمه كرده است). درس نخستين پاراجاپاتي به آنان  اين بود كه، نفسي كه با چشمان ظاهري و با حواس ديده مي‌شود، همين نفس برتر است كه ابدي و آسيب‌ناپذير است. آنان به پاراجاپاتي گفتند: </w:t>
      </w:r>
      <w:r w:rsidRPr="00075613">
        <w:rPr>
          <w:rFonts w:cs="B Zar" w:hint="cs"/>
          <w:i/>
          <w:iCs/>
          <w:rtl/>
        </w:rPr>
        <w:t>«تصويري از خود در آئينه و در آب مي بينيم، اين كدام نفس است؟»</w:t>
      </w:r>
      <w:r w:rsidRPr="00075613">
        <w:rPr>
          <w:rFonts w:cs="B Zar" w:hint="cs"/>
          <w:rtl/>
        </w:rPr>
        <w:t xml:space="preserve"> پاراجاپاتي گفت كه اين آتمان است. پاراجاپاتي گفت: </w:t>
      </w:r>
      <w:r w:rsidRPr="00075613">
        <w:rPr>
          <w:rFonts w:cs="B Zar" w:hint="cs"/>
          <w:i/>
          <w:iCs/>
          <w:rtl/>
        </w:rPr>
        <w:t>«در يك ظرف پر از آب يا در حوضي خود را ببينيد، سپس بگوييد چه مشاهده كرده ايد؟»</w:t>
      </w:r>
      <w:r w:rsidRPr="00075613">
        <w:rPr>
          <w:rFonts w:cs="B Zar" w:hint="cs"/>
          <w:rtl/>
        </w:rPr>
        <w:t xml:space="preserve"> آنان گفتند كه ما خود را مي بينيم و تصوير كامل خود را از سر تا پا پر از ناخن و مو. پاراجاپاتي گفت: </w:t>
      </w:r>
      <w:r w:rsidRPr="00075613">
        <w:rPr>
          <w:rFonts w:cs="B Zar" w:hint="cs"/>
          <w:i/>
          <w:iCs/>
          <w:rtl/>
        </w:rPr>
        <w:t>«اكنون رخت و لباس خود را عوض كنيد و دوباره خود را در آب ببينيد.»</w:t>
      </w:r>
      <w:r w:rsidRPr="00075613">
        <w:rPr>
          <w:rFonts w:cs="B Zar" w:hint="cs"/>
          <w:rtl/>
        </w:rPr>
        <w:t xml:space="preserve"> آنان رفتند مو و ناخن تراشيدند و خود را آراستند، لباس نو پوشيدند، سپس خود را در آب ديدند و آراسته‌تر يافتند. پاراجاپاتي پرسيد: </w:t>
      </w:r>
      <w:r w:rsidRPr="00075613">
        <w:rPr>
          <w:rFonts w:cs="B Zar" w:hint="cs"/>
          <w:i/>
          <w:iCs/>
          <w:rtl/>
        </w:rPr>
        <w:t>«چه ديديد؟»</w:t>
      </w:r>
      <w:r w:rsidRPr="00075613">
        <w:rPr>
          <w:rFonts w:cs="B Zar" w:hint="cs"/>
          <w:rtl/>
        </w:rPr>
        <w:t xml:space="preserve"> گفتند: </w:t>
      </w:r>
      <w:r w:rsidRPr="00075613">
        <w:rPr>
          <w:rFonts w:cs="B Zar" w:hint="cs"/>
          <w:i/>
          <w:iCs/>
          <w:rtl/>
        </w:rPr>
        <w:t>«خود را آراسته مي بينيم</w:t>
      </w:r>
      <w:r w:rsidRPr="00075613">
        <w:rPr>
          <w:rFonts w:cs="B Zar" w:hint="cs"/>
          <w:rtl/>
        </w:rPr>
        <w:t xml:space="preserve">»: پاراجاپاتي گفت: </w:t>
      </w:r>
      <w:r w:rsidRPr="00075613">
        <w:rPr>
          <w:rFonts w:cs="B Zar" w:hint="cs"/>
          <w:i/>
          <w:iCs/>
          <w:rtl/>
        </w:rPr>
        <w:t>«همين آتما است.»</w:t>
      </w:r>
      <w:r w:rsidRPr="00075613">
        <w:rPr>
          <w:rFonts w:cs="B Zar" w:hint="cs"/>
          <w:rtl/>
        </w:rPr>
        <w:t xml:space="preserve"> آنان خورسند شدند كه (نفس برتر) را يافته‌اند و رفتند</w:t>
      </w:r>
      <w:r>
        <w:rPr>
          <w:rStyle w:val="FootnoteReference"/>
          <w:rFonts w:cs="B Zar"/>
          <w:sz w:val="28"/>
          <w:szCs w:val="28"/>
          <w:rtl/>
        </w:rPr>
        <w:footnoteReference w:id="613"/>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سپس چاندوگيا</w:t>
      </w:r>
      <w:r w:rsidRPr="00075613">
        <w:rPr>
          <w:rFonts w:cs="B Zar"/>
        </w:rPr>
        <w:t xml:space="preserve">(Chandogya) </w:t>
      </w:r>
      <w:r w:rsidRPr="00075613">
        <w:rPr>
          <w:rFonts w:cs="B Zar" w:hint="cs"/>
          <w:rtl/>
        </w:rPr>
        <w:t xml:space="preserve"> اوپانيشاد اين داستان تمثيلي را چنان ادامه مي‌دهد: «سرور ديوتاها، ايندرا، (ديوتا به معناي خدا يا فرشته به قول داراشكوه) و سرور ديوان هر دو چنان فهميدند كه همين «بدن» (موجوديت مادي و فيزيكي)، آتمان</w:t>
      </w:r>
      <w:r w:rsidRPr="00075613">
        <w:rPr>
          <w:rFonts w:cs="B Zar"/>
        </w:rPr>
        <w:t>Atman=</w:t>
      </w:r>
      <w:r w:rsidRPr="00075613">
        <w:rPr>
          <w:rFonts w:cs="B Zar" w:hint="cs"/>
          <w:rtl/>
        </w:rPr>
        <w:t>) است. رئيس ديوان بروچن</w:t>
      </w:r>
      <w:r w:rsidRPr="00075613">
        <w:rPr>
          <w:rFonts w:cs="B Zar"/>
        </w:rPr>
        <w:t xml:space="preserve"> (Brochen)</w:t>
      </w:r>
      <w:r w:rsidRPr="00075613">
        <w:rPr>
          <w:rFonts w:cs="B Zar" w:hint="cs"/>
          <w:rtl/>
        </w:rPr>
        <w:t xml:space="preserve"> پيش قوم خود رفت و گفت</w:t>
      </w:r>
      <w:r w:rsidRPr="00075613">
        <w:rPr>
          <w:rFonts w:cs="B Zar" w:hint="cs"/>
          <w:i/>
          <w:iCs/>
          <w:rtl/>
        </w:rPr>
        <w:t>: «بدانيد كه هرچه هست، بدن (و جسم و جسمانيت) است، همين «بدن» خود را بپرستيد و به همين مشغول باشيد و سعادت دين و دنيا به دست خواهيد آورد.»</w:t>
      </w:r>
      <w:r w:rsidRPr="00075613">
        <w:rPr>
          <w:rFonts w:cs="B Zar" w:hint="cs"/>
          <w:rtl/>
        </w:rPr>
        <w:t xml:space="preserve"> ايندرا رئيس ديوتاها پيش قوم خود نرفته و از راه برگشته و چنان فكر كرد كه اين عكسي كه در آئينه و آب مي‌بينيم با تغيير لباس و آرايش تغيير مي‌كند، پس اين نمي‌تواند نفس واقعي و وجود حقيقي ما باشد. پس ايندرا به محضر پاراجاپاتي بازگشت و رياضت‌ها كشيد. سپس پاراجاپاتي از او پرسيد: «چه شده؟» گفت: «اعليحضرتا! من عكسي را كه در آئينه مي بينم و تن خود را، چگونه مي‌توانم نفس لايزال خود تلقي كنم؛ در حاليكه از آراستن تن آن وجود آراسته مي‌شود، از موها و ناخن گرفتن، مو و ناخن او كاسته مي شود. اگر آتمان نابينا و كور شود آن نفس (و وجود) نيز نابينا و كور مي شود. پس وقتي اين تن فاني شد، آن نفس نيز ازبين خواهد رفت. اين نمي تواند نفس برتر و لايزال ما يا آتمان باشد»</w:t>
      </w:r>
      <w:r>
        <w:rPr>
          <w:rStyle w:val="FootnoteReference"/>
          <w:rFonts w:cs="B Zar"/>
          <w:sz w:val="28"/>
          <w:szCs w:val="28"/>
          <w:rtl/>
        </w:rPr>
        <w:footnoteReference w:id="614"/>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در اين قطعة زيباي تمثيلي، ريشي هاي آريائي، به نكات بسيار مهمي از انسان شناسي اشاره داشته‌اند. نخست به اين نكته اشاره مي شود كه ابتدائي‌ترين سطح ظاهري از لايه‌هاي وجود انساني، وجود فيزيكي اوست، و اين لايه از وجود، فاني است. دائماً در حال تغيير است. بستگي به ظواهر دارد. سپس در قالب تمثيلي اين نكته را بازگو مي كند كه ديوان علامتي است از بعد حيواني آدمي، و روچن و قوم ديوان اشاره اي است به كساني كه در لذت پرستي غلطيده اند. آنها در همين مرحلة اول لاية وجود مانده اند و در همين سطح مي‌لولند؛ در حاليكه كساني كه جنبه انساني و ملكوتي وجود آنان نيرومند تر است (سمبل ايندرا)، از اين سطح فراتر مي‌روند و درمي‌يابند كه وجود آنان، متعلق به يك سطح والاتر، و نفس آنان كه «واقعيت» دارد، از جنس ديگر است.</w:t>
      </w:r>
    </w:p>
    <w:p w:rsidR="00075613" w:rsidRPr="00075613" w:rsidP="003C0EF5">
      <w:pPr>
        <w:widowControl w:val="0"/>
        <w:spacing w:line="420" w:lineRule="exact"/>
        <w:ind w:left="0" w:right="0"/>
        <w:jc w:val="both"/>
        <w:rPr>
          <w:rFonts w:cs="B Zar" w:hint="cs"/>
          <w:rtl/>
        </w:rPr>
      </w:pPr>
      <w:r w:rsidRPr="00075613">
        <w:rPr>
          <w:rFonts w:cs="B Zar" w:hint="cs"/>
          <w:rtl/>
        </w:rPr>
        <w:t>بدينسان نخستين لايه وجود انسان «نفس فيزيكي» اوست. بدن وقتي جراحت بر مي دارد، آدمي مي گويد كه «من زخمي شدم»؛ اين من، حكايت از وجود مادي او دارد. اين وجود صورتي است قائم به بدن. در شواهد الربوبيه ملاصدرا به اين لايه از وجود چنين اشاره مي كند</w:t>
      </w:r>
      <w:r w:rsidRPr="00075613">
        <w:rPr>
          <w:rFonts w:cs="B Zar" w:hint="cs"/>
          <w:i/>
          <w:iCs/>
          <w:rtl/>
        </w:rPr>
        <w:t>: «در آغاز، نفس انساني موجودي جسماني الحدوث است. بدين معنا كه در آغاز امر و ابتداي حدوث و تكوين از همين مواد و عناصر موجود در اين عالم پديد مي گردد و در اين مرحله صورتي است، قائم به بدن. ولي پس از استكمال و خروج از قوه به فعل و طي مراتب كمال، موجودي است روحاني البقا كه در بقاي خويش نيازي به بدن ندارد، بلكه قائم به ذات خويش و فاعل بدون آلات و ادوات جسماني است»</w:t>
      </w:r>
      <w:r>
        <w:rPr>
          <w:rStyle w:val="FootnoteReference"/>
          <w:rFonts w:cs="B Zar"/>
          <w:i/>
          <w:iCs/>
          <w:sz w:val="28"/>
          <w:szCs w:val="28"/>
          <w:rtl/>
        </w:rPr>
        <w:footnoteReference w:id="615"/>
      </w:r>
      <w:r w:rsidRPr="00075613">
        <w:rPr>
          <w:rFonts w:cs="B Zar" w:hint="cs"/>
          <w:i/>
          <w:iCs/>
          <w:rtl/>
        </w:rPr>
        <w:t>.</w:t>
      </w:r>
    </w:p>
    <w:p w:rsidR="00075613" w:rsidP="003C0EF5">
      <w:pPr>
        <w:widowControl w:val="0"/>
        <w:spacing w:line="420" w:lineRule="exact"/>
        <w:ind w:left="0" w:right="0"/>
        <w:jc w:val="both"/>
        <w:rPr>
          <w:rFonts w:cs="B Zar" w:hint="cs"/>
          <w:rtl/>
        </w:rPr>
      </w:pPr>
      <w:r w:rsidRPr="00075613">
        <w:rPr>
          <w:rFonts w:cs="B Zar" w:hint="cs"/>
          <w:rtl/>
        </w:rPr>
        <w:t>اين موجود مقارن با ماده و لواحق ماده است. در برهدارن ياكا اوپانيشاد</w:t>
      </w:r>
      <w:r>
        <w:rPr>
          <w:rStyle w:val="FootnoteReference"/>
          <w:rFonts w:cs="B Zar"/>
          <w:sz w:val="28"/>
          <w:szCs w:val="28"/>
          <w:rtl/>
        </w:rPr>
        <w:footnoteReference w:id="616"/>
      </w:r>
      <w:r w:rsidRPr="00075613">
        <w:rPr>
          <w:rFonts w:cs="B Zar" w:hint="cs"/>
          <w:rtl/>
        </w:rPr>
        <w:t>، كوسي تاكا اوپانيشاد و پرسنا، ريشي‌ها چهار حالت نفس انسان را بيان كرده‌اند كه عبارت‌اند از: حالت بيداري، حالت نيمه خواب، حالت خواب عميق و حالت توريه يا فنا في الله. نفس فيزيكي يا وجود مادي، آن است كه در حالت بيداري، انسان بدان آگاه است. از اين رو اين را مي‌توانيم «نفس آگاه» نيز به ناميم؛ نفس آگاه تنها كف درياي وجود است. اين كف يك واقعيت نسبي است و بس، و به سرعت از ميان مي‌رود و آنچه باقي مي‌ماند، لايه‌هاي ديگر حقيقت است.</w:t>
      </w:r>
    </w:p>
    <w:p w:rsidR="00A85796" w:rsidRPr="00075613"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وجود رواني يا نفس شعوري</w:t>
      </w:r>
    </w:p>
    <w:p w:rsidR="00075613" w:rsidRPr="00075613" w:rsidP="003C0EF5">
      <w:pPr>
        <w:widowControl w:val="0"/>
        <w:spacing w:line="420" w:lineRule="exact"/>
        <w:ind w:left="0" w:right="0"/>
        <w:jc w:val="both"/>
        <w:rPr>
          <w:rFonts w:cs="B Zar" w:hint="cs"/>
          <w:rtl/>
        </w:rPr>
      </w:pPr>
      <w:r w:rsidRPr="00075613">
        <w:rPr>
          <w:rFonts w:cs="B Zar" w:hint="cs"/>
          <w:rtl/>
        </w:rPr>
        <w:t xml:space="preserve">ايندرا مجدداً پيش پاراجاپاتي، دومين لاية نفس و وجود انسان را معرفي مي‌كند كه وجود «رواني» است. او مي‌گويد: </w:t>
      </w:r>
      <w:r w:rsidRPr="00075613">
        <w:rPr>
          <w:rFonts w:cs="B Zar" w:hint="cs"/>
          <w:i/>
          <w:iCs/>
          <w:rtl/>
        </w:rPr>
        <w:t>«آن نفسي كه در عالم رؤيا جولان مي‌دهد، لذت مي‌برد، مسرور مي‌گردد و متأسف مي‌شود، آن نفس ابدي آسيب ناپذير و برهمان است».</w:t>
      </w:r>
      <w:r>
        <w:rPr>
          <w:rStyle w:val="FootnoteReference"/>
          <w:rFonts w:cs="B Zar"/>
          <w:i/>
          <w:iCs/>
          <w:sz w:val="28"/>
          <w:szCs w:val="28"/>
          <w:rtl/>
        </w:rPr>
        <w:footnoteReference w:id="617"/>
      </w:r>
    </w:p>
    <w:p w:rsidR="00075613" w:rsidRPr="00075613" w:rsidP="003C0EF5">
      <w:pPr>
        <w:widowControl w:val="0"/>
        <w:spacing w:line="420" w:lineRule="exact"/>
        <w:ind w:left="0" w:right="0"/>
        <w:jc w:val="both"/>
        <w:rPr>
          <w:rFonts w:cs="B Zar" w:hint="cs"/>
          <w:rtl/>
        </w:rPr>
      </w:pPr>
      <w:r w:rsidRPr="00075613">
        <w:rPr>
          <w:rFonts w:cs="B Zar" w:hint="cs"/>
          <w:rtl/>
        </w:rPr>
        <w:t>انسان در رويا اموري را كه احساس مي‌كند، به خود نسبت مي‌دهد كه من آنرا ديدم، ولي بديهي است كه وجود فيزيكي و نفس مادي وي اين امور را نمي‌بيند؛ چرا كه بدن و جسم او بر رخت خواب لميده است. پس اين نفس و اين من، من فيزيكي و وجود مادي انسان نيست، بلكه رواني و نفس نيمه آگاه وي است. اوپانيشاد براي اثبات اين لايه دوم وجود انسان به حالت رؤيا تمسك مي‌جويد؛ چراكه در اين حالت نفس مادي و فيزيكي انسان فلج است.  چشمان او بسته و پاي او شل است. پس نمي‌توان دو لايه وجود انسان را با هم قاطي كرد. ثانياً بدينسان ريشي‌ها مي‌خواسته‌اند امر اعتباري و ذهني بودن اين لايه از وجود انسان را برسانند.</w:t>
      </w:r>
    </w:p>
    <w:p w:rsidR="00075613" w:rsidRPr="00075613" w:rsidP="003C0EF5">
      <w:pPr>
        <w:widowControl w:val="0"/>
        <w:spacing w:line="420" w:lineRule="exact"/>
        <w:ind w:left="0" w:right="0"/>
        <w:jc w:val="both"/>
        <w:rPr>
          <w:rFonts w:cs="B Zar" w:hint="cs"/>
          <w:rtl/>
        </w:rPr>
      </w:pPr>
      <w:r w:rsidRPr="00075613">
        <w:rPr>
          <w:rFonts w:cs="B Zar" w:hint="cs"/>
          <w:rtl/>
        </w:rPr>
        <w:t>وجود رواني و نفس نيمه آگاه انسان محدود به حواس ظاهره نيست. حتي وقتي حواس فلج باشند، اين نفس دست به كار است. اين لايه از وجود، در زمان و مكان نيز زنداني نيست. با تغيير شكل و صورت و لباس و آرايش نيز تغيير نمي‌كند. آگاهي آن منطقه‌اي و خالي نيز نيست. نفس رواني دستخوش جواني، پيري، فقر و اسارت، سلامتي و كسالت نيست؛ ولي حالاتي رواني دارد و دچار رنج و الم، خوشحالي و افسوس، احساس لذت و احساس كرب مي شود. پس آسيب پذيرست و ثانياً اعتباري است.</w:t>
      </w:r>
    </w:p>
    <w:p w:rsidR="00075613" w:rsidRPr="00075613" w:rsidP="003C0EF5">
      <w:pPr>
        <w:widowControl w:val="0"/>
        <w:spacing w:line="420" w:lineRule="exact"/>
        <w:ind w:left="0" w:right="0"/>
        <w:jc w:val="both"/>
        <w:rPr>
          <w:rFonts w:cs="B Zar" w:hint="cs"/>
          <w:rtl/>
        </w:rPr>
      </w:pPr>
      <w:r w:rsidRPr="00075613">
        <w:rPr>
          <w:rFonts w:cs="B Zar" w:hint="cs"/>
          <w:rtl/>
        </w:rPr>
        <w:t xml:space="preserve">در برهدارن ياكا و پرسنا اوپانيشاد نيز دومين حالت انسان، حالتي از خواب پر از رويا قلمداد شده است. در پرسنا اوپانيشاد مي‌خوانيم: </w:t>
      </w:r>
      <w:r w:rsidRPr="00075613">
        <w:rPr>
          <w:rFonts w:cs="B Zar" w:hint="cs"/>
          <w:i/>
          <w:iCs/>
          <w:rtl/>
        </w:rPr>
        <w:t>«و نفسي در دل است و جيوآتما مي‌باشد،  او در وقت خواب، بيننده بزرگي است كه هرچه مي خواهد براي خود مي سازد و هرچه در بيداري ديده است، در خواب مي بيند و هرچه در بيداري شنيده است، در خواب مي شنود و هر جا در كوچه و بازار بلد است، در آن به گردش در مي آيد و ديده و ناديده و شنيده ناشنيده و دانسته و ندانسته و راست و دروغ، همه را تجربه مي‌نمايد. جيوآتما در خواب و رويا همه كار مي‌كند»</w:t>
      </w:r>
      <w:r>
        <w:rPr>
          <w:rStyle w:val="FootnoteReference"/>
          <w:rFonts w:cs="B Zar"/>
          <w:i/>
          <w:iCs/>
          <w:sz w:val="28"/>
          <w:szCs w:val="28"/>
          <w:rtl/>
        </w:rPr>
        <w:footnoteReference w:id="618"/>
      </w:r>
      <w:r w:rsidRPr="00075613">
        <w:rPr>
          <w:rFonts w:cs="B Zar" w:hint="cs"/>
          <w:i/>
          <w:iCs/>
          <w:rtl/>
        </w:rPr>
        <w:t>.</w:t>
      </w:r>
    </w:p>
    <w:p w:rsidR="00075613" w:rsidRPr="00075613" w:rsidP="003C0EF5">
      <w:pPr>
        <w:widowControl w:val="0"/>
        <w:spacing w:line="420" w:lineRule="exact"/>
        <w:ind w:left="0" w:right="0"/>
        <w:jc w:val="both"/>
        <w:rPr>
          <w:rFonts w:cs="B Zar" w:hint="cs"/>
          <w:rtl/>
        </w:rPr>
      </w:pPr>
      <w:r w:rsidRPr="00075613">
        <w:rPr>
          <w:rFonts w:cs="B Zar" w:hint="cs"/>
          <w:rtl/>
        </w:rPr>
        <w:t xml:space="preserve">اين وجود رواني و نفس تحت‌الشعور را، اوپانيشاد در رابطه با رويا توضيح مي‌دهد؛ چرا كه در رويا، انسان حركت دارد، احساس دارد، ولي اين حركت و احساس از جسم و جسمانيت مبراست. رادا كريشنان اين نفس تحت شعوري را، نفس تجربي </w:t>
      </w:r>
      <w:r w:rsidRPr="00075613">
        <w:rPr>
          <w:rFonts w:cs="B Zar"/>
        </w:rPr>
        <w:t>(Empirial Self)</w:t>
      </w:r>
      <w:r w:rsidRPr="00075613">
        <w:rPr>
          <w:rFonts w:cs="B Zar" w:hint="cs"/>
          <w:rtl/>
        </w:rPr>
        <w:t xml:space="preserve"> مي‌نامد.</w:t>
      </w:r>
    </w:p>
    <w:p w:rsidR="00075613" w:rsidRPr="00075613" w:rsidP="003C0EF5">
      <w:pPr>
        <w:widowControl w:val="0"/>
        <w:spacing w:line="420" w:lineRule="exact"/>
        <w:ind w:left="0" w:right="0"/>
        <w:jc w:val="both"/>
        <w:rPr>
          <w:rFonts w:cs="B Zar" w:hint="cs"/>
          <w:rtl/>
        </w:rPr>
      </w:pPr>
      <w:r w:rsidRPr="00075613">
        <w:rPr>
          <w:rFonts w:cs="B Zar" w:hint="cs"/>
          <w:rtl/>
        </w:rPr>
        <w:t>وجود رواني و نقش تحت‌الشعور، مرتبة والاتري از مرتبة وجود مادي و نفس ظاهري است، ولي اين نفس و لاية وجود نيز تابع عوارض است. اين نفس تجربي، مبتني بر تجربيات است. پس قائم بالذات نيست، بلكه متكي بر عوامل زيستي است. پس نمي‌تواند برتر از (آتما) باشد. در تمثيل چاندوگيا اوپانيشاد ايندرا اين نكته را در مي‌يابد. او مجدداً پيش پاراجاپاتي مي‌آيد و مي‌گويد:</w:t>
      </w:r>
    </w:p>
    <w:p w:rsidR="00075613" w:rsidP="003C0EF5">
      <w:pPr>
        <w:widowControl w:val="0"/>
        <w:spacing w:line="420" w:lineRule="exact"/>
        <w:ind w:left="0" w:right="0"/>
        <w:jc w:val="both"/>
        <w:rPr>
          <w:rFonts w:cs="B Zar" w:hint="cs"/>
          <w:rtl/>
        </w:rPr>
      </w:pPr>
      <w:r w:rsidRPr="00075613">
        <w:rPr>
          <w:rFonts w:cs="B Zar" w:hint="cs"/>
          <w:i/>
          <w:iCs/>
          <w:rtl/>
        </w:rPr>
        <w:t>«درست است كه نفس «رواني»، اگرچه با كور شدن بدن كور نمي‌شود، از آسيب ديدگي بدن آسيب نمي‌بيند، ولي باز تابع لذت و الم است. در رويا مي‌بيند: كسي او را مي‌زند، يا ميگريزاند، گاهي او گريه مي‌كند، گاهي خوشحال مي‌شود، پس اين نيز نفس جاودان ما نيست و معرفت اين ارزش را ندارد. اين نمي‌تواند نفس و من پايدار انسان باشد».</w:t>
      </w:r>
      <w:r w:rsidRPr="00075613">
        <w:rPr>
          <w:rFonts w:cs="B Zar" w:hint="cs"/>
          <w:rtl/>
        </w:rPr>
        <w:t xml:space="preserve"> پاراجاپاتي گفت: </w:t>
      </w:r>
      <w:r w:rsidRPr="00075613">
        <w:rPr>
          <w:rFonts w:cs="B Zar" w:hint="cs"/>
          <w:i/>
          <w:iCs/>
          <w:rtl/>
        </w:rPr>
        <w:t>«همچنين است كه تو مي‌گوئي، اينجا باش، من به تو خواهم گفت</w:t>
      </w:r>
      <w:r>
        <w:rPr>
          <w:rStyle w:val="FootnoteReference"/>
          <w:rFonts w:cs="B Zar"/>
          <w:i/>
          <w:iCs/>
          <w:sz w:val="28"/>
          <w:szCs w:val="28"/>
          <w:rtl/>
        </w:rPr>
        <w:footnoteReference w:id="619"/>
      </w:r>
      <w:r w:rsidRPr="00075613">
        <w:rPr>
          <w:rFonts w:cs="B Zar" w:hint="cs"/>
          <w:i/>
          <w:iCs/>
          <w:rtl/>
        </w:rPr>
        <w:t>. شرط اين است كه مجدداً سي و دوسال رياضت بكشي.»</w:t>
      </w:r>
      <w:r w:rsidRPr="00075613">
        <w:rPr>
          <w:rFonts w:cs="B Zar" w:hint="cs"/>
          <w:rtl/>
        </w:rPr>
        <w:t xml:space="preserve"> ايندرا، سي و دو سال رياضت كشيد تا پاراجاپاتي مرتبة سوم وجود و لاية بعدي نفس را به او بازگو كرد.</w:t>
      </w:r>
    </w:p>
    <w:p w:rsidR="0088699F" w:rsidRPr="00075613"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وجود روحي يا نفس ناآگاه</w:t>
      </w:r>
    </w:p>
    <w:p w:rsidR="00075613" w:rsidRPr="00075613" w:rsidP="003C0EF5">
      <w:pPr>
        <w:widowControl w:val="0"/>
        <w:spacing w:line="420" w:lineRule="exact"/>
        <w:ind w:left="0" w:right="0"/>
        <w:jc w:val="both"/>
        <w:rPr>
          <w:rFonts w:cs="B Zar" w:hint="cs"/>
          <w:i/>
          <w:iCs/>
          <w:rtl/>
        </w:rPr>
      </w:pPr>
      <w:r w:rsidRPr="00075613">
        <w:rPr>
          <w:rFonts w:cs="B Zar" w:hint="cs"/>
          <w:rtl/>
        </w:rPr>
        <w:t>در نوبت سوم، پاراجاپاتي به ايندرا مي‌گويد</w:t>
      </w:r>
      <w:r w:rsidRPr="00075613">
        <w:rPr>
          <w:rFonts w:cs="B Zar" w:hint="cs"/>
          <w:i/>
          <w:iCs/>
          <w:rtl/>
        </w:rPr>
        <w:t>: «وقتي انسان در خواب عميق فرو مي‌رود، تمام حواس او جمع شده، در داخل نفس او مي‌خزند، او به طور مطلق آرام است و هيچ رويائي را نمي‌بيند. نقشي كه در اين حالت خواب بدون رويا انعكاس مي يابد، نفس جاودان و آسيب ناپذير انسان است</w:t>
      </w:r>
      <w:r>
        <w:rPr>
          <w:rStyle w:val="FootnoteReference"/>
          <w:rFonts w:cs="B Zar"/>
          <w:i/>
          <w:iCs/>
          <w:sz w:val="28"/>
          <w:szCs w:val="28"/>
          <w:rtl/>
        </w:rPr>
        <w:footnoteReference w:id="620"/>
      </w:r>
      <w:r w:rsidRPr="00075613">
        <w:rPr>
          <w:rFonts w:cs="B Zar" w:hint="cs"/>
          <w:i/>
          <w:iCs/>
          <w:rtl/>
        </w:rPr>
        <w:t>.»</w:t>
      </w:r>
    </w:p>
    <w:p w:rsidR="00075613" w:rsidRPr="00075613" w:rsidP="003C0EF5">
      <w:pPr>
        <w:widowControl w:val="0"/>
        <w:spacing w:line="420" w:lineRule="exact"/>
        <w:ind w:left="0" w:right="0"/>
        <w:jc w:val="both"/>
        <w:rPr>
          <w:rFonts w:cs="B Zar" w:hint="cs"/>
          <w:rtl/>
        </w:rPr>
      </w:pPr>
      <w:r w:rsidRPr="00075613">
        <w:rPr>
          <w:rFonts w:cs="B Zar" w:hint="cs"/>
          <w:rtl/>
        </w:rPr>
        <w:t>بدينسان لاية سوم وجود، آن است كه در خواب عميق، وقتي انسان از سطح وجود مادي و وجود آگاهانه رواني فراتر مي‌رود و خامشي و سكوت مطلق حاكم است، در آن هنگام انعكاس پيدا مي كند. اين من وابسته به جسم ما نيست و به حركت و كاربرد حواس و رفتار و گفتار و پندار ما ارتباطي ندارد. اين من در بيهوشي نيز به كار خود ادامه مي‌دهد. اين را مي‌توان نفس لاشعوري، وجدان معقول يا  ضمير ناآگاه ناميد. اين نوعي شعور باطني است كه در هر سه حالت بيداري، خواب يا رويا و خواب عميق بدون رويا ادامه دارد. اين نفس مخفي، انگيزش‌هاي ناهشيارانه‌اي را براي ما فراهم مي‌آورد كه نقش آن در تكوين شخصيت و تداوم شخصيت، بيشتر از انگيزش‌هاي هشيارانه است. نقش آگاه و نيمه آگاه، تنها اعمال آگاهانه انسان را كنترل مي كند، ولي نفس ناآگاه، كل شخصيت انسان را جهت مي‌دهد و شالودة تصميم‌گيري‌هاي انسان را فراهم مي‌سازد. نفس آگاه و نيمه آگاه همانند كف روي دريا هستند. در زير دريا سكوت و ثبات و آرامش حاكم است. همان نقش ناآگاه و ضمير باطني است كه كف روي دريا را ايجاد مي كند، ولي ما تنها جنب و جوش اين كف را مي‌‌بينيم و از باطن دريا خبر نداريم. انديشه شرق، چنانچه از اين گونه قطعات اوپانيشاد و اديان چين و بين النهرين و ايران برمي‌آيد، صدها سال پيش از تولد مسيح، اهميت ضمير باطني و نفس را دريافته بودند. دكتر رادا كريشنان مي گويد</w:t>
      </w:r>
      <w:r w:rsidRPr="00075613">
        <w:rPr>
          <w:rFonts w:cs="B Zar" w:hint="cs"/>
          <w:i/>
          <w:iCs/>
          <w:rtl/>
        </w:rPr>
        <w:t>: «در فلسفه غرب بسيار با تأخير به بررسي مسئله چگونگي معرفت نفس انسان توجه كردند</w:t>
      </w:r>
      <w:r w:rsidRPr="00075613">
        <w:rPr>
          <w:rFonts w:cs="B Zar" w:hint="cs"/>
          <w:rtl/>
        </w:rPr>
        <w:t xml:space="preserve">». وقتي فيلسوفان به طور جدي به بررسي اين مسئله پرداختند، بدين نتيجه رسيدند كه معرفت نفس بدون آنچه كانت وحدت ماورائي خودآگاهانه </w:t>
      </w:r>
      <w:r w:rsidRPr="00075613">
        <w:rPr>
          <w:rFonts w:cs="B Zar"/>
        </w:rPr>
        <w:t>(Apperception)</w:t>
      </w:r>
      <w:r w:rsidRPr="00075613">
        <w:rPr>
          <w:rFonts w:cs="B Zar" w:hint="cs"/>
          <w:rtl/>
        </w:rPr>
        <w:t xml:space="preserve"> ناميد، امكان‌پذير نيست. آنچه را پلوتينوس </w:t>
      </w:r>
      <w:r w:rsidRPr="00075613">
        <w:rPr>
          <w:rFonts w:cs="B Zar"/>
        </w:rPr>
        <w:t>(Plotinus)</w:t>
      </w:r>
      <w:r w:rsidRPr="00075613">
        <w:rPr>
          <w:rFonts w:cs="B Zar" w:hint="cs"/>
          <w:rtl/>
        </w:rPr>
        <w:t xml:space="preserve"> نظارت از بالا به وسيلة روح و نفس بر اعمال فرد مي‌نامد، نقش آن را ضمير باطن و نفس ناخودآگاه به عهده دارد. ضمير باطن، خاصه «روان» و «روح» فردي انسان است كه تا دم مرگ در تمام احوال تداوم شخصيت وجود او را تضمين مي‌‌نمايد. اوپانيشاد براي اثبات اين نفس، به حالت خواب عميق بدون رويا اشاره مي‌كند. در برهدارن ياكا و پرسنا اوپانيشاد، اين حالت خواب عميق را «سوسايتي» ناميده‌اند</w:t>
      </w:r>
      <w:r>
        <w:rPr>
          <w:rStyle w:val="FootnoteReference"/>
          <w:rFonts w:cs="B Zar"/>
          <w:sz w:val="28"/>
          <w:szCs w:val="28"/>
          <w:rtl/>
        </w:rPr>
        <w:footnoteReference w:id="621"/>
      </w:r>
      <w:r w:rsidRPr="00075613">
        <w:rPr>
          <w:rFonts w:cs="B Zar" w:hint="cs"/>
          <w:rtl/>
        </w:rPr>
        <w:t>. اين يك حالت خلاء و سكوت محض است. انسان در اين حالت گوئي نيست؛ نه از محيط خارج خبر دارد و نه محيط رويا را مي‌سازد. عرفان هند و ايران براي اين حالت خواب عميق، اهميت فراواني قائل شده است. در اين حالت انسان از عواطف، احساسات، خاطرات، دلهره‌ها، توقعات،  پشيماني‌ها، علاقه‌ها و نفرت‌ها، رشك و حسدها، عشق‌ها، خودخواهي‌ها و ستيزه‌جوئي‌ها تخليه مي شود. گفته مي‌شود در اين حالت نفس انسان به طور موقت در نفس كلي جهاني و ذات همه فنا مي‌شود. قطره براي لحظه‌اي حالت وصال به اقيانوس را تجربه مي‌نمايد. پرسنا اوپانيشاد اين حالتِ سوسايتي را چنان توضيح مي‌دهد:</w:t>
      </w:r>
    </w:p>
    <w:p w:rsidR="00075613" w:rsidRPr="00075613" w:rsidP="003C0EF5">
      <w:pPr>
        <w:widowControl w:val="0"/>
        <w:spacing w:line="420" w:lineRule="exact"/>
        <w:ind w:left="0" w:right="0"/>
        <w:jc w:val="both"/>
        <w:rPr>
          <w:rFonts w:cs="B Zar" w:hint="cs"/>
          <w:i/>
          <w:iCs/>
          <w:rtl/>
        </w:rPr>
      </w:pPr>
      <w:r w:rsidRPr="00075613">
        <w:rPr>
          <w:rFonts w:cs="B Zar" w:hint="cs"/>
          <w:i/>
          <w:iCs/>
          <w:rtl/>
        </w:rPr>
        <w:t>«درحالت خواب عميق، وقتي دل در مجراي خاصي قرار مي‌گيرد، اين زمان جيوآتما (نفس، انسان) هيچ خواب نمي‌بيند، در بدن، در آن هنگام جيو آتما (روان فردي) عين اتما ( نفس ملكوتي) است و در حالت آنند سروپ قرار دارد.</w:t>
      </w:r>
    </w:p>
    <w:p w:rsidR="00075613" w:rsidRPr="00075613" w:rsidP="003C0EF5">
      <w:pPr>
        <w:widowControl w:val="0"/>
        <w:spacing w:line="420" w:lineRule="exact"/>
        <w:ind w:left="0" w:right="0"/>
        <w:jc w:val="both"/>
        <w:rPr>
          <w:rFonts w:cs="B Zar" w:hint="cs"/>
          <w:i/>
          <w:iCs/>
          <w:rtl/>
        </w:rPr>
      </w:pPr>
      <w:r w:rsidRPr="00075613">
        <w:rPr>
          <w:rFonts w:cs="B Zar" w:hint="cs"/>
          <w:i/>
          <w:iCs/>
          <w:rtl/>
        </w:rPr>
        <w:t>«اي نيكوخو، چنانچه جميع پرنده ها، بر بالاي درختي كه آشيانة آنان است، آرام مي‌گيرند ارواح فردي نيز در روح ملكوتي درآمده آرام مي گيرند</w:t>
      </w:r>
      <w:r>
        <w:rPr>
          <w:rStyle w:val="FootnoteReference"/>
          <w:rFonts w:cs="B Zar"/>
          <w:i/>
          <w:iCs/>
          <w:sz w:val="28"/>
          <w:szCs w:val="28"/>
          <w:rtl/>
        </w:rPr>
        <w:footnoteReference w:id="622"/>
      </w:r>
      <w:r w:rsidRPr="00075613">
        <w:rPr>
          <w:rFonts w:cs="B Zar" w:hint="cs"/>
          <w:i/>
          <w:iCs/>
          <w:rtl/>
        </w:rPr>
        <w:t>».</w:t>
      </w:r>
    </w:p>
    <w:p w:rsidR="00075613" w:rsidRPr="00075613" w:rsidP="003C0EF5">
      <w:pPr>
        <w:widowControl w:val="0"/>
        <w:spacing w:line="420" w:lineRule="exact"/>
        <w:ind w:left="0" w:right="0"/>
        <w:jc w:val="both"/>
        <w:rPr>
          <w:rFonts w:cs="B Zar" w:hint="cs"/>
          <w:i/>
          <w:iCs/>
          <w:rtl/>
        </w:rPr>
      </w:pPr>
      <w:r w:rsidRPr="00075613">
        <w:rPr>
          <w:rFonts w:cs="B Zar" w:hint="cs"/>
          <w:rtl/>
        </w:rPr>
        <w:t xml:space="preserve">حالت خواب عميق، در عين حال كه نمونه‌اي از حالتي است كه سالك مي‌تواند پس از نيل به مرحلة فنا في الله احساس كند، اثبات كنندة وجود يك نقش باطني است كه گسيخته از وجود مادي و وجود رواني آگاهانه است. اين نفس ناخودآگاه در همة حالات تداوم پيدا مي‌كند. حتي وقتي عكس در آئينه منعكس نباشد، باز هم آئينه وجود دارد. رادا كريشنان مي گويد: </w:t>
      </w:r>
      <w:r w:rsidRPr="00075613">
        <w:rPr>
          <w:rFonts w:cs="B Zar" w:hint="cs"/>
          <w:i/>
          <w:iCs/>
          <w:rtl/>
        </w:rPr>
        <w:t>«پاراجاپاتي، برتري مطلق عامل شناسائي را بر موضوع شناسائي، مدرِك بر مدرَك را تبيين مي كند.»</w:t>
      </w:r>
    </w:p>
    <w:p w:rsidR="00075613" w:rsidRPr="00075613" w:rsidP="003C0EF5">
      <w:pPr>
        <w:widowControl w:val="0"/>
        <w:spacing w:line="420" w:lineRule="exact"/>
        <w:ind w:left="0" w:right="0"/>
        <w:jc w:val="both"/>
        <w:rPr>
          <w:rFonts w:cs="B Zar" w:hint="cs"/>
          <w:rtl/>
        </w:rPr>
      </w:pPr>
      <w:r w:rsidRPr="00075613">
        <w:rPr>
          <w:rFonts w:cs="B Zar" w:hint="cs"/>
          <w:rtl/>
        </w:rPr>
        <w:t>ولي اين نفس نيز تداوم وجود انسان را پس از مرگ تعيين نمي‌كند. پس چه چيز تعيين كنندة جاودانگي روحي انسان است؟ گذشته از آن، ضمير ناآگاه نمي‌تواند، مبناي اصلي شخصيت انسان باشد. استمرار شخصيت انسان مبتني بر آگاهي باطني است و نه نا آگاهي باطني. ايندر مجدداً پيش پاراجاپاتي مي‌‌آيد و مي‌گويد: «آنكه در حالت خواب عميق نه خود را مي‌داند نه ديگران را، نيست شده است؛ پس نمي‌تواند تأثير بگذارد و نمي‌تواند لازوال باشد. اين هم فايده اي ندارد، لابد آتمان چيز ديگري است</w:t>
      </w:r>
      <w:r>
        <w:rPr>
          <w:rStyle w:val="FootnoteReference"/>
          <w:rFonts w:cs="B Zar"/>
          <w:sz w:val="28"/>
          <w:szCs w:val="28"/>
          <w:rtl/>
        </w:rPr>
        <w:footnoteReference w:id="623"/>
      </w:r>
      <w:r w:rsidRPr="00075613">
        <w:rPr>
          <w:rFonts w:cs="B Zar" w:hint="cs"/>
          <w:rtl/>
        </w:rPr>
        <w:t xml:space="preserve">. نفسي كه هيچ آگاهي ندارد، مساوي با عدم است. مهاتما بدهـ (بودا) گفته است: </w:t>
      </w:r>
      <w:r w:rsidRPr="00075613">
        <w:rPr>
          <w:rFonts w:cs="B Zar" w:hint="cs"/>
          <w:i/>
          <w:iCs/>
          <w:rtl/>
        </w:rPr>
        <w:t>«وقتي ما برگها، شاخه‌ها، و تمام اجزاي درخت را قطع كنيم، ديگر چه چيزي از درخت باقي مي‌ماند؟ هيچ!»</w:t>
      </w:r>
      <w:r w:rsidRPr="00075613">
        <w:rPr>
          <w:rFonts w:cs="B Zar" w:hint="cs"/>
          <w:rtl/>
        </w:rPr>
        <w:t xml:space="preserve"> برادلي </w:t>
      </w:r>
      <w:r w:rsidRPr="00075613">
        <w:rPr>
          <w:rFonts w:cs="B Zar"/>
        </w:rPr>
        <w:t>(Bradely)</w:t>
      </w:r>
      <w:r w:rsidRPr="00075613">
        <w:rPr>
          <w:rFonts w:cs="B Zar" w:hint="cs"/>
          <w:rtl/>
        </w:rPr>
        <w:t xml:space="preserve"> ‌گفته است: </w:t>
      </w:r>
      <w:r w:rsidRPr="00075613">
        <w:rPr>
          <w:rFonts w:cs="B Zar" w:hint="cs"/>
          <w:i/>
          <w:iCs/>
          <w:rtl/>
        </w:rPr>
        <w:t>«شخصيت جدا از آگاهي‌هاي ديگر نيست، عدم است</w:t>
      </w:r>
      <w:r w:rsidRPr="00075613">
        <w:rPr>
          <w:rFonts w:cs="B Zar" w:hint="cs"/>
          <w:rtl/>
        </w:rPr>
        <w:t xml:space="preserve">». لاك </w:t>
      </w:r>
      <w:r w:rsidRPr="00075613">
        <w:rPr>
          <w:rFonts w:cs="B Zar"/>
        </w:rPr>
        <w:t>(Lock)</w:t>
      </w:r>
      <w:r w:rsidRPr="00075613">
        <w:rPr>
          <w:rFonts w:cs="B Zar" w:hint="cs"/>
          <w:rtl/>
        </w:rPr>
        <w:t xml:space="preserve"> مي‌گويد</w:t>
      </w:r>
      <w:r w:rsidRPr="00075613">
        <w:rPr>
          <w:rFonts w:cs="B Zar" w:hint="cs"/>
          <w:i/>
          <w:iCs/>
          <w:rtl/>
        </w:rPr>
        <w:t>: «ادعاي آنكه ذهن بدون فكر و انديشه مي‌تواند وجود داشته باشد.، نقيض هم هست.</w:t>
      </w:r>
      <w:r w:rsidRPr="00075613">
        <w:rPr>
          <w:rFonts w:cs="B Zar" w:hint="cs"/>
          <w:rtl/>
        </w:rPr>
        <w:t xml:space="preserve">» لوتز </w:t>
      </w:r>
      <w:r w:rsidRPr="00075613">
        <w:rPr>
          <w:rFonts w:cs="B Zar"/>
        </w:rPr>
        <w:t>(Lotz)</w:t>
      </w:r>
      <w:r w:rsidRPr="00075613">
        <w:rPr>
          <w:rFonts w:cs="B Zar" w:hint="cs"/>
          <w:rtl/>
        </w:rPr>
        <w:t xml:space="preserve"> مي‌گويد:</w:t>
      </w:r>
      <w:r w:rsidRPr="00075613">
        <w:rPr>
          <w:rFonts w:cs="B Zar" w:hint="cs"/>
          <w:i/>
          <w:iCs/>
          <w:rtl/>
        </w:rPr>
        <w:t xml:space="preserve"> «اگر نفس در حالت خواب عميق هيچ احساسي، هيچ انديشه‌اي و هيچ تحرك ذهني ندارد، آن نفس اصلاً نيست.</w:t>
      </w:r>
      <w:r w:rsidRPr="00075613">
        <w:rPr>
          <w:rFonts w:cs="B Zar" w:hint="cs"/>
          <w:rtl/>
        </w:rPr>
        <w:t xml:space="preserve">» ایندر همين نكته را به پاراجاپاتي خاطر نشان مي‌سازد. دكتر رادا كريشنان مي‌گويد: </w:t>
      </w:r>
      <w:r w:rsidRPr="00075613">
        <w:rPr>
          <w:rFonts w:cs="B Zar" w:hint="cs"/>
          <w:i/>
          <w:iCs/>
          <w:rtl/>
        </w:rPr>
        <w:t>«اين نكته، در تاريخ انديشة هندوها كراراً فراموش شده است»</w:t>
      </w:r>
      <w:r w:rsidRPr="00075613">
        <w:rPr>
          <w:rFonts w:cs="B Zar" w:hint="cs"/>
          <w:rtl/>
        </w:rPr>
        <w:t xml:space="preserve">. هندوها بايد اين نكته را كه اوپانيشاد بيان مي‌دارد، مد نظر قرار داده باشند كه: انكار وجود عيني، در واقع، نابود ساختن روح و نفس ملكوتي در داخل است. آنان كه به ذهنيات و ايده‌آليسم افراطي گرايش دارند، بايد مكالمه ايندر و پاراجاپاتي را كراراً بخوانند. ايندر خاطر نشان مي سازد كه رها شدن مطلق از تحرك و احساس، نابودي و فنا است، اين نفس بي محتوي، اين شناسندة بي شناسائي </w:t>
      </w:r>
      <w:r w:rsidRPr="00075613">
        <w:rPr>
          <w:rFonts w:cs="B Zar"/>
        </w:rPr>
        <w:t>(Cognito)</w:t>
      </w:r>
      <w:r w:rsidRPr="00075613">
        <w:rPr>
          <w:rFonts w:cs="B Zar" w:hint="cs"/>
          <w:rtl/>
        </w:rPr>
        <w:t xml:space="preserve"> و بكارت، و وحدت صوري </w:t>
      </w:r>
      <w:r w:rsidRPr="00075613">
        <w:rPr>
          <w:rFonts w:cs="B Zar"/>
        </w:rPr>
        <w:t>(Formal Unity)</w:t>
      </w:r>
      <w:r w:rsidRPr="00075613">
        <w:rPr>
          <w:rFonts w:cs="B Zar" w:hint="cs"/>
          <w:rtl/>
        </w:rPr>
        <w:t xml:space="preserve"> كانت، از تمنعات است. مك تگارت </w:t>
      </w:r>
      <w:r w:rsidRPr="00075613">
        <w:rPr>
          <w:rFonts w:cs="B Zar"/>
        </w:rPr>
        <w:t>(Mctegart)</w:t>
      </w:r>
      <w:r w:rsidRPr="00075613">
        <w:rPr>
          <w:rFonts w:cs="B Zar" w:hint="cs"/>
          <w:rtl/>
        </w:rPr>
        <w:t xml:space="preserve">  اين نكته را چنان بيان مي دارد</w:t>
      </w:r>
      <w:r w:rsidRPr="00075613">
        <w:rPr>
          <w:rFonts w:cs="B Zar" w:hint="cs"/>
          <w:i/>
          <w:iCs/>
          <w:rtl/>
        </w:rPr>
        <w:t>: «نفس مشتمل بر چيست؟ برهمه چيزهايي كه از آن آگاهي دارد»</w:t>
      </w:r>
      <w:r w:rsidRPr="00075613">
        <w:rPr>
          <w:rFonts w:cs="B Zar" w:hint="cs"/>
          <w:rtl/>
        </w:rPr>
        <w:t>؛ پس نفسي كه هيچ آگاهي ندارد، با عدم مساوي است</w:t>
      </w:r>
      <w:r>
        <w:rPr>
          <w:rStyle w:val="FootnoteReference"/>
          <w:rFonts w:cs="B Zar"/>
          <w:sz w:val="28"/>
          <w:szCs w:val="28"/>
          <w:rtl/>
        </w:rPr>
        <w:footnoteReference w:id="624"/>
      </w:r>
      <w:r w:rsidRPr="00075613">
        <w:rPr>
          <w:rFonts w:cs="B Zar" w:hint="cs"/>
          <w:rtl/>
        </w:rPr>
        <w:t>.</w:t>
      </w:r>
    </w:p>
    <w:p w:rsidR="00075613" w:rsidRPr="00075613" w:rsidP="003C0EF5">
      <w:pPr>
        <w:widowControl w:val="0"/>
        <w:spacing w:line="420" w:lineRule="exact"/>
        <w:ind w:left="0" w:right="0"/>
        <w:jc w:val="both"/>
        <w:rPr>
          <w:rFonts w:cs="B Zar" w:hint="cs"/>
          <w:rtl/>
        </w:rPr>
      </w:pPr>
      <w:r w:rsidRPr="00075613">
        <w:rPr>
          <w:rFonts w:cs="B Zar" w:hint="cs"/>
          <w:rtl/>
        </w:rPr>
        <w:t>وقتي ايندرا تشكيك مي‌كند كه آيا نقش لاشعور يا حالت ناخودآگاه كه حالت خواب عميق نمونه آن است، آيا وجود دارد يا اين حالت فقدان نفس است، اينك پاراجاپاتي آمادگي لازم را در ايندرا مي‌بيند كه او را با نفس ملكوتي يا آتمان كه عنصر جاودانه در آدمي است، آشنا سازد. او مي‌گويد:</w:t>
      </w:r>
    </w:p>
    <w:p w:rsidR="00075613" w:rsidP="003C0EF5">
      <w:pPr>
        <w:widowControl w:val="0"/>
        <w:spacing w:line="420" w:lineRule="exact"/>
        <w:ind w:left="0" w:right="0"/>
        <w:jc w:val="both"/>
        <w:rPr>
          <w:rFonts w:cs="B Zar" w:hint="cs"/>
          <w:i/>
          <w:iCs/>
          <w:rtl/>
        </w:rPr>
      </w:pPr>
      <w:r w:rsidRPr="00075613">
        <w:rPr>
          <w:rFonts w:cs="B Zar" w:hint="cs"/>
          <w:i/>
          <w:iCs/>
          <w:rtl/>
        </w:rPr>
        <w:t>«اي ايندرا بدان اين بدن ميرنده است و مرگ آن را در بر گرفته است؛ در حاليكه در انسان عنصري است كه آتما نام دارد و جاودانه و منزه است. محل و مسكن آن بدن، ولي از عالم ديگر است. وقتي به بدن تعلق مي‌گيرد، آن زمان لذت دائم را احساس مي كند. تا آتما در بدن قرار دارد، از لذت و غم خلاصي ندارد. وقتي بدن را رها كرد او را نه لذت است و نه الم».</w:t>
      </w:r>
      <w:r>
        <w:rPr>
          <w:rStyle w:val="FootnoteReference"/>
          <w:rFonts w:cs="B Zar"/>
          <w:i/>
          <w:iCs/>
          <w:sz w:val="28"/>
          <w:szCs w:val="28"/>
          <w:rtl/>
        </w:rPr>
        <w:footnoteReference w:id="625"/>
      </w:r>
    </w:p>
    <w:p w:rsidR="00050C7B" w:rsidRPr="00075613" w:rsidP="003C0EF5">
      <w:pPr>
        <w:widowControl w:val="0"/>
        <w:spacing w:line="420" w:lineRule="exact"/>
        <w:ind w:left="0" w:right="0"/>
        <w:jc w:val="both"/>
        <w:rPr>
          <w:rFonts w:cs="B Zar" w:hint="cs"/>
          <w:i/>
          <w:i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نفس ملكوتي و آتمان</w:t>
      </w:r>
    </w:p>
    <w:p w:rsidR="00075613" w:rsidRPr="00075613" w:rsidP="003C0EF5">
      <w:pPr>
        <w:widowControl w:val="0"/>
        <w:spacing w:line="420" w:lineRule="exact"/>
        <w:ind w:left="0" w:right="0"/>
        <w:jc w:val="both"/>
        <w:rPr>
          <w:rFonts w:cs="B Zar" w:hint="cs"/>
          <w:rtl/>
        </w:rPr>
      </w:pPr>
      <w:r w:rsidRPr="00075613">
        <w:rPr>
          <w:rFonts w:cs="B Zar" w:hint="cs"/>
          <w:rtl/>
        </w:rPr>
        <w:t>اين لايه چهارم وجود، كه والاترين نوع نفس انسان تلقي مي‌شود؛ آتمان</w:t>
      </w:r>
      <w:r w:rsidRPr="00075613">
        <w:rPr>
          <w:rFonts w:cs="B Zar"/>
        </w:rPr>
        <w:t xml:space="preserve">(Atman) </w:t>
      </w:r>
      <w:r w:rsidRPr="00075613">
        <w:rPr>
          <w:rFonts w:cs="B Zar" w:hint="cs"/>
          <w:rtl/>
        </w:rPr>
        <w:t>، نفخة الهي در انسان، اصل جاودانه، ازلي، ابدي  و در جسم فاني، لامتناهي در متناهي، بي كران در باكران، پايان ناپذير در پايان پذير، پويا در ايستا و حيات جاودان در هستي مشروط به مرگ است. آتمان سفير خدا در داخل مملكت وجود انسان است. انسان شعله‌اي است كه جهان و تاريخ را از نور حرارت برخوردار ساخته است؛ ولي اين شعله ناشي از مايع لطيفي است به نام «آتمان» كه در وراي آن قرار دارد. ظاهرگرايان تنها اين شعله را مي‌بينند، ولي عارفان مي‌دانند آنچه هست، در درون است و آنچه در برون ديده مي‌شود، شكل تغيير يافته‌اي از آن است. حتي وقتي ظاهراً شعله از ميان مي‌رود، در آن صورت نيز آن مايع لطيف وجود دارد و مجدداً به شكل شعله در مي‌آيد. پس شعله نمي‌ميرد؛ چرا كه جوهر آن نمي‌ميرد. اين توهم و خطاي ادراكي ما است كه مرگ شعله را عزا مي‌گيريم و سوگوار مي‌شويم. شعله كجا مي ميرد! خلاصه تعاليم گيتا اين است كه در آن كرسن به ارجن ياد مي‌دهد كه ظاهر را حقيقت انسان نداند، بلكه در وراي آن آتمان را مد نظر قرار دهد. به تعبير ديگر، نفس يا آتمان، نظير شعاع خورشيد است. براي ظاهر نگران شعاع شكل و صورت خاصي دارد، داراي حرارت و نور است، ولي براي عارفان آن چيزي را كه جز خورشيد نيست، همان كه در آسمان به صورت مركز واحد نور و حرارت است و وقتي بر زمين هبوط مي‌كند به صورت ميليونها شعاع در مي‌آيد، در واقع اين هزاران هزار اشعه، جزء ذات واحدي هستند. در شامگاهان ما مرگ اشعه را عزا مي‌گيريم، ولي شعاع‌ها نيز نمرده‌اند، شعاع نمي‌ميرد، بلكه به خورشيد بر مي‌گردد. صبحگاهان دوباره همين شعاع به صورت جسم‌ها و پيكرهاي نوراني ديگر، به دميدن مي پردازند.</w:t>
      </w:r>
    </w:p>
    <w:p w:rsidR="00075613" w:rsidRPr="00075613" w:rsidP="003C0EF5">
      <w:pPr>
        <w:widowControl w:val="0"/>
        <w:spacing w:line="420" w:lineRule="exact"/>
        <w:ind w:left="0" w:right="0"/>
        <w:jc w:val="both"/>
        <w:rPr>
          <w:rFonts w:cs="B Zar" w:hint="cs"/>
          <w:i/>
          <w:iCs/>
          <w:rtl/>
        </w:rPr>
      </w:pPr>
      <w:r w:rsidRPr="00075613">
        <w:rPr>
          <w:rFonts w:cs="B Zar" w:hint="cs"/>
          <w:rtl/>
        </w:rPr>
        <w:t>طبق نظر اوپانيشاد، در بحبوبة تغيير و فناي آدمي، نفس ملكوتي و آتمان آسيب ناپذير است. همين آتمان است كه تداوم هستي را در مراحل مختلف زندگي (طفوليت، جواني، پيري) و در‌حالت مختلف (بيداري، رويا و خواب عميق) و در حيات و احتضار و پس از مرگ و زايش‌هاي مجدد، تضمين مي كند، و پس از پالوده شدن نفس انسان، جيوآتمان (يا نفس فردي) او با «پارام آتما» يا ذات احديت، فناء مي شود و با اين فناء به بقاي جاويد مي‌رسد. پاراجاپاتي «اتما» را به عنوان جوهر هستي انسان، به ایندر معرفي مي‌كند و مي‌گويد</w:t>
      </w:r>
      <w:r w:rsidRPr="00075613">
        <w:rPr>
          <w:rFonts w:cs="B Zar" w:hint="cs"/>
          <w:i/>
          <w:iCs/>
          <w:rtl/>
        </w:rPr>
        <w:t>: «اي ايندرا بدان كه بينائي چشم، آن آتما است، گيرندة بوها از طريق بيني، آن آتما است، وقتي آن آتما بخواهد بو بگيرد، خود بويا (هـ وت بويائي) مي شود، وقتي كه آن آتما بخواهد ببيند، خود بينا مي شود، وقتي آن آتما بخواهد بشنود، خود شنوا مي شود»</w:t>
      </w:r>
      <w:r>
        <w:rPr>
          <w:rStyle w:val="FootnoteReference"/>
          <w:rFonts w:cs="B Zar"/>
          <w:i/>
          <w:iCs/>
          <w:sz w:val="28"/>
          <w:szCs w:val="28"/>
          <w:rtl/>
        </w:rPr>
        <w:footnoteReference w:id="626"/>
      </w:r>
      <w:r w:rsidRPr="00075613">
        <w:rPr>
          <w:rFonts w:cs="B Zar" w:hint="cs"/>
          <w:i/>
          <w:iCs/>
          <w:rtl/>
        </w:rPr>
        <w:t>.</w:t>
      </w:r>
    </w:p>
    <w:p w:rsidR="00075613" w:rsidRPr="00075613" w:rsidP="003C0EF5">
      <w:pPr>
        <w:widowControl w:val="0"/>
        <w:spacing w:line="420" w:lineRule="exact"/>
        <w:ind w:left="0" w:right="0"/>
        <w:jc w:val="both"/>
        <w:rPr>
          <w:rFonts w:cs="B Zar" w:hint="cs"/>
          <w:rtl/>
        </w:rPr>
      </w:pPr>
      <w:r w:rsidRPr="00075613">
        <w:rPr>
          <w:rFonts w:cs="B Zar" w:hint="cs"/>
          <w:rtl/>
        </w:rPr>
        <w:t>در آتما نوعي اتحاد عاقل و معقول وجود دارد. اين آتما را انسان در حالت اشراق خاصي كه در اوپانيشاد «توريه» ناميده شده است، درك مي كند.</w:t>
      </w:r>
    </w:p>
    <w:p w:rsidR="00075613" w:rsidRPr="00075613" w:rsidP="003C0EF5">
      <w:pPr>
        <w:widowControl w:val="0"/>
        <w:spacing w:line="420" w:lineRule="exact"/>
        <w:ind w:left="0" w:right="0"/>
        <w:jc w:val="both"/>
        <w:rPr>
          <w:rFonts w:cs="B Zar" w:hint="cs"/>
          <w:rtl/>
        </w:rPr>
      </w:pPr>
      <w:r w:rsidRPr="00075613">
        <w:rPr>
          <w:rFonts w:cs="B Zar" w:hint="cs"/>
          <w:rtl/>
        </w:rPr>
        <w:t>چنانچه قبلاً خاطر نشان ساختيم، انسان در سومين مرتبه از وجود، درجه‌اي از نفس خود را كه «نفس روحي و باطني» است، در حالت خواب عميق كه سوسايتي ناميده مي‌شود، تجربه مي‌كند. در حاليكه چهارمين و متعالي‌ترين مرتبه از وجود و نفس خويش را كه مرتبة نفس ملكوتي يا آتمان است، در حالت جذبه مشاهده مي‌نمايد. خواب عميق، حالت تخليه شدن از خود و توريه، حالت پرشدن از خداست.</w:t>
      </w:r>
    </w:p>
    <w:p w:rsidR="00075613" w:rsidRPr="00075613" w:rsidP="003C0EF5">
      <w:pPr>
        <w:widowControl w:val="0"/>
        <w:spacing w:line="420" w:lineRule="exact"/>
        <w:ind w:left="0" w:right="0"/>
        <w:jc w:val="both"/>
        <w:rPr>
          <w:rFonts w:cs="B Zar" w:hint="cs"/>
          <w:rtl/>
        </w:rPr>
      </w:pPr>
      <w:r w:rsidRPr="00075613">
        <w:rPr>
          <w:rFonts w:cs="B Zar" w:hint="cs"/>
          <w:rtl/>
        </w:rPr>
        <w:t>در اين حالت جذبة عرفاني، قطره خود را در آغوش دريا، و شعاع خود را بر بستر خورشيد مي‌بيند، و اين حالت بقاء در فناء است. در حالت سوسايتي، فرد آرامش مطلقي را احساس مي‌كند كه ناشي از خالي شدن و هيچ شدن است. در حالت توريه نيز او آرامش مطلقي را احساس مي‌كند ولي اين يكي ناشي از پرشدن و همه شدن است. وجود انسان به مرحله‌اي مي‌رسد كه معرفت محض است، علم محض است، زيبائي مطلق است، قدرت مطلق است، حركت محض است و وجود مطلق است؛ پس، همه حالات در تضاد با ديگري درك مي‌شوند. چون تضاد برداشته شود، آرامش مطلق است، حالتي است كه بودا آنرا نرون ناميد، و همين را اوپانيشاد توريه مي‌نامد. در مرحلة سوم، فنا ناآگاهانه است و چنانچه ديوسن خاطر نشان مي سازد در مرحلة چهارم، فنا آگاهانه است</w:t>
      </w:r>
      <w:r>
        <w:rPr>
          <w:rStyle w:val="FootnoteReference"/>
          <w:rFonts w:cs="B Zar"/>
          <w:rtl/>
        </w:rPr>
        <w:footnoteReference w:id="627"/>
      </w:r>
      <w:r w:rsidRPr="00075613">
        <w:rPr>
          <w:rFonts w:cs="B Zar" w:hint="cs"/>
          <w:rtl/>
        </w:rPr>
        <w:t>.</w:t>
      </w:r>
    </w:p>
    <w:p w:rsidR="00075613" w:rsidRPr="00075613" w:rsidP="003C0EF5">
      <w:pPr>
        <w:widowControl w:val="0"/>
        <w:spacing w:line="420" w:lineRule="exact"/>
        <w:ind w:left="0" w:right="0"/>
        <w:jc w:val="both"/>
        <w:rPr>
          <w:rFonts w:cs="B Zar" w:hint="cs"/>
          <w:i/>
          <w:iCs/>
          <w:rtl/>
        </w:rPr>
      </w:pPr>
      <w:r w:rsidRPr="00075613">
        <w:rPr>
          <w:rFonts w:cs="B Zar" w:hint="cs"/>
          <w:rtl/>
        </w:rPr>
        <w:t>در سروا اوپانيشاد، كه از اوپاينشادهاي اتهارو ودا است، مي‌خوانيم</w:t>
      </w:r>
      <w:r w:rsidRPr="00075613">
        <w:rPr>
          <w:rFonts w:cs="B Zar" w:hint="cs"/>
          <w:i/>
          <w:iCs/>
          <w:rtl/>
        </w:rPr>
        <w:t>: « وقتي پس از گذر از سه مرحله، روح به صورت تماشائي، اقيانوس وجود مطلق را مي نگرد و به صورت بسيط در آن مي‌غلطد اين حالت توريه است».</w:t>
      </w:r>
      <w:r>
        <w:rPr>
          <w:rStyle w:val="FootnoteReference"/>
          <w:rFonts w:cs="B Zar"/>
          <w:i/>
          <w:iCs/>
          <w:sz w:val="28"/>
          <w:szCs w:val="28"/>
          <w:rtl/>
        </w:rPr>
        <w:footnoteReference w:id="628"/>
      </w:r>
    </w:p>
    <w:p w:rsidR="00075613" w:rsidP="003C0EF5">
      <w:pPr>
        <w:widowControl w:val="0"/>
        <w:spacing w:line="420" w:lineRule="exact"/>
        <w:ind w:left="0" w:right="0"/>
        <w:jc w:val="both"/>
        <w:rPr>
          <w:rFonts w:cs="B Zar" w:hint="cs"/>
          <w:rtl/>
        </w:rPr>
      </w:pPr>
      <w:r w:rsidRPr="00075613">
        <w:rPr>
          <w:rFonts w:cs="B Zar" w:hint="cs"/>
          <w:rtl/>
        </w:rPr>
        <w:t>اين حالت و مراتب چهارگانة نفس، در برخي اوپانيشادها، (وسو، تي جاسيا، پراجنا، يا سوسايتي)، توريه ناميده شده‌اند. در بودائيسم چهار احوال سير و سلوك كه معادل اين مقامات چهارگانه هستند، عبارت‌اند از: كام، روپ، اروپ و لكوت ترا. از اين چهار احوال، سه احوال اول، از نظر ديدگاه اوپانيشاد، واقعيت نسبي‌اند؛ در حاليكه حالت چهارم يك واقعيت تمام عيار است. همچنين در چهار نوع نفس، نفس چهارم يا آتمان وجودي حقيقي است، و سه نفس ديگر مجازي هستند.</w:t>
      </w:r>
    </w:p>
    <w:p w:rsidR="00C6681E" w:rsidRPr="00075613"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تعريف آتمان</w:t>
      </w:r>
    </w:p>
    <w:p w:rsidR="00075613" w:rsidRPr="00075613" w:rsidP="003C0EF5">
      <w:pPr>
        <w:widowControl w:val="0"/>
        <w:spacing w:line="420" w:lineRule="exact"/>
        <w:ind w:left="0" w:right="0"/>
        <w:jc w:val="both"/>
        <w:rPr>
          <w:rFonts w:cs="B Zar" w:hint="cs"/>
          <w:rtl/>
        </w:rPr>
      </w:pPr>
      <w:r w:rsidRPr="00075613">
        <w:rPr>
          <w:rFonts w:cs="B Zar" w:hint="cs"/>
          <w:rtl/>
        </w:rPr>
        <w:t>متخصصان دانش نروكت (زبان شناسي سانسكريت)‌، ريشه‌هاي مختلف احتمالي را كه ممكن است كلمه آتمان از آن مشق باشد،  ذكر كرده‌اند. از جمله «آت» به معناي حركت كردن، «آن» به معناي دم زدن و نفس كشيدن و «وا» به معناي فوت كردن و دميدن مي‌باشد</w:t>
      </w:r>
      <w:r w:rsidRPr="00075613">
        <w:rPr>
          <w:rFonts w:cs="B Zar"/>
          <w:rtl/>
        </w:rPr>
        <w:t xml:space="preserve"> </w:t>
      </w:r>
      <w:r>
        <w:rPr>
          <w:rStyle w:val="FootnoteReference"/>
          <w:rFonts w:cs="B Zar"/>
          <w:rtl/>
        </w:rPr>
        <w:footnoteReference w:id="629"/>
      </w:r>
      <w:r w:rsidRPr="00075613">
        <w:rPr>
          <w:rFonts w:cs="B Zar" w:hint="cs"/>
          <w:rtl/>
        </w:rPr>
        <w:t>.در ريگ ودا اين واژه به معناي اصل حيات و احساس به كار رفته است. شايد ريشة آت كه معنايش حركت است، معناي حيات را تداعي مي‌كند؛ چرا كه ويژگي اصلي حيات، حركت است و سپس از حيات معناي دوم و نفس، و سپس معناي جان و روح تداعي مي‌گردد؛ چرا كه جوهر حيات جان است. در ريگ ودا و اتهاروا ودا كلمة آتمان به همين دو معناي حيات و احساس به كار رفته است، ولي در برخي سرودهاي آخرين كتاب ريگ ودا، كلمة آتمان به معناي فرد و شخصيت استعمال گرديده است</w:t>
      </w:r>
      <w:r>
        <w:rPr>
          <w:rStyle w:val="FootnoteReference"/>
          <w:rFonts w:cs="B Zar"/>
          <w:rtl/>
        </w:rPr>
        <w:footnoteReference w:id="630"/>
      </w:r>
      <w:r w:rsidRPr="00075613">
        <w:rPr>
          <w:rFonts w:cs="B Zar" w:hint="cs"/>
          <w:rtl/>
        </w:rPr>
        <w:t>. سپس در رسائل برهمانا نيز به معناي فرد و ذات مستعمل شده است. در ست پت برهمانا، تغيير آتمان، «دهات تي»، يعني او در خودش قرار گرفت</w:t>
      </w:r>
      <w:r>
        <w:rPr>
          <w:rStyle w:val="FootnoteReference"/>
          <w:rFonts w:cs="B Zar"/>
          <w:rtl/>
        </w:rPr>
        <w:footnoteReference w:id="631"/>
      </w:r>
      <w:r w:rsidRPr="00075613">
        <w:rPr>
          <w:rFonts w:cs="B Zar" w:hint="cs"/>
          <w:rtl/>
        </w:rPr>
        <w:t>. در رساله مانو، تعبير «آتمان» و «يج»، يعني او زندگي خود را از دست داد</w:t>
      </w:r>
      <w:r>
        <w:rPr>
          <w:rStyle w:val="FootnoteReference"/>
          <w:rFonts w:cs="B Zar"/>
          <w:rtl/>
        </w:rPr>
        <w:footnoteReference w:id="632"/>
      </w:r>
      <w:r w:rsidRPr="00075613">
        <w:rPr>
          <w:rFonts w:cs="B Zar" w:hint="cs"/>
          <w:rtl/>
        </w:rPr>
        <w:t>، ديده مي‌شود. از اين امر ثابت مي شود كه كلمة آتمان در دوره‌هاي پيشين نيز به تدريج به معناي نفس انسان درآمده بود و اوپانيشاد اين معنا را اختراع نكرد، بلكه آن را از ابعاد والاتر و گسترده‌تر برخوردار ساخت.</w:t>
      </w:r>
    </w:p>
    <w:p w:rsidR="00075613" w:rsidP="003C0EF5">
      <w:pPr>
        <w:widowControl w:val="0"/>
        <w:spacing w:line="420" w:lineRule="exact"/>
        <w:ind w:left="0" w:right="0"/>
        <w:jc w:val="both"/>
        <w:rPr>
          <w:rFonts w:cs="B Zar" w:hint="cs"/>
          <w:rtl/>
        </w:rPr>
      </w:pPr>
      <w:r w:rsidRPr="00075613">
        <w:rPr>
          <w:rFonts w:cs="B Zar" w:hint="cs"/>
          <w:rtl/>
        </w:rPr>
        <w:t>در رسائل اوپانيشاد نيز اين واژه به معاني گوناگون به كار رفته است. ممكن است معاني مختلف، نمايانگر تكامل تدريجي و از تحول انساني حكايت داشته باشد. در يك مورد آتمان، به معناي دم زدن و نفس كشيدن نيز بكار رفته است. در چاندوگيا اوپانيشاد، كلمة آتمان در مقابل منس (ذهن)، به معناي دم و نفس آورده شده است</w:t>
      </w:r>
      <w:r>
        <w:rPr>
          <w:rStyle w:val="FootnoteReference"/>
          <w:rFonts w:cs="B Zar"/>
          <w:rtl/>
        </w:rPr>
        <w:footnoteReference w:id="633"/>
      </w:r>
      <w:r w:rsidRPr="00075613">
        <w:rPr>
          <w:rFonts w:cs="B Zar" w:hint="cs"/>
          <w:rtl/>
        </w:rPr>
        <w:t>. ولي معاني عمدة كلمة آتمان در اوپاينشاد بدين قرار مي باشد:</w:t>
      </w:r>
    </w:p>
    <w:p w:rsidR="00292991" w:rsidRPr="00075613"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به معناي ذات، فرد، شخصيت</w:t>
      </w:r>
    </w:p>
    <w:p w:rsidR="00075613" w:rsidP="003C0EF5">
      <w:pPr>
        <w:widowControl w:val="0"/>
        <w:spacing w:line="420" w:lineRule="exact"/>
        <w:ind w:left="0" w:right="0"/>
        <w:jc w:val="both"/>
        <w:rPr>
          <w:rFonts w:cs="B Zar" w:hint="cs"/>
          <w:rtl/>
        </w:rPr>
      </w:pPr>
      <w:r w:rsidRPr="00075613">
        <w:rPr>
          <w:rFonts w:cs="B Zar" w:hint="cs"/>
          <w:rtl/>
        </w:rPr>
        <w:t>نخستين معناي متداول كلمه در اوپانيشاد، معناي ذات و شخصيت است. در بسياري از قطعات، واژة آتمان براي اشاره به ذات انسان و به معناي فرد به كار رفته است. در چاندوگيا اوپانيشاد گفته مي‌شود</w:t>
      </w:r>
      <w:r w:rsidRPr="00075613">
        <w:rPr>
          <w:rFonts w:cs="B Zar" w:hint="cs"/>
          <w:i/>
          <w:iCs/>
          <w:rtl/>
        </w:rPr>
        <w:t>: «سامن يك آتمان بوده</w:t>
      </w:r>
      <w:r w:rsidRPr="00075613">
        <w:rPr>
          <w:rFonts w:cs="B Zar" w:hint="cs"/>
          <w:rtl/>
        </w:rPr>
        <w:t xml:space="preserve">» مقصود آن است كه </w:t>
      </w:r>
      <w:r w:rsidRPr="00075613">
        <w:rPr>
          <w:rFonts w:cs="B Zar" w:hint="cs"/>
          <w:i/>
          <w:iCs/>
          <w:rtl/>
        </w:rPr>
        <w:t>«سامن يك فرد و يك شخصيت است</w:t>
      </w:r>
      <w:r w:rsidRPr="00075613">
        <w:rPr>
          <w:rFonts w:cs="B Zar" w:hint="cs"/>
          <w:rtl/>
        </w:rPr>
        <w:t>»</w:t>
      </w:r>
      <w:r>
        <w:rPr>
          <w:rStyle w:val="FootnoteReference"/>
          <w:rFonts w:cs="B Zar"/>
          <w:rtl/>
        </w:rPr>
        <w:footnoteReference w:id="634"/>
      </w:r>
      <w:r w:rsidRPr="00075613">
        <w:rPr>
          <w:rFonts w:cs="B Zar" w:hint="cs"/>
          <w:rtl/>
        </w:rPr>
        <w:t>. در برهدارن ياكا اوپانيشاد كاربرد واژه، بر ذات پاراجاپاتي دلالت دارد</w:t>
      </w:r>
      <w:r>
        <w:rPr>
          <w:rStyle w:val="FootnoteReference"/>
          <w:rFonts w:cs="B Zar"/>
          <w:rtl/>
        </w:rPr>
        <w:footnoteReference w:id="635"/>
      </w:r>
      <w:r w:rsidRPr="00075613">
        <w:rPr>
          <w:rFonts w:cs="B Zar" w:hint="cs"/>
          <w:rtl/>
        </w:rPr>
        <w:t>. در چاندوگيا (بخش دوم)، كلمة جسم و بدن انسان را در مي‌گيرد و روشن است كه مقصود آن ذات و فردي است كه داراي جسم باشد</w:t>
      </w:r>
      <w:r>
        <w:rPr>
          <w:rStyle w:val="FootnoteReference"/>
          <w:rFonts w:cs="B Zar"/>
          <w:rtl/>
        </w:rPr>
        <w:footnoteReference w:id="636"/>
      </w:r>
      <w:r w:rsidRPr="00075613">
        <w:rPr>
          <w:rFonts w:cs="B Zar" w:hint="cs"/>
          <w:rtl/>
        </w:rPr>
        <w:t>. اين نكته داراي اهميت است كه كلمه آتمان، تنها در اوپانيشادهاي اوليه به معناي ذات و شخصيت به كار رفته است؛ چون در ست و پت برهمانا نيز آتمان بر همين معنا دلالت دارد، و از آن مي‌توان حدس زد كه در آغاز عصر اوپانيشاد و پايان عصر ودا، آتمان در عرف، همين معنا را داشته است و مفاهيم ديگر از جمله تحول لغوي و اصلاحي اين واژه در عصر ودا نت است.</w:t>
      </w:r>
    </w:p>
    <w:p w:rsidR="00292991" w:rsidRPr="00075613"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به معناي جوهر، جان، روان و روح فردي</w:t>
      </w:r>
    </w:p>
    <w:p w:rsidR="00075613" w:rsidP="003C0EF5">
      <w:pPr>
        <w:widowControl w:val="0"/>
        <w:spacing w:line="420" w:lineRule="exact"/>
        <w:ind w:left="0" w:right="0"/>
        <w:jc w:val="both"/>
        <w:rPr>
          <w:rFonts w:cs="B Zar" w:hint="cs"/>
          <w:rtl/>
        </w:rPr>
      </w:pPr>
      <w:r w:rsidRPr="00075613">
        <w:rPr>
          <w:rFonts w:cs="B Zar" w:hint="cs"/>
          <w:rtl/>
        </w:rPr>
        <w:t>در وهلة بعدي تغيير آتمان براي اشاره به جان در مقابل جسم، و روان تن و روح فردي در مقابل جسد به كار رفته است. در رسائل اوپانيشاد در موارد مختلف، كلمه آتمان بدين معنا اشاره دارد. در ايتاريا اوپانيشاد گفته شده است: «در انسان، آتمان به صورت يك تخم است كه (در قطره هاي مني قرار دارد)؛ اين تخم جان را در رحم همسر قرار مي دهد</w:t>
      </w:r>
      <w:r>
        <w:rPr>
          <w:rStyle w:val="FootnoteReference"/>
          <w:rFonts w:cs="B Zar"/>
          <w:rtl/>
        </w:rPr>
        <w:footnoteReference w:id="637"/>
      </w:r>
      <w:r w:rsidRPr="00075613">
        <w:rPr>
          <w:rFonts w:cs="B Zar" w:hint="cs"/>
          <w:rtl/>
        </w:rPr>
        <w:t>. در تيتاريا اوپانيشاد گفته شده است كه انسان مشتمل بر دو عنصر است؛ تن و آتمان. پيداست كه اينجا مقصود، «روان» و نفس فردي است. در كين اوپانيشاد نيز واژة آتمان به روان و جان آدمي دلالت دارد.</w:t>
      </w:r>
    </w:p>
    <w:p w:rsidR="00292991" w:rsidRPr="00075613" w:rsidP="003C0EF5">
      <w:pPr>
        <w:widowControl w:val="0"/>
        <w:spacing w:line="420" w:lineRule="exact"/>
        <w:ind w:left="0" w:right="0"/>
        <w:jc w:val="both"/>
        <w:rPr>
          <w:rFonts w:cs="B Zar" w:hint="cs"/>
          <w:rtl/>
        </w:rPr>
      </w:pPr>
    </w:p>
    <w:p w:rsidR="00075613" w:rsidRPr="00075613" w:rsidP="003C0EF5">
      <w:pPr>
        <w:widowControl w:val="0"/>
        <w:spacing w:line="420" w:lineRule="exact"/>
        <w:ind w:left="0" w:right="0"/>
        <w:jc w:val="both"/>
        <w:rPr>
          <w:rFonts w:cs="B Zar" w:hint="cs"/>
          <w:b/>
          <w:bCs/>
          <w:rtl/>
        </w:rPr>
      </w:pPr>
      <w:r w:rsidRPr="00075613">
        <w:rPr>
          <w:rFonts w:cs="B Zar" w:hint="cs"/>
          <w:b/>
          <w:bCs/>
          <w:rtl/>
        </w:rPr>
        <w:t>به معناي عنصر ملكوتي، نفخة الهي و تجلي خدا در انسان</w:t>
      </w:r>
    </w:p>
    <w:p w:rsidR="00075613" w:rsidRPr="00075613" w:rsidP="003C0EF5">
      <w:pPr>
        <w:widowControl w:val="0"/>
        <w:spacing w:line="420" w:lineRule="exact"/>
        <w:ind w:left="0" w:right="0"/>
        <w:jc w:val="both"/>
        <w:rPr>
          <w:rFonts w:cs="B Zar" w:hint="cs"/>
          <w:i/>
          <w:iCs/>
          <w:rtl/>
        </w:rPr>
      </w:pPr>
      <w:r w:rsidRPr="00075613">
        <w:rPr>
          <w:rFonts w:cs="B Zar" w:hint="cs"/>
          <w:rtl/>
        </w:rPr>
        <w:t xml:space="preserve">اين متداولترين معناي كلمة آتمان (وقتي آتمان به صورت مركب باشد، آتما نوشته مي‌شود)  در اوپانيشاد است. نظرية آتمان، در فلسفه ودانت به معناي تاكيد بر همين اصل است كه در انسان روح خداوند دميده شده است. آدمي بر روي خاك زندگي مي كند، ولي داراي عنصري است كه او را به ملكوت اعلي پيوند مي‌دهد. اين عنصر الهي در انسان آتمان است. در داستان تمثيلي پاراجاپاتي و ایندر  كه در سابق نقل شد، كلمة آتمان به همين معنا به كار رفته است. آتمان غير از روان و جان فردي است. در مرحله متكاملتر دورة ودانت، جان به معناي روان فردي، پران ناميده شده است؛ در حاليكه آتمان نه تنها عنصر ملكوتي و نفخه الهي است، بلكه خود خداست كه در انسان تجلي كرده است. در اكثر جاها كلمة آتمان، در رسائل اوپانيشاد به همين معنا دلالت دارد. كوسي تاكا اوپانيشاد، آتمان را اينچنين توصيف مي‌كند: </w:t>
      </w:r>
      <w:r w:rsidRPr="00075613">
        <w:rPr>
          <w:rFonts w:cs="B Zar" w:hint="cs"/>
          <w:i/>
          <w:iCs/>
          <w:rtl/>
        </w:rPr>
        <w:t>«اين جوهر ملكوتي از اعمال زشت ما لكه‌دار نمي‌شود. از اعمال خوب ما جلاء نمي‌يابد (برخلاف روح فردي كه از گردونه سزا و جزا مي‌گذرد). حافظ نواميس جهان، حاكم بر عالم و رب العالمين است. آتمان ما را چنين بدانيد، آتمان ما چنان است</w:t>
      </w:r>
      <w:r>
        <w:rPr>
          <w:rStyle w:val="FootnoteReference"/>
          <w:rFonts w:cs="B Zar"/>
          <w:i/>
          <w:iCs/>
          <w:rtl/>
        </w:rPr>
        <w:footnoteReference w:id="638"/>
      </w:r>
      <w:r w:rsidRPr="00075613">
        <w:rPr>
          <w:rFonts w:cs="B Zar" w:hint="cs"/>
          <w:i/>
          <w:iCs/>
          <w:rtl/>
        </w:rPr>
        <w:t>.»</w:t>
      </w:r>
    </w:p>
    <w:p w:rsidR="00075613" w:rsidRPr="00075613" w:rsidP="003C0EF5">
      <w:pPr>
        <w:widowControl w:val="0"/>
        <w:spacing w:line="420" w:lineRule="exact"/>
        <w:ind w:left="0" w:right="0"/>
        <w:jc w:val="both"/>
        <w:rPr>
          <w:rFonts w:cs="B Zar" w:hint="cs"/>
          <w:rtl/>
        </w:rPr>
      </w:pPr>
      <w:r w:rsidRPr="00075613">
        <w:rPr>
          <w:rFonts w:cs="B Zar" w:hint="cs"/>
          <w:rtl/>
        </w:rPr>
        <w:t>كاتها يا كاتهاكا اوپانيشاد، از جمله اوپانيشادهاي منظوم است. در آن گفته شده است</w:t>
      </w:r>
      <w:r w:rsidRPr="00075613">
        <w:rPr>
          <w:rFonts w:cs="B Zar" w:hint="cs"/>
          <w:i/>
          <w:iCs/>
          <w:rtl/>
        </w:rPr>
        <w:t>: «آتمان عنصر اسرارآميز و مكنوني است كه ديده نمي‌شود. اصل قديم وجود است كه در ژرفناي ذات ما نهفته است»</w:t>
      </w:r>
      <w:r>
        <w:rPr>
          <w:rStyle w:val="FootnoteReference"/>
          <w:rFonts w:cs="B Zar"/>
          <w:rtl/>
        </w:rPr>
        <w:footnoteReference w:id="639"/>
      </w:r>
      <w:r w:rsidRPr="00075613">
        <w:rPr>
          <w:rFonts w:cs="B Zar" w:hint="cs"/>
          <w:rtl/>
        </w:rPr>
        <w:t>. در چاندوگيا اوپانيشاد گفته شده است كه:</w:t>
      </w:r>
    </w:p>
    <w:p w:rsidR="00075613" w:rsidRPr="00075613" w:rsidP="003C0EF5">
      <w:pPr>
        <w:widowControl w:val="0"/>
        <w:spacing w:line="420" w:lineRule="exact"/>
        <w:ind w:left="0" w:right="0"/>
        <w:jc w:val="both"/>
        <w:rPr>
          <w:rFonts w:cs="B Zar" w:hint="cs"/>
          <w:i/>
          <w:iCs/>
          <w:rtl/>
        </w:rPr>
      </w:pPr>
      <w:r w:rsidRPr="00075613">
        <w:rPr>
          <w:rFonts w:cs="B Zar" w:hint="cs"/>
          <w:i/>
          <w:iCs/>
          <w:rtl/>
        </w:rPr>
        <w:t>«اين آتمان در اندرون دل است، به حد اعلاي ظرافت و لطافت است. از دانه ريز جو و گندم خردتر، ولي در عين حال از ارض و سماء بزرگتر، از فضا كلانتر و از همة عالم بلندتر است».</w:t>
      </w:r>
      <w:r>
        <w:rPr>
          <w:rStyle w:val="FootnoteReference"/>
          <w:rFonts w:cs="B Zar"/>
          <w:i/>
          <w:iCs/>
          <w:rtl/>
        </w:rPr>
        <w:footnoteReference w:id="640"/>
      </w:r>
    </w:p>
    <w:p w:rsidR="00075613" w:rsidRPr="00075613" w:rsidP="003C0EF5">
      <w:pPr>
        <w:widowControl w:val="0"/>
        <w:spacing w:line="420" w:lineRule="exact"/>
        <w:ind w:left="0" w:right="0"/>
        <w:jc w:val="both"/>
        <w:rPr>
          <w:rFonts w:cs="B Zar" w:hint="cs"/>
          <w:rtl/>
        </w:rPr>
      </w:pPr>
      <w:r w:rsidRPr="00075613">
        <w:rPr>
          <w:rFonts w:cs="B Zar" w:hint="cs"/>
          <w:rtl/>
        </w:rPr>
        <w:t>آتمان در انسان يك عنصر ابدي و ازلي است كه مرگ نمي تواند بدان چنگ بزند. امراض و بيماري‌ها بر آن عارض نمي‌شوند. دستخوش تغيير و تحول نيست. آتمان به مثابة اشعة خورشيد الهي مي باشد. انوار الهيه‌اي است كه از ذات لايزال صادر شده و تمام انسانها شكوه و عظمت خود را به خاطر اين عنصر ملكوتي به دست مي آورند. افلاطون نيز معتقد به مثل عقليه و ذرات نوريه بوده كه رب‌النوع افراد جسماني خويش مي‌باشند. در معناي سوم، كلمة آتمان در اوپانيشاد براي اينگونه انوار ملكوتي يا مثل نوريه به كار رفته است. در اين معنا برهمان و آتمان دو كلمه معادل نيستند، بلكه آتمان انوار قدسيه و از تجليات و صدورات برهمان است. رابطه ميان برهمان و آتمان، رابطه واجب‌الوجود با وجود اول يا صادر اول است. در فرجام كار، پس از پالايش روحاني انسان، آتمان دوباره به برهمان يا جيوآتما (روح ملكوتي در انسان)، يا پرما آتما (ذات احديت)، متصل مي‌شود.</w:t>
      </w:r>
    </w:p>
    <w:p w:rsidR="00075613" w:rsidRPr="00075613" w:rsidP="003C0EF5">
      <w:pPr>
        <w:widowControl w:val="0"/>
        <w:spacing w:line="420" w:lineRule="exact"/>
        <w:ind w:left="0" w:right="0"/>
        <w:jc w:val="both"/>
        <w:rPr>
          <w:rFonts w:cs="B Zar" w:hint="cs"/>
          <w:b/>
          <w:bCs/>
          <w:rtl/>
        </w:rPr>
      </w:pPr>
      <w:r w:rsidRPr="00075613">
        <w:rPr>
          <w:rFonts w:cs="B Zar" w:hint="cs"/>
          <w:b/>
          <w:bCs/>
          <w:rtl/>
        </w:rPr>
        <w:t>آتمان به معناي خدا در بعد تشبيهي</w:t>
      </w:r>
    </w:p>
    <w:p w:rsidR="00075613" w:rsidRPr="00075613" w:rsidP="003C0EF5">
      <w:pPr>
        <w:widowControl w:val="0"/>
        <w:spacing w:line="420" w:lineRule="exact"/>
        <w:ind w:left="0" w:right="0"/>
        <w:jc w:val="both"/>
        <w:rPr>
          <w:rFonts w:cs="B Zar" w:hint="cs"/>
          <w:rtl/>
        </w:rPr>
      </w:pPr>
      <w:r w:rsidRPr="00075613">
        <w:rPr>
          <w:rFonts w:cs="B Zar" w:hint="cs"/>
          <w:rtl/>
        </w:rPr>
        <w:t>در بسياري موارد از رسائل اوپانيشاد، كلمة آتمان به عنوان واژه مترادف «برهمان» نيز به كار رفته است. در اين معناي چهارم، آتمان «صادر اول» نيست، بلكه خود صادر كننده است. مخلوق نيست، بلكه خالق است. اشعة خورشيد نيست، بلكه خود خورشيد است. البته بررسي دقيق‌تر نشان مي‌دهد كه هرجا كلمة آتمان براي ذات خداوند به كار رفته است، براي اشاره به جنبة تشبيهي خداوند است و نه جنبة تنزيهي. ذات او براي اشاره به ذات واجب‌الوجود در رابطه با جهان و انسان مي باشد. در پرسنا اوپانيشاد مي‌خوانيم:</w:t>
      </w:r>
    </w:p>
    <w:p w:rsidR="00075613" w:rsidRPr="00075613" w:rsidP="003C0EF5">
      <w:pPr>
        <w:widowControl w:val="0"/>
        <w:spacing w:line="420" w:lineRule="exact"/>
        <w:ind w:left="0" w:right="0"/>
        <w:jc w:val="both"/>
        <w:rPr>
          <w:rFonts w:cs="B Zar" w:hint="cs"/>
          <w:i/>
          <w:iCs/>
          <w:rtl/>
        </w:rPr>
      </w:pPr>
      <w:r w:rsidRPr="00075613">
        <w:rPr>
          <w:rFonts w:cs="B Zar" w:hint="cs"/>
          <w:i/>
          <w:iCs/>
          <w:rtl/>
        </w:rPr>
        <w:t>«آتمان فراسوي ديدار است. ماوراي همه است. توصيف نكردني است. لمس نشدني، فنا نشدني و فراسوي حواس است. او جوهر يگانه است»</w:t>
      </w:r>
      <w:r>
        <w:rPr>
          <w:rStyle w:val="FootnoteReference"/>
          <w:rFonts w:cs="B Zar"/>
          <w:i/>
          <w:iCs/>
          <w:rtl/>
        </w:rPr>
        <w:footnoteReference w:id="641"/>
      </w:r>
      <w:r w:rsidRPr="00075613">
        <w:rPr>
          <w:rFonts w:cs="B Zar" w:hint="cs"/>
          <w:i/>
          <w:iCs/>
          <w:rtl/>
        </w:rPr>
        <w:t>.</w:t>
      </w:r>
    </w:p>
    <w:p w:rsidR="00075613" w:rsidRPr="00075613" w:rsidP="003C0EF5">
      <w:pPr>
        <w:widowControl w:val="0"/>
        <w:spacing w:line="420" w:lineRule="exact"/>
        <w:ind w:left="0" w:right="0"/>
        <w:jc w:val="both"/>
        <w:rPr>
          <w:rFonts w:cs="B Zar" w:hint="cs"/>
          <w:i/>
          <w:iCs/>
          <w:rtl/>
        </w:rPr>
      </w:pPr>
      <w:r w:rsidRPr="00075613">
        <w:rPr>
          <w:rFonts w:cs="B Zar" w:hint="cs"/>
          <w:rtl/>
        </w:rPr>
        <w:t>در موارد مختلف اوپانيشاد گفته شده است</w:t>
      </w:r>
      <w:r w:rsidRPr="00075613">
        <w:rPr>
          <w:rFonts w:cs="B Zar" w:hint="cs"/>
          <w:i/>
          <w:iCs/>
          <w:rtl/>
        </w:rPr>
        <w:t>: «آتمان مدرِك است، مدرَك نيست. او مشاهده كننده است، قابل مشاهده نيست. زمين و آسمان از تجليات آتمان هستند</w:t>
      </w:r>
      <w:r w:rsidRPr="00075613">
        <w:rPr>
          <w:rFonts w:cs="B Zar" w:hint="cs"/>
          <w:rtl/>
        </w:rPr>
        <w:t xml:space="preserve">». در چاندوگيا اوپانيشاد به صراحت اظهار شده است كه برهمان و آتمان يكي است: </w:t>
      </w:r>
      <w:r w:rsidRPr="00075613">
        <w:rPr>
          <w:rFonts w:cs="B Zar" w:hint="cs"/>
          <w:i/>
          <w:iCs/>
          <w:rtl/>
        </w:rPr>
        <w:t>«آن قدرت برتر و قادر متعال كه تمام موجودات را ايجاد كرده است و آتمان كه در قلب انسان قرار دارد، يكي است»</w:t>
      </w:r>
      <w:r>
        <w:rPr>
          <w:rStyle w:val="FootnoteReference"/>
          <w:rFonts w:cs="B Zar"/>
          <w:i/>
          <w:iCs/>
          <w:rtl/>
        </w:rPr>
        <w:footnoteReference w:id="642"/>
      </w:r>
      <w:r w:rsidRPr="00075613">
        <w:rPr>
          <w:rFonts w:cs="B Zar" w:hint="cs"/>
          <w:i/>
          <w:iCs/>
          <w:rtl/>
        </w:rPr>
        <w:t>.</w:t>
      </w:r>
    </w:p>
    <w:p w:rsidR="00075613" w:rsidRPr="00075613" w:rsidP="003C0EF5">
      <w:pPr>
        <w:widowControl w:val="0"/>
        <w:spacing w:line="420" w:lineRule="exact"/>
        <w:ind w:left="0" w:right="0"/>
        <w:jc w:val="both"/>
        <w:rPr>
          <w:rFonts w:cs="B Zar" w:hint="cs"/>
          <w:i/>
          <w:iCs/>
          <w:rtl/>
        </w:rPr>
      </w:pPr>
      <w:r w:rsidRPr="00075613">
        <w:rPr>
          <w:rFonts w:cs="B Zar" w:hint="cs"/>
          <w:rtl/>
        </w:rPr>
        <w:t>در چاندويگا اوپانيشاد، كهاند اول، آتمان به عنوان خالق و صادركننده اشيا معرفي شده است. «</w:t>
      </w:r>
      <w:r w:rsidRPr="00075613">
        <w:rPr>
          <w:rFonts w:cs="B Zar" w:hint="cs"/>
          <w:i/>
          <w:iCs/>
          <w:rtl/>
        </w:rPr>
        <w:t>آتمان آكاس است كه از تمام موجودات ايجاد شده است»</w:t>
      </w:r>
      <w:r>
        <w:rPr>
          <w:rStyle w:val="FootnoteReference"/>
          <w:rFonts w:cs="B Zar"/>
          <w:rtl/>
        </w:rPr>
        <w:footnoteReference w:id="643"/>
      </w:r>
      <w:r w:rsidRPr="00075613">
        <w:rPr>
          <w:rFonts w:cs="B Zar" w:hint="cs"/>
          <w:rtl/>
        </w:rPr>
        <w:t xml:space="preserve">. از مانداكا اوپانيشاد چنان استنباط مي‌شود كه كل جهان از تجليات آتمان است: </w:t>
      </w:r>
      <w:r w:rsidRPr="00075613">
        <w:rPr>
          <w:rFonts w:cs="B Zar" w:hint="cs"/>
          <w:i/>
          <w:iCs/>
          <w:rtl/>
        </w:rPr>
        <w:t>«مهر و ماه دو چشمان، فضا و سماوات گوش، و بادها نفس كشيدن آتمان است».</w:t>
      </w:r>
      <w:r>
        <w:rPr>
          <w:rStyle w:val="FootnoteReference"/>
          <w:rFonts w:cs="B Zar"/>
          <w:i/>
          <w:iCs/>
          <w:rtl/>
        </w:rPr>
        <w:footnoteReference w:id="644"/>
      </w:r>
    </w:p>
    <w:p w:rsidR="00075613" w:rsidRPr="00075613" w:rsidP="003C0EF5">
      <w:pPr>
        <w:widowControl w:val="0"/>
        <w:spacing w:line="420" w:lineRule="exact"/>
        <w:ind w:left="0" w:right="0"/>
        <w:jc w:val="both"/>
        <w:rPr>
          <w:rFonts w:cs="B Zar"/>
          <w:rtl/>
        </w:rPr>
      </w:pPr>
      <w:r w:rsidRPr="00075613">
        <w:rPr>
          <w:rFonts w:cs="B Zar" w:hint="cs"/>
          <w:rtl/>
        </w:rPr>
        <w:t>معناي آتمان را چه انوار الهي در ذات انسان بدانيم و چه ذات احديت در بعد تجلي در جهان و در انسان، در هر حال محور اصلي فلسفه اوپانيشاد است. پس از تدوين اوپانيشادها، در اعصار بعدي نيز تمام متون مذهبي، عرفا و حكيمان هند، آتمان را به عنوان محور اصلي توجهات خود قرار داده اند. در بهگوت گيتا همين مبحث آتمان زير عنوان «اداهاتماوديا» مطرح شده است. در ودانت سوتر، آتمان محور اصلي است. شانکارا، كاپيلا و پنن جكي، همه به تفسير و تشريح فلسفة آتمان پرداخته‌اند. كل سيستم يوگا، تلاشي براي ايجاد نظام عملي براي نيل بدين هدف است. همين روند در دورة معاصر فلسفة هند نيز تداوم دارد. فيلسوفاني نظير: داس گوپتا، وويكاناند، سري اربيندو، كريشنا سوامي، رادا كريشنان، كماراسوامي، رجنيش و غيره، از دريچه‌هاي مختلف وارد اين مبحث گرديده و دين هندو و نجات و مكتي را در گرو كشف خدا در خود دانسته و مي دانند.</w:t>
      </w:r>
    </w:p>
    <w:p w:rsidR="002D2796" w:rsidP="003C0EF5">
      <w:pPr>
        <w:pStyle w:val="BodyText"/>
        <w:widowControl w:val="0"/>
        <w:spacing w:line="420" w:lineRule="exact"/>
        <w:ind w:left="0" w:right="0"/>
        <w:jc w:val="center"/>
        <w:rPr>
          <w:rFonts w:cs="B Zar" w:hint="cs"/>
          <w:rtl/>
        </w:rPr>
      </w:pPr>
      <w:r w:rsidRPr="00075613" w:rsidR="00075613">
        <w:rPr>
          <w:rFonts w:cs="B Zar"/>
          <w:rtl/>
        </w:rPr>
        <w:br w:type="page"/>
      </w:r>
    </w:p>
    <w:p w:rsidR="002D2796" w:rsidP="003C0EF5">
      <w:pPr>
        <w:pStyle w:val="BodyText"/>
        <w:widowControl w:val="0"/>
        <w:spacing w:line="420" w:lineRule="exact"/>
        <w:ind w:left="0" w:right="0"/>
        <w:jc w:val="center"/>
        <w:rPr>
          <w:rFonts w:cs="B Zar" w:hint="cs"/>
          <w:rtl/>
        </w:rPr>
      </w:pPr>
    </w:p>
    <w:p w:rsidR="00075613" w:rsidRPr="006F55D4" w:rsidP="003C0EF5">
      <w:pPr>
        <w:pStyle w:val="BodyText"/>
        <w:widowControl w:val="0"/>
        <w:spacing w:line="420" w:lineRule="exact"/>
        <w:ind w:left="0" w:right="0"/>
        <w:jc w:val="center"/>
        <w:rPr>
          <w:rFonts w:cs="B Zar"/>
          <w:bCs/>
        </w:rPr>
      </w:pPr>
      <w:r w:rsidRPr="00075613">
        <w:rPr>
          <w:rFonts w:cs="B Zar" w:hint="cs"/>
          <w:rtl/>
        </w:rPr>
        <w:t xml:space="preserve"> </w:t>
      </w:r>
      <w:r w:rsidRPr="006F55D4">
        <w:rPr>
          <w:rFonts w:cs="B Zar" w:hint="eastAsia"/>
          <w:bCs/>
          <w:rtl/>
        </w:rPr>
        <w:t>مآخذ</w:t>
      </w:r>
      <w:r w:rsidRPr="006F55D4">
        <w:rPr>
          <w:rFonts w:cs="B Zar"/>
          <w:bCs/>
          <w:rtl/>
        </w:rPr>
        <w:t xml:space="preserve"> </w:t>
      </w:r>
      <w:r w:rsidRPr="006F55D4">
        <w:rPr>
          <w:rFonts w:cs="B Zar" w:hint="eastAsia"/>
          <w:bCs/>
          <w:rtl/>
        </w:rPr>
        <w:t>بخش</w:t>
      </w:r>
      <w:r w:rsidRPr="006F55D4">
        <w:rPr>
          <w:rFonts w:cs="B Zar" w:hint="cs"/>
          <w:bCs/>
          <w:rtl/>
        </w:rPr>
        <w:t xml:space="preserve"> </w:t>
      </w:r>
    </w:p>
    <w:p w:rsidR="00075613" w:rsidRPr="00075613" w:rsidP="003C0EF5">
      <w:pPr>
        <w:widowControl w:val="0"/>
        <w:bidi w:val="0"/>
        <w:spacing w:line="420" w:lineRule="exact"/>
        <w:rPr>
          <w:rFonts w:cs="B Zar"/>
          <w:sz w:val="28"/>
          <w:szCs w:val="28"/>
        </w:rPr>
      </w:pPr>
    </w:p>
    <w:tbl>
      <w:tblPr>
        <w:tblStyle w:val="TableNormal"/>
        <w:tblW w:w="5000" w:type="pct"/>
        <w:tblLook w:val="0000"/>
      </w:tblPr>
      <w:tblGrid>
        <w:gridCol w:w="6453"/>
      </w:tblGrid>
      <w:tr>
        <w:tblPrEx>
          <w:tblW w:w="5000" w:type="pct"/>
          <w:tblLook w:val="0000"/>
        </w:tblPrEx>
        <w:tc>
          <w:tcPr>
            <w:tcW w:w="5000" w:type="pct"/>
          </w:tcPr>
          <w:p w:rsidR="00075613" w:rsidRPr="00075613" w:rsidP="003C0EF5">
            <w:pPr>
              <w:widowControl w:val="0"/>
              <w:bidi w:val="0"/>
              <w:spacing w:line="420" w:lineRule="exact"/>
              <w:rPr>
                <w:rFonts w:cs="B Zar"/>
                <w:b/>
              </w:rPr>
            </w:pPr>
            <w:r w:rsidRPr="00075613">
              <w:rPr>
                <w:rFonts w:cs="B Zar"/>
                <w:b/>
              </w:rPr>
              <w:t>UPANISHADS</w:t>
            </w:r>
          </w:p>
          <w:p w:rsidR="00075613" w:rsidRPr="00075613" w:rsidP="00A53CA5">
            <w:pPr>
              <w:widowControl w:val="0"/>
              <w:bidi w:val="0"/>
              <w:spacing w:line="360" w:lineRule="exact"/>
              <w:rPr>
                <w:rFonts w:cs="B Zar"/>
              </w:rPr>
            </w:pPr>
            <w:r w:rsidRPr="00075613">
              <w:rPr>
                <w:rFonts w:cs="B Zar"/>
              </w:rPr>
              <w:t xml:space="preserve">The Principle Upanishads, ed and tr by Dr Radhakrishnan, </w:t>
            </w:r>
            <w:smartTag w:uri="urn:schemas-microsoft-com:office:smarttags" w:element="place">
              <w:smartTag w:uri="urn:schemas-microsoft-com:office:smarttags" w:element="City">
                <w:r w:rsidRPr="00075613">
                  <w:rPr>
                    <w:rFonts w:cs="B Zar"/>
                  </w:rPr>
                  <w:t>New Delhi</w:t>
                </w:r>
              </w:smartTag>
            </w:smartTag>
            <w:r w:rsidRPr="00075613">
              <w:rPr>
                <w:rFonts w:cs="B Zar"/>
              </w:rPr>
              <w:t>, 1954</w:t>
            </w:r>
          </w:p>
          <w:p w:rsidR="00075613" w:rsidRPr="00075613" w:rsidP="00A53CA5">
            <w:pPr>
              <w:widowControl w:val="0"/>
              <w:bidi w:val="0"/>
              <w:spacing w:line="360" w:lineRule="exact"/>
              <w:rPr>
                <w:rFonts w:cs="B Zar"/>
              </w:rPr>
            </w:pPr>
            <w:r w:rsidRPr="00075613">
              <w:rPr>
                <w:rFonts w:cs="B Zar"/>
              </w:rPr>
              <w:t xml:space="preserve">Sixty Upanishads of Veda, ed and Tr by Paul Deussen, Benarsidas. </w:t>
            </w:r>
            <w:smartTag w:uri="urn:schemas-microsoft-com:office:smarttags" w:element="place">
              <w:smartTag w:uri="urn:schemas-microsoft-com:office:smarttags" w:element="City">
                <w:r w:rsidRPr="00075613">
                  <w:rPr>
                    <w:rFonts w:cs="B Zar"/>
                  </w:rPr>
                  <w:t>New Delhi</w:t>
                </w:r>
              </w:smartTag>
            </w:smartTag>
            <w:r w:rsidRPr="00075613">
              <w:rPr>
                <w:rFonts w:cs="B Zar"/>
              </w:rPr>
              <w:t xml:space="preserve">. 1984, fist Edition: </w:t>
            </w:r>
            <w:smartTag w:uri="urn:schemas-microsoft-com:office:smarttags" w:element="place">
              <w:smartTag w:uri="urn:schemas-microsoft-com:office:smarttags" w:element="City">
                <w:r w:rsidRPr="00075613">
                  <w:rPr>
                    <w:rFonts w:cs="B Zar"/>
                  </w:rPr>
                  <w:t>Leipzig</w:t>
                </w:r>
              </w:smartTag>
            </w:smartTag>
            <w:r w:rsidRPr="00075613">
              <w:rPr>
                <w:rFonts w:cs="B Zar"/>
              </w:rPr>
              <w:t>, 1897</w:t>
            </w:r>
          </w:p>
          <w:p w:rsidR="00075613" w:rsidRPr="00075613" w:rsidP="00A53CA5">
            <w:pPr>
              <w:widowControl w:val="0"/>
              <w:bidi w:val="0"/>
              <w:spacing w:line="360" w:lineRule="exact"/>
              <w:rPr>
                <w:rFonts w:cs="B Zar"/>
              </w:rPr>
            </w:pPr>
            <w:r w:rsidRPr="00075613">
              <w:rPr>
                <w:rFonts w:cs="B Zar"/>
              </w:rPr>
              <w:t xml:space="preserve">Brihadaranyaka Upanishad, ed O. Bohtink, </w:t>
            </w:r>
            <w:smartTag w:uri="urn:schemas-microsoft-com:office:smarttags" w:element="place">
              <w:smartTag w:uri="urn:schemas-microsoft-com:office:smarttags" w:element="City">
                <w:r w:rsidRPr="00075613">
                  <w:rPr>
                    <w:rFonts w:cs="B Zar"/>
                  </w:rPr>
                  <w:t>Leipzig</w:t>
                </w:r>
              </w:smartTag>
            </w:smartTag>
            <w:r w:rsidRPr="00075613">
              <w:rPr>
                <w:rFonts w:cs="B Zar"/>
              </w:rPr>
              <w:t>, 1889</w:t>
            </w:r>
          </w:p>
          <w:p w:rsidR="00075613" w:rsidRPr="00075613" w:rsidP="00A53CA5">
            <w:pPr>
              <w:widowControl w:val="0"/>
              <w:bidi w:val="0"/>
              <w:spacing w:line="360" w:lineRule="exact"/>
              <w:rPr>
                <w:rFonts w:cs="B Zar"/>
              </w:rPr>
            </w:pPr>
            <w:r w:rsidRPr="00075613">
              <w:rPr>
                <w:rFonts w:cs="B Zar"/>
              </w:rPr>
              <w:t xml:space="preserve">Brahdaranyaka Upanishad, Banarsidas, </w:t>
            </w:r>
            <w:smartTag w:uri="urn:schemas-microsoft-com:office:smarttags" w:element="place">
              <w:smartTag w:uri="urn:schemas-microsoft-com:office:smarttags" w:element="City">
                <w:r w:rsidRPr="00075613">
                  <w:rPr>
                    <w:rFonts w:cs="B Zar"/>
                  </w:rPr>
                  <w:t>New Delhi</w:t>
                </w:r>
              </w:smartTag>
            </w:smartTag>
            <w:r w:rsidRPr="00075613">
              <w:rPr>
                <w:rFonts w:cs="B Zar"/>
              </w:rPr>
              <w:t>, 1975, Ramakrishna Mission, 1982</w:t>
            </w:r>
          </w:p>
          <w:p w:rsidR="00075613" w:rsidRPr="00075613" w:rsidP="00A53CA5">
            <w:pPr>
              <w:widowControl w:val="0"/>
              <w:bidi w:val="0"/>
              <w:spacing w:line="360" w:lineRule="exact"/>
              <w:rPr>
                <w:rFonts w:cs="B Zar"/>
              </w:rPr>
            </w:pPr>
            <w:r w:rsidRPr="00075613">
              <w:rPr>
                <w:rFonts w:cs="B Zar"/>
              </w:rPr>
              <w:t xml:space="preserve">Chandogya Upanishad, ed O. Bohtink, </w:t>
            </w:r>
            <w:smartTag w:uri="urn:schemas-microsoft-com:office:smarttags" w:element="place">
              <w:smartTag w:uri="urn:schemas-microsoft-com:office:smarttags" w:element="City">
                <w:r w:rsidRPr="00075613">
                  <w:rPr>
                    <w:rFonts w:cs="B Zar"/>
                  </w:rPr>
                  <w:t>Leipzig</w:t>
                </w:r>
              </w:smartTag>
            </w:smartTag>
            <w:r w:rsidRPr="00075613">
              <w:rPr>
                <w:rFonts w:cs="B Zar"/>
              </w:rPr>
              <w:t>,  1889</w:t>
            </w:r>
          </w:p>
        </w:tc>
      </w:tr>
      <w:tr>
        <w:tblPrEx>
          <w:tblW w:w="5000" w:type="pct"/>
          <w:tblLook w:val="0000"/>
        </w:tblPrEx>
        <w:tc>
          <w:tcPr>
            <w:tcW w:w="5000" w:type="pct"/>
          </w:tcPr>
          <w:p w:rsidR="00075613" w:rsidRPr="00075613" w:rsidP="003C0EF5">
            <w:pPr>
              <w:widowControl w:val="0"/>
              <w:bidi w:val="0"/>
              <w:spacing w:line="420" w:lineRule="exact"/>
              <w:rPr>
                <w:rFonts w:cs="B Zar"/>
              </w:rPr>
            </w:pPr>
            <w:r w:rsidRPr="00075613">
              <w:rPr>
                <w:rFonts w:cs="B Zar"/>
              </w:rPr>
              <w:t xml:space="preserve">Isa Upanishad,  </w:t>
            </w:r>
            <w:smartTag w:uri="urn:schemas-microsoft-com:office:smarttags" w:element="City">
              <w:r w:rsidRPr="00075613">
                <w:rPr>
                  <w:rFonts w:cs="B Zar"/>
                </w:rPr>
                <w:t>New Delhi</w:t>
              </w:r>
            </w:smartTag>
            <w:r w:rsidRPr="00075613">
              <w:rPr>
                <w:rFonts w:cs="B Zar"/>
              </w:rPr>
              <w:t xml:space="preserve"> , RM </w:t>
            </w:r>
            <w:smartTag w:uri="urn:schemas-microsoft-com:office:smarttags" w:element="City">
              <w:r w:rsidRPr="00075613">
                <w:rPr>
                  <w:rFonts w:cs="B Zar"/>
                </w:rPr>
                <w:t>Mission</w:t>
              </w:r>
            </w:smartTag>
            <w:r w:rsidRPr="00075613">
              <w:rPr>
                <w:rFonts w:cs="B Zar"/>
              </w:rPr>
              <w:t xml:space="preserve">, </w:t>
            </w:r>
            <w:smartTag w:uri="urn:schemas-microsoft-com:office:smarttags" w:element="place">
              <w:smartTag w:uri="urn:schemas-microsoft-com:office:smarttags" w:element="City">
                <w:r w:rsidRPr="00075613">
                  <w:rPr>
                    <w:rFonts w:cs="B Zar"/>
                  </w:rPr>
                  <w:t>New Delhi</w:t>
                </w:r>
              </w:smartTag>
            </w:smartTag>
            <w:r w:rsidRPr="00075613">
              <w:rPr>
                <w:rFonts w:cs="B Zar"/>
              </w:rPr>
              <w:t>, 1978</w:t>
            </w:r>
          </w:p>
        </w:tc>
      </w:tr>
      <w:tr>
        <w:tblPrEx>
          <w:tblW w:w="5000" w:type="pct"/>
          <w:tblLook w:val="0000"/>
        </w:tblPrEx>
        <w:tc>
          <w:tcPr>
            <w:tcW w:w="5000" w:type="pct"/>
          </w:tcPr>
          <w:p w:rsidR="00075613" w:rsidRPr="00075613" w:rsidP="00A53CA5">
            <w:pPr>
              <w:widowControl w:val="0"/>
              <w:bidi w:val="0"/>
              <w:spacing w:line="360" w:lineRule="exact"/>
              <w:rPr>
                <w:rFonts w:cs="B Zar"/>
              </w:rPr>
            </w:pPr>
            <w:r w:rsidRPr="00075613">
              <w:rPr>
                <w:rFonts w:cs="B Zar"/>
              </w:rPr>
              <w:t>Katha Upanishad, in Sixty Upanishads of Veda, ed and Tr by Paul Deussen</w:t>
            </w:r>
          </w:p>
        </w:tc>
      </w:tr>
      <w:tr>
        <w:tblPrEx>
          <w:tblW w:w="5000" w:type="pct"/>
          <w:tblLook w:val="0000"/>
        </w:tblPrEx>
        <w:tc>
          <w:tcPr>
            <w:tcW w:w="5000" w:type="pct"/>
          </w:tcPr>
          <w:p w:rsidR="00075613" w:rsidRPr="00075613" w:rsidP="00A53CA5">
            <w:pPr>
              <w:widowControl w:val="0"/>
              <w:bidi w:val="0"/>
              <w:spacing w:line="360" w:lineRule="exact"/>
              <w:rPr>
                <w:rFonts w:cs="B Zar"/>
              </w:rPr>
            </w:pPr>
            <w:r w:rsidRPr="00075613">
              <w:rPr>
                <w:rFonts w:cs="B Zar"/>
              </w:rPr>
              <w:t>Mundaka Upanishad, in The Principle Upanishads, ed and tr by Dr Radhakrishnan</w:t>
            </w:r>
          </w:p>
        </w:tc>
      </w:tr>
    </w:tbl>
    <w:p w:rsidR="00075613" w:rsidRPr="00075613" w:rsidP="003C0EF5">
      <w:pPr>
        <w:widowControl w:val="0"/>
        <w:bidi w:val="0"/>
        <w:spacing w:line="420" w:lineRule="exact"/>
        <w:rPr>
          <w:rFonts w:cs="B Zar"/>
        </w:rPr>
      </w:pPr>
    </w:p>
    <w:p w:rsidR="00075613" w:rsidRPr="00075613" w:rsidP="003C0EF5">
      <w:pPr>
        <w:widowControl w:val="0"/>
        <w:bidi w:val="0"/>
        <w:spacing w:line="420" w:lineRule="exact"/>
        <w:rPr>
          <w:rFonts w:cs="B Zar"/>
          <w:b/>
        </w:rPr>
      </w:pPr>
      <w:r w:rsidRPr="00075613">
        <w:rPr>
          <w:rFonts w:cs="B Zar"/>
          <w:b/>
        </w:rPr>
        <w:t>OTHER SOURCSE:</w:t>
      </w:r>
    </w:p>
    <w:tbl>
      <w:tblPr>
        <w:tblStyle w:val="TableNormal"/>
        <w:tblW w:w="5000" w:type="pct"/>
        <w:tblLook w:val="0000"/>
      </w:tblPr>
      <w:tblGrid>
        <w:gridCol w:w="6453"/>
      </w:tblGrid>
      <w:tr>
        <w:tblPrEx>
          <w:tblW w:w="5000" w:type="pct"/>
          <w:tblLook w:val="0000"/>
        </w:tblPrEx>
        <w:tc>
          <w:tcPr>
            <w:tcW w:w="5000" w:type="pct"/>
          </w:tcPr>
          <w:p w:rsidR="00075613" w:rsidRPr="00075613" w:rsidP="003C0EF5">
            <w:pPr>
              <w:widowControl w:val="0"/>
              <w:bidi w:val="0"/>
              <w:spacing w:line="420" w:lineRule="exact"/>
              <w:rPr>
                <w:rFonts w:cs="B Zar"/>
              </w:rPr>
            </w:pPr>
            <w:r w:rsidRPr="00075613">
              <w:rPr>
                <w:rFonts w:cs="B Zar"/>
              </w:rPr>
              <w:t xml:space="preserve">Aldenberg, J: The Buddhist Religion, </w:t>
            </w:r>
            <w:smartTag w:uri="urn:schemas-microsoft-com:office:smarttags" w:element="place">
              <w:smartTag w:uri="urn:schemas-microsoft-com:office:smarttags" w:element="City">
                <w:r w:rsidRPr="00075613">
                  <w:rPr>
                    <w:rFonts w:cs="B Zar"/>
                  </w:rPr>
                  <w:t>Calcutta</w:t>
                </w:r>
              </w:smartTag>
            </w:smartTag>
            <w:r w:rsidRPr="00075613">
              <w:rPr>
                <w:rFonts w:cs="B Zar"/>
              </w:rPr>
              <w:t>, 1952</w:t>
            </w:r>
          </w:p>
        </w:tc>
      </w:tr>
      <w:tr>
        <w:tblPrEx>
          <w:tblW w:w="5000" w:type="pct"/>
          <w:tblLook w:val="0000"/>
        </w:tblPrEx>
        <w:tc>
          <w:tcPr>
            <w:tcW w:w="5000" w:type="pct"/>
          </w:tcPr>
          <w:p w:rsidR="00075613" w:rsidRPr="00075613" w:rsidP="003C0EF5">
            <w:pPr>
              <w:widowControl w:val="0"/>
              <w:bidi w:val="0"/>
              <w:spacing w:line="420" w:lineRule="exact"/>
              <w:rPr>
                <w:rFonts w:cs="B Zar"/>
                <w:bCs/>
              </w:rPr>
            </w:pPr>
            <w:r w:rsidRPr="00075613">
              <w:rPr>
                <w:rFonts w:cs="B Zar"/>
              </w:rPr>
              <w:t>Comans, Michael</w:t>
            </w:r>
            <w:r w:rsidRPr="00075613">
              <w:rPr>
                <w:rFonts w:cs="B Zar"/>
                <w:bCs/>
              </w:rPr>
              <w:t>:  Extracting the Essence of the Sruti</w:t>
            </w:r>
          </w:p>
        </w:tc>
      </w:tr>
      <w:tr>
        <w:tblPrEx>
          <w:tblW w:w="5000" w:type="pct"/>
          <w:tblLook w:val="0000"/>
        </w:tblPrEx>
        <w:tc>
          <w:tcPr>
            <w:tcW w:w="5000" w:type="pct"/>
          </w:tcPr>
          <w:p w:rsidR="00075613" w:rsidRPr="00075613" w:rsidP="00A53CA5">
            <w:pPr>
              <w:widowControl w:val="0"/>
              <w:bidi w:val="0"/>
              <w:spacing w:line="360" w:lineRule="exact"/>
              <w:rPr>
                <w:rFonts w:cs="B Zar"/>
              </w:rPr>
            </w:pPr>
            <w:r w:rsidRPr="00075613">
              <w:rPr>
                <w:rFonts w:cs="B Zar"/>
              </w:rPr>
              <w:t xml:space="preserve">Das Gupta, S:  Histoy of the Indian Philosophy, </w:t>
            </w:r>
            <w:smartTag w:uri="urn:schemas-microsoft-com:office:smarttags" w:element="PlaceName">
              <w:r w:rsidRPr="00075613">
                <w:rPr>
                  <w:rFonts w:cs="B Zar"/>
                </w:rPr>
                <w:t>Cambridge</w:t>
              </w:r>
            </w:smartTag>
            <w:r w:rsidRPr="00075613">
              <w:rPr>
                <w:rFonts w:cs="B Zar"/>
              </w:rPr>
              <w:t xml:space="preserve"> </w:t>
            </w:r>
            <w:smartTag w:uri="urn:schemas-microsoft-com:office:smarttags" w:element="PlaceType">
              <w:r w:rsidRPr="00075613">
                <w:rPr>
                  <w:rFonts w:cs="B Zar"/>
                </w:rPr>
                <w:t>University</w:t>
              </w:r>
            </w:smartTag>
            <w:r w:rsidRPr="00075613">
              <w:rPr>
                <w:rFonts w:cs="B Zar"/>
              </w:rPr>
              <w:t xml:space="preserve"> Press, </w:t>
            </w:r>
            <w:smartTag w:uri="urn:schemas-microsoft-com:office:smarttags" w:element="place">
              <w:smartTag w:uri="urn:schemas-microsoft-com:office:smarttags" w:element="City">
                <w:r w:rsidRPr="00075613">
                  <w:rPr>
                    <w:rFonts w:cs="B Zar"/>
                  </w:rPr>
                  <w:t>London</w:t>
                </w:r>
              </w:smartTag>
            </w:smartTag>
            <w:r w:rsidRPr="00075613">
              <w:rPr>
                <w:rFonts w:cs="B Zar"/>
              </w:rPr>
              <w:t>, 1969</w:t>
            </w:r>
          </w:p>
        </w:tc>
      </w:tr>
      <w:tr>
        <w:tblPrEx>
          <w:tblW w:w="5000" w:type="pct"/>
          <w:tblLook w:val="0000"/>
        </w:tblPrEx>
        <w:tc>
          <w:tcPr>
            <w:tcW w:w="5000" w:type="pct"/>
          </w:tcPr>
          <w:p w:rsidR="00075613" w:rsidRPr="00075613" w:rsidP="003C0EF5">
            <w:pPr>
              <w:widowControl w:val="0"/>
              <w:bidi w:val="0"/>
              <w:spacing w:line="420" w:lineRule="exact"/>
              <w:rPr>
                <w:rFonts w:cs="B Zar"/>
              </w:rPr>
            </w:pPr>
            <w:r w:rsidRPr="00075613">
              <w:rPr>
                <w:rFonts w:cs="B Zar"/>
              </w:rPr>
              <w:t xml:space="preserve">Deussen, Paul: Philosophy of Upanishad, </w:t>
            </w:r>
            <w:smartTag w:uri="urn:schemas-microsoft-com:office:smarttags" w:element="place">
              <w:smartTag w:uri="urn:schemas-microsoft-com:office:smarttags" w:element="City">
                <w:r w:rsidRPr="00075613">
                  <w:rPr>
                    <w:rFonts w:cs="B Zar"/>
                  </w:rPr>
                  <w:t>London</w:t>
                </w:r>
              </w:smartTag>
            </w:smartTag>
            <w:r w:rsidRPr="00075613">
              <w:rPr>
                <w:rFonts w:cs="B Zar"/>
              </w:rPr>
              <w:t>, 1957,</w:t>
            </w:r>
          </w:p>
        </w:tc>
      </w:tr>
      <w:tr>
        <w:tblPrEx>
          <w:tblW w:w="5000" w:type="pct"/>
          <w:tblLook w:val="0000"/>
        </w:tblPrEx>
        <w:tc>
          <w:tcPr>
            <w:tcW w:w="5000" w:type="pct"/>
          </w:tcPr>
          <w:p w:rsidR="00075613" w:rsidRPr="00075613" w:rsidP="00A53CA5">
            <w:pPr>
              <w:widowControl w:val="0"/>
              <w:bidi w:val="0"/>
              <w:spacing w:line="360" w:lineRule="exact"/>
              <w:rPr>
                <w:rFonts w:cs="B Zar"/>
              </w:rPr>
            </w:pPr>
            <w:r w:rsidRPr="00075613">
              <w:rPr>
                <w:rFonts w:cs="B Zar"/>
              </w:rPr>
              <w:t xml:space="preserve">Dowson: A classical Dictionary of Hindu Mythology &amp; Religion, </w:t>
            </w:r>
            <w:smartTag w:uri="urn:schemas-microsoft-com:office:smarttags" w:element="place">
              <w:smartTag w:uri="urn:schemas-microsoft-com:office:smarttags" w:element="City">
                <w:r w:rsidRPr="00075613">
                  <w:rPr>
                    <w:rFonts w:cs="B Zar"/>
                  </w:rPr>
                  <w:t>New Delhi</w:t>
                </w:r>
              </w:smartTag>
            </w:smartTag>
            <w:r w:rsidRPr="00075613">
              <w:rPr>
                <w:rFonts w:cs="B Zar"/>
              </w:rPr>
              <w:t xml:space="preserve"> 1962</w:t>
            </w:r>
          </w:p>
        </w:tc>
      </w:tr>
      <w:tr>
        <w:tblPrEx>
          <w:tblW w:w="5000" w:type="pct"/>
          <w:tblLook w:val="0000"/>
        </w:tblPrEx>
        <w:tc>
          <w:tcPr>
            <w:tcW w:w="5000" w:type="pct"/>
          </w:tcPr>
          <w:p w:rsidR="00075613" w:rsidRPr="00075613" w:rsidP="00A53CA5">
            <w:pPr>
              <w:widowControl w:val="0"/>
              <w:bidi w:val="0"/>
              <w:spacing w:line="360" w:lineRule="exact"/>
              <w:rPr>
                <w:rFonts w:cs="B Zar"/>
              </w:rPr>
            </w:pPr>
            <w:r w:rsidRPr="00075613">
              <w:rPr>
                <w:rFonts w:cs="B Zar"/>
              </w:rPr>
              <w:t xml:space="preserve">Dutta, N.K.: Vedantic Philosophy, </w:t>
            </w:r>
            <w:smartTag w:uri="urn:schemas-microsoft-com:office:smarttags" w:element="place">
              <w:smartTag w:uri="urn:schemas-microsoft-com:office:smarttags" w:element="City">
                <w:r w:rsidRPr="00075613">
                  <w:rPr>
                    <w:rFonts w:cs="B Zar"/>
                  </w:rPr>
                  <w:t>Allahabad</w:t>
                </w:r>
              </w:smartTag>
            </w:smartTag>
            <w:r w:rsidRPr="00075613">
              <w:rPr>
                <w:rFonts w:cs="B Zar"/>
              </w:rPr>
              <w:t>, 1971.</w:t>
            </w:r>
          </w:p>
          <w:p w:rsidR="00075613" w:rsidRPr="00075613" w:rsidP="00A53CA5">
            <w:pPr>
              <w:widowControl w:val="0"/>
              <w:bidi w:val="0"/>
              <w:spacing w:line="360" w:lineRule="exact"/>
              <w:rPr>
                <w:rFonts w:cs="B Zar"/>
                <w:szCs w:val="24"/>
              </w:rPr>
            </w:pPr>
            <w:r w:rsidRPr="00075613">
              <w:rPr>
                <w:rFonts w:cs="B Zar"/>
                <w:szCs w:val="24"/>
              </w:rPr>
              <w:t>1</w:t>
            </w:r>
            <w:r w:rsidRPr="00075613">
              <w:rPr>
                <w:rFonts w:cs="B Zar"/>
                <w:szCs w:val="24"/>
                <w:vertAlign w:val="superscript"/>
              </w:rPr>
              <w:t>st</w:t>
            </w:r>
            <w:r w:rsidRPr="00075613">
              <w:rPr>
                <w:rFonts w:cs="B Zar"/>
                <w:szCs w:val="24"/>
              </w:rPr>
              <w:t xml:space="preserve"> Edition, </w:t>
            </w:r>
            <w:smartTag w:uri="urn:schemas-microsoft-com:office:smarttags" w:element="place">
              <w:smartTag w:uri="urn:schemas-microsoft-com:office:smarttags" w:element="PlaceName">
                <w:r w:rsidRPr="00075613">
                  <w:rPr>
                    <w:rFonts w:cs="B Zar"/>
                    <w:szCs w:val="24"/>
                  </w:rPr>
                  <w:t>Calcutta</w:t>
                </w:r>
              </w:smartTag>
              <w:r w:rsidRPr="00075613">
                <w:rPr>
                  <w:rFonts w:cs="B Zar"/>
                  <w:szCs w:val="24"/>
                </w:rPr>
                <w:t xml:space="preserve"> </w:t>
              </w:r>
              <w:smartTag w:uri="urn:schemas-microsoft-com:office:smarttags" w:element="PlaceType">
                <w:r w:rsidRPr="00075613">
                  <w:rPr>
                    <w:rFonts w:cs="B Zar"/>
                    <w:szCs w:val="24"/>
                  </w:rPr>
                  <w:t>University</w:t>
                </w:r>
              </w:smartTag>
            </w:smartTag>
            <w:r w:rsidRPr="00075613">
              <w:rPr>
                <w:rFonts w:cs="B Zar"/>
                <w:szCs w:val="24"/>
              </w:rPr>
              <w:t>, 1945</w:t>
            </w:r>
          </w:p>
        </w:tc>
      </w:tr>
      <w:tr>
        <w:tblPrEx>
          <w:tblW w:w="5000" w:type="pct"/>
          <w:tblLook w:val="0000"/>
        </w:tblPrEx>
        <w:tc>
          <w:tcPr>
            <w:tcW w:w="5000" w:type="pct"/>
          </w:tcPr>
          <w:p w:rsidR="00075613" w:rsidRPr="00075613" w:rsidP="00A53CA5">
            <w:pPr>
              <w:widowControl w:val="0"/>
              <w:bidi w:val="0"/>
              <w:spacing w:line="360" w:lineRule="exact"/>
              <w:rPr>
                <w:rFonts w:cs="B Zar"/>
              </w:rPr>
            </w:pPr>
            <w:r w:rsidRPr="00075613">
              <w:rPr>
                <w:rFonts w:cs="B Zar"/>
              </w:rPr>
              <w:t xml:space="preserve">Keith, Arthur: The Religion &amp; Philosophy of the Veda and Upanishad,  </w:t>
            </w:r>
            <w:smartTag w:uri="urn:schemas-microsoft-com:office:smarttags" w:element="place">
              <w:smartTag w:uri="urn:schemas-microsoft-com:office:smarttags" w:element="City">
                <w:r w:rsidRPr="00075613">
                  <w:rPr>
                    <w:rFonts w:cs="B Zar"/>
                  </w:rPr>
                  <w:t>New Delhi</w:t>
                </w:r>
              </w:smartTag>
            </w:smartTag>
            <w:r w:rsidRPr="00075613">
              <w:rPr>
                <w:rFonts w:cs="B Zar"/>
              </w:rPr>
              <w:t>, 1969</w:t>
            </w:r>
          </w:p>
        </w:tc>
      </w:tr>
      <w:tr>
        <w:tblPrEx>
          <w:tblW w:w="5000" w:type="pct"/>
          <w:tblLook w:val="0000"/>
        </w:tblPrEx>
        <w:tc>
          <w:tcPr>
            <w:tcW w:w="5000" w:type="pct"/>
          </w:tcPr>
          <w:p w:rsidR="00075613" w:rsidRPr="00075613" w:rsidP="003C0EF5">
            <w:pPr>
              <w:widowControl w:val="0"/>
              <w:bidi w:val="0"/>
              <w:spacing w:line="420" w:lineRule="exact"/>
              <w:rPr>
                <w:rFonts w:cs="B Zar"/>
              </w:rPr>
            </w:pPr>
            <w:r w:rsidRPr="00075613">
              <w:rPr>
                <w:rFonts w:cs="B Zar"/>
              </w:rPr>
              <w:t xml:space="preserve">Muller, Max: History of Sanskrit Literature, </w:t>
            </w:r>
            <w:smartTag w:uri="urn:schemas-microsoft-com:office:smarttags" w:element="place">
              <w:smartTag w:uri="urn:schemas-microsoft-com:office:smarttags" w:element="City">
                <w:r w:rsidRPr="00075613">
                  <w:rPr>
                    <w:rFonts w:cs="B Zar"/>
                  </w:rPr>
                  <w:t>London</w:t>
                </w:r>
              </w:smartTag>
            </w:smartTag>
            <w:r w:rsidRPr="00075613">
              <w:rPr>
                <w:rFonts w:cs="B Zar"/>
              </w:rPr>
              <w:t>, 1956</w:t>
            </w:r>
          </w:p>
        </w:tc>
      </w:tr>
      <w:tr>
        <w:tblPrEx>
          <w:tblW w:w="5000" w:type="pct"/>
          <w:tblLook w:val="0000"/>
        </w:tblPrEx>
        <w:tc>
          <w:tcPr>
            <w:tcW w:w="5000" w:type="pct"/>
          </w:tcPr>
          <w:p w:rsidR="00075613" w:rsidRPr="00075613" w:rsidP="00A53CA5">
            <w:pPr>
              <w:widowControl w:val="0"/>
              <w:bidi w:val="0"/>
              <w:spacing w:line="360" w:lineRule="exact"/>
              <w:rPr>
                <w:rFonts w:cs="B Zar"/>
              </w:rPr>
            </w:pPr>
            <w:r w:rsidRPr="00075613">
              <w:rPr>
                <w:rFonts w:cs="B Zar"/>
              </w:rPr>
              <w:t xml:space="preserve">Muller, Max: Six Schools of the Indian Philosophy, reprint, </w:t>
            </w:r>
            <w:smartTag w:uri="urn:schemas-microsoft-com:office:smarttags" w:element="place">
              <w:smartTag w:uri="urn:schemas-microsoft-com:office:smarttags" w:element="City">
                <w:r w:rsidRPr="00075613">
                  <w:rPr>
                    <w:rFonts w:cs="B Zar"/>
                  </w:rPr>
                  <w:t>Delhi</w:t>
                </w:r>
              </w:smartTag>
            </w:smartTag>
            <w:r w:rsidRPr="00075613">
              <w:rPr>
                <w:rFonts w:cs="B Zar"/>
              </w:rPr>
              <w:t>, 1975</w:t>
            </w:r>
          </w:p>
        </w:tc>
      </w:tr>
      <w:tr>
        <w:tblPrEx>
          <w:tblW w:w="5000" w:type="pct"/>
          <w:tblLook w:val="0000"/>
        </w:tblPrEx>
        <w:tc>
          <w:tcPr>
            <w:tcW w:w="5000" w:type="pct"/>
          </w:tcPr>
          <w:p w:rsidR="00075613" w:rsidRPr="00075613" w:rsidP="003C0EF5">
            <w:pPr>
              <w:widowControl w:val="0"/>
              <w:bidi w:val="0"/>
              <w:spacing w:line="420" w:lineRule="exact"/>
              <w:rPr>
                <w:rFonts w:cs="B Zar"/>
              </w:rPr>
            </w:pPr>
            <w:r w:rsidRPr="00075613">
              <w:rPr>
                <w:rFonts w:cs="B Zar"/>
              </w:rPr>
              <w:t>Muller</w:t>
            </w:r>
            <w:r w:rsidRPr="00075613">
              <w:rPr>
                <w:rFonts w:cs="B Zar" w:hint="cs"/>
                <w:rtl/>
              </w:rPr>
              <w:t xml:space="preserve"> </w:t>
            </w:r>
            <w:r w:rsidRPr="00075613">
              <w:rPr>
                <w:rFonts w:cs="B Zar"/>
              </w:rPr>
              <w:t xml:space="preserve">Max: What We Lean From </w:t>
            </w:r>
            <w:smartTag w:uri="urn:schemas-microsoft-com:office:smarttags" w:element="country-region">
              <w:r w:rsidRPr="00075613">
                <w:rPr>
                  <w:rFonts w:cs="B Zar"/>
                </w:rPr>
                <w:t>India</w:t>
              </w:r>
            </w:smartTag>
            <w:r w:rsidRPr="00075613">
              <w:rPr>
                <w:rFonts w:cs="B Zar"/>
              </w:rPr>
              <w:t xml:space="preserve">, </w:t>
            </w:r>
            <w:smartTag w:uri="urn:schemas-microsoft-com:office:smarttags" w:element="place">
              <w:smartTag w:uri="urn:schemas-microsoft-com:office:smarttags" w:element="City">
                <w:r w:rsidRPr="00075613">
                  <w:rPr>
                    <w:rFonts w:cs="B Zar"/>
                  </w:rPr>
                  <w:t>New Delhi</w:t>
                </w:r>
              </w:smartTag>
            </w:smartTag>
            <w:r w:rsidRPr="00075613">
              <w:rPr>
                <w:rFonts w:cs="B Zar"/>
              </w:rPr>
              <w:t>. 1962</w:t>
            </w:r>
          </w:p>
        </w:tc>
      </w:tr>
      <w:tr>
        <w:tblPrEx>
          <w:tblW w:w="5000" w:type="pct"/>
          <w:tblLook w:val="0000"/>
        </w:tblPrEx>
        <w:tc>
          <w:tcPr>
            <w:tcW w:w="5000" w:type="pct"/>
          </w:tcPr>
          <w:p w:rsidR="00075613" w:rsidRPr="00075613" w:rsidP="003C0EF5">
            <w:pPr>
              <w:widowControl w:val="0"/>
              <w:bidi w:val="0"/>
              <w:spacing w:line="420" w:lineRule="exact"/>
              <w:rPr>
                <w:rFonts w:cs="B Zar"/>
              </w:rPr>
            </w:pPr>
            <w:r w:rsidRPr="00075613">
              <w:rPr>
                <w:rFonts w:cs="B Zar"/>
              </w:rPr>
              <w:t xml:space="preserve">Radhakshnan, Dr S:  The Indian Philosophy, </w:t>
            </w:r>
            <w:smartTag w:uri="urn:schemas-microsoft-com:office:smarttags" w:element="place">
              <w:smartTag w:uri="urn:schemas-microsoft-com:office:smarttags" w:element="City">
                <w:r w:rsidRPr="00075613">
                  <w:rPr>
                    <w:rFonts w:cs="B Zar"/>
                  </w:rPr>
                  <w:t>New Delhi</w:t>
                </w:r>
              </w:smartTag>
            </w:smartTag>
            <w:r w:rsidRPr="00075613">
              <w:rPr>
                <w:rFonts w:cs="B Zar"/>
              </w:rPr>
              <w:t xml:space="preserve">, 1989   </w:t>
            </w:r>
          </w:p>
        </w:tc>
      </w:tr>
      <w:tr>
        <w:tblPrEx>
          <w:tblW w:w="5000" w:type="pct"/>
          <w:tblLook w:val="0000"/>
        </w:tblPrEx>
        <w:tc>
          <w:tcPr>
            <w:tcW w:w="5000" w:type="pct"/>
          </w:tcPr>
          <w:p w:rsidR="00075613" w:rsidRPr="00075613" w:rsidP="003C0EF5">
            <w:pPr>
              <w:widowControl w:val="0"/>
              <w:bidi w:val="0"/>
              <w:spacing w:line="420" w:lineRule="exact"/>
              <w:rPr>
                <w:rFonts w:cs="B Zar"/>
              </w:rPr>
            </w:pPr>
            <w:r w:rsidRPr="00075613">
              <w:rPr>
                <w:rFonts w:cs="B Zar"/>
              </w:rPr>
              <w:t>Sahrma,  Chandra: A Critical Study of Indian Philosophy P 17, The Vedic Vidya Bhawan, 1988</w:t>
            </w:r>
          </w:p>
        </w:tc>
      </w:tr>
      <w:tr>
        <w:tblPrEx>
          <w:tblW w:w="5000" w:type="pct"/>
          <w:tblLook w:val="0000"/>
        </w:tblPrEx>
        <w:tc>
          <w:tcPr>
            <w:tcW w:w="5000" w:type="pct"/>
          </w:tcPr>
          <w:p w:rsidR="00075613" w:rsidRPr="00075613" w:rsidP="003C0EF5">
            <w:pPr>
              <w:widowControl w:val="0"/>
              <w:bidi w:val="0"/>
              <w:spacing w:line="420" w:lineRule="exact"/>
              <w:rPr>
                <w:rFonts w:cs="B Zar"/>
                <w:szCs w:val="24"/>
              </w:rPr>
            </w:pPr>
            <w:r w:rsidRPr="00075613">
              <w:rPr>
                <w:rFonts w:cs="B Zar"/>
                <w:szCs w:val="24"/>
              </w:rPr>
              <w:t xml:space="preserve">Williams, Sir Monier : Sanskrit Lexicon, </w:t>
            </w:r>
            <w:smartTag w:uri="urn:schemas-microsoft-com:office:smarttags" w:element="place">
              <w:smartTag w:uri="urn:schemas-microsoft-com:office:smarttags" w:element="City">
                <w:r w:rsidRPr="00075613">
                  <w:rPr>
                    <w:rFonts w:cs="B Zar"/>
                    <w:szCs w:val="24"/>
                  </w:rPr>
                  <w:t>New Delhi</w:t>
                </w:r>
              </w:smartTag>
            </w:smartTag>
            <w:r w:rsidRPr="00075613">
              <w:rPr>
                <w:rFonts w:cs="B Zar"/>
                <w:szCs w:val="24"/>
              </w:rPr>
              <w:t>. 1965</w:t>
            </w:r>
          </w:p>
        </w:tc>
      </w:tr>
    </w:tbl>
    <w:p w:rsidR="00075613" w:rsidRPr="00075613" w:rsidP="003C0EF5">
      <w:pPr>
        <w:widowControl w:val="0"/>
        <w:spacing w:line="420" w:lineRule="exact"/>
        <w:ind w:left="0" w:right="0"/>
        <w:jc w:val="both"/>
        <w:rPr>
          <w:rFonts w:cs="B Zar"/>
        </w:rPr>
      </w:pPr>
    </w:p>
    <w:tbl>
      <w:tblPr>
        <w:tblStyle w:val="TableNormal"/>
        <w:tblW w:w="5000" w:type="pct"/>
        <w:tblLook w:val="0000"/>
      </w:tblPr>
      <w:tblGrid>
        <w:gridCol w:w="6453"/>
      </w:tblGrid>
      <w:tr>
        <w:tblPrEx>
          <w:tblW w:w="5000" w:type="pct"/>
          <w:tblLook w:val="0000"/>
        </w:tblPrEx>
        <w:tc>
          <w:tcPr>
            <w:tcW w:w="5000" w:type="pct"/>
          </w:tcPr>
          <w:p w:rsidR="00075613" w:rsidRPr="00075613" w:rsidP="003C0EF5">
            <w:pPr>
              <w:widowControl w:val="0"/>
              <w:spacing w:line="420" w:lineRule="exact"/>
              <w:ind w:left="0" w:right="0"/>
              <w:jc w:val="both"/>
              <w:rPr>
                <w:rFonts w:ascii="IPT.Zar" w:hAnsi="IPT.Zar" w:cs="B Zar" w:hint="cs"/>
                <w:rtl/>
              </w:rPr>
            </w:pPr>
            <w:r w:rsidRPr="00075613">
              <w:rPr>
                <w:rFonts w:ascii="IPT.Zar" w:hAnsi="IPT.Zar" w:cs="B Zar" w:hint="cs"/>
                <w:rtl/>
              </w:rPr>
              <w:t>ابن نديم: الفهرست</w:t>
            </w:r>
          </w:p>
        </w:tc>
      </w:tr>
      <w:tr>
        <w:tblPrEx>
          <w:tblW w:w="5000" w:type="pct"/>
          <w:tblLook w:val="0000"/>
        </w:tblPrEx>
        <w:tc>
          <w:tcPr>
            <w:tcW w:w="5000" w:type="pct"/>
          </w:tcPr>
          <w:p w:rsidR="00075613" w:rsidRPr="00075613" w:rsidP="003C0EF5">
            <w:pPr>
              <w:widowControl w:val="0"/>
              <w:spacing w:line="420" w:lineRule="exact"/>
              <w:ind w:left="0" w:right="0"/>
              <w:jc w:val="both"/>
              <w:rPr>
                <w:rFonts w:ascii="IPT.Zar" w:hAnsi="IPT.Zar" w:cs="B Zar" w:hint="cs"/>
                <w:rtl/>
              </w:rPr>
            </w:pPr>
            <w:r w:rsidRPr="00075613">
              <w:rPr>
                <w:rFonts w:ascii="IPT.Zar" w:hAnsi="IPT.Zar" w:cs="B Zar" w:hint="cs"/>
                <w:rtl/>
              </w:rPr>
              <w:t>طوسي: اختبار معرفه الرجال، دانشگاه مشهد 1348</w:t>
            </w:r>
          </w:p>
        </w:tc>
      </w:tr>
      <w:tr>
        <w:tblPrEx>
          <w:tblW w:w="5000" w:type="pct"/>
          <w:tblLook w:val="0000"/>
        </w:tblPrEx>
        <w:tc>
          <w:tcPr>
            <w:tcW w:w="5000" w:type="pct"/>
          </w:tcPr>
          <w:p w:rsidR="00075613" w:rsidRPr="00075613" w:rsidP="003C0EF5">
            <w:pPr>
              <w:widowControl w:val="0"/>
              <w:spacing w:line="420" w:lineRule="exact"/>
              <w:ind w:left="0" w:right="0"/>
              <w:jc w:val="both"/>
              <w:rPr>
                <w:rFonts w:ascii="IPT.Zar" w:hAnsi="IPT.Zar" w:cs="B Zar" w:hint="cs"/>
                <w:rtl/>
              </w:rPr>
            </w:pPr>
            <w:r w:rsidRPr="00075613">
              <w:rPr>
                <w:rFonts w:ascii="IPT.Zar" w:hAnsi="IPT.Zar" w:cs="B Zar" w:hint="cs"/>
                <w:rtl/>
              </w:rPr>
              <w:t>ابن بابويه صدوق: التوحيد</w:t>
            </w:r>
          </w:p>
        </w:tc>
      </w:tr>
      <w:tr>
        <w:tblPrEx>
          <w:tblW w:w="5000" w:type="pct"/>
          <w:tblLook w:val="0000"/>
        </w:tblPrEx>
        <w:tc>
          <w:tcPr>
            <w:tcW w:w="5000" w:type="pct"/>
          </w:tcPr>
          <w:p w:rsidR="00075613" w:rsidRPr="00075613" w:rsidP="003C0EF5">
            <w:pPr>
              <w:widowControl w:val="0"/>
              <w:spacing w:line="420" w:lineRule="exact"/>
              <w:ind w:left="0" w:right="0"/>
              <w:jc w:val="both"/>
              <w:rPr>
                <w:rFonts w:ascii="IPT.Zar" w:hAnsi="IPT.Zar" w:cs="B Zar" w:hint="cs"/>
                <w:rtl/>
              </w:rPr>
            </w:pPr>
            <w:r w:rsidRPr="00075613">
              <w:rPr>
                <w:rFonts w:ascii="IPT.Zar" w:hAnsi="IPT.Zar" w:cs="B Zar" w:hint="cs"/>
                <w:rtl/>
              </w:rPr>
              <w:t>الاشعري: مقالات الاسلامين و اختلاف المصلين</w:t>
            </w:r>
          </w:p>
        </w:tc>
      </w:tr>
      <w:tr>
        <w:tblPrEx>
          <w:tblW w:w="5000" w:type="pct"/>
          <w:tblLook w:val="0000"/>
        </w:tblPrEx>
        <w:tc>
          <w:tcPr>
            <w:tcW w:w="5000" w:type="pct"/>
          </w:tcPr>
          <w:p w:rsidR="00075613" w:rsidRPr="00075613" w:rsidP="003C0EF5">
            <w:pPr>
              <w:widowControl w:val="0"/>
              <w:spacing w:line="420" w:lineRule="exact"/>
              <w:ind w:left="0" w:right="0"/>
              <w:jc w:val="both"/>
              <w:rPr>
                <w:rFonts w:ascii="IPT.Zar" w:hAnsi="IPT.Zar" w:cs="B Zar"/>
              </w:rPr>
            </w:pPr>
            <w:r w:rsidRPr="00075613">
              <w:rPr>
                <w:rFonts w:ascii="IPT.Zar" w:hAnsi="IPT.Zar" w:cs="B Zar" w:hint="cs"/>
                <w:rtl/>
              </w:rPr>
              <w:t>جامي</w:t>
            </w:r>
            <w:r w:rsidRPr="00075613">
              <w:rPr>
                <w:rFonts w:ascii="IPT.Zar" w:hAnsi="IPT.Zar" w:cs="B Zar"/>
              </w:rPr>
              <w:sym w:font="IPT.Zar" w:char="F020"/>
            </w:r>
            <w:r w:rsidRPr="00075613">
              <w:rPr>
                <w:rFonts w:ascii="IPT.Zar" w:hAnsi="IPT.Zar" w:cs="B Zar"/>
              </w:rPr>
              <w:sym w:font="IPT.Zar" w:char="F020"/>
            </w:r>
            <w:r w:rsidRPr="00075613">
              <w:rPr>
                <w:rFonts w:ascii="IPT.Zar" w:hAnsi="IPT.Zar" w:cs="B Zar" w:hint="cs"/>
                <w:rtl/>
              </w:rPr>
              <w:t>نورالدين: كتاب لوايح</w:t>
            </w:r>
          </w:p>
        </w:tc>
      </w:tr>
      <w:tr>
        <w:tblPrEx>
          <w:tblW w:w="5000" w:type="pct"/>
          <w:tblLook w:val="0000"/>
        </w:tblPrEx>
        <w:tc>
          <w:tcPr>
            <w:tcW w:w="5000" w:type="pct"/>
          </w:tcPr>
          <w:p w:rsidR="00075613" w:rsidRPr="00075613" w:rsidP="003C0EF5">
            <w:pPr>
              <w:widowControl w:val="0"/>
              <w:spacing w:line="420" w:lineRule="exact"/>
              <w:ind w:left="0" w:right="0"/>
              <w:jc w:val="both"/>
              <w:rPr>
                <w:rFonts w:cs="B Zar"/>
              </w:rPr>
            </w:pPr>
            <w:r w:rsidRPr="00075613">
              <w:rPr>
                <w:rFonts w:ascii="IPT.Lotus" w:hAnsi="IPT.Lotus" w:cs="B Zar" w:hint="cs"/>
                <w:rtl/>
              </w:rPr>
              <w:t>داراشكوه: مجمع البحرين</w:t>
            </w:r>
            <w:r w:rsidRPr="00075613">
              <w:rPr>
                <w:rFonts w:ascii="IPT.Lotus" w:hAnsi="IPT.Lotus" w:cs="B Zar"/>
              </w:rPr>
              <w:sym w:font="IPT.Lotus" w:char="F020"/>
            </w:r>
            <w:r w:rsidRPr="00075613">
              <w:rPr>
                <w:rFonts w:ascii="IPT.Lotus" w:hAnsi="IPT.Lotus" w:cs="B Zar"/>
              </w:rPr>
              <w:sym w:font="IPT.Lotus" w:char="F020"/>
            </w:r>
            <w:r w:rsidRPr="00075613">
              <w:rPr>
                <w:rFonts w:ascii="IPT.Lotus" w:hAnsi="IPT.Lotus" w:cs="B Zar" w:hint="cs"/>
                <w:rtl/>
              </w:rPr>
              <w:t>نولكشور پريس، لكهنؤ. 1325</w:t>
            </w:r>
          </w:p>
        </w:tc>
      </w:tr>
      <w:tr>
        <w:tblPrEx>
          <w:tblW w:w="5000" w:type="pct"/>
          <w:tblLook w:val="0000"/>
        </w:tblPrEx>
        <w:tc>
          <w:tcPr>
            <w:tcW w:w="5000" w:type="pct"/>
          </w:tcPr>
          <w:p w:rsidR="00075613" w:rsidRPr="00075613" w:rsidP="003C0EF5">
            <w:pPr>
              <w:widowControl w:val="0"/>
              <w:spacing w:line="420" w:lineRule="exact"/>
              <w:ind w:left="0" w:right="0"/>
              <w:jc w:val="both"/>
              <w:rPr>
                <w:rStyle w:val="FootnoteReference"/>
                <w:rFonts w:ascii="IPT.Zar" w:hAnsi="IPT.Zar" w:cs="B Zar"/>
                <w:sz w:val="28"/>
                <w:szCs w:val="28"/>
              </w:rPr>
            </w:pPr>
            <w:r w:rsidRPr="00075613">
              <w:rPr>
                <w:rFonts w:ascii="IPT.Zar" w:hAnsi="IPT.Zar" w:cs="B Zar" w:hint="cs"/>
                <w:rtl/>
              </w:rPr>
              <w:t>داراشكوه:</w:t>
            </w:r>
            <w:r w:rsidRPr="00075613">
              <w:rPr>
                <w:rFonts w:cs="B Zar" w:hint="cs"/>
                <w:rtl/>
              </w:rPr>
              <w:t xml:space="preserve"> «سراكبر»  </w:t>
            </w:r>
            <w:r w:rsidRPr="00075613">
              <w:rPr>
                <w:rFonts w:ascii="IPT.Zar" w:hAnsi="IPT.Zar" w:cs="B Zar" w:hint="cs"/>
                <w:rtl/>
              </w:rPr>
              <w:t>ترجمه اوپانيشاد ها</w:t>
            </w:r>
            <w:r w:rsidRPr="00075613">
              <w:rPr>
                <w:rFonts w:cs="B Zar" w:hint="cs"/>
                <w:rtl/>
              </w:rPr>
              <w:t xml:space="preserve">  از انتشارات محمد علي علمي </w:t>
            </w:r>
            <w:r w:rsidRPr="00075613">
              <w:rPr>
                <w:rFonts w:ascii="IPT.Zar" w:hAnsi="IPT.Zar" w:cs="B Zar" w:hint="cs"/>
                <w:rtl/>
              </w:rPr>
              <w:t>، تهران</w:t>
            </w:r>
          </w:p>
        </w:tc>
      </w:tr>
      <w:tr>
        <w:tblPrEx>
          <w:tblW w:w="5000" w:type="pct"/>
          <w:tblLook w:val="0000"/>
        </w:tblPrEx>
        <w:tc>
          <w:tcPr>
            <w:tcW w:w="5000" w:type="pct"/>
          </w:tcPr>
          <w:p w:rsidR="00075613" w:rsidRPr="00075613" w:rsidP="003C0EF5">
            <w:pPr>
              <w:widowControl w:val="0"/>
              <w:spacing w:line="420" w:lineRule="exact"/>
              <w:ind w:left="0" w:right="0"/>
              <w:jc w:val="both"/>
              <w:rPr>
                <w:rFonts w:ascii="IPT.Lotus" w:hAnsi="IPT.Lotus" w:cs="B Zar" w:hint="cs"/>
                <w:rtl/>
              </w:rPr>
            </w:pPr>
            <w:r w:rsidRPr="00075613">
              <w:rPr>
                <w:rFonts w:ascii="IPT.Zar" w:hAnsi="IPT.Zar" w:cs="B Zar" w:hint="cs"/>
                <w:rtl/>
              </w:rPr>
              <w:t>السراج</w:t>
            </w:r>
            <w:r w:rsidRPr="00075613">
              <w:rPr>
                <w:rFonts w:ascii="IPT.Zar" w:hAnsi="IPT.Zar" w:cs="B Zar"/>
              </w:rPr>
              <w:sym w:font="IPT.Zar" w:char="F020"/>
            </w:r>
            <w:r w:rsidRPr="00075613">
              <w:rPr>
                <w:rFonts w:ascii="IPT.Zar" w:hAnsi="IPT.Zar" w:cs="B Zar"/>
              </w:rPr>
              <w:sym w:font="IPT.Zar" w:char="F020"/>
            </w:r>
            <w:r w:rsidRPr="00075613">
              <w:rPr>
                <w:rFonts w:ascii="IPT.Zar" w:hAnsi="IPT.Zar" w:cs="B Zar" w:hint="cs"/>
                <w:rtl/>
              </w:rPr>
              <w:t>ابونصر: كتاب اللمع في التصوف، اعتقاد پرس</w:t>
            </w:r>
          </w:p>
        </w:tc>
      </w:tr>
      <w:tr>
        <w:tblPrEx>
          <w:tblW w:w="5000" w:type="pct"/>
          <w:tblLook w:val="0000"/>
        </w:tblPrEx>
        <w:tc>
          <w:tcPr>
            <w:tcW w:w="5000" w:type="pct"/>
          </w:tcPr>
          <w:p w:rsidR="00075613" w:rsidRPr="00075613" w:rsidP="003C0EF5">
            <w:pPr>
              <w:widowControl w:val="0"/>
              <w:spacing w:line="420" w:lineRule="exact"/>
              <w:ind w:left="0" w:right="0"/>
              <w:jc w:val="both"/>
              <w:rPr>
                <w:rFonts w:ascii="IPT.Lotus" w:hAnsi="IPT.Lotus" w:cs="B Zar"/>
              </w:rPr>
            </w:pPr>
            <w:r w:rsidRPr="00075613">
              <w:rPr>
                <w:rFonts w:ascii="IPT.Zar" w:hAnsi="IPT.Zar" w:cs="B Zar" w:hint="cs"/>
                <w:rtl/>
              </w:rPr>
              <w:t>سهروردي  ابوحفص عمربن محمد شهاب الدين: عوارف المعارف</w:t>
            </w:r>
          </w:p>
          <w:p w:rsidR="00075613" w:rsidRPr="00075613" w:rsidP="003C0EF5">
            <w:pPr>
              <w:widowControl w:val="0"/>
              <w:spacing w:line="420" w:lineRule="exact"/>
              <w:ind w:left="0" w:right="0"/>
              <w:jc w:val="both"/>
              <w:rPr>
                <w:rFonts w:ascii="IPT.Lotus" w:hAnsi="IPT.Lotus" w:cs="B Zar"/>
              </w:rPr>
            </w:pPr>
            <w:r w:rsidRPr="00075613">
              <w:rPr>
                <w:rFonts w:ascii="IPT.Lotus" w:hAnsi="IPT.Lotus" w:cs="B Zar" w:hint="cs"/>
                <w:rtl/>
              </w:rPr>
              <w:t>سهروردي شهاب الدين: «حكمه الاشراق»، ترجمه و شرح دكتر سيد جعفر سجادي، انتشارات دانشگاه تهران، 1366، چاپ پنجم</w:t>
            </w:r>
          </w:p>
        </w:tc>
      </w:tr>
      <w:tr>
        <w:tblPrEx>
          <w:tblW w:w="5000" w:type="pct"/>
          <w:tblLook w:val="0000"/>
        </w:tblPrEx>
        <w:tc>
          <w:tcPr>
            <w:tcW w:w="5000" w:type="pct"/>
          </w:tcPr>
          <w:p w:rsidR="00075613" w:rsidRPr="00075613" w:rsidP="003C0EF5">
            <w:pPr>
              <w:widowControl w:val="0"/>
              <w:spacing w:line="420" w:lineRule="exact"/>
              <w:ind w:left="0" w:right="0"/>
              <w:jc w:val="both"/>
              <w:rPr>
                <w:rFonts w:cs="B Zar" w:hint="cs"/>
                <w:rtl/>
              </w:rPr>
            </w:pPr>
            <w:r w:rsidRPr="00075613">
              <w:rPr>
                <w:rFonts w:cs="B Zar" w:hint="cs"/>
                <w:rtl/>
              </w:rPr>
              <w:t>سهروردي</w:t>
            </w:r>
            <w:r w:rsidRPr="00075613">
              <w:rPr>
                <w:rFonts w:cs="B Zar"/>
              </w:rPr>
              <w:t xml:space="preserve"> </w:t>
            </w:r>
            <w:r w:rsidRPr="00075613">
              <w:rPr>
                <w:rFonts w:cs="B Zar" w:hint="cs"/>
                <w:rtl/>
              </w:rPr>
              <w:t>شيخ ابونجيب: آداب المريدين</w:t>
            </w:r>
          </w:p>
        </w:tc>
      </w:tr>
      <w:tr>
        <w:tblPrEx>
          <w:tblW w:w="5000" w:type="pct"/>
          <w:tblLook w:val="0000"/>
        </w:tblPrEx>
        <w:tc>
          <w:tcPr>
            <w:tcW w:w="5000" w:type="pct"/>
          </w:tcPr>
          <w:p w:rsidR="00075613" w:rsidRPr="00075613" w:rsidP="003C0EF5">
            <w:pPr>
              <w:widowControl w:val="0"/>
              <w:spacing w:line="420" w:lineRule="exact"/>
              <w:ind w:left="0" w:right="0"/>
              <w:jc w:val="both"/>
              <w:rPr>
                <w:rFonts w:cs="B Zar"/>
              </w:rPr>
            </w:pPr>
            <w:r w:rsidRPr="00075613">
              <w:rPr>
                <w:rFonts w:cs="B Zar" w:hint="cs"/>
                <w:rtl/>
              </w:rPr>
              <w:t>صدرا</w:t>
            </w:r>
            <w:r w:rsidRPr="00075613">
              <w:rPr>
                <w:rFonts w:cs="B Zar"/>
              </w:rPr>
              <w:t xml:space="preserve"> </w:t>
            </w:r>
            <w:r w:rsidRPr="00075613">
              <w:rPr>
                <w:rFonts w:cs="B Zar" w:hint="cs"/>
                <w:rtl/>
              </w:rPr>
              <w:t>: الشواهدالربوبيه، ترجمه و تفسير دكتر جواد مصلح، ص 3، چاپ سروش تهران، 1336</w:t>
            </w:r>
          </w:p>
        </w:tc>
      </w:tr>
      <w:tr>
        <w:tblPrEx>
          <w:tblW w:w="5000" w:type="pct"/>
          <w:tblLook w:val="0000"/>
        </w:tblPrEx>
        <w:tc>
          <w:tcPr>
            <w:tcW w:w="5000" w:type="pct"/>
          </w:tcPr>
          <w:p w:rsidR="00075613" w:rsidRPr="00075613" w:rsidP="003C0EF5">
            <w:pPr>
              <w:widowControl w:val="0"/>
              <w:spacing w:line="420" w:lineRule="exact"/>
              <w:ind w:left="0" w:right="0"/>
              <w:jc w:val="both"/>
              <w:rPr>
                <w:rFonts w:cs="B Zar"/>
              </w:rPr>
            </w:pPr>
            <w:r w:rsidRPr="00075613">
              <w:rPr>
                <w:rFonts w:cs="B Zar" w:hint="cs"/>
                <w:rtl/>
              </w:rPr>
              <w:t>صدرا</w:t>
            </w:r>
            <w:r w:rsidRPr="00075613">
              <w:rPr>
                <w:rFonts w:cs="B Zar"/>
              </w:rPr>
              <w:t xml:space="preserve"> </w:t>
            </w:r>
            <w:r w:rsidRPr="00075613">
              <w:rPr>
                <w:rFonts w:cs="B Zar" w:hint="cs"/>
                <w:rtl/>
              </w:rPr>
              <w:t>: ملا «كتاب المشاعر»، ويرايش هنري كوربن، كتابخانه طهوري، 1363</w:t>
            </w:r>
          </w:p>
        </w:tc>
      </w:tr>
      <w:tr>
        <w:tblPrEx>
          <w:tblW w:w="5000" w:type="pct"/>
          <w:tblLook w:val="0000"/>
        </w:tblPrEx>
        <w:tc>
          <w:tcPr>
            <w:tcW w:w="5000" w:type="pct"/>
          </w:tcPr>
          <w:p w:rsidR="00075613" w:rsidRPr="00075613" w:rsidP="003C0EF5">
            <w:pPr>
              <w:widowControl w:val="0"/>
              <w:spacing w:line="420" w:lineRule="exact"/>
              <w:ind w:left="0" w:right="0"/>
              <w:jc w:val="both"/>
              <w:rPr>
                <w:rFonts w:cs="B Zar"/>
              </w:rPr>
            </w:pPr>
            <w:r w:rsidRPr="00075613">
              <w:rPr>
                <w:rFonts w:cs="B Zar" w:hint="cs"/>
                <w:rtl/>
              </w:rPr>
              <w:t>مطهري</w:t>
            </w:r>
            <w:r w:rsidRPr="00075613">
              <w:rPr>
                <w:rFonts w:cs="B Zar"/>
              </w:rPr>
              <w:t xml:space="preserve">  </w:t>
            </w:r>
            <w:r w:rsidRPr="00075613">
              <w:rPr>
                <w:rStyle w:val="FootnoteReference"/>
                <w:rFonts w:ascii="IPT.Lotus" w:hAnsi="IPT.Lotus" w:cs="B Zar"/>
                <w:sz w:val="28"/>
                <w:szCs w:val="28"/>
              </w:rPr>
              <w:footnoteRef/>
            </w:r>
            <w:r w:rsidRPr="00075613">
              <w:rPr>
                <w:rFonts w:cs="B Zar"/>
              </w:rPr>
              <w:t xml:space="preserve"> </w:t>
            </w:r>
            <w:r w:rsidRPr="00075613">
              <w:rPr>
                <w:rFonts w:cs="B Zar" w:hint="cs"/>
                <w:rtl/>
              </w:rPr>
              <w:t>. شهيد مرتضي: مقدمه اي بر جهان بيني اسلامي (رساله جهان بيني)، ص 64، دفتر انتشارات اسلامي، قم ، زمستان 1362</w:t>
            </w:r>
          </w:p>
        </w:tc>
      </w:tr>
      <w:tr>
        <w:tblPrEx>
          <w:tblW w:w="5000" w:type="pct"/>
          <w:tblLook w:val="0000"/>
        </w:tblPrEx>
        <w:tc>
          <w:tcPr>
            <w:tcW w:w="5000" w:type="pct"/>
          </w:tcPr>
          <w:p w:rsidR="00075613" w:rsidRPr="00075613" w:rsidP="003C0EF5">
            <w:pPr>
              <w:widowControl w:val="0"/>
              <w:spacing w:line="420" w:lineRule="exact"/>
              <w:ind w:left="0" w:right="0"/>
              <w:jc w:val="both"/>
              <w:rPr>
                <w:rFonts w:cs="B Zar" w:hint="cs"/>
                <w:rtl/>
              </w:rPr>
            </w:pPr>
            <w:r w:rsidRPr="00075613">
              <w:rPr>
                <w:rFonts w:cs="B Zar" w:hint="cs"/>
                <w:rtl/>
              </w:rPr>
              <w:t>النجاشي</w:t>
            </w:r>
            <w:r w:rsidRPr="00075613">
              <w:rPr>
                <w:rFonts w:cs="B Zar"/>
              </w:rPr>
              <w:t xml:space="preserve"> </w:t>
            </w:r>
            <w:r w:rsidRPr="00075613">
              <w:rPr>
                <w:rFonts w:cs="B Zar" w:hint="cs"/>
                <w:rtl/>
              </w:rPr>
              <w:t>ابوالعباس: رجال النجاشي، قم، 1407</w:t>
            </w:r>
          </w:p>
        </w:tc>
      </w:tr>
      <w:tr>
        <w:tblPrEx>
          <w:tblW w:w="5000" w:type="pct"/>
          <w:tblLook w:val="0000"/>
        </w:tblPrEx>
        <w:tc>
          <w:tcPr>
            <w:tcW w:w="5000" w:type="pct"/>
          </w:tcPr>
          <w:p w:rsidR="00075613" w:rsidRPr="00075613" w:rsidP="003C0EF5">
            <w:pPr>
              <w:widowControl w:val="0"/>
              <w:spacing w:line="420" w:lineRule="exact"/>
              <w:ind w:left="0" w:right="0"/>
              <w:jc w:val="both"/>
              <w:rPr>
                <w:rFonts w:cs="B Zar" w:hint="cs"/>
                <w:rtl/>
              </w:rPr>
            </w:pPr>
            <w:r w:rsidRPr="00075613">
              <w:rPr>
                <w:rFonts w:cs="B Zar" w:hint="cs"/>
                <w:rtl/>
              </w:rPr>
              <w:t>ويل دورانت: تاريخ فلسفه ترجمه فارسي</w:t>
            </w:r>
            <w:r w:rsidRPr="00075613">
              <w:rPr>
                <w:rFonts w:cs="B Zar"/>
              </w:rPr>
              <w:t xml:space="preserve"> </w:t>
            </w:r>
            <w:r w:rsidRPr="00075613">
              <w:rPr>
                <w:rFonts w:cs="B Zar" w:hint="cs"/>
                <w:rtl/>
              </w:rPr>
              <w:t xml:space="preserve"> تهران</w:t>
            </w:r>
          </w:p>
        </w:tc>
      </w:tr>
      <w:tr>
        <w:tblPrEx>
          <w:tblW w:w="5000" w:type="pct"/>
          <w:tblLook w:val="0000"/>
        </w:tblPrEx>
        <w:tc>
          <w:tcPr>
            <w:tcW w:w="5000" w:type="pct"/>
          </w:tcPr>
          <w:p w:rsidR="00075613" w:rsidRPr="00075613" w:rsidP="003C0EF5">
            <w:pPr>
              <w:widowControl w:val="0"/>
              <w:spacing w:line="420" w:lineRule="exact"/>
              <w:ind w:left="0" w:right="0"/>
              <w:jc w:val="both"/>
              <w:rPr>
                <w:rFonts w:cs="B Zar" w:hint="cs"/>
                <w:rtl/>
              </w:rPr>
            </w:pPr>
            <w:r w:rsidRPr="00075613">
              <w:rPr>
                <w:rFonts w:cs="B Zar" w:hint="cs"/>
                <w:rtl/>
              </w:rPr>
              <w:t>الاشعري</w:t>
            </w:r>
            <w:r w:rsidRPr="00075613">
              <w:rPr>
                <w:rFonts w:cs="B Zar"/>
              </w:rPr>
              <w:t xml:space="preserve"> </w:t>
            </w:r>
            <w:r w:rsidRPr="00075613">
              <w:rPr>
                <w:rFonts w:cs="B Zar" w:hint="cs"/>
                <w:rtl/>
              </w:rPr>
              <w:t>ابوالحسن</w:t>
            </w:r>
            <w:r w:rsidRPr="00075613">
              <w:rPr>
                <w:rFonts w:cs="B Zar"/>
              </w:rPr>
              <w:t xml:space="preserve"> </w:t>
            </w:r>
            <w:r w:rsidRPr="00075613">
              <w:rPr>
                <w:rFonts w:cs="B Zar" w:hint="cs"/>
                <w:rtl/>
              </w:rPr>
              <w:t>: كتاب اللمع  بيروت</w:t>
            </w:r>
          </w:p>
        </w:tc>
      </w:tr>
      <w:tr>
        <w:tblPrEx>
          <w:tblW w:w="5000" w:type="pct"/>
          <w:tblLook w:val="0000"/>
        </w:tblPrEx>
        <w:tc>
          <w:tcPr>
            <w:tcW w:w="5000" w:type="pct"/>
          </w:tcPr>
          <w:p w:rsidR="00075613" w:rsidRPr="00075613" w:rsidP="003C0EF5">
            <w:pPr>
              <w:widowControl w:val="0"/>
              <w:spacing w:line="420" w:lineRule="exact"/>
              <w:ind w:left="0" w:right="0"/>
              <w:jc w:val="both"/>
              <w:rPr>
                <w:rFonts w:cs="B Zar"/>
              </w:rPr>
            </w:pPr>
            <w:r w:rsidRPr="00075613">
              <w:rPr>
                <w:rFonts w:cs="B Zar" w:hint="cs"/>
                <w:rtl/>
              </w:rPr>
              <w:t xml:space="preserve">ابن سينا: اشارات و تشبيهات </w:t>
            </w:r>
            <w:r w:rsidRPr="00075613">
              <w:rPr>
                <w:rFonts w:cs="B Zar"/>
              </w:rPr>
              <w:t xml:space="preserve"> </w:t>
            </w:r>
            <w:r w:rsidRPr="00075613">
              <w:rPr>
                <w:rFonts w:cs="B Zar" w:hint="cs"/>
                <w:rtl/>
              </w:rPr>
              <w:t xml:space="preserve"> تهران</w:t>
            </w:r>
          </w:p>
        </w:tc>
      </w:tr>
      <w:tr>
        <w:tblPrEx>
          <w:tblW w:w="5000" w:type="pct"/>
          <w:tblLook w:val="0000"/>
        </w:tblPrEx>
        <w:tc>
          <w:tcPr>
            <w:tcW w:w="5000" w:type="pct"/>
          </w:tcPr>
          <w:p w:rsidR="00075613" w:rsidRPr="00075613" w:rsidP="003C0EF5">
            <w:pPr>
              <w:widowControl w:val="0"/>
              <w:spacing w:line="420" w:lineRule="exact"/>
              <w:ind w:left="0" w:right="0"/>
              <w:jc w:val="both"/>
              <w:rPr>
                <w:rFonts w:cs="B Zar" w:hint="cs"/>
                <w:rtl/>
              </w:rPr>
            </w:pPr>
            <w:r w:rsidRPr="00075613">
              <w:rPr>
                <w:rFonts w:cs="B Zar" w:hint="cs"/>
                <w:rtl/>
              </w:rPr>
              <w:t>ابن عربي محي الدين: فصوص الحكم  ديوبند. هند</w:t>
            </w:r>
          </w:p>
        </w:tc>
      </w:tr>
      <w:tr>
        <w:tblPrEx>
          <w:tblW w:w="5000" w:type="pct"/>
          <w:tblLook w:val="0000"/>
        </w:tblPrEx>
        <w:tc>
          <w:tcPr>
            <w:tcW w:w="5000" w:type="pct"/>
          </w:tcPr>
          <w:p w:rsidR="00075613" w:rsidRPr="00075613" w:rsidP="003C0EF5">
            <w:pPr>
              <w:widowControl w:val="0"/>
              <w:spacing w:line="420" w:lineRule="exact"/>
              <w:ind w:left="0" w:right="0"/>
              <w:jc w:val="both"/>
              <w:rPr>
                <w:rFonts w:cs="B Zar" w:hint="cs"/>
                <w:rtl/>
              </w:rPr>
            </w:pPr>
            <w:r w:rsidRPr="00075613">
              <w:rPr>
                <w:rFonts w:cs="B Zar" w:hint="cs"/>
                <w:rtl/>
              </w:rPr>
              <w:t xml:space="preserve">دينائي دكتر غلامحسين ابراهيمي: فلسفه سهروردي ص 287 </w:t>
            </w:r>
            <w:r w:rsidRPr="00075613">
              <w:rPr>
                <w:rFonts w:cs="Yagut"/>
                <w:rtl/>
              </w:rPr>
              <w:t>–</w:t>
            </w:r>
            <w:r w:rsidRPr="00075613">
              <w:rPr>
                <w:rFonts w:cs="B Zar" w:hint="cs"/>
                <w:rtl/>
              </w:rPr>
              <w:t>283: انتشارات حكمت تهران 1366</w:t>
            </w:r>
          </w:p>
        </w:tc>
      </w:tr>
    </w:tbl>
    <w:p w:rsidR="00075613" w:rsidP="003C0EF5">
      <w:pPr>
        <w:widowControl w:val="0"/>
        <w:spacing w:line="420" w:lineRule="exact"/>
        <w:ind w:left="0" w:right="0"/>
        <w:jc w:val="both"/>
        <w:rPr>
          <w:rFonts w:cs="B Zar"/>
          <w:sz w:val="28"/>
          <w:szCs w:val="28"/>
        </w:rPr>
      </w:pPr>
    </w:p>
    <w:p w:rsidR="00075613" w:rsidP="003C0EF5">
      <w:pPr>
        <w:widowControl w:val="0"/>
        <w:spacing w:line="420" w:lineRule="exact"/>
        <w:ind w:left="0" w:right="0"/>
        <w:jc w:val="both"/>
        <w:rPr>
          <w:rFonts w:cs="B Zar"/>
          <w:sz w:val="28"/>
          <w:szCs w:val="28"/>
        </w:rPr>
      </w:pPr>
    </w:p>
    <w:p w:rsidR="002807AE" w:rsidP="003C0EF5">
      <w:pPr>
        <w:pStyle w:val="BodyText"/>
        <w:widowControl w:val="0"/>
        <w:spacing w:line="420" w:lineRule="exact"/>
        <w:ind w:left="0" w:right="0"/>
        <w:jc w:val="center"/>
        <w:rPr>
          <w:rFonts w:cs="B Zar" w:hint="cs"/>
          <w:b/>
          <w:bCs/>
          <w:rtl/>
        </w:rPr>
      </w:pPr>
      <w:r w:rsidRPr="009868FC" w:rsidR="009868FC">
        <w:rPr>
          <w:rFonts w:cs="B Zar"/>
          <w:rtl/>
          <w:lang w:bidi="fa-IR"/>
        </w:rPr>
        <w:br w:type="page"/>
      </w:r>
    </w:p>
    <w:p w:rsidR="002807AE" w:rsidP="003C0EF5">
      <w:pPr>
        <w:pStyle w:val="BodyText"/>
        <w:widowControl w:val="0"/>
        <w:spacing w:line="420" w:lineRule="exact"/>
        <w:ind w:left="0" w:right="0"/>
        <w:jc w:val="center"/>
        <w:rPr>
          <w:rFonts w:cs="B Zar" w:hint="cs"/>
          <w:b/>
          <w:bCs/>
          <w:rtl/>
        </w:rPr>
      </w:pPr>
    </w:p>
    <w:p w:rsidR="002807AE" w:rsidP="003C0EF5">
      <w:pPr>
        <w:pStyle w:val="BodyText"/>
        <w:widowControl w:val="0"/>
        <w:spacing w:line="420" w:lineRule="exact"/>
        <w:ind w:left="0" w:right="0"/>
        <w:jc w:val="center"/>
        <w:rPr>
          <w:rFonts w:cs="B Zar" w:hint="cs"/>
          <w:b/>
          <w:bCs/>
          <w:rtl/>
        </w:rPr>
      </w:pPr>
    </w:p>
    <w:p w:rsidR="002807AE" w:rsidP="003C0EF5">
      <w:pPr>
        <w:pStyle w:val="BodyText"/>
        <w:widowControl w:val="0"/>
        <w:spacing w:line="420" w:lineRule="exact"/>
        <w:ind w:left="0" w:right="0"/>
        <w:jc w:val="center"/>
        <w:rPr>
          <w:rFonts w:cs="B Zar" w:hint="cs"/>
          <w:b/>
          <w:bCs/>
          <w:rtl/>
        </w:rPr>
      </w:pPr>
    </w:p>
    <w:p w:rsidR="002807AE" w:rsidP="003C0EF5">
      <w:pPr>
        <w:pStyle w:val="BodyText"/>
        <w:widowControl w:val="0"/>
        <w:spacing w:line="420" w:lineRule="exact"/>
        <w:ind w:left="0" w:right="0"/>
        <w:jc w:val="center"/>
        <w:rPr>
          <w:rFonts w:cs="B Zar" w:hint="cs"/>
          <w:b/>
          <w:bCs/>
          <w:rtl/>
        </w:rPr>
      </w:pPr>
    </w:p>
    <w:p w:rsidR="00F320BA" w:rsidP="003C0EF5">
      <w:pPr>
        <w:pStyle w:val="BodyText"/>
        <w:widowControl w:val="0"/>
        <w:spacing w:line="420" w:lineRule="exact"/>
        <w:ind w:left="0" w:right="0"/>
        <w:jc w:val="center"/>
        <w:rPr>
          <w:rFonts w:cs="B Zar" w:hint="cs"/>
          <w:b/>
          <w:bCs/>
          <w:rtl/>
        </w:rPr>
      </w:pPr>
    </w:p>
    <w:p w:rsidR="009868FC" w:rsidRPr="00C178FE" w:rsidP="003C0EF5">
      <w:pPr>
        <w:pStyle w:val="BodyText"/>
        <w:widowControl w:val="0"/>
        <w:spacing w:line="420" w:lineRule="exact"/>
        <w:ind w:left="0" w:right="0"/>
        <w:jc w:val="center"/>
        <w:rPr>
          <w:rFonts w:cs="B Zar" w:hint="cs"/>
          <w:b/>
          <w:bCs/>
          <w:szCs w:val="28"/>
          <w:rtl/>
        </w:rPr>
      </w:pPr>
      <w:r w:rsidRPr="00C178FE">
        <w:rPr>
          <w:rFonts w:cs="B Zar" w:hint="cs"/>
          <w:b/>
          <w:bCs/>
          <w:szCs w:val="28"/>
          <w:rtl/>
        </w:rPr>
        <w:t>بخش پنجم</w:t>
      </w:r>
    </w:p>
    <w:p w:rsidR="009868FC" w:rsidRPr="009868FC" w:rsidP="003C0EF5">
      <w:pPr>
        <w:pStyle w:val="BodyText"/>
        <w:widowControl w:val="0"/>
        <w:spacing w:line="420" w:lineRule="exact"/>
        <w:ind w:left="0" w:right="0"/>
        <w:jc w:val="center"/>
        <w:rPr>
          <w:rFonts w:cs="B Zar" w:hint="cs"/>
          <w:b/>
          <w:bCs/>
          <w:rtl/>
        </w:rPr>
      </w:pPr>
    </w:p>
    <w:p w:rsidR="009868FC" w:rsidRPr="00C178FE" w:rsidP="003C0EF5">
      <w:pPr>
        <w:pStyle w:val="BodyText"/>
        <w:widowControl w:val="0"/>
        <w:spacing w:line="420" w:lineRule="exact"/>
        <w:ind w:left="0" w:right="0"/>
        <w:jc w:val="center"/>
        <w:rPr>
          <w:rFonts w:cs="B Zar" w:hint="cs"/>
          <w:b/>
          <w:bCs/>
          <w:szCs w:val="28"/>
          <w:rtl/>
        </w:rPr>
      </w:pPr>
      <w:r w:rsidRPr="00C178FE">
        <w:rPr>
          <w:rFonts w:cs="B Zar" w:hint="cs"/>
          <w:b/>
          <w:bCs/>
          <w:szCs w:val="28"/>
          <w:rtl/>
        </w:rPr>
        <w:t>عصر گيتا</w:t>
      </w:r>
    </w:p>
    <w:p w:rsidR="009868FC" w:rsidRPr="009868FC" w:rsidP="003C0EF5">
      <w:pPr>
        <w:pStyle w:val="BodyText"/>
        <w:widowControl w:val="0"/>
        <w:spacing w:line="420" w:lineRule="exact"/>
        <w:ind w:left="0" w:right="0"/>
        <w:jc w:val="center"/>
        <w:rPr>
          <w:rFonts w:cs="B Zar" w:hint="cs"/>
          <w:b/>
          <w:bCs/>
          <w:rtl/>
          <w:lang w:bidi="fa-IR"/>
        </w:rPr>
      </w:pPr>
    </w:p>
    <w:p w:rsidR="009868FC" w:rsidRPr="00C178FE" w:rsidP="003C0EF5">
      <w:pPr>
        <w:pStyle w:val="BodyText"/>
        <w:widowControl w:val="0"/>
        <w:spacing w:line="420" w:lineRule="exact"/>
        <w:ind w:left="0" w:right="0"/>
        <w:jc w:val="center"/>
        <w:rPr>
          <w:rFonts w:cs="B Zar" w:hint="cs"/>
          <w:b/>
          <w:bCs/>
          <w:szCs w:val="28"/>
          <w:rtl/>
        </w:rPr>
      </w:pPr>
      <w:r w:rsidRPr="00C178FE">
        <w:rPr>
          <w:rFonts w:cs="B Zar" w:hint="cs"/>
          <w:b/>
          <w:bCs/>
          <w:szCs w:val="28"/>
          <w:rtl/>
        </w:rPr>
        <w:t>دوره نوكلاسيك</w:t>
      </w:r>
    </w:p>
    <w:p w:rsidR="009868FC" w:rsidRPr="009868FC" w:rsidP="003C0EF5">
      <w:pPr>
        <w:widowControl w:val="0"/>
        <w:spacing w:line="420" w:lineRule="exact"/>
        <w:ind w:left="0" w:right="0"/>
        <w:jc w:val="both"/>
        <w:rPr>
          <w:rFonts w:cs="B Zar" w:hint="cs"/>
          <w:sz w:val="28"/>
          <w:szCs w:val="28"/>
          <w:rtl/>
        </w:rPr>
      </w:pPr>
    </w:p>
    <w:p w:rsidR="00C178FE" w:rsidP="003C0EF5">
      <w:pPr>
        <w:widowControl w:val="0"/>
        <w:spacing w:line="420" w:lineRule="exact"/>
        <w:ind w:left="0" w:right="0"/>
        <w:jc w:val="center"/>
        <w:rPr>
          <w:rFonts w:cs="B Zar" w:hint="cs"/>
          <w:b/>
          <w:bCs/>
          <w:sz w:val="28"/>
          <w:szCs w:val="28"/>
          <w:rtl/>
        </w:rPr>
      </w:pPr>
      <w:r w:rsidRPr="009868FC" w:rsidR="009868FC">
        <w:rPr>
          <w:rFonts w:cs="B Zar"/>
          <w:sz w:val="28"/>
          <w:szCs w:val="28"/>
          <w:rtl/>
        </w:rPr>
        <w:br w:type="page"/>
      </w:r>
    </w:p>
    <w:p w:rsidR="00C178FE" w:rsidP="003C0EF5">
      <w:pPr>
        <w:widowControl w:val="0"/>
        <w:spacing w:line="420" w:lineRule="exact"/>
        <w:ind w:left="0" w:right="0"/>
        <w:jc w:val="center"/>
        <w:rPr>
          <w:rFonts w:cs="B Zar" w:hint="cs"/>
          <w:b/>
          <w:bCs/>
          <w:sz w:val="28"/>
          <w:szCs w:val="28"/>
          <w:rtl/>
        </w:rPr>
      </w:pPr>
    </w:p>
    <w:p w:rsidR="009868FC" w:rsidRPr="009868FC" w:rsidP="003C0EF5">
      <w:pPr>
        <w:widowControl w:val="0"/>
        <w:spacing w:line="420" w:lineRule="exact"/>
        <w:ind w:left="0" w:right="0"/>
        <w:jc w:val="center"/>
        <w:rPr>
          <w:rFonts w:cs="B Zar" w:hint="cs"/>
          <w:b/>
          <w:bCs/>
          <w:sz w:val="28"/>
          <w:szCs w:val="28"/>
          <w:rtl/>
        </w:rPr>
      </w:pPr>
      <w:r w:rsidRPr="009868FC">
        <w:rPr>
          <w:rFonts w:cs="B Zar" w:hint="cs"/>
          <w:b/>
          <w:bCs/>
          <w:sz w:val="28"/>
          <w:szCs w:val="28"/>
          <w:rtl/>
        </w:rPr>
        <w:t>اهميت گيتا</w:t>
      </w:r>
    </w:p>
    <w:p w:rsidR="009868FC" w:rsidRPr="009868FC" w:rsidP="003C0EF5">
      <w:pPr>
        <w:widowControl w:val="0"/>
        <w:spacing w:line="420" w:lineRule="exact"/>
        <w:ind w:left="0" w:right="0"/>
        <w:jc w:val="both"/>
        <w:rPr>
          <w:rFonts w:cs="B Zar"/>
        </w:rPr>
      </w:pPr>
    </w:p>
    <w:p w:rsidR="009868FC" w:rsidRPr="009868FC" w:rsidP="003C0EF5">
      <w:pPr>
        <w:widowControl w:val="0"/>
        <w:spacing w:line="420" w:lineRule="exact"/>
        <w:ind w:left="0" w:right="0"/>
        <w:jc w:val="both"/>
        <w:rPr>
          <w:rFonts w:cs="B Zar" w:hint="cs"/>
          <w:rtl/>
        </w:rPr>
      </w:pPr>
      <w:r w:rsidRPr="009868FC">
        <w:rPr>
          <w:rFonts w:cs="B Zar" w:hint="cs"/>
          <w:rtl/>
        </w:rPr>
        <w:t>اگر كسي بپرسد انجيل هندوها كدام است، بايد گفت گيتا. ريگ ودا و سام ودا مقدس ترين متن ديني نزد برهمنان و روحانيون است.، اوپانيشاد مهمترين متن نزد حكيمان و فيلسوفان است</w:t>
      </w:r>
      <w:r w:rsidRPr="009868FC">
        <w:rPr>
          <w:rFonts w:cs="B Zar" w:hint="cs"/>
          <w:rtl/>
          <w:lang w:bidi="fa-IR"/>
        </w:rPr>
        <w:t>،</w:t>
      </w:r>
      <w:r w:rsidRPr="009868FC">
        <w:rPr>
          <w:rFonts w:cs="B Zar" w:hint="cs"/>
          <w:rtl/>
        </w:rPr>
        <w:t xml:space="preserve"> اما براي اكثزيت قاطع مردم هند، مهمترين كتاب مقدس گيتا است. هر چند وداها كتب آسماني محسوب مي شوند، اما اگر ملاك نفوذ و تاثير همگاني باشد، بدون ترديد گيتا كتاب مقدس اصلي هندوها است.</w:t>
      </w:r>
    </w:p>
    <w:p w:rsidR="009868FC" w:rsidRPr="009868FC" w:rsidP="003C0EF5">
      <w:pPr>
        <w:widowControl w:val="0"/>
        <w:spacing w:line="420" w:lineRule="exact"/>
        <w:ind w:left="0" w:right="0"/>
        <w:jc w:val="both"/>
        <w:rPr>
          <w:rFonts w:cs="B Zar" w:hint="cs"/>
          <w:rtl/>
        </w:rPr>
      </w:pPr>
      <w:r w:rsidRPr="009868FC">
        <w:rPr>
          <w:rFonts w:cs="B Zar" w:hint="cs"/>
          <w:rtl/>
        </w:rPr>
        <w:t>استادان و پرچمداران بزرگ تمام مكاتب ديني ديدگاه هاي خود را با گيتا تطبيق نموده و تلاش كرده‌اند از گيتا تأييديه بگيرند. هواداران ودا، گيتا را جوهر و عصارة ودا و ادامه دهندة خط آن مي‌دانند.</w:t>
      </w:r>
      <w:r>
        <w:rPr>
          <w:rStyle w:val="FootnoteReference"/>
          <w:rFonts w:cs="B Zar"/>
          <w:sz w:val="28"/>
          <w:szCs w:val="28"/>
          <w:rtl/>
        </w:rPr>
        <w:footnoteReference w:id="645"/>
      </w:r>
      <w:r w:rsidRPr="009868FC">
        <w:rPr>
          <w:rFonts w:cs="B Zar" w:hint="cs"/>
          <w:rtl/>
        </w:rPr>
        <w:t xml:space="preserve"> هوادران اوپانيشاد، گيتا را جوهر و عصاره، «كره‌اي كه از شير اوپانيشاد گرفته شده» ميدانند.</w:t>
      </w:r>
    </w:p>
    <w:p w:rsidR="009868FC" w:rsidP="003C0EF5">
      <w:pPr>
        <w:widowControl w:val="0"/>
        <w:spacing w:line="420" w:lineRule="exact"/>
        <w:ind w:left="0" w:right="0"/>
        <w:jc w:val="both"/>
        <w:rPr>
          <w:rFonts w:cs="B Zar" w:hint="cs"/>
          <w:rtl/>
        </w:rPr>
      </w:pPr>
      <w:r w:rsidRPr="009868FC">
        <w:rPr>
          <w:rFonts w:cs="B Zar" w:hint="cs"/>
          <w:rtl/>
        </w:rPr>
        <w:t>برخي گيتا را از جملة اوپانيشادها مي‌دانند</w:t>
      </w:r>
      <w:r>
        <w:rPr>
          <w:rStyle w:val="FootnoteReference"/>
          <w:rFonts w:cs="B Zar"/>
          <w:sz w:val="28"/>
          <w:szCs w:val="28"/>
          <w:rtl/>
        </w:rPr>
        <w:footnoteReference w:id="646"/>
      </w:r>
      <w:r w:rsidRPr="009868FC">
        <w:rPr>
          <w:rFonts w:cs="B Zar" w:hint="cs"/>
          <w:rtl/>
        </w:rPr>
        <w:t>. مرتاضان، عرفا و يوگي‌ها از دو هزار سال پيش گيتا را، رسالة علميه و متن مقدس يوگا محسوب كرده‌اند. تمام يوگي ها و مرتاضان معروف، بر گيتا حاشيه نوشته اند</w:t>
      </w:r>
      <w:r>
        <w:rPr>
          <w:rStyle w:val="FootnoteReference"/>
          <w:rFonts w:cs="B Zar"/>
          <w:sz w:val="28"/>
          <w:szCs w:val="28"/>
          <w:rtl/>
        </w:rPr>
        <w:footnoteReference w:id="647"/>
      </w:r>
      <w:r w:rsidRPr="009868FC">
        <w:rPr>
          <w:rFonts w:cs="B Zar" w:hint="cs"/>
          <w:rtl/>
        </w:rPr>
        <w:t>. شوادهياي (ذكر)، يكي از روشهاي اساسي يوگا است و عمدتاً اذكار و اورادِ گيتا را شامل مي شود. اگر اهميت يك كتاب را از تعداد تفاسير، شرحها و ترجمه ها بتوان سنجيد، باز گيتا مهمترين كتاب مقدس هند است. از زمان شانكارا تا حال هر حكيم، عالم و عارف كوچك و بزرگ بر آن شرح و حاشيه نوشته است. صدها بار به زبانهاي خارجي ترجمه و منتشر شده و در دو قرن اخير، به شدت مورد توجه بوده است.</w:t>
      </w:r>
    </w:p>
    <w:p w:rsidR="003F3D74" w:rsidRPr="009868FC" w:rsidP="003C0EF5">
      <w:pPr>
        <w:widowControl w:val="0"/>
        <w:spacing w:line="420" w:lineRule="exact"/>
        <w:ind w:left="0" w:right="0"/>
        <w:jc w:val="both"/>
        <w:rPr>
          <w:rFonts w:cs="B Zar" w:hint="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پذيرش عمومي و مقبوليت گيتا را مي توان در عوامل و نكات زير جستجو كرد:</w:t>
      </w:r>
    </w:p>
    <w:p w:rsidR="009868FC" w:rsidRPr="009868FC" w:rsidP="003C0EF5">
      <w:pPr>
        <w:widowControl w:val="0"/>
        <w:spacing w:line="420" w:lineRule="exact"/>
        <w:ind w:left="0" w:right="0"/>
        <w:jc w:val="both"/>
        <w:rPr>
          <w:rFonts w:cs="B Zar" w:hint="cs"/>
          <w:rtl/>
        </w:rPr>
      </w:pPr>
      <w:r w:rsidRPr="009868FC">
        <w:rPr>
          <w:rFonts w:cs="B Zar" w:hint="cs"/>
          <w:b/>
          <w:bCs/>
          <w:rtl/>
        </w:rPr>
        <w:t>الف ـ‌</w:t>
      </w:r>
      <w:r w:rsidRPr="009868FC">
        <w:rPr>
          <w:rFonts w:cs="B Zar" w:hint="cs"/>
          <w:rtl/>
        </w:rPr>
        <w:t xml:space="preserve"> گيتا؛ سنتز، تركيب، عصاره و جوهر كل روندِ انديشه ديني فلسفي است. ماهيت تركيبي و سنتزي اين رساله موجب شد كه مورد پذيرش همگاني قرار گيرد. آريائيان هند داراي نگرش جامد و راكد نبودند و ذهنشان همواره در صدد ايجاد سنتز بود. در ودا مي‌خوانيم: «حقيقت يكي است، حكيمان آنرا در تعابير مختلف بيان كرده‌اند»</w:t>
      </w:r>
      <w:r>
        <w:rPr>
          <w:rStyle w:val="FootnoteReference"/>
          <w:rFonts w:cs="B Zar"/>
          <w:sz w:val="28"/>
          <w:szCs w:val="28"/>
          <w:rtl/>
        </w:rPr>
        <w:footnoteReference w:id="648"/>
      </w:r>
      <w:r w:rsidRPr="009868FC">
        <w:rPr>
          <w:rFonts w:cs="B Zar" w:hint="cs"/>
          <w:rtl/>
        </w:rPr>
        <w:t>. اوپانيشاد گرچه تلاشي براي طرح نظريه‌هاي مختلف بود، ولي شاهكار ديدگاه‌هاي مختلف و طرق گوناگون عرفاني هند، گيتا است. همه ديدگاه‌هاي ظاهراً متضاد، به صورت اجزاي يك حقيقت، و در رخساره هاي يك واقعيت در گيتا آمده است.</w:t>
      </w:r>
    </w:p>
    <w:p w:rsidR="009868FC" w:rsidRPr="009868FC" w:rsidP="003C0EF5">
      <w:pPr>
        <w:widowControl w:val="0"/>
        <w:spacing w:line="420" w:lineRule="exact"/>
        <w:ind w:left="0" w:right="0"/>
        <w:jc w:val="both"/>
        <w:rPr>
          <w:rFonts w:cs="B Zar" w:hint="cs"/>
          <w:rtl/>
        </w:rPr>
      </w:pPr>
      <w:r w:rsidRPr="009868FC">
        <w:rPr>
          <w:rFonts w:cs="B Zar" w:hint="cs"/>
          <w:rtl/>
        </w:rPr>
        <w:t>اين ديد كاتوليكي و تركيبي موجب شد كه مورد قبول همه مكاتب قرار گيرد. كسانيكه اين ديد را نيافتند، آنرا به تناقض‌گوئي متهم ساختند. چيزي را كه آنان نقص پنداشتند، سرِّ توفيق گيتا است. «تيلاك» گيتا را جوهر و عصارة انديشة عرفاني ـ فلسفي هند مي داند</w:t>
      </w:r>
      <w:r>
        <w:rPr>
          <w:rStyle w:val="FootnoteReference"/>
          <w:rFonts w:cs="B Zar"/>
          <w:sz w:val="28"/>
          <w:szCs w:val="28"/>
          <w:rtl/>
        </w:rPr>
        <w:footnoteReference w:id="649"/>
      </w:r>
      <w:r w:rsidRPr="009868FC">
        <w:rPr>
          <w:rFonts w:cs="B Zar" w:hint="cs"/>
          <w:rtl/>
        </w:rPr>
        <w:t>. رادا كريشنان مي‌گويد</w:t>
      </w:r>
      <w:r w:rsidRPr="009868FC">
        <w:rPr>
          <w:rFonts w:cs="B Zar" w:hint="cs"/>
          <w:i/>
          <w:iCs/>
          <w:rtl/>
        </w:rPr>
        <w:t>: «علت آنكه تمام مكاتب، گيتا را از آن خود دانستند، آنست كه: گيتا حقيقت را در جنبه ها و ابعاد مختلف مورد توجه قرار مي دهد و آنرا در فورمولهاي خاصي خلاصه نمي كند و در ديدگاه محدودي منحصر نمي‌داند»</w:t>
      </w:r>
      <w:r>
        <w:rPr>
          <w:rStyle w:val="FootnoteReference"/>
          <w:rFonts w:cs="B Zar"/>
          <w:i/>
          <w:iCs/>
          <w:sz w:val="28"/>
          <w:szCs w:val="28"/>
          <w:rtl/>
        </w:rPr>
        <w:footnoteReference w:id="650"/>
      </w:r>
      <w:r w:rsidRPr="009868FC">
        <w:rPr>
          <w:rFonts w:cs="B Zar" w:hint="cs"/>
          <w:i/>
          <w:iCs/>
          <w:rtl/>
        </w:rPr>
        <w:t>.</w:t>
      </w:r>
    </w:p>
    <w:p w:rsidR="009868FC" w:rsidRPr="009868FC" w:rsidP="003C0EF5">
      <w:pPr>
        <w:widowControl w:val="0"/>
        <w:spacing w:line="420" w:lineRule="exact"/>
        <w:ind w:left="0" w:right="0"/>
        <w:jc w:val="both"/>
        <w:rPr>
          <w:rFonts w:cs="B Zar" w:hint="cs"/>
          <w:rtl/>
        </w:rPr>
      </w:pPr>
      <w:r w:rsidRPr="009868FC">
        <w:rPr>
          <w:rFonts w:cs="B Zar" w:hint="cs"/>
          <w:rtl/>
        </w:rPr>
        <w:t>گيتا نه تنها ديدگاههاي مختلف فلسفي را با هم سازگار نمود، بلكه فلسفه، عرفان، كلام، طريق معرفت، طريق ولاء و طريق عمل اجتماعي را نيز درهم آميخت. اگر ودا مجموعة اذكار و مناسك است و اوپانيشاد كتاب عرفان، برهما سوترا</w:t>
      </w:r>
      <w:r w:rsidRPr="009868FC">
        <w:rPr>
          <w:rFonts w:cs="B Zar"/>
        </w:rPr>
        <w:t xml:space="preserve">(Barhama Sutra) </w:t>
      </w:r>
      <w:r w:rsidRPr="009868FC">
        <w:rPr>
          <w:rFonts w:cs="B Zar" w:hint="cs"/>
          <w:rtl/>
        </w:rPr>
        <w:t xml:space="preserve">، </w:t>
      </w:r>
      <w:r w:rsidRPr="009868FC">
        <w:rPr>
          <w:rFonts w:cs="B Zar" w:hint="cs"/>
          <w:b/>
          <w:bCs/>
          <w:rtl/>
        </w:rPr>
        <w:t>(ويدانتا سوترا</w:t>
      </w:r>
      <w:r w:rsidRPr="009868FC">
        <w:rPr>
          <w:rFonts w:cs="B Zar"/>
          <w:b/>
          <w:bCs/>
        </w:rPr>
        <w:t>Vedanta Sutra=</w:t>
      </w:r>
      <w:r w:rsidRPr="009868FC">
        <w:rPr>
          <w:rFonts w:cs="B Zar" w:hint="cs"/>
          <w:b/>
          <w:bCs/>
          <w:rtl/>
        </w:rPr>
        <w:t>)</w:t>
      </w:r>
      <w:r w:rsidRPr="009868FC">
        <w:rPr>
          <w:rFonts w:cs="B Zar" w:hint="cs"/>
          <w:rtl/>
        </w:rPr>
        <w:t xml:space="preserve"> رسالة فلسفه و يوگا ساستر پاتانجالي</w:t>
      </w:r>
      <w:r w:rsidRPr="009868FC">
        <w:rPr>
          <w:rFonts w:cs="B Zar"/>
        </w:rPr>
        <w:t xml:space="preserve"> (Patanjali) </w:t>
      </w:r>
      <w:r w:rsidRPr="009868FC">
        <w:rPr>
          <w:rFonts w:cs="B Zar" w:hint="cs"/>
          <w:rtl/>
        </w:rPr>
        <w:t>، رساله عملية يوگا است. گيتا عليرغم آنكه يكي از مختصرترين كتب مقدس جهان است، همة اينها مي‌باشد. گيتا (برهما ودا</w:t>
      </w:r>
      <w:r w:rsidRPr="009868FC">
        <w:rPr>
          <w:rFonts w:cs="B Zar"/>
        </w:rPr>
        <w:t xml:space="preserve">(Barhamveda= </w:t>
      </w:r>
      <w:r w:rsidRPr="009868FC">
        <w:rPr>
          <w:rFonts w:cs="B Zar" w:hint="cs"/>
          <w:rtl/>
        </w:rPr>
        <w:t>)، معرفت ماورالطبيعه، (يوگا ساستر</w:t>
      </w:r>
      <w:r w:rsidRPr="009868FC">
        <w:rPr>
          <w:rFonts w:cs="B Zar"/>
        </w:rPr>
        <w:t xml:space="preserve">Yogasastra= </w:t>
      </w:r>
      <w:r w:rsidRPr="009868FC">
        <w:rPr>
          <w:rFonts w:cs="B Zar" w:hint="cs"/>
          <w:rtl/>
        </w:rPr>
        <w:t>) رهنمود عمل اخلاقي و مرشد سير و سلوك هم مي‌باشد.</w:t>
      </w:r>
    </w:p>
    <w:p w:rsidR="009868FC" w:rsidRPr="009868FC" w:rsidP="003C0EF5">
      <w:pPr>
        <w:widowControl w:val="0"/>
        <w:spacing w:line="420" w:lineRule="exact"/>
        <w:ind w:left="0" w:right="0"/>
        <w:jc w:val="both"/>
        <w:rPr>
          <w:rFonts w:cs="B Zar" w:hint="cs"/>
          <w:rtl/>
        </w:rPr>
      </w:pPr>
      <w:r w:rsidRPr="009868FC">
        <w:rPr>
          <w:rFonts w:cs="B Zar" w:hint="cs"/>
          <w:rtl/>
        </w:rPr>
        <w:t>گيتا دانش نظري و دانش عملي را يكجا جمع كرد. هم ماهيت حقيقت مطلق را مورد بحث قرار داد و هم طرق نيل به آن را. در گيتا معرفت نظري و عملي از همديگر جدا نيستند. قلمرو روح، جدا از قلمرو زندگي اجتماعي نيست. تقسيم وجود انسان به انديشه، حالات روحي و عمل اجتماعي، تجزيه يك حقيقت لايتجزي و تجاوز به وجود و تماميت هستي است. نظام ماوراء و تجربي، روحي و اجتماعي، اخروي و دنيوي، بهم پيوسته‌اند. شش فصل نخست گيتا به عمل اخلاقي پرداخته، شش فصل بعدي به معرفت نظري و شش فصل آخر هر دو را توأمان مورد بحث قرار مي دهد.</w:t>
      </w:r>
    </w:p>
    <w:p w:rsidR="009868FC" w:rsidP="003C0EF5">
      <w:pPr>
        <w:widowControl w:val="0"/>
        <w:spacing w:line="420" w:lineRule="exact"/>
        <w:ind w:left="0" w:right="0"/>
        <w:jc w:val="both"/>
        <w:rPr>
          <w:rFonts w:cs="B Zar" w:hint="cs"/>
          <w:rtl/>
        </w:rPr>
      </w:pPr>
      <w:r w:rsidRPr="009868FC">
        <w:rPr>
          <w:rFonts w:cs="B Zar" w:hint="cs"/>
          <w:rtl/>
        </w:rPr>
        <w:t>اين نگرش جامع و سنتزي نخستين عامل مقبوليت همگاني گيتا است. هر مكتب و فردي، چيزي در گيتا پيدا مي كند كه او را ذوق زده سازد.</w:t>
      </w:r>
    </w:p>
    <w:p w:rsidR="003F3D74" w:rsidRPr="009868FC" w:rsidP="003C0EF5">
      <w:pPr>
        <w:widowControl w:val="0"/>
        <w:spacing w:line="420" w:lineRule="exact"/>
        <w:ind w:left="0" w:right="0"/>
        <w:jc w:val="both"/>
        <w:rPr>
          <w:rFonts w:cs="B Zar" w:hint="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ب: عموميت گيتا:</w:t>
      </w:r>
    </w:p>
    <w:p w:rsidR="009868FC" w:rsidRPr="009868FC" w:rsidP="003C0EF5">
      <w:pPr>
        <w:widowControl w:val="0"/>
        <w:spacing w:line="420" w:lineRule="exact"/>
        <w:ind w:left="0" w:right="0"/>
        <w:jc w:val="both"/>
        <w:rPr>
          <w:rFonts w:cs="B Zar" w:hint="cs"/>
          <w:rtl/>
        </w:rPr>
      </w:pPr>
      <w:r w:rsidRPr="009868FC">
        <w:rPr>
          <w:rFonts w:cs="B Zar" w:hint="cs"/>
          <w:rtl/>
        </w:rPr>
        <w:t>عامل دوم مقبوليت فوق‌العادة گيتا عموميت آن است. بدين معنا كه مطالب و سبك آن براي خواص و عوام مفيد است. ودا</w:t>
      </w:r>
      <w:r w:rsidRPr="009868FC">
        <w:rPr>
          <w:rFonts w:cs="B Zar"/>
        </w:rPr>
        <w:t xml:space="preserve"> (Veda </w:t>
      </w:r>
      <w:r w:rsidRPr="009868FC">
        <w:rPr>
          <w:rFonts w:cs="B Zar" w:hint="cs"/>
          <w:rtl/>
        </w:rPr>
        <w:t>، تنها به كار روحانيون و برهمانان مي‌آيد. آنان در رهبري مناسك ديني، اوراد و اذكار آنرا قرائت مي كنند. اوپانيشادها</w:t>
      </w:r>
      <w:r w:rsidRPr="009868FC">
        <w:rPr>
          <w:rFonts w:cs="B Zar"/>
        </w:rPr>
        <w:t xml:space="preserve">(Upanishads) </w:t>
      </w:r>
      <w:r w:rsidRPr="009868FC">
        <w:rPr>
          <w:rFonts w:cs="B Zar" w:hint="cs"/>
          <w:rtl/>
        </w:rPr>
        <w:t xml:space="preserve"> براي حكيمان متاله و يوگي ها (مرتاضان) نگاشته شده است و مطالب آن براي عموم مردم ثقيل و غير قابل درك است. معارف برهمان و آتمان و فلسفه وحدت الوجودي براي عموم مردم جاذبه‌اي ندارد. برهما سوترا</w:t>
      </w:r>
      <w:r w:rsidRPr="009868FC">
        <w:rPr>
          <w:rFonts w:cs="B Zar"/>
        </w:rPr>
        <w:t xml:space="preserve"> (Barhama Sutra)</w:t>
      </w:r>
      <w:r w:rsidRPr="009868FC">
        <w:rPr>
          <w:rFonts w:cs="B Zar" w:hint="cs"/>
          <w:rtl/>
        </w:rPr>
        <w:t>، تنها براي فيلسوفان و متكلمان مفيد است و يوگ سوترا تنها براي مرتاضان. رسائل «پورانا</w:t>
      </w:r>
      <w:r w:rsidRPr="009868FC">
        <w:rPr>
          <w:rFonts w:cs="B Zar"/>
        </w:rPr>
        <w:t xml:space="preserve"> (Purana)</w:t>
      </w:r>
      <w:r w:rsidRPr="009868FC">
        <w:rPr>
          <w:rFonts w:cs="B Zar" w:hint="cs"/>
          <w:rtl/>
        </w:rPr>
        <w:t>» مهابهاراتا</w:t>
      </w:r>
      <w:r w:rsidRPr="009868FC">
        <w:rPr>
          <w:rFonts w:cs="B Zar"/>
        </w:rPr>
        <w:t xml:space="preserve">(Mahabharata)  </w:t>
      </w:r>
      <w:r w:rsidRPr="009868FC">
        <w:rPr>
          <w:rFonts w:cs="B Zar" w:hint="cs"/>
          <w:rtl/>
        </w:rPr>
        <w:t xml:space="preserve"> و رامايان</w:t>
      </w:r>
      <w:r w:rsidRPr="009868FC">
        <w:rPr>
          <w:rFonts w:cs="B Zar"/>
        </w:rPr>
        <w:t xml:space="preserve">(Ramayana)  </w:t>
      </w:r>
      <w:r w:rsidRPr="009868FC">
        <w:rPr>
          <w:rFonts w:cs="B Zar" w:hint="cs"/>
          <w:rtl/>
        </w:rPr>
        <w:t>، جنبة قصص و اساطيري دارد و براي عوام جاذبه داشته و حكيمان و مردان فكور را اقناع نمي‌كند. گيتا يگانه متن مقدس هندوها است كه هر خاص و عامي را اقناع مي كند. فلسفه ودانت</w:t>
      </w:r>
      <w:r w:rsidRPr="009868FC">
        <w:rPr>
          <w:rFonts w:cs="B Zar"/>
        </w:rPr>
        <w:t xml:space="preserve"> (Vedanta) </w:t>
      </w:r>
      <w:r w:rsidRPr="009868FC">
        <w:rPr>
          <w:rFonts w:cs="B Zar" w:hint="cs"/>
          <w:rtl/>
        </w:rPr>
        <w:t xml:space="preserve"> و آئين يوگ</w:t>
      </w:r>
      <w:r w:rsidRPr="009868FC">
        <w:rPr>
          <w:rFonts w:cs="B Zar"/>
        </w:rPr>
        <w:t xml:space="preserve">(Yoga)  </w:t>
      </w:r>
      <w:r w:rsidRPr="009868FC">
        <w:rPr>
          <w:rFonts w:cs="B Zar" w:hint="cs"/>
          <w:rtl/>
        </w:rPr>
        <w:t xml:space="preserve"> با بينش ولايت محوري در هم آميخته شده و در نتيجه، نظامي ارائه كرده است كه تمام اقشار جامعه را تحت پوشش مي‌گيرد. رادا كريشنان مي‌نگارد: </w:t>
      </w:r>
      <w:r w:rsidRPr="009868FC">
        <w:rPr>
          <w:rFonts w:cs="B Zar" w:hint="cs"/>
          <w:i/>
          <w:iCs/>
          <w:rtl/>
        </w:rPr>
        <w:t>«بگوات گيتا، رساله‌اي فلسفي نيست، بلكه متني ديني و عرفاني است. كتابي پيچيده و فلسفي نيست كه تنها براي خاصان باشد، بلكه اشعاري است كه عموم مردم از آن لذت مي برند</w:t>
      </w:r>
      <w:r w:rsidRPr="009868FC">
        <w:rPr>
          <w:rFonts w:cs="B Zar" w:hint="cs"/>
          <w:i/>
          <w:iCs/>
          <w:rtl/>
          <w:lang w:bidi="fa-IR"/>
        </w:rPr>
        <w:t>»</w:t>
      </w:r>
      <w:r>
        <w:rPr>
          <w:rStyle w:val="FootnoteReference"/>
          <w:rFonts w:cs="B Zar"/>
          <w:i/>
          <w:iCs/>
          <w:rtl/>
          <w:lang w:bidi="fa-IR"/>
        </w:rPr>
        <w:footnoteReference w:id="651"/>
      </w:r>
      <w:r w:rsidRPr="009868FC">
        <w:rPr>
          <w:rFonts w:cs="B Zar" w:hint="cs"/>
          <w:i/>
          <w:iCs/>
          <w:rtl/>
        </w:rPr>
        <w:t>.</w:t>
      </w:r>
    </w:p>
    <w:p w:rsidR="009868FC" w:rsidRPr="009868FC" w:rsidP="003C0EF5">
      <w:pPr>
        <w:widowControl w:val="0"/>
        <w:spacing w:line="420" w:lineRule="exact"/>
        <w:ind w:left="0" w:right="0"/>
        <w:jc w:val="both"/>
        <w:rPr>
          <w:rFonts w:cs="B Zar" w:hint="cs"/>
          <w:i/>
          <w:iCs/>
          <w:rtl/>
        </w:rPr>
      </w:pPr>
      <w:r w:rsidRPr="009868FC">
        <w:rPr>
          <w:rFonts w:cs="B Zar" w:hint="cs"/>
          <w:rtl/>
        </w:rPr>
        <w:t>يكي از علل اصلي مقبوليت گيتا سادگي آن است. بال گانگا دهار تيلاك</w:t>
      </w:r>
      <w:r w:rsidRPr="009868FC">
        <w:rPr>
          <w:rFonts w:cs="B Zar"/>
        </w:rPr>
        <w:t xml:space="preserve">(Bal Ganga Dhar Tilak)  </w:t>
      </w:r>
      <w:r w:rsidRPr="009868FC">
        <w:rPr>
          <w:rFonts w:cs="B Zar" w:hint="cs"/>
          <w:rtl/>
        </w:rPr>
        <w:t xml:space="preserve"> مي‌گويد: </w:t>
      </w:r>
      <w:r w:rsidRPr="009868FC">
        <w:rPr>
          <w:rFonts w:cs="B Zar" w:hint="cs"/>
          <w:i/>
          <w:iCs/>
          <w:rtl/>
        </w:rPr>
        <w:t>«در ميان ادبيات مذهبي دنيا، كمتر كتاب مقدسي را مي‌توان يافت كه به اندازة گيتا مختصر و ساده باشد»</w:t>
      </w:r>
      <w:r>
        <w:rPr>
          <w:rStyle w:val="FootnoteReference"/>
          <w:rFonts w:cs="B Zar"/>
          <w:i/>
          <w:iCs/>
          <w:rtl/>
        </w:rPr>
        <w:footnoteReference w:id="652"/>
      </w:r>
      <w:r w:rsidRPr="009868FC">
        <w:rPr>
          <w:rFonts w:cs="B Zar" w:hint="cs"/>
          <w:i/>
          <w:iCs/>
          <w:rtl/>
        </w:rPr>
        <w:t>.</w:t>
      </w:r>
    </w:p>
    <w:p w:rsidR="009868FC" w:rsidRPr="009868FC" w:rsidP="003C0EF5">
      <w:pPr>
        <w:widowControl w:val="0"/>
        <w:spacing w:line="420" w:lineRule="exact"/>
        <w:ind w:left="0" w:right="0"/>
        <w:jc w:val="both"/>
        <w:rPr>
          <w:rFonts w:cs="B Zar" w:hint="cs"/>
          <w:b/>
          <w:bCs/>
          <w:rtl/>
        </w:rPr>
      </w:pPr>
      <w:r w:rsidRPr="009868FC">
        <w:rPr>
          <w:rFonts w:cs="B Zar" w:hint="cs"/>
          <w:b/>
          <w:bCs/>
          <w:rtl/>
        </w:rPr>
        <w:t>ج: آفاقي و جهاني:</w:t>
      </w:r>
    </w:p>
    <w:p w:rsidR="009868FC" w:rsidRPr="009868FC" w:rsidP="003C0EF5">
      <w:pPr>
        <w:widowControl w:val="0"/>
        <w:spacing w:line="420" w:lineRule="exact"/>
        <w:ind w:left="0" w:right="0"/>
        <w:jc w:val="both"/>
        <w:rPr>
          <w:rFonts w:cs="B Zar" w:hint="cs"/>
          <w:rtl/>
        </w:rPr>
      </w:pPr>
      <w:r w:rsidRPr="009868FC">
        <w:rPr>
          <w:rFonts w:cs="B Zar" w:hint="cs"/>
          <w:rtl/>
        </w:rPr>
        <w:t>گيتا‌درعين حال كه كتاب مقدس هندوهاست، داراي عنصري جهانيست. نظريه وحدت‌الوجود و آئين ولاء و نجات از طريق عمل را، كه در ساير اديان مورد تأكيد قرار گرفته، با گوياترين و رساترين شكل، بيان مي‌دارد. گاندي رهبر بزرگ هند بر اين نكته اصرار داشت كه: گيتا به دين و مذهب خاصي تعلق ندارد، بلكه جنبة آفاقي و بين المذاهبي دارد. پيروان اديان مختلف مي‌توانند انعكاس جوهر تعاليم مذاهب خويش را در گيتا ببينند. از گفته‌هاي آن لذت برند و در زندگي به كار بندند</w:t>
      </w:r>
      <w:r>
        <w:rPr>
          <w:rStyle w:val="FootnoteReference"/>
          <w:rFonts w:cs="B Zar"/>
          <w:sz w:val="28"/>
          <w:szCs w:val="28"/>
          <w:rtl/>
        </w:rPr>
        <w:footnoteReference w:id="653"/>
      </w:r>
      <w:r w:rsidRPr="009868FC">
        <w:rPr>
          <w:rFonts w:cs="B Zar" w:hint="cs"/>
          <w:rtl/>
        </w:rPr>
        <w:t>. رادا كريشنان مي‌گويد: «گيتا منعكس كنندة كل دورنماي انديشة عرفاني و ولايت و محور ابناء بشر است. «الدوس هكسلي» چهرة پرآوازة ادبيات انگليس، مقدمه‌اي بر ترجمه گيتا نگاشته و در آن مي گويد:</w:t>
      </w:r>
    </w:p>
    <w:p w:rsidR="009868FC" w:rsidP="003C0EF5">
      <w:pPr>
        <w:widowControl w:val="0"/>
        <w:spacing w:line="420" w:lineRule="exact"/>
        <w:ind w:left="0" w:right="0"/>
        <w:jc w:val="both"/>
        <w:rPr>
          <w:rFonts w:cs="B Zar" w:hint="cs"/>
          <w:i/>
          <w:iCs/>
          <w:rtl/>
        </w:rPr>
      </w:pPr>
      <w:r w:rsidRPr="009868FC">
        <w:rPr>
          <w:rFonts w:cs="B Zar" w:hint="cs"/>
          <w:i/>
          <w:iCs/>
          <w:rtl/>
        </w:rPr>
        <w:t>«گيتا جامع ترين و ملخّص‌ترين فلسفه عرفان و حكمت متعالي بشر است. از اين روي نه تنها براي هنديان، بلكه براي تمام مردم جهان اهميت دارد. گيتا عصاره اشراقات بشر در طول تاريخ است.</w:t>
      </w:r>
      <w:r>
        <w:rPr>
          <w:rStyle w:val="FootnoteReference"/>
          <w:rFonts w:cs="B Zar"/>
          <w:i/>
          <w:iCs/>
          <w:sz w:val="28"/>
          <w:szCs w:val="28"/>
          <w:rtl/>
        </w:rPr>
        <w:footnoteReference w:id="654"/>
      </w:r>
      <w:r w:rsidRPr="009868FC">
        <w:rPr>
          <w:rFonts w:cs="B Zar" w:hint="cs"/>
          <w:i/>
          <w:iCs/>
          <w:rtl/>
        </w:rPr>
        <w:t>»</w:t>
      </w:r>
    </w:p>
    <w:p w:rsidR="003F3D74" w:rsidRPr="009868FC" w:rsidP="003C0EF5">
      <w:pPr>
        <w:widowControl w:val="0"/>
        <w:spacing w:line="420" w:lineRule="exact"/>
        <w:ind w:left="0" w:right="0"/>
        <w:jc w:val="both"/>
        <w:rPr>
          <w:rFonts w:cs="B Zar" w:hint="cs"/>
          <w:i/>
          <w:i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د: تخاطب شخصي:</w:t>
      </w:r>
    </w:p>
    <w:p w:rsidR="009868FC" w:rsidRPr="009868FC" w:rsidP="003C0EF5">
      <w:pPr>
        <w:widowControl w:val="0"/>
        <w:spacing w:line="420" w:lineRule="exact"/>
        <w:ind w:left="0" w:right="0"/>
        <w:jc w:val="both"/>
        <w:rPr>
          <w:rFonts w:cs="B Zar" w:hint="cs"/>
          <w:rtl/>
        </w:rPr>
      </w:pPr>
      <w:r w:rsidRPr="009868FC">
        <w:rPr>
          <w:rFonts w:cs="B Zar" w:hint="cs"/>
          <w:rtl/>
        </w:rPr>
        <w:t xml:space="preserve">يكي از ويژگيهاي تمام ادبيات بزرگ جهان، به خصوص متون مقدس، تخاطب شخصي آنان است. مقصود ما از </w:t>
      </w:r>
      <w:r w:rsidRPr="009868FC">
        <w:rPr>
          <w:rFonts w:cs="B Zar" w:hint="cs"/>
          <w:b/>
          <w:bCs/>
          <w:rtl/>
        </w:rPr>
        <w:t>«تخاطب شخصي»</w:t>
      </w:r>
      <w:r w:rsidRPr="009868FC">
        <w:rPr>
          <w:rFonts w:cs="B Zar" w:hint="cs"/>
          <w:rtl/>
        </w:rPr>
        <w:t xml:space="preserve"> آن است كه هر خوانند فكر مي كند پاسخي براي مشكل خود يافته و يا اينكه آنچه مي‌خواند، دربارة خود اوست. اين ويژگي حتي در شاهكارهاي ادبي، نظير ديوان حافظ و مثنوي مولاناي روم و يا نمايشنامه‌هاي شكسپير ديده مي‌شود. همين ويژگي است كه فال با ديوان حافظ را رايج كرده است. هشت شاهكار شكسپير نيز براي خوانندة نمايشنامه‌ها و ديدن نمايشهاي مكرر، توأم با چنين گماني است. ترديدي نيست كه در ميان ساير متون ديني هندوان، اين ويژگي در گيتا بيش از هر اثر ديگري وجود دارد. در طي سه هزار سال، ميليونها نفر از هنديان، چنان احساس كرده‌اند كه گيتا دربارة وضع آنان سخن مي‌گويد، و وقتي با مشكلي رو به رو شده‌اند، گيتا به داد آنان رسيده است. گاندي مي‌نويسد:</w:t>
      </w:r>
      <w:r w:rsidRPr="009868FC">
        <w:rPr>
          <w:rFonts w:cs="B Zar"/>
        </w:rPr>
        <w:t xml:space="preserve"> </w:t>
      </w:r>
      <w:r w:rsidRPr="009868FC">
        <w:rPr>
          <w:rFonts w:cs="B Zar" w:hint="cs"/>
          <w:i/>
          <w:iCs/>
          <w:rtl/>
        </w:rPr>
        <w:t>«گيتا نه تنها انجيل من، بلكه بيش از آن مادر من است. من در كودكي مادر زميني‌ام را از دست دادم، ولي اين مادر آسماني هيچگاه مرا رها نكرده است. هرگاه من در دشواري قرار مي‌گيرم، در دو راهه‌ها، در لحظه هاي بحراني، در آغاز به آن پناه مي‌برم. گيتا مادر مهربان جهاني است؛ كسي را از خود دور نمي‌كند؛ كسي را مأيوس نمي‌سازد؛ درِ آستانة آن براي هركس كه نياز آرد، باز است.</w:t>
      </w:r>
      <w:r>
        <w:rPr>
          <w:rStyle w:val="FootnoteReference"/>
          <w:rFonts w:cs="B Zar"/>
          <w:i/>
          <w:iCs/>
          <w:sz w:val="28"/>
          <w:szCs w:val="28"/>
          <w:rtl/>
        </w:rPr>
        <w:footnoteReference w:id="655"/>
      </w:r>
      <w:r w:rsidRPr="009868FC">
        <w:rPr>
          <w:rFonts w:cs="B Zar" w:hint="cs"/>
          <w:i/>
          <w:iCs/>
          <w:rtl/>
        </w:rPr>
        <w:t>»</w:t>
      </w:r>
    </w:p>
    <w:p w:rsidR="009868FC" w:rsidRPr="009868FC" w:rsidP="003C0EF5">
      <w:pPr>
        <w:widowControl w:val="0"/>
        <w:spacing w:line="420" w:lineRule="exact"/>
        <w:ind w:left="0" w:right="0"/>
        <w:jc w:val="both"/>
        <w:rPr>
          <w:rFonts w:cs="B Zar" w:hint="cs"/>
          <w:rtl/>
        </w:rPr>
      </w:pPr>
      <w:r w:rsidRPr="009868FC">
        <w:rPr>
          <w:rFonts w:cs="B Zar" w:hint="cs"/>
          <w:rtl/>
        </w:rPr>
        <w:t>عوامل و ويژگيهاي ياد شده موجب شد تا تأثير گيتا به طور روزافزون توسعه پيدا كند. رادا كريشنان مي گويد: «ميليونها هندو در قرون متوالي از ابيات گيتا الهام گرفتند. تاثير و نفوذ گيتا حتي به چين و ژاپن هم رسيد. معروفترين و مهمترين متون بوداييسم كه در چين و ژاپن رايج گرديد، تحت تاثير تعاليم گيتا برشتة تحرير درآمد و اين دو اثر عبارت‌اند: «مهاياكنس دت پت تي» و «سد درم پندريكا» (گل لالة شريعت راستين). گيتا حتي انديشة اروپايي را تحت تاثير قرار داد. عمل‌گرايان آلماني از نيچه به بعد به  گيتا استناد مي‌كرده‌اند.  وهاور، در كتاب «دين آلماني» «گيتا را به عنوان عصارة انديشة ديني آريايي معرفي كرد. بزرگترين تأثير گيتا طبيعي است كه در هند ديده شود. همانگونه كه ايران را بدون توجه به مذهب تشيع نمي توان شناخت، هند را بدون مطالعة نگرش و تعاليم گيتا نمي توان دريافت. گيتا، نقش اساسي در ساختار  فكر و ذهن هندي داشته است.</w:t>
      </w:r>
    </w:p>
    <w:p w:rsidR="009868FC" w:rsidRPr="009868FC" w:rsidP="003C0EF5">
      <w:pPr>
        <w:widowControl w:val="0"/>
        <w:spacing w:line="420" w:lineRule="exact"/>
        <w:ind w:left="0" w:right="0"/>
        <w:jc w:val="both"/>
        <w:rPr>
          <w:rFonts w:cs="B Zar" w:hint="cs"/>
          <w:rtl/>
        </w:rPr>
      </w:pPr>
      <w:r w:rsidRPr="009868FC">
        <w:rPr>
          <w:rFonts w:cs="B Zar" w:hint="cs"/>
          <w:rtl/>
        </w:rPr>
        <w:t>تاثير گيتا پس از گاندي به خصوص بر طيف هندوهاي روحاني و سيكولار كه حزب كنگره را رهبري كرده و بيش از نيم قرن بر صحنة سياسي ـ اجتماعي هند سلطه دارند، بسيار زياد است. هندوهاي افراطي كه به حزب مخالف افراطي گرائيده‌اند نيز گيتا را «كتاب مقدس» اصلي خود مي‌دانند. هواداران جنبش آريا ساماج كه به ودا علاقة ويژه‌اي دارند، گيتا را پس از ودا از همه مهمتر مي شمرند؛ در حاليكه پيروان راما كريشنا ميشن، سوامي وويكاناند، براي اوپانيشاد و گيتا اهميتی اصلي قائل‌اند. بدينسان تمام اقشار و طيف‌هاي جامعة هندوان، گيتا را ارج مي‌نهند. شناخت روند زندگي فرهنگي ـ اجتماعي و حتي سياسي هند، بدون شناخت فلسفه و تعاليم بگوات گيتا بسيار دشوار است. از اين روي در صفحات بعدي ما به بررسي نسبتاً مفصل گيتا و سپس به ترجمه متن آن و خلاصه تفسير آن مي‌پردازيم. با اين بخش بررسي دورنماي انديشة ديني هند به پايان مي رسد. در جلد دوم ما به بررسي روندهاي جديد و معاصر انديشة ديني در هند و انعكاس آن در صحنه اجتماعي و سياسي خواهيم پرداخت.</w:t>
      </w:r>
    </w:p>
    <w:p w:rsidR="00364FE2" w:rsidP="003C0EF5">
      <w:pPr>
        <w:widowControl w:val="0"/>
        <w:spacing w:line="420" w:lineRule="exact"/>
        <w:ind w:left="0" w:right="0"/>
        <w:jc w:val="center"/>
        <w:rPr>
          <w:rFonts w:cs="B Zar" w:hint="cs"/>
          <w:b/>
          <w:bCs/>
          <w:sz w:val="28"/>
          <w:szCs w:val="28"/>
          <w:rtl/>
        </w:rPr>
      </w:pPr>
      <w:r w:rsidRPr="009868FC" w:rsidR="009868FC">
        <w:rPr>
          <w:rFonts w:cs="B Zar"/>
          <w:sz w:val="28"/>
          <w:szCs w:val="28"/>
          <w:rtl/>
        </w:rPr>
        <w:br w:type="page"/>
      </w:r>
    </w:p>
    <w:p w:rsidR="009868FC" w:rsidRPr="009868FC" w:rsidP="003C0EF5">
      <w:pPr>
        <w:widowControl w:val="0"/>
        <w:spacing w:line="420" w:lineRule="exact"/>
        <w:ind w:left="0" w:right="0"/>
        <w:jc w:val="center"/>
        <w:rPr>
          <w:rFonts w:cs="B Zar" w:hint="cs"/>
          <w:b/>
          <w:bCs/>
          <w:sz w:val="28"/>
          <w:szCs w:val="28"/>
          <w:rtl/>
        </w:rPr>
      </w:pPr>
      <w:r w:rsidR="007F38DA">
        <w:rPr>
          <w:rFonts w:cs="B Zar" w:hint="cs"/>
          <w:b/>
          <w:bCs/>
          <w:sz w:val="28"/>
          <w:szCs w:val="28"/>
          <w:rtl/>
        </w:rPr>
        <w:t xml:space="preserve"> </w:t>
      </w:r>
    </w:p>
    <w:p w:rsidR="009868FC" w:rsidRPr="009868FC" w:rsidP="003C0EF5">
      <w:pPr>
        <w:widowControl w:val="0"/>
        <w:spacing w:line="420" w:lineRule="exact"/>
        <w:ind w:left="0" w:right="0"/>
        <w:jc w:val="center"/>
        <w:rPr>
          <w:rFonts w:cs="B Zar" w:hint="cs"/>
          <w:b/>
          <w:bCs/>
          <w:sz w:val="28"/>
          <w:szCs w:val="28"/>
          <w:rtl/>
        </w:rPr>
      </w:pPr>
      <w:r w:rsidRPr="009868FC">
        <w:rPr>
          <w:rFonts w:cs="B Zar" w:hint="cs"/>
          <w:b/>
          <w:bCs/>
          <w:sz w:val="28"/>
          <w:szCs w:val="28"/>
          <w:rtl/>
        </w:rPr>
        <w:t>ماهيت گيتا</w:t>
      </w:r>
    </w:p>
    <w:p w:rsidR="009868FC" w:rsidRPr="009868FC" w:rsidP="003C0EF5">
      <w:pPr>
        <w:widowControl w:val="0"/>
        <w:spacing w:line="420" w:lineRule="exact"/>
        <w:ind w:left="0" w:right="0"/>
        <w:jc w:val="both"/>
        <w:rPr>
          <w:rFonts w:cs="B Zar" w:hint="cs"/>
          <w:b/>
          <w:bCs/>
          <w:sz w:val="28"/>
          <w:szCs w:val="28"/>
          <w:rtl/>
        </w:rPr>
      </w:pPr>
    </w:p>
    <w:p w:rsidR="009868FC" w:rsidRPr="009868FC" w:rsidP="003C0EF5">
      <w:pPr>
        <w:widowControl w:val="0"/>
        <w:spacing w:line="420" w:lineRule="exact"/>
        <w:ind w:left="0" w:right="0"/>
        <w:jc w:val="both"/>
        <w:rPr>
          <w:rFonts w:cs="B Zar" w:hint="cs"/>
          <w:rtl/>
        </w:rPr>
      </w:pPr>
      <w:r w:rsidRPr="009868FC">
        <w:rPr>
          <w:rFonts w:cs="B Zar" w:hint="cs"/>
          <w:rtl/>
        </w:rPr>
        <w:t xml:space="preserve">بگوات گيتا </w:t>
      </w:r>
      <w:r w:rsidRPr="009868FC">
        <w:rPr>
          <w:rFonts w:cs="B Zar"/>
        </w:rPr>
        <w:t>(Bhagvata Gita)</w:t>
      </w:r>
      <w:r w:rsidRPr="009868FC">
        <w:rPr>
          <w:rFonts w:cs="B Zar" w:hint="cs"/>
          <w:rtl/>
        </w:rPr>
        <w:t xml:space="preserve"> به معناي سرود مقدس و يا سرود الهي است. در مهابهاراتا</w:t>
      </w:r>
      <w:r w:rsidRPr="009868FC">
        <w:rPr>
          <w:rFonts w:cs="B Zar"/>
        </w:rPr>
        <w:t xml:space="preserve">(Mahabharata) </w:t>
      </w:r>
      <w:r w:rsidRPr="009868FC">
        <w:rPr>
          <w:rFonts w:cs="B Zar" w:hint="cs"/>
          <w:rtl/>
        </w:rPr>
        <w:t xml:space="preserve"> چندين رسالة ديگر به نام گيتا وجود دارد؛ از جمله «گال گيتا»، «چاكيا گيتا»، «هاريتا گيتا»، «ورترا گيتا»، «مانكي گيتا»، «پراشرگيتا»، «حاماس گيتا» و «انوگيتا». </w:t>
      </w:r>
      <w:r w:rsidRPr="009868FC">
        <w:rPr>
          <w:rFonts w:cs="B Zar" w:hint="cs"/>
          <w:iCs/>
          <w:rtl/>
        </w:rPr>
        <w:t>بال گانگادهار تيلاك</w:t>
      </w:r>
      <w:r w:rsidRPr="009868FC">
        <w:rPr>
          <w:rFonts w:cs="B Zar" w:hint="cs"/>
          <w:rtl/>
        </w:rPr>
        <w:t>، از سيزده گيتاي ديگر نيز نام مي‌برد. برخي از آنها به صورت رسائل مستقل هستند، درحاليكه مابقي جزو مهابهاراتا و يا مجموعه‌هاي پورانا (احاديث و اخبار) مي‌باشند. مثلاً «گانيش گيتا» در آخر «گانيش پورانا» ديده مي‌شود. «ايشورا گيتا» در يازده فصل نخست «اتروا بهاگا»، مجموعة «كورم پورانا» را تشكيل مي‌دهد. «برهم گيتا» در «سوت سام هيتا»، «رام گيتا» در «ادهياتم ناراين»، همچينين «يك شيوا گيتا» در «پادام پورانا» ديده مي‌شوند. ظاهراً اينها رسائلي هستند كه پس از تدوين و مقبوليت عمومي گيتا نگاشته شده‌اند. همچنين پس از تدوين اوپانيشاد، رسائل فراواني به نام اوپانيشاد نگاشته شدكه تعداد آنان بالغ بر سيصد اوپانيشاد مي‌شود. پس از مقبوليت گيتا، نويسندگان مختلفي آثار خود را گيتا ناميدند.</w:t>
      </w:r>
    </w:p>
    <w:p w:rsidR="009868FC" w:rsidRPr="009868FC" w:rsidP="003C0EF5">
      <w:pPr>
        <w:widowControl w:val="0"/>
        <w:spacing w:line="420" w:lineRule="exact"/>
        <w:ind w:left="0" w:right="0"/>
        <w:jc w:val="both"/>
        <w:rPr>
          <w:rFonts w:cs="B Zar" w:hint="cs"/>
          <w:rtl/>
        </w:rPr>
      </w:pPr>
      <w:r w:rsidRPr="009868FC">
        <w:rPr>
          <w:rFonts w:cs="B Zar" w:hint="cs"/>
          <w:rtl/>
        </w:rPr>
        <w:t xml:space="preserve">در حال حاضر رسالة گيتا، در داخل مجموعة بزرگ شعر حماسي، به نام «مهابهاراتا </w:t>
      </w:r>
      <w:r w:rsidRPr="009868FC">
        <w:rPr>
          <w:rFonts w:cs="B Zar"/>
        </w:rPr>
        <w:t xml:space="preserve">(Mahabhaata) </w:t>
      </w:r>
      <w:r w:rsidRPr="009868FC">
        <w:rPr>
          <w:rFonts w:cs="B Zar" w:hint="cs"/>
          <w:rtl/>
        </w:rPr>
        <w:t>» قرار دارد. گفته مي‌شود مهابهاراتا بزرگترين و بلندترين مثنوي حماسي در جهان است. اصل كتاب مهابهاراتا مشتمل بر بيست و چهار هزار بيت بوده كه در حال حاضر به يكصد هزار بيت رسيده است. اين مجموعه بزرگ، مشتمل بر چندين بخش يا كتاب است كه «پرو» ناميده مي‌شوند. فصول 23 تا 40 گيتا، كتاب «بهسم پورانا» را تشكيل مي‌دهد. مجموعة گيتا بيش از 700 بيت نيست كه در هجده فصل مختصر تنظيم گرديده است. همانگونه كه مهابهاراتا بزرگترين مثنوي حماسي جهان است، گيتا يكي از مختصرترين متون ديني است.</w:t>
      </w:r>
    </w:p>
    <w:p w:rsidR="009868FC" w:rsidRPr="009868FC" w:rsidP="003C0EF5">
      <w:pPr>
        <w:widowControl w:val="0"/>
        <w:spacing w:line="420" w:lineRule="exact"/>
        <w:ind w:left="0" w:right="0"/>
        <w:jc w:val="both"/>
        <w:rPr>
          <w:rFonts w:cs="B Zar" w:hint="cs"/>
          <w:rtl/>
        </w:rPr>
      </w:pPr>
      <w:r w:rsidRPr="009868FC">
        <w:rPr>
          <w:rFonts w:cs="B Zar" w:hint="cs"/>
          <w:rtl/>
        </w:rPr>
        <w:t>مهابهاراتا را مي‌توان «شاهنامه هندوان» نام داد. اين مثنوي به بيان حماسي جنگ مهابهاراتا كه به مثابه جنگ جهاني هند باستان بوده، مي‌پردازد، و باراتا نام نخستين سلطان بزرگ اساطير هند است. همچنان كه ايرانيان خود را از نسل كيومرث دانسته و تاريخ اساطيري ايران با او آغاز مي‌شود، و عرب‌ها خود را از اولاد حسام بن نوح مي‌دانند، از همين روي تاریخ هند «بارتا» ناميده شده است. «مها» به معناي بزرگ است. معناي «مهابهاراتا» سرگذشت فرزندان و اعقاب شاه باراتا است.</w:t>
      </w:r>
    </w:p>
    <w:p w:rsidR="009868FC" w:rsidRPr="009868FC" w:rsidP="003C0EF5">
      <w:pPr>
        <w:widowControl w:val="0"/>
        <w:spacing w:line="420" w:lineRule="exact"/>
        <w:ind w:left="0" w:right="0"/>
        <w:jc w:val="both"/>
        <w:rPr>
          <w:rFonts w:cs="B Zar" w:hint="cs"/>
          <w:rtl/>
        </w:rPr>
      </w:pPr>
      <w:r w:rsidRPr="009868FC">
        <w:rPr>
          <w:rFonts w:cs="B Zar" w:hint="cs"/>
          <w:rtl/>
        </w:rPr>
        <w:t>داستان مهابهاراتا از شاه پاندو</w:t>
      </w:r>
      <w:r w:rsidRPr="009868FC">
        <w:rPr>
          <w:rFonts w:cs="B Zar"/>
        </w:rPr>
        <w:t xml:space="preserve"> (Pandav)</w:t>
      </w:r>
      <w:r w:rsidRPr="009868FC">
        <w:rPr>
          <w:rFonts w:cs="B Zar" w:hint="cs"/>
          <w:rtl/>
        </w:rPr>
        <w:t xml:space="preserve"> شروع مي‌شود؛ چون فرزندان پاندو كه «پاندوا»</w:t>
      </w:r>
      <w:r w:rsidRPr="009868FC">
        <w:rPr>
          <w:rFonts w:cs="B Zar"/>
        </w:rPr>
        <w:t xml:space="preserve">(Pandava) </w:t>
      </w:r>
      <w:r w:rsidRPr="009868FC">
        <w:rPr>
          <w:rFonts w:cs="B Zar" w:hint="cs"/>
          <w:rtl/>
        </w:rPr>
        <w:t xml:space="preserve"> ناميده مي‌شدند كم سن و سال بودند، پس از درگذشت پدر، عمويشان «دهرتراشتر» زمام حكومت را به دست گرفت. او پرورش و آموزش پنج فرزند برادرش را كه برادران «پاندوا» ناميده مي‌شدند، به عهده داشت. او قول داد پس از خود، حكومت را، كه حق پاندوا است، به بزرگترينشان منتقل كند. خود دهرتراشتر همسران متعددي در حرمسرا داشت و مجموع فزندان وي، بالغ بر صد نفر مي شدند. اينان «كورو»</w:t>
      </w:r>
      <w:r w:rsidRPr="009868FC">
        <w:rPr>
          <w:rFonts w:cs="B Zar"/>
        </w:rPr>
        <w:t xml:space="preserve">(Kaurav) </w:t>
      </w:r>
      <w:r w:rsidRPr="009868FC">
        <w:rPr>
          <w:rFonts w:cs="B Zar" w:hint="cs"/>
          <w:rtl/>
        </w:rPr>
        <w:t xml:space="preserve"> ناميده مي شدند. جنگ مهابارتا ميان برادران پنجگانة پاندوا</w:t>
      </w:r>
      <w:r w:rsidRPr="009868FC">
        <w:rPr>
          <w:rFonts w:cs="B Zar"/>
        </w:rPr>
        <w:t xml:space="preserve">(Pandava) </w:t>
      </w:r>
      <w:r w:rsidRPr="009868FC">
        <w:rPr>
          <w:rFonts w:cs="B Zar" w:hint="cs"/>
          <w:rtl/>
        </w:rPr>
        <w:t xml:space="preserve"> و برادران صدگانه كورو</w:t>
      </w:r>
      <w:r w:rsidRPr="009868FC">
        <w:rPr>
          <w:rFonts w:cs="B Zar"/>
        </w:rPr>
        <w:t xml:space="preserve">(Kaurav)  </w:t>
      </w:r>
      <w:r w:rsidRPr="009868FC">
        <w:rPr>
          <w:rFonts w:cs="B Zar" w:hint="cs"/>
          <w:rtl/>
        </w:rPr>
        <w:t xml:space="preserve"> صورت گرفت كه عموزادگان همديگر بودند. تمام راجه‌ها و شاهان سرزمين هند به يكي از اين دو پيوستند و اين درگيري به صورت جنگ بنيادين هند باستان در آمد.</w:t>
      </w:r>
    </w:p>
    <w:p w:rsidR="009868FC" w:rsidRPr="009868FC" w:rsidP="003C0EF5">
      <w:pPr>
        <w:widowControl w:val="0"/>
        <w:spacing w:line="420" w:lineRule="exact"/>
        <w:ind w:left="0" w:right="0"/>
        <w:jc w:val="both"/>
        <w:rPr>
          <w:rFonts w:cs="B Zar" w:hint="cs"/>
          <w:rtl/>
        </w:rPr>
      </w:pPr>
      <w:r w:rsidRPr="009868FC">
        <w:rPr>
          <w:rFonts w:cs="B Zar" w:hint="cs"/>
          <w:rtl/>
        </w:rPr>
        <w:t>چرا پاندوا و كورو كه خويشان نزديك بودند، چنين با هم درگير شدند؟ كل داستان مهابارتا تفصيل همين ماجرا است. پاندوا، از نظر تقوا، دينداري و مردانگي ممتاز گرديدند و در مدت كوتاهي درميان مردم محبوبيت فوق‌العاده‌اي به دست آوردند. آوازة آنان همه جا پيچيد و حسادت «دريودهن»</w:t>
      </w:r>
      <w:r w:rsidRPr="009868FC">
        <w:rPr>
          <w:rFonts w:cs="B Zar"/>
        </w:rPr>
        <w:t xml:space="preserve"> (Daryudhana)</w:t>
      </w:r>
      <w:r w:rsidRPr="009868FC">
        <w:rPr>
          <w:rFonts w:cs="B Zar" w:hint="cs"/>
          <w:rtl/>
        </w:rPr>
        <w:t>، فرزند بزرگ دهرتراشتر را برانگيخت. ظاهراً او از اين امر ناراحت بود كه قرار گذاشته بودند سلطنت پس از درگذشت دهرتراشتر به پاندوا سپرده شود. بدينسان داستان فاجعة مهابهاراتا، داستان جاه طلبي و حسادت و توطئة براي محروم ساختن حقداران راستين از حق خود و غصب خلافت آغاز مي گردد.</w:t>
      </w:r>
    </w:p>
    <w:p w:rsidR="009868FC" w:rsidRPr="009868FC" w:rsidP="003C0EF5">
      <w:pPr>
        <w:widowControl w:val="0"/>
        <w:spacing w:line="420" w:lineRule="exact"/>
        <w:ind w:left="0" w:right="0"/>
        <w:jc w:val="both"/>
        <w:rPr>
          <w:rFonts w:cs="B Zar" w:hint="cs"/>
          <w:rtl/>
        </w:rPr>
      </w:pPr>
      <w:r w:rsidRPr="009868FC">
        <w:rPr>
          <w:rFonts w:cs="B Zar" w:hint="cs"/>
          <w:rtl/>
        </w:rPr>
        <w:t>دريودهن، نخست با توطئه تصميم به كشتن پاندوا مي‌گيرد. آنان را فراخوانده در چادري مورد پذيرائي قرار مي‌دهد. قصد داشت شب هنگام چادر را با ميهمانان به آتش بكشد. پاندوا از پيش مطلع شده با مادر خويش فرار مي‌كنند. خيمه طبق برنامة قبلي به آتش كشيده مي‌شود و دريودهن يقين پيدا مي كند رقيبان وي مرده اند. مراسم سوگواري براه مي‌اندازد و رياكارانه اشك مي‌ريزد. دهرتراشتر</w:t>
      </w:r>
      <w:r w:rsidRPr="009868FC">
        <w:rPr>
          <w:rFonts w:cs="B Zar"/>
        </w:rPr>
        <w:t xml:space="preserve">(Dhartrashta) </w:t>
      </w:r>
      <w:r w:rsidRPr="009868FC">
        <w:rPr>
          <w:rFonts w:cs="B Zar" w:hint="cs"/>
          <w:rtl/>
        </w:rPr>
        <w:t>، عموي آنان نيز به شدت متاثر مي‌شود. برادران پاندو كه از دشمني دريودهن مطلع بودند، به جنگل پناه مي‌آورند و «كنتي»</w:t>
      </w:r>
      <w:r w:rsidRPr="009868FC">
        <w:rPr>
          <w:rFonts w:cs="B Zar"/>
        </w:rPr>
        <w:t xml:space="preserve">(Kunti)  </w:t>
      </w:r>
      <w:r w:rsidRPr="009868FC">
        <w:rPr>
          <w:rFonts w:cs="B Zar" w:hint="cs"/>
          <w:rtl/>
        </w:rPr>
        <w:t xml:space="preserve"> مادرشان نيز همراه آنان بود. چندين سال به صورت برهمانان و مرتاضان در جنگل آواره مي‌شوند و با سختي‌ها و مصائب و آلام دست و پنجه نرم مي‌كنند.</w:t>
      </w:r>
    </w:p>
    <w:p w:rsidR="009868FC" w:rsidRPr="009868FC" w:rsidP="003C0EF5">
      <w:pPr>
        <w:widowControl w:val="0"/>
        <w:spacing w:line="420" w:lineRule="exact"/>
        <w:ind w:left="0" w:right="0"/>
        <w:jc w:val="both"/>
        <w:rPr>
          <w:rFonts w:cs="B Zar" w:hint="cs"/>
          <w:rtl/>
        </w:rPr>
      </w:pPr>
      <w:r w:rsidRPr="009868FC">
        <w:rPr>
          <w:rFonts w:cs="B Zar" w:hint="cs"/>
          <w:rtl/>
        </w:rPr>
        <w:t>روزي به آنان خبر مي‌رسد كه مسابقه‌اي براي انتخاب داماد شاه «دراوپدي»</w:t>
      </w:r>
      <w:r w:rsidRPr="009868FC">
        <w:rPr>
          <w:rFonts w:cs="B Zar"/>
        </w:rPr>
        <w:t xml:space="preserve">(Draupadi) </w:t>
      </w:r>
      <w:r w:rsidRPr="009868FC">
        <w:rPr>
          <w:rFonts w:cs="B Zar" w:hint="cs"/>
          <w:rtl/>
        </w:rPr>
        <w:t>، حاكم سلطنت مجاور، انجام خواهد شد. آن زمان شوي دادن شاهزادگان با برتري مسابقه در فنون رزمي همراه بوده است. برادران پنجگانة پاندوا در قيافة برهمانان و مرتاضان در مجلس باشكوه سلطنتي حضور پيدا مي‌كنند. شاهزادگان از مملكت‌هاي نزديك و دور  در اين مسابقه شركت داشتند. دريودهن، دشمن جاني پاندوا و فرزند بزرگ دهرتراشتر هم در آن ميان بودند. مسابقه، هدفگيري با كمان بزرگي بود كه برداشتن آن دشوار و كشيدن آن بسي مشكل‌تر مي‌نمود. كسي موفق نشد كمان را بكشد. دريودهن</w:t>
      </w:r>
      <w:r w:rsidRPr="009868FC">
        <w:rPr>
          <w:rFonts w:cs="B Zar"/>
        </w:rPr>
        <w:t xml:space="preserve">(Daryudhan) </w:t>
      </w:r>
      <w:r w:rsidRPr="009868FC">
        <w:rPr>
          <w:rFonts w:cs="B Zar" w:hint="cs"/>
          <w:rtl/>
        </w:rPr>
        <w:t xml:space="preserve"> نيز بخت خود را آزمود و ناكام برگشت. هنگامي كه نوبت به آرجون</w:t>
      </w:r>
      <w:r w:rsidRPr="009868FC">
        <w:rPr>
          <w:rFonts w:cs="B Zar"/>
        </w:rPr>
        <w:t xml:space="preserve">(Arjuna) </w:t>
      </w:r>
      <w:r w:rsidRPr="009868FC">
        <w:rPr>
          <w:rFonts w:cs="B Zar" w:hint="cs"/>
          <w:rtl/>
        </w:rPr>
        <w:t xml:space="preserve"> سومين برادر پاندوا رسيد. همه به خنده افتادند كه كاشاتريا (طبقه جنگاوران) نتوانستند كاري از پيش برند، اين برهمان‌زادة ناشناخته چه كاري مي‌تواند انجام دهد؟! آرجون كمان را كشيد و تير را به هدف زد. در مجلس همهمه افتاد، «دراوپدي» شاهزاده خانم، بي‌پروا از موقعيت كاستي پسر، پيش رفت و گلوبند عروسي را به گردن آرجون انداخت.</w:t>
      </w:r>
    </w:p>
    <w:p w:rsidR="009868FC" w:rsidRPr="009868FC" w:rsidP="003C0EF5">
      <w:pPr>
        <w:widowControl w:val="0"/>
        <w:spacing w:line="420" w:lineRule="exact"/>
        <w:ind w:left="0" w:right="0"/>
        <w:jc w:val="both"/>
        <w:rPr>
          <w:rFonts w:cs="B Zar" w:hint="cs"/>
          <w:rtl/>
        </w:rPr>
      </w:pPr>
      <w:r w:rsidRPr="009868FC">
        <w:rPr>
          <w:rFonts w:cs="B Zar" w:hint="cs"/>
          <w:rtl/>
        </w:rPr>
        <w:t>برادران پاندوا عروس را همراه خود به جنگل مي‌برند. مادر آنان كونتي</w:t>
      </w:r>
      <w:r w:rsidRPr="009868FC">
        <w:rPr>
          <w:rFonts w:cs="B Zar"/>
        </w:rPr>
        <w:t xml:space="preserve">(Kunti) </w:t>
      </w:r>
      <w:r w:rsidRPr="009868FC">
        <w:rPr>
          <w:rFonts w:cs="B Zar" w:hint="cs"/>
          <w:rtl/>
        </w:rPr>
        <w:t>، در نتيجه زندگي مشقت بار جنگل چشمان خود را از دست داده بود، از ورود فرزندان خوشحال شد. آرجون</w:t>
      </w:r>
      <w:r w:rsidRPr="009868FC">
        <w:rPr>
          <w:rFonts w:cs="B Zar"/>
        </w:rPr>
        <w:t xml:space="preserve">(Arjuna) </w:t>
      </w:r>
      <w:r w:rsidRPr="009868FC">
        <w:rPr>
          <w:rFonts w:cs="B Zar" w:hint="cs"/>
          <w:rtl/>
        </w:rPr>
        <w:t xml:space="preserve"> پيش رفت و به مادرش گفت: «مادر! من به گنيجينة بزرگي دست يافته‌ام»، كنتي كه متوجه واقعيت امر نبود، گفت: </w:t>
      </w:r>
      <w:r w:rsidRPr="009868FC">
        <w:rPr>
          <w:rFonts w:cs="B Zar" w:hint="cs"/>
          <w:i/>
          <w:iCs/>
          <w:rtl/>
        </w:rPr>
        <w:t>«پسرم هر چه داري با برادرانت به طور مساوي تقسيم كن!»</w:t>
      </w:r>
      <w:r w:rsidRPr="009868FC">
        <w:rPr>
          <w:rFonts w:cs="B Zar" w:hint="cs"/>
          <w:rtl/>
        </w:rPr>
        <w:t xml:space="preserve"> وقتي او متوجه شد اين گنيجينه يك عروس است، به شدت پشيمان شد، ولي حرفش را زده بود، ظاهراً در آئين آريايي، در دودمان‌هاي سلطنتي گفته مادر، حكم خدا را داشت. بدينسان دراوپدي همسر مشترك برادران پنجگانه گرديد.</w:t>
      </w:r>
    </w:p>
    <w:p w:rsidR="009868FC" w:rsidRPr="009868FC" w:rsidP="003C0EF5">
      <w:pPr>
        <w:widowControl w:val="0"/>
        <w:spacing w:line="420" w:lineRule="exact"/>
        <w:ind w:left="0" w:right="0"/>
        <w:jc w:val="both"/>
        <w:rPr>
          <w:rFonts w:cs="B Zar" w:hint="cs"/>
          <w:rtl/>
        </w:rPr>
      </w:pPr>
      <w:r w:rsidRPr="009868FC">
        <w:rPr>
          <w:rFonts w:cs="B Zar" w:hint="cs"/>
          <w:rtl/>
        </w:rPr>
        <w:t>كم كم اين خبر پيچيد كه كسي كه در مسابقه برنده شده، برهمان زاده نيست؛ بلكه پسر شاه پاندوا و برادرزادة راجه دهرتراشتر است. دريودهن و برادران كورو نيز از اين مسئله اطلاع يافتند. دريودهن به شدت هراسان گرديد؛ چرا كه مي دانست آرجون و برادرانش اينك با شاه مجاور، فاميل شده‌اند. او نيز متوجه شد كه پاندوا در آتش سوزي خيمة شاهي سر به نيست نشده‌اند. دهرتراشتر، عموئي داشت به نام «بهيسم»</w:t>
      </w:r>
      <w:r w:rsidRPr="009868FC">
        <w:rPr>
          <w:rFonts w:cs="B Zar"/>
        </w:rPr>
        <w:t xml:space="preserve"> Bhism)</w:t>
      </w:r>
      <w:r w:rsidRPr="009868FC">
        <w:rPr>
          <w:rFonts w:cs="B Zar" w:hint="cs"/>
          <w:rtl/>
        </w:rPr>
        <w:t xml:space="preserve"> كه بسيار دلير و با تجربه بود.با او مشورت مي‌كند. بهيسم مي گويد</w:t>
      </w:r>
      <w:r w:rsidRPr="009868FC">
        <w:rPr>
          <w:rFonts w:cs="B Zar" w:hint="cs"/>
          <w:i/>
          <w:iCs/>
          <w:rtl/>
        </w:rPr>
        <w:t>: «پيش از آنكه دير شود نصف كشور را به پنج برادر بده و نصف ديگر را به فرزندانت</w:t>
      </w:r>
      <w:r w:rsidRPr="009868FC">
        <w:rPr>
          <w:rFonts w:cs="B Zar" w:hint="cs"/>
          <w:rtl/>
        </w:rPr>
        <w:t>». دهرتراشتر به اين توصيه عمل مي‌كند، ولي ضمن تقسيم، بدترين مناطق و زمينهاي موات را با پاندوا مي‌دهد و شهرها و مناطق خوب را به فرزندانش. پاندوا آن را قبول مي كنند و برادر بزرگ خود يدهشتر را به پادشاهي بر مي‌گزينند. يدهشتر</w:t>
      </w:r>
      <w:r w:rsidRPr="009868FC">
        <w:rPr>
          <w:rFonts w:cs="B Zar"/>
        </w:rPr>
        <w:t xml:space="preserve"> (Yadushtra)</w:t>
      </w:r>
      <w:r w:rsidRPr="009868FC">
        <w:rPr>
          <w:rFonts w:cs="B Zar" w:hint="cs"/>
          <w:rtl/>
        </w:rPr>
        <w:t>، در واقع درويشي است عارف. آنان با رنج بسيار، زمينهاي باير و مرده را تبديل به سرزميني حاصلخيز مي‌نمايند، اما دريودهن كه در آتش حسادت مي‌سوزد، توطئة ديگري مي چيند. او مي‌داند يكي از نقاط ضعف يدهشتر قمار است. يكي از قماربازان قهار را استخدام مي‌كند تا با يدهشتر بازي كند و شرط آن باشد كه اگر قمار را باخت مملكت و سلطنت خود را كنار نهد. يدهشتر مي‌بازد و پاندوا مجدداً سلطنت را رها كرده، به سوي جنگل مي‌روند. وقتي مدت تبعيد سپري شد و مي‌خواستند به مملكت خويش بازگردند دريودهن و كورو از پس دادن آن امتناع مي‌ورزند و بدينسان مقدمة جنگ مهابهاراتا فراهم مي‌شود.</w:t>
      </w:r>
    </w:p>
    <w:p w:rsidR="009868FC" w:rsidRPr="009868FC" w:rsidP="003C0EF5">
      <w:pPr>
        <w:widowControl w:val="0"/>
        <w:spacing w:line="420" w:lineRule="exact"/>
        <w:ind w:left="0" w:right="0"/>
        <w:jc w:val="both"/>
        <w:rPr>
          <w:rFonts w:cs="B Zar" w:hint="cs"/>
          <w:rtl/>
        </w:rPr>
      </w:pPr>
      <w:r w:rsidRPr="009868FC">
        <w:rPr>
          <w:rFonts w:cs="B Zar" w:hint="cs"/>
          <w:rtl/>
        </w:rPr>
        <w:t>روابط خويشاوندي برادران پاندوا از طريق دراوپدي با راجه مجاور باعث مي شود وي با عده اي ديگر از راجه‌هاي اطراف به كمك پاندوا بشتابد. در مقابل، دريودهن و كورو نيز راجه‌هاي دوست و هم پيمان خود را دعوت مي‌كنند. بدينسان درگيري دو تيره به صورت يك جنگ عظيم سراسري در مي‌آيد. كريشنا ظاهراً سردار قبيله و قوم يادو كه در آن هنگام ورشني نام داشتند بود. هر دو طرف او را به ياري فرا مي‌خوانند. كريشنا با هر دو طرف به طور مساوي بستگي دارد و براي آنكه كسي را نرنجاند مي‌گويد</w:t>
      </w:r>
      <w:r w:rsidRPr="009868FC">
        <w:rPr>
          <w:rFonts w:cs="B Zar" w:hint="cs"/>
          <w:i/>
          <w:iCs/>
          <w:rtl/>
        </w:rPr>
        <w:t>: «من با قشون خود حضور بهم رسانده‌ام و شرط كمكم چنين است كه هر كدام مرا انتخاب كند، لشكر من در خدمت طرف مقابل خواهد بود».</w:t>
      </w:r>
      <w:r w:rsidRPr="009868FC">
        <w:rPr>
          <w:rFonts w:cs="B Zar" w:hint="cs"/>
          <w:rtl/>
        </w:rPr>
        <w:t xml:space="preserve"> دريودهن لشكر كريشنا را انتخاب مي‌كند و آرجون شخص كريشنا</w:t>
      </w:r>
      <w:r w:rsidRPr="009868FC">
        <w:rPr>
          <w:rFonts w:cs="B Zar"/>
        </w:rPr>
        <w:t xml:space="preserve">(Krishna) </w:t>
      </w:r>
      <w:r w:rsidRPr="009868FC">
        <w:rPr>
          <w:rFonts w:cs="B Zar" w:hint="cs"/>
          <w:rtl/>
        </w:rPr>
        <w:t xml:space="preserve"> را، شرط ديگر كريشنا آن است كه شخصاً اسلحه بر نخواهم داشت. در نتيجه آرجون كه فرمانده لشكر پاندوست، او را به عنوان ارابه‌ران خود بر مي‌گزيند. در آن دوران فرزانه‌ترين و حكيمترين مشاور را به عنوان ارابه‌ران انتخاب مي‌كرده‌اند تا در جنگ، فرمانده را در لحظات بحراني ارشاد و هدايت كند.</w:t>
      </w:r>
    </w:p>
    <w:p w:rsidR="009868FC" w:rsidRPr="009868FC" w:rsidP="003C0EF5">
      <w:pPr>
        <w:widowControl w:val="0"/>
        <w:spacing w:line="420" w:lineRule="exact"/>
        <w:ind w:left="0" w:right="0"/>
        <w:jc w:val="both"/>
        <w:rPr>
          <w:rFonts w:cs="B Zar" w:hint="cs"/>
          <w:rtl/>
        </w:rPr>
      </w:pPr>
      <w:r w:rsidRPr="009868FC">
        <w:rPr>
          <w:rFonts w:cs="B Zar" w:hint="cs"/>
          <w:rtl/>
        </w:rPr>
        <w:t>بگوت گيتا</w:t>
      </w:r>
      <w:r w:rsidRPr="009868FC">
        <w:rPr>
          <w:rFonts w:cs="B Zar"/>
        </w:rPr>
        <w:t xml:space="preserve"> (Bhagvata Gita) </w:t>
      </w:r>
      <w:r w:rsidRPr="009868FC">
        <w:rPr>
          <w:rFonts w:cs="B Zar" w:hint="cs"/>
          <w:rtl/>
        </w:rPr>
        <w:t xml:space="preserve"> از اينجا شروع مي‌شود: وقتي آرجون</w:t>
      </w:r>
      <w:r w:rsidRPr="009868FC">
        <w:rPr>
          <w:rFonts w:cs="B Zar"/>
        </w:rPr>
        <w:t xml:space="preserve">(Arjuna)  </w:t>
      </w:r>
      <w:r w:rsidRPr="009868FC">
        <w:rPr>
          <w:rFonts w:cs="B Zar" w:hint="cs"/>
          <w:rtl/>
        </w:rPr>
        <w:t xml:space="preserve"> صداي طبل جنگ را شنيد و خونين‌ترين جنگ تاريخ باستاني هند شروع شد، از كريشنا</w:t>
      </w:r>
      <w:r w:rsidRPr="009868FC">
        <w:rPr>
          <w:rFonts w:cs="B Zar"/>
        </w:rPr>
        <w:t xml:space="preserve">(Krishna) </w:t>
      </w:r>
      <w:r w:rsidRPr="009868FC">
        <w:rPr>
          <w:rFonts w:cs="B Zar" w:hint="cs"/>
          <w:rtl/>
        </w:rPr>
        <w:t xml:space="preserve"> مي‌خواهد، ارابة وي را در وسط دو لشكر قرار دهد تا بتواند كساني را كه در لشكر مقابل قرار دارند ببيند. آرجون عموها، دايي ها، پسر عموها، استادان، معلمان، همبازي‌ها و رفيقان خويش را كه از دوران طفوليت و نوجواني در كنار آنان بودند، مي‌شناسد. آرجون به شدت ناراحت مي‌شود و دچار دلهره مي گردد و با خود مي‌گويد: آيا اينان را خواهم كشت؟ آيا براي به دست آوردن حكومتي كه بيش از چند روزي دوام نخواهد آورد، ريختن خون اين همه عزيزان رواست؟ بهتر نيست شمشير را به نيام بكنم و تسليم خويشان تجاوزگر خود شده و از حق خود بگذرم؟</w:t>
      </w:r>
    </w:p>
    <w:p w:rsidR="009868FC" w:rsidRPr="009868FC" w:rsidP="003C0EF5">
      <w:pPr>
        <w:widowControl w:val="0"/>
        <w:spacing w:line="420" w:lineRule="exact"/>
        <w:ind w:left="0" w:right="0"/>
        <w:jc w:val="both"/>
        <w:rPr>
          <w:rFonts w:cs="B Zar"/>
          <w:rtl/>
        </w:rPr>
      </w:pPr>
      <w:r w:rsidRPr="009868FC">
        <w:rPr>
          <w:rFonts w:cs="B Zar" w:hint="cs"/>
          <w:rtl/>
        </w:rPr>
        <w:t>در اين هنگام، مرشد ملكوتي، «كريشنا»</w:t>
      </w:r>
      <w:r w:rsidRPr="009868FC">
        <w:rPr>
          <w:rFonts w:cs="B Zar"/>
        </w:rPr>
        <w:t xml:space="preserve"> (Krishna)</w:t>
      </w:r>
      <w:r w:rsidRPr="009868FC">
        <w:rPr>
          <w:rFonts w:cs="B Zar" w:hint="cs"/>
          <w:rtl/>
        </w:rPr>
        <w:t>، سخنانش را شروع مي كند. بگوتا گيتا مشتمل بر سخنان كريشناست. در فصل اول، گيتا به سبك داستاني و حماسي مهابهاراتا</w:t>
      </w:r>
      <w:r w:rsidRPr="009868FC">
        <w:rPr>
          <w:rFonts w:cs="B Zar"/>
        </w:rPr>
        <w:t xml:space="preserve">(Mahabharata) </w:t>
      </w:r>
      <w:r w:rsidRPr="009868FC">
        <w:rPr>
          <w:rFonts w:cs="B Zar" w:hint="cs"/>
          <w:rtl/>
        </w:rPr>
        <w:t xml:space="preserve"> ادامه پيدا مي‌كند، ولي با آغاز سخنان كريشنا سبك تغيير كرده، و از داستان سرايي به سخنان حكمت آميز در سبك مكالمه مي‌انجامد. تمام گيتا مكالمة طولاني ميان آرجون و كريشناست. آرجون بسيار كم مي‌گويد و فراوان از كريشنا مي‌شنود. داستان مهابهاراتا به حماسة هومر و يا شاهنامة فردوسي شبيه است، و گيتا با  مكالمات افلاطون و يا نكات عرفاني ـ فلسفي مثنوي ملّاي رومي. سرايندة گيتا با مهارت خاصي از فصل اول پل زده و رسالة گيتا را با كل داستان مهابهاراتا متصل كرده است.</w:t>
      </w:r>
    </w:p>
    <w:p w:rsidR="00B26C33" w:rsidRPr="009868FC" w:rsidP="003C0EF5">
      <w:pPr>
        <w:widowControl w:val="0"/>
        <w:spacing w:line="420" w:lineRule="exact"/>
        <w:ind w:left="0" w:right="0"/>
        <w:jc w:val="center"/>
        <w:rPr>
          <w:rFonts w:cs="B Zar" w:hint="cs"/>
          <w:b/>
          <w:bCs/>
          <w:sz w:val="28"/>
          <w:szCs w:val="28"/>
          <w:rtl/>
        </w:rPr>
      </w:pPr>
    </w:p>
    <w:p w:rsidR="009868FC" w:rsidRPr="009868FC" w:rsidP="003C0EF5">
      <w:pPr>
        <w:pStyle w:val="Heading6"/>
        <w:keepNext w:val="0"/>
        <w:widowControl w:val="0"/>
        <w:spacing w:line="420" w:lineRule="exact"/>
        <w:ind w:left="0" w:right="0"/>
        <w:jc w:val="center"/>
        <w:rPr>
          <w:rFonts w:cs="B Zar" w:hint="cs"/>
          <w:rtl/>
        </w:rPr>
      </w:pPr>
      <w:r w:rsidRPr="009868FC">
        <w:rPr>
          <w:rFonts w:cs="B Zar" w:hint="cs"/>
          <w:rtl/>
        </w:rPr>
        <w:t>گيتا و مهابهاراتا</w:t>
      </w:r>
    </w:p>
    <w:p w:rsidR="009868FC" w:rsidRPr="009868FC" w:rsidP="003C0EF5">
      <w:pPr>
        <w:pStyle w:val="Heading3"/>
        <w:keepNext w:val="0"/>
        <w:widowControl w:val="0"/>
        <w:spacing w:before="0" w:after="0" w:line="420" w:lineRule="exact"/>
        <w:ind w:left="0" w:right="0" w:firstLine="720"/>
        <w:jc w:val="both"/>
        <w:rPr>
          <w:rFonts w:cs="B Zar"/>
          <w:b w:val="0"/>
          <w:bCs w:val="0"/>
        </w:rPr>
      </w:pPr>
    </w:p>
    <w:p w:rsidR="009868FC" w:rsidRPr="009868FC" w:rsidP="003C0EF5">
      <w:pPr>
        <w:widowControl w:val="0"/>
        <w:spacing w:line="420" w:lineRule="exact"/>
        <w:ind w:left="0" w:right="0"/>
        <w:jc w:val="both"/>
        <w:rPr>
          <w:rFonts w:cs="B Zar" w:hint="cs"/>
          <w:rtl/>
        </w:rPr>
      </w:pPr>
      <w:r w:rsidRPr="009868FC">
        <w:rPr>
          <w:rFonts w:cs="B Zar" w:hint="cs"/>
          <w:rtl/>
        </w:rPr>
        <w:t>آيا گيتا جزو مهابهاراتا</w:t>
      </w:r>
      <w:r w:rsidRPr="009868FC">
        <w:rPr>
          <w:rFonts w:cs="B Zar"/>
        </w:rPr>
        <w:t xml:space="preserve">(Mahabharata) </w:t>
      </w:r>
      <w:r w:rsidRPr="009868FC">
        <w:rPr>
          <w:rFonts w:cs="B Zar" w:hint="cs"/>
          <w:rtl/>
        </w:rPr>
        <w:t xml:space="preserve"> است و به وسيلة مولف مهابهاراتا سروده شده است و يا از ملحقات آنست؟ اين سوال بسيار جنجال برانگيز بود و محققان را دو دسته كرده است؛ برخي گيتا را جزو اصيل مهابهاراتا مي‌دانند و عده‌اي معتقدند از ضمائم آن است. به طور كلي مي‌توان گفت در اين مسئله سه ديدگاه و نظريه وجود دارد.   </w:t>
      </w:r>
    </w:p>
    <w:p w:rsidR="009868FC" w:rsidRPr="009868FC" w:rsidP="003C0EF5">
      <w:pPr>
        <w:widowControl w:val="0"/>
        <w:spacing w:line="420" w:lineRule="exact"/>
        <w:ind w:left="0" w:right="0"/>
        <w:jc w:val="both"/>
        <w:rPr>
          <w:rFonts w:cs="B Zar" w:hint="cs"/>
          <w:rtl/>
        </w:rPr>
      </w:pPr>
      <w:r w:rsidRPr="009868FC">
        <w:rPr>
          <w:rFonts w:cs="B Zar" w:hint="cs"/>
          <w:b/>
          <w:bCs/>
          <w:rtl/>
        </w:rPr>
        <w:t xml:space="preserve">الف ـ نظرية اول: </w:t>
      </w:r>
      <w:r w:rsidRPr="009868FC">
        <w:rPr>
          <w:rFonts w:cs="B Zar" w:hint="cs"/>
          <w:rtl/>
        </w:rPr>
        <w:t>گيتا جزو ناگسستني مهابهاراتا است و آنرا «وياس»</w:t>
      </w:r>
      <w:r w:rsidRPr="009868FC">
        <w:rPr>
          <w:rFonts w:cs="B Zar"/>
        </w:rPr>
        <w:t xml:space="preserve">(Viyasa) </w:t>
      </w:r>
      <w:r w:rsidRPr="009868FC">
        <w:rPr>
          <w:rFonts w:cs="B Zar" w:hint="cs"/>
          <w:rtl/>
        </w:rPr>
        <w:t>، سراينده حماسة مهابهاراتا تاليف كرده است؛</w:t>
      </w:r>
    </w:p>
    <w:p w:rsidR="009868FC" w:rsidRPr="009868FC" w:rsidP="003C0EF5">
      <w:pPr>
        <w:widowControl w:val="0"/>
        <w:spacing w:line="420" w:lineRule="exact"/>
        <w:ind w:left="0" w:right="0"/>
        <w:jc w:val="both"/>
        <w:rPr>
          <w:rFonts w:cs="B Zar" w:hint="cs"/>
          <w:rtl/>
        </w:rPr>
      </w:pPr>
      <w:r w:rsidRPr="009868FC">
        <w:rPr>
          <w:rFonts w:cs="B Zar" w:hint="cs"/>
          <w:b/>
          <w:bCs/>
          <w:rtl/>
        </w:rPr>
        <w:t xml:space="preserve">ب ـ نظرية دوم: </w:t>
      </w:r>
      <w:r w:rsidRPr="009868FC">
        <w:rPr>
          <w:rFonts w:cs="B Zar" w:hint="cs"/>
          <w:rtl/>
        </w:rPr>
        <w:t>گيتا را «وياس» نسروده، بلكه يك اثر مستقل فلسفي عرفاني است كه از پيش وجود داشته و خود نگارنده يا نگارندگان مهابهاراتا بنا به مقبوليت و اهميت آن، اين رساله را در متن مهابهاراتا وارد كرده‌اند؛</w:t>
      </w:r>
    </w:p>
    <w:p w:rsidR="009868FC" w:rsidP="003C0EF5">
      <w:pPr>
        <w:widowControl w:val="0"/>
        <w:spacing w:line="420" w:lineRule="exact"/>
        <w:ind w:left="0" w:right="0"/>
        <w:jc w:val="both"/>
        <w:rPr>
          <w:rFonts w:cs="B Zar" w:hint="cs"/>
          <w:rtl/>
        </w:rPr>
      </w:pPr>
      <w:r w:rsidRPr="009868FC">
        <w:rPr>
          <w:rFonts w:cs="B Zar" w:hint="cs"/>
          <w:b/>
          <w:bCs/>
          <w:rtl/>
        </w:rPr>
        <w:t xml:space="preserve">ج ـ نظرية سوم: </w:t>
      </w:r>
      <w:r w:rsidRPr="009868FC">
        <w:rPr>
          <w:rFonts w:cs="B Zar" w:hint="cs"/>
          <w:rtl/>
        </w:rPr>
        <w:t>گيتا از ملحقات بعدي است كه احتمالاً چندين قرن پس از تأليف مهابهاراتا، به وسيلة يكي از سرايندگان سروده شده است و براي اعتبار بيشتر، آنرا در متن مهابهاراتا جا داده‌اند.</w:t>
      </w:r>
    </w:p>
    <w:p w:rsidR="006A2BFC" w:rsidRPr="009868FC" w:rsidP="003C0EF5">
      <w:pPr>
        <w:widowControl w:val="0"/>
        <w:spacing w:line="420" w:lineRule="exact"/>
        <w:ind w:left="0" w:right="0"/>
        <w:jc w:val="both"/>
        <w:rPr>
          <w:rFonts w:cs="B Zar" w:hint="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نظرية اول:</w:t>
      </w:r>
    </w:p>
    <w:p w:rsidR="009868FC" w:rsidRPr="009868FC" w:rsidP="003C0EF5">
      <w:pPr>
        <w:widowControl w:val="0"/>
        <w:spacing w:line="420" w:lineRule="exact"/>
        <w:ind w:left="0" w:right="0"/>
        <w:jc w:val="both"/>
        <w:rPr>
          <w:rFonts w:cs="B Zar" w:hint="cs"/>
          <w:rtl/>
        </w:rPr>
      </w:pPr>
      <w:r w:rsidRPr="009868FC">
        <w:rPr>
          <w:rFonts w:cs="B Zar" w:hint="cs"/>
          <w:rtl/>
        </w:rPr>
        <w:t>اين نظريه را نخستين بار محققان و دانشمندان غربي ارائه دادند، سپس در ميان ساير گيتا شناسان هند نيز رايج گرديد. وان بوتينن، ادوارد ديمك</w:t>
      </w:r>
      <w:r>
        <w:rPr>
          <w:rStyle w:val="FootnoteReference"/>
          <w:rFonts w:cs="B Zar"/>
          <w:sz w:val="28"/>
          <w:szCs w:val="28"/>
          <w:rtl/>
        </w:rPr>
        <w:footnoteReference w:id="656"/>
      </w:r>
      <w:r w:rsidRPr="009868FC">
        <w:rPr>
          <w:rFonts w:cs="B Zar" w:hint="cs"/>
          <w:rtl/>
        </w:rPr>
        <w:t xml:space="preserve"> و رابرت ماينر، مسنداً ثابت كرده‌اند كه مهابهاراتا به طور تدريجي نگاشته شده است. آنان مي‌گويند كه شواهد خارجي و داخلي حكايت از آن دارد كه دهها و شايد صدها شاعر هندو، طي صدها سال مهابهاراتا را گرد آورده‌اند، برخي از اشعار، منعكس كننده آئين شيوا و برخي ديگر منعكس كنندة آئين پرستش ويشنو يا ناراين است. در برخي از قطعات، نگرش وحدت‌الوجودي انعكاس يافته است. در متن مهابهاراتا، تصريح شده است كه اين اثر به تدريج رشد كرده و به حجم فعلي رسيده است.</w:t>
      </w:r>
    </w:p>
    <w:p w:rsidR="009868FC" w:rsidP="003C0EF5">
      <w:pPr>
        <w:widowControl w:val="0"/>
        <w:spacing w:line="420" w:lineRule="exact"/>
        <w:ind w:left="0" w:right="0"/>
        <w:jc w:val="both"/>
        <w:rPr>
          <w:rFonts w:cs="B Zar" w:hint="cs"/>
          <w:rtl/>
        </w:rPr>
      </w:pPr>
      <w:r w:rsidRPr="009868FC">
        <w:rPr>
          <w:rFonts w:cs="B Zar" w:hint="cs"/>
          <w:rtl/>
        </w:rPr>
        <w:t>وان بوتينن، شارح و ويرايشگر مهابهاراتا، نظرية سه مرحله‌اي رشد مهابهاراتا را ارائه داده است. بنابراين نظريه، مهابهاراتا، پس از گذر از سه مرحله به شكل كنوني درآمده است، كه عبارتند از:</w:t>
      </w:r>
    </w:p>
    <w:p w:rsidR="00B26C33" w:rsidRPr="009868FC" w:rsidP="003C0EF5">
      <w:pPr>
        <w:widowControl w:val="0"/>
        <w:spacing w:line="420" w:lineRule="exact"/>
        <w:ind w:left="0" w:right="0"/>
        <w:jc w:val="both"/>
        <w:rPr>
          <w:rFonts w:cs="B Zar" w:hint="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مرحلة اول، تدوين مهابهاراتا</w:t>
      </w:r>
    </w:p>
    <w:p w:rsidR="009868FC" w:rsidP="003C0EF5">
      <w:pPr>
        <w:widowControl w:val="0"/>
        <w:spacing w:line="420" w:lineRule="exact"/>
        <w:ind w:left="0" w:right="0"/>
        <w:jc w:val="both"/>
        <w:rPr>
          <w:rFonts w:cs="B Zar" w:hint="cs"/>
          <w:rtl/>
        </w:rPr>
      </w:pPr>
      <w:r w:rsidRPr="009868FC">
        <w:rPr>
          <w:rFonts w:cs="B Zar" w:hint="cs"/>
          <w:rtl/>
        </w:rPr>
        <w:t>در اين مرحله داستان اصلي جنگ كورو و پاندوا، به عنوان داستاني حماسي ـ قومي مطرح شده است. در اين مرحله مهابهاراتا مشتمل بر بيست و چهار هزار بيت بوده و از صد هزار بيت كه اكنون مهابهاراتا دارد، خبري نبوده است. اسم حماسه در آن زمان باراتا</w:t>
      </w:r>
      <w:r w:rsidRPr="009868FC">
        <w:rPr>
          <w:rFonts w:cs="B Zar"/>
        </w:rPr>
        <w:t xml:space="preserve">(Bharata) </w:t>
      </w:r>
      <w:r w:rsidRPr="009868FC">
        <w:rPr>
          <w:rFonts w:cs="B Zar" w:hint="cs"/>
          <w:rtl/>
        </w:rPr>
        <w:t xml:space="preserve"> (داستان باراتا) بوده است نه مهابهاراتا (بارات بزرگ). بازيگران و قهرمانان داستان، نظير آرجون و كريشنا، قهرمانان حماسي، همانند رستم و كيكاوس و دارا و سكندر تلقي مي شده و به  صورت شخصيتهاي ديني و تجسم‌هاي الهي نبوده‌اند. هدف اين مرحله، داستان سرائي حماسي بوده است و در آن نكات فلسفي، ماورالطبيعي و عرفاني وجود نداشته است.</w:t>
      </w:r>
    </w:p>
    <w:p w:rsidR="00B26C33" w:rsidRPr="009868FC" w:rsidP="003C0EF5">
      <w:pPr>
        <w:widowControl w:val="0"/>
        <w:spacing w:line="420" w:lineRule="exact"/>
        <w:ind w:left="0" w:right="0"/>
        <w:jc w:val="both"/>
        <w:rPr>
          <w:rFonts w:cs="B Zar" w:hint="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مرحلة دوم، تقدس مآبي</w:t>
      </w:r>
    </w:p>
    <w:p w:rsidR="009868FC" w:rsidP="003C0EF5">
      <w:pPr>
        <w:widowControl w:val="0"/>
        <w:spacing w:line="420" w:lineRule="exact"/>
        <w:ind w:left="0" w:right="0"/>
        <w:jc w:val="both"/>
        <w:rPr>
          <w:rFonts w:cs="B Zar" w:hint="cs"/>
          <w:rtl/>
        </w:rPr>
      </w:pPr>
      <w:r w:rsidRPr="009868FC">
        <w:rPr>
          <w:rFonts w:cs="B Zar" w:hint="cs"/>
          <w:rtl/>
        </w:rPr>
        <w:t>وان بوتينن معتقد است كه در مرحلة دوم، گيتا تحت تأثير طريقه بهاگتي («ولاء» كه ممكن است آنرا طبقه كشاتريا «شاهزادگان و طبقة حاكمه» تشويق كرده‌اند)،  قهرمانان حماسي و شخصيت‌هاي داستان مهابهاراتا، تقدس يافته‌اند. آرجون و پاندواها به صورت فرزندان خدايان، و كريشنا به صورت تجلي، بلكه تجسم الله درآمد و هزاران بيت به حماسه اضافه شد. در اين مرحله احتمالاً اسم اين داستان از باراتا (داستان دودمان بهرت) به مهابهاراتا</w:t>
      </w:r>
      <w:r w:rsidRPr="009868FC">
        <w:rPr>
          <w:rFonts w:cs="B Zar"/>
        </w:rPr>
        <w:t xml:space="preserve">(Mahabharata) </w:t>
      </w:r>
      <w:r w:rsidRPr="009868FC">
        <w:rPr>
          <w:rFonts w:cs="B Zar" w:hint="cs"/>
          <w:rtl/>
        </w:rPr>
        <w:t xml:space="preserve"> (بارات بزرگ) تغيير يافت. داستانهاي جديد مشتمل بر كرامات و معجزات شخصيتهاي تازه به آن اضافه و هاله‌اي از تقدس و الوهيت پيرامون چهرة آنان كشيده شد. اين امر موجب ايجاد ناهماهنگي در فصول و بخشهاي «مهابهاراتا» گرديد؛ به گونه‌اي كه در فصول متوالي، كريشنا دوست، مشاور، ارابه ران، و آرجون به عنوان سردار قشون كورو، فرمانده بزرگ، سربازي دلير، و به گونه‌اي ديگر كريشنا به صورت خدا، انسان ـ خدا و آرجون نيز از اصحاب برگزيده خداوند و از فرزندان موجودات آسماني تبديل گرديد.</w:t>
      </w:r>
    </w:p>
    <w:p w:rsidR="00B26C33" w:rsidRPr="009868FC" w:rsidP="003C0EF5">
      <w:pPr>
        <w:widowControl w:val="0"/>
        <w:spacing w:line="420" w:lineRule="exact"/>
        <w:ind w:left="0" w:right="0"/>
        <w:jc w:val="both"/>
        <w:rPr>
          <w:rFonts w:cs="B Zar" w:hint="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مرحله سوم : تفلسف</w:t>
      </w:r>
    </w:p>
    <w:p w:rsidR="009868FC" w:rsidRPr="009868FC" w:rsidP="003C0EF5">
      <w:pPr>
        <w:widowControl w:val="0"/>
        <w:spacing w:line="420" w:lineRule="exact"/>
        <w:ind w:left="0" w:right="0"/>
        <w:jc w:val="both"/>
        <w:rPr>
          <w:rFonts w:cs="B Zar" w:hint="cs"/>
          <w:rtl/>
        </w:rPr>
      </w:pPr>
      <w:r w:rsidRPr="009868FC">
        <w:rPr>
          <w:rFonts w:cs="B Zar" w:hint="cs"/>
          <w:rtl/>
        </w:rPr>
        <w:t>وان بوتينن معتقد است كه در مرحله سوم بود كه برهمانان اصول ديني، تعليم اجتماعي،  ودا، پورانا، نظام متافيزيكي و فلسفة متعالي اوپانيشاد را در مجموعة داستاني مهابهاراتا وارد كردند. بنابر اين عقيده، در اين مرحله گيتاهاي هجده گانه به مهابهاراتا افزوده شد و مهابهاراتا به صورت دائرة‌المعارف درآمد و از بيست و چهار هزار بيت به يكصد هزار بيت كنوني رسيد. در مهابهاراتا گفته شده است كه:</w:t>
      </w:r>
    </w:p>
    <w:p w:rsidR="009868FC" w:rsidRPr="009868FC" w:rsidP="003C0EF5">
      <w:pPr>
        <w:widowControl w:val="0"/>
        <w:spacing w:line="420" w:lineRule="exact"/>
        <w:ind w:left="0" w:right="0"/>
        <w:jc w:val="both"/>
        <w:rPr>
          <w:rFonts w:cs="B Zar" w:hint="cs"/>
          <w:i/>
          <w:iCs/>
          <w:rtl/>
        </w:rPr>
      </w:pPr>
      <w:r w:rsidRPr="009868FC">
        <w:rPr>
          <w:rFonts w:cs="B Zar" w:hint="cs"/>
          <w:i/>
          <w:iCs/>
          <w:rtl/>
        </w:rPr>
        <w:t>«هر نظري و اثري كه درباره دهارام</w:t>
      </w:r>
      <w:r w:rsidRPr="009868FC">
        <w:rPr>
          <w:rFonts w:cs="B Zar"/>
          <w:i/>
          <w:iCs/>
        </w:rPr>
        <w:t xml:space="preserve">(Dharama) </w:t>
      </w:r>
      <w:r w:rsidRPr="009868FC">
        <w:rPr>
          <w:rFonts w:cs="B Zar" w:hint="cs"/>
          <w:i/>
          <w:iCs/>
          <w:rtl/>
        </w:rPr>
        <w:t xml:space="preserve"> (شريعت و طريقت) ، سود و لذت، هرجا هست، در گيتا گردآمده است، ولي بسياري از نكاتي كه در اينجا آمده در جاي ديگري پيدا نمي‌شود».</w:t>
      </w:r>
      <w:r>
        <w:rPr>
          <w:rStyle w:val="FootnoteReference"/>
          <w:rFonts w:cs="B Zar"/>
          <w:i/>
          <w:iCs/>
          <w:sz w:val="28"/>
          <w:szCs w:val="28"/>
          <w:rtl/>
        </w:rPr>
        <w:footnoteReference w:id="657"/>
      </w:r>
    </w:p>
    <w:p w:rsidR="009868FC" w:rsidRPr="009868FC" w:rsidP="003C0EF5">
      <w:pPr>
        <w:widowControl w:val="0"/>
        <w:spacing w:line="420" w:lineRule="exact"/>
        <w:ind w:left="0" w:right="0"/>
        <w:jc w:val="both"/>
        <w:rPr>
          <w:rFonts w:cs="B Zar" w:hint="cs"/>
          <w:rtl/>
        </w:rPr>
      </w:pPr>
      <w:r w:rsidRPr="009868FC">
        <w:rPr>
          <w:rFonts w:cs="B Zar" w:hint="cs"/>
          <w:rtl/>
        </w:rPr>
        <w:t>وان بوتينن استدلال مي كند كه گفتارهاي فلسفي، مباحثات متافيزيكي، لطائف عرفاني و پند و اندرزهاي اخلاقي بي موقع در مهابهاراتا مطرح شده اند، و همين است كه بايد آنها را از ملحقات به حساب آورد. مثلاً هنگامي كه دو لشكر آرايش جنگي مي‌گيرند و كوس و طبل جنگ به صدا در مي‌آيد، آرجون سردار و فرمانده يكي از دو طرف با كريشنا ارابه‌ران خود، در وسط دو لشكر به گفتگوي متافيزيكي و عرفاني مي‌نشينند؛ پند و اندرز و گفتار حكيمانه كريشنا شروع شده يا ادامه مي‌يابد. گفتگوها چنان طولاني است كه شامل هجده فصل و هفتصد بيت گيتا مي شود. از نظر موقعيت داستانسرائي، اين تطويل بسيار غير معقول و بي مورد به نظر مي رسد. نمونة ديگر وصيت و خطابة درازي است كه بهيسم، فرمانده لشكر كورو، پس از جراحات بسيار و در حاليكه از اسب افتاده و بر تيرها معلق است، ايراد مي‌كند. در هنگاميكه خون از زخمهايش مي چكد، به بررسي مسائل متافيزيك و فلسفة متعالي مي‌پردازد و به نصايح و اندرزهاي اخلاقي اهتمام مي ورزد. اين گفتار حكيمانه در زمان احتضار درست پنجاه و هشت روز ادامه دارد. پيداست در مرحلة تدقيق و تحقيق، كسي يا كساني از حكيمان، اين مطالب را به داستان افزوده و براي آنكه نامعقول به نظر نيايد، تغييراتي در آن داده اند. مثلاً بهيسم اين توانايي را از خدايان گرفته بود كه تا خودش اراده نفرمايد، نميرد!</w:t>
      </w:r>
      <w:r w:rsidRPr="009868FC">
        <w:rPr>
          <w:rFonts w:hint="eastAsia"/>
          <w:rtl/>
        </w:rPr>
        <w:t>…</w:t>
      </w:r>
      <w:r w:rsidRPr="009868FC">
        <w:rPr>
          <w:rFonts w:cs="B Zar" w:hint="cs"/>
          <w:rtl/>
        </w:rPr>
        <w:t xml:space="preserve"> و اينكه تا خورشيد از برج فلان به فلان برج نرسد، امكان نداشت مرگ او فرا رسد. اين مطالب رنگ و روغن هاي بعدي است</w:t>
      </w:r>
      <w:r>
        <w:rPr>
          <w:rStyle w:val="FootnoteReference"/>
          <w:rFonts w:cs="B Zar"/>
          <w:sz w:val="28"/>
          <w:szCs w:val="28"/>
          <w:rtl/>
        </w:rPr>
        <w:footnoteReference w:id="658"/>
      </w:r>
      <w:r w:rsidRPr="009868FC">
        <w:rPr>
          <w:rFonts w:cs="B Zar" w:hint="cs"/>
          <w:rtl/>
        </w:rPr>
        <w:t>.</w:t>
      </w:r>
    </w:p>
    <w:p w:rsidR="009868FC" w:rsidRPr="009868FC" w:rsidP="003C0EF5">
      <w:pPr>
        <w:widowControl w:val="0"/>
        <w:spacing w:line="420" w:lineRule="exact"/>
        <w:ind w:left="0" w:right="0"/>
        <w:jc w:val="both"/>
        <w:rPr>
          <w:rFonts w:cs="B Zar" w:hint="cs"/>
          <w:rtl/>
        </w:rPr>
      </w:pPr>
      <w:r w:rsidRPr="009868FC">
        <w:rPr>
          <w:rFonts w:cs="B Zar" w:hint="cs"/>
          <w:rtl/>
        </w:rPr>
        <w:t>بدينسان نخستين دليل كساني كه معتقدند گيتا از اجزاي اولية مهابهاراتا نيست، بلكه بعداً اضافه شده است، بي موقع بودن آن از نظر داستانسرايي است. رابرت ماینر هم نظير وان بوتينن به اين نكته توجه مي دهد و مي گويد: «وقتيكه طبل جنگ به صدا در آمد و دو لشكر به همديگر تاختند، بسيار بعيد است كه آرجون، فرمانده قوا، با ارابه ران فرزانة خود به گفتگوي ماوراء‌الطبيه بنشيند و اين گفتگو تا هجده فصل به درازا بكشد».</w:t>
      </w:r>
    </w:p>
    <w:p w:rsidR="009868FC" w:rsidP="003C0EF5">
      <w:pPr>
        <w:widowControl w:val="0"/>
        <w:spacing w:line="420" w:lineRule="exact"/>
        <w:ind w:left="0" w:right="0"/>
        <w:jc w:val="both"/>
        <w:rPr>
          <w:rFonts w:cs="B Zar" w:hint="cs"/>
          <w:rtl/>
        </w:rPr>
      </w:pPr>
      <w:r w:rsidRPr="009868FC">
        <w:rPr>
          <w:rFonts w:cs="B Zar" w:hint="cs"/>
          <w:rtl/>
        </w:rPr>
        <w:t xml:space="preserve">همچنانكه رابرت ماينر توجه داشته است: كساني كه مهابهاراتا را به طور تمثيل جنگ حق و باطل و يا جهاد اكبر تلقي مي‌كنند و نه به عنوان گزارش تاريخي، براي آنان حل اين اشكال بسيار آسان است. زاهنر </w:t>
      </w:r>
      <w:r w:rsidRPr="009868FC">
        <w:rPr>
          <w:rFonts w:cs="B Zar"/>
        </w:rPr>
        <w:t>(Zaehner)</w:t>
      </w:r>
      <w:r>
        <w:rPr>
          <w:rStyle w:val="FootnoteReference"/>
          <w:rFonts w:cs="B Zar"/>
          <w:sz w:val="28"/>
          <w:szCs w:val="28"/>
          <w:rtl/>
        </w:rPr>
        <w:footnoteReference w:id="659"/>
      </w:r>
      <w:r w:rsidRPr="009868FC">
        <w:rPr>
          <w:rFonts w:cs="B Zar" w:hint="cs"/>
          <w:rtl/>
        </w:rPr>
        <w:t xml:space="preserve"> معتقد است كه گيتا جزو مهابهاراتا است. براي رد اشكال فوق، اين نكته را يادآور شده است كه در سراسر «مهابهاراتا» سنت بر آن است كه در گرما گرم فعاليت و در آستانة عمل، اندرز و حكمت شروع مي شود، اما اين پاسخ قانع كننده نيست؛ چراكه افرادي نظير وان بوتينن خواهند گفت كه همة اين قطعات از ملحقات مرحله سوّمند.</w:t>
      </w:r>
    </w:p>
    <w:p w:rsidR="009B2C3A" w:rsidRPr="009868FC" w:rsidP="003C0EF5">
      <w:pPr>
        <w:widowControl w:val="0"/>
        <w:spacing w:line="420" w:lineRule="exact"/>
        <w:ind w:left="0" w:right="0"/>
        <w:jc w:val="both"/>
        <w:rPr>
          <w:rFonts w:cs="B Zar" w:hint="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دليل دوم:</w:t>
      </w:r>
    </w:p>
    <w:p w:rsidR="009868FC" w:rsidRPr="009868FC" w:rsidP="009B2C3A">
      <w:pPr>
        <w:widowControl w:val="0"/>
        <w:spacing w:line="410" w:lineRule="exact"/>
        <w:ind w:left="0" w:right="0"/>
        <w:jc w:val="both"/>
        <w:rPr>
          <w:rFonts w:cs="B Zar" w:hint="cs"/>
          <w:rtl/>
        </w:rPr>
      </w:pPr>
      <w:r w:rsidRPr="009868FC">
        <w:rPr>
          <w:rFonts w:cs="B Zar" w:hint="cs"/>
          <w:rtl/>
        </w:rPr>
        <w:t>استدلال دوم كسانيكه معتقد مي باشند گيتا و رسايل عرفاني از ملحقات‌اند و نويسندگان مختلف آنها را نگاشته‌اند، اين است كه از نظر نگرش و روال كلي انديشه، گيتا با كل مهابهاراتا سازگاري ندارد. رابرت ماينر اين نكته را كراراً بازگو كرده است كه در اصلِ داستان مهابهاراتا، كريشنا صرفاً به عنوان يك قهرمان فرزانه و آرجون به عنوان پهلوان و يك دلير مرد مطرح است. در حاليكه در گيتا، كريشنا به عنوان يك ذات الهي «اوتار»</w:t>
      </w:r>
      <w:r w:rsidRPr="009868FC">
        <w:rPr>
          <w:rFonts w:cs="B Zar"/>
        </w:rPr>
        <w:t xml:space="preserve">(Avtara) </w:t>
      </w:r>
      <w:r w:rsidRPr="009868FC">
        <w:rPr>
          <w:rFonts w:cs="B Zar" w:hint="cs"/>
          <w:rtl/>
        </w:rPr>
        <w:t xml:space="preserve"> يا تجسم خداوند بر روي زمين مطرح مي‌باشد</w:t>
      </w:r>
      <w:r>
        <w:rPr>
          <w:rStyle w:val="FootnoteReference"/>
          <w:rFonts w:cs="B Zar"/>
          <w:sz w:val="28"/>
          <w:szCs w:val="28"/>
          <w:rtl/>
        </w:rPr>
        <w:footnoteReference w:id="660"/>
      </w:r>
      <w:r w:rsidRPr="009868FC">
        <w:rPr>
          <w:rFonts w:cs="B Zar" w:hint="cs"/>
          <w:rtl/>
        </w:rPr>
        <w:t>. ماينر حتي معتقد است كه بين رسائل عرفاني ـ فلسفي هجده گانة مهابهاراتا، با هم به عنوان «گيتا»، اختلاف بينش و نگرش وجود دارد. اگر بگوتا گيتا را با انوگيتا</w:t>
      </w:r>
      <w:r w:rsidRPr="009868FC">
        <w:rPr>
          <w:rFonts w:cs="B Zar"/>
        </w:rPr>
        <w:t xml:space="preserve">(Anu Gita) </w:t>
      </w:r>
      <w:r w:rsidRPr="009868FC">
        <w:rPr>
          <w:rFonts w:cs="B Zar" w:hint="cs"/>
          <w:rtl/>
        </w:rPr>
        <w:t xml:space="preserve"> «عصاره گيتا» مقايسه كنيم، بدين نتيجه خواهيم رسيد كه انوگيتا، بيشتر منعكس كنندة ديد اوپانيشاد است و معرفت و رياضت عرفاني را به عنوان طريق نجات معرفي مي كند. در بگوت گيتا، گرچه تمامي طرق نجات برسميت شناخته شده است، اما تأكيد اصلي بر طريق عمل وارسته (كاراما يوگا) و طريق عشق و ولاء است.</w:t>
      </w:r>
    </w:p>
    <w:p w:rsidR="009868FC" w:rsidRPr="009868FC" w:rsidP="003C0EF5">
      <w:pPr>
        <w:widowControl w:val="0"/>
        <w:spacing w:line="420" w:lineRule="exact"/>
        <w:ind w:left="0" w:right="0"/>
        <w:jc w:val="both"/>
        <w:rPr>
          <w:rFonts w:cs="B Zar" w:hint="cs"/>
          <w:rtl/>
        </w:rPr>
      </w:pPr>
      <w:r w:rsidRPr="009868FC">
        <w:rPr>
          <w:rFonts w:cs="B Zar" w:hint="cs"/>
          <w:rtl/>
        </w:rPr>
        <w:t>تلنگ</w:t>
      </w:r>
      <w:r>
        <w:rPr>
          <w:rStyle w:val="FootnoteReference"/>
          <w:rFonts w:cs="B Zar"/>
          <w:sz w:val="28"/>
          <w:szCs w:val="28"/>
          <w:rtl/>
        </w:rPr>
        <w:footnoteReference w:id="661"/>
      </w:r>
      <w:r w:rsidRPr="009868FC">
        <w:rPr>
          <w:rFonts w:cs="B Zar"/>
        </w:rPr>
        <w:t>(Telang)</w:t>
      </w:r>
      <w:r w:rsidRPr="009868FC">
        <w:rPr>
          <w:rFonts w:cs="B Zar" w:hint="cs"/>
          <w:rtl/>
        </w:rPr>
        <w:t>، ويرايشگر و شارح گيتا، در سلسلة متون مقدس ماكس مولر، و همچينين ا.ن.وانديكر</w:t>
      </w:r>
      <w:r>
        <w:rPr>
          <w:rStyle w:val="FootnoteReference"/>
          <w:rFonts w:cs="B Zar"/>
          <w:sz w:val="28"/>
          <w:szCs w:val="28"/>
          <w:rtl/>
        </w:rPr>
        <w:footnoteReference w:id="662"/>
      </w:r>
      <w:r w:rsidRPr="009868FC">
        <w:rPr>
          <w:rFonts w:cs="B Zar"/>
        </w:rPr>
        <w:t>(Vandekar)</w:t>
      </w:r>
      <w:r w:rsidRPr="009868FC">
        <w:rPr>
          <w:rFonts w:cs="B Zar" w:hint="cs"/>
          <w:rtl/>
        </w:rPr>
        <w:t>، گيتا را از محلقات بعدي دانسته‌اند؛ اما جالب‌ترين نكته را در اين باره بلوالكار</w:t>
      </w:r>
      <w:r w:rsidRPr="009868FC">
        <w:rPr>
          <w:rFonts w:cs="B Zar"/>
        </w:rPr>
        <w:t>(Belwalkar)</w:t>
      </w:r>
      <w:r w:rsidRPr="009868FC">
        <w:rPr>
          <w:rFonts w:cs="B Zar" w:hint="cs"/>
          <w:rtl/>
        </w:rPr>
        <w:t>، (ويرايشگر بهيسم پورانا</w:t>
      </w:r>
      <w:r w:rsidRPr="009868FC">
        <w:rPr>
          <w:rFonts w:cs="B Zar"/>
        </w:rPr>
        <w:t xml:space="preserve"> Bhism Purana) </w:t>
      </w:r>
      <w:r w:rsidRPr="009868FC">
        <w:rPr>
          <w:rFonts w:cs="B Zar" w:hint="cs"/>
          <w:rtl/>
        </w:rPr>
        <w:t>ا، كتابي از مهابهاراتا) مي‌نويسد كه در مهابهاراتا جنگ هجده روز طول كشيد، و گيتا حاوي وقايع روز سوّم است كه دو لشكر در آستانه جنگ قرار گرفته‌اند. بلوالكار نشان داده است كه خطابة مشابهي در ضمن بيان وقايع روز نهم وجود دارد. روز نهم، جنگ به بن بست كشيده شد و منجر به خونريزي شديد گرديد. آرجون در شرايط يأس و بدبيني تحملي بيشتر دارد. بلوالكار بر آن است كه آغاز تعليم گيتا در وقايع روز نهم قرار داشت، و شاعران حكيم، همان را شرح و بسط داده و به خاطر زيبائي بيشتر، در ضمن وقايع روز سوم نيز تأكيد كرده‌اند.</w:t>
      </w:r>
    </w:p>
    <w:p w:rsidR="009868FC" w:rsidP="009B2C3A">
      <w:pPr>
        <w:widowControl w:val="0"/>
        <w:spacing w:line="410" w:lineRule="exact"/>
        <w:ind w:left="0" w:right="0"/>
        <w:jc w:val="both"/>
        <w:rPr>
          <w:rFonts w:cs="B Zar" w:hint="cs"/>
          <w:rtl/>
        </w:rPr>
      </w:pPr>
      <w:r w:rsidRPr="009868FC">
        <w:rPr>
          <w:rFonts w:cs="B Zar" w:hint="cs"/>
          <w:rtl/>
        </w:rPr>
        <w:t>رابرت ماينر نيز معتقد است كه گيتا در آغاز جزو مهابهاراتا نبوده و بعداً به آن ملحق شده است. او مي گويد: «دلايل و شواهد موجود، ما را بيشتر بدين نظر مي رساند كه گيتا را از ملحقات مهابهاراتا بدانيم. اگر اضافات و ويرايشهاي مهابهاراتا را در سه مرحله بدانيم، گيتا در مرحله متوسط به مهابهاراتا افزوده شده است. از يكسو رسالة گنجانده شده با تعاليم ولاء محورانة آن، «نظريه كاراما يوگاا»، نجات از طريق ولاء و «باگتي»، عشق الهي و جنبه الوهي كريشنا، با روال كلي داستان نمي‌خواند و از سوي ديگر بسياري از قطعات مرحلة سوم، ظاهراً نام گيتا را مكرراً در خود دارد. بديهي است كه گيتا تا آن زمان به چنان اعتباري رسيده بود كه نويسندگان رسائل بعدي از آن اسم ببرند. مشكل است بدون اين نظريه، هر دو پديده را توجيه كرد.</w:t>
      </w:r>
      <w:r>
        <w:rPr>
          <w:rStyle w:val="FootnoteReference"/>
          <w:rFonts w:cs="B Zar"/>
          <w:rtl/>
        </w:rPr>
        <w:footnoteReference w:id="663"/>
      </w:r>
    </w:p>
    <w:p w:rsidR="009B2C3A" w:rsidRPr="009868FC" w:rsidP="009B2C3A">
      <w:pPr>
        <w:widowControl w:val="0"/>
        <w:spacing w:line="410" w:lineRule="exact"/>
        <w:ind w:left="0" w:right="0"/>
        <w:jc w:val="both"/>
        <w:rPr>
          <w:rFonts w:cs="B Zar" w:hint="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نظريه دوم:</w:t>
      </w:r>
    </w:p>
    <w:p w:rsidR="009868FC" w:rsidP="003C0EF5">
      <w:pPr>
        <w:widowControl w:val="0"/>
        <w:spacing w:line="420" w:lineRule="exact"/>
        <w:ind w:left="0" w:right="0"/>
        <w:jc w:val="both"/>
        <w:rPr>
          <w:rFonts w:cs="B Zar" w:hint="cs"/>
          <w:rtl/>
        </w:rPr>
      </w:pPr>
      <w:r w:rsidRPr="009868FC">
        <w:rPr>
          <w:rFonts w:cs="B Zar" w:hint="cs"/>
          <w:rtl/>
        </w:rPr>
        <w:t xml:space="preserve">نظرية گيتا كه جزء اصيل مهابهاراتا مي‌باشد، از آن هندوان سنتي است كه از دو هزار سال پيش معتقد به آن هستند و مي گويند: گيتا جزو ناگسستني مهابهاراتا است و وياس نويسندة مهابهاراتا خودش اين قسمت را سروده و جزو متن ساخته است. شانكاراا كه در قرن هشتم و نهم مي‌زيسته، در تفسير خود كه نخستين تفسير گيتا است، اين اصل را بدون بحث پذيرفته است. همچنان رامانوج عالم و مفسر بزرگ ديگر و سري‌دهر و تمام مفسران ديگر باستان و قرون وسطي اين اصل را مي پذيرند. در دورة جديد برخي از انديشمندان هندو و نيز پاره‌اي از خاور شناسان، با ارائة دلائل و شواهدي درصدد برآمده‌اند تا از اين نظريه دفاع كنند. از جمله كساني كه به طور استدلالي از اين نظريه دفاع كرده‌اند، مي توان از لوكمانيه، بال گانگا دهار تيلاك، انديشمند و رهبر بزرگ سياسي هند، ك ـ ن ـ اوپادهياي، پال اولترامائر </w:t>
      </w:r>
      <w:r w:rsidRPr="009868FC">
        <w:rPr>
          <w:rFonts w:cs="B Zar"/>
        </w:rPr>
        <w:t>(Paul Oltamare)</w:t>
      </w:r>
      <w:r w:rsidRPr="009868FC">
        <w:rPr>
          <w:rFonts w:cs="B Zar" w:hint="cs"/>
          <w:rtl/>
        </w:rPr>
        <w:t xml:space="preserve"> وك.ت.تلنگ </w:t>
      </w:r>
      <w:r w:rsidRPr="009868FC">
        <w:rPr>
          <w:rFonts w:cs="B Zar"/>
        </w:rPr>
        <w:t>(K.T.Telang)</w:t>
      </w:r>
      <w:r w:rsidRPr="009868FC">
        <w:rPr>
          <w:rFonts w:cs="B Zar" w:hint="cs"/>
          <w:rtl/>
        </w:rPr>
        <w:t xml:space="preserve"> نام برد.</w:t>
      </w:r>
    </w:p>
    <w:p w:rsidR="009B2C3A" w:rsidRPr="009868FC" w:rsidP="003C0EF5">
      <w:pPr>
        <w:widowControl w:val="0"/>
        <w:spacing w:line="420" w:lineRule="exact"/>
        <w:ind w:left="0" w:right="0"/>
        <w:jc w:val="both"/>
        <w:rPr>
          <w:rFonts w:cs="B Zar" w:hint="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دليل نخست: وحدت نگرش</w:t>
      </w:r>
    </w:p>
    <w:p w:rsidR="009868FC" w:rsidRPr="009868FC" w:rsidP="003C0EF5">
      <w:pPr>
        <w:widowControl w:val="0"/>
        <w:spacing w:line="420" w:lineRule="exact"/>
        <w:ind w:left="0" w:right="0"/>
        <w:jc w:val="both"/>
        <w:rPr>
          <w:rFonts w:cs="B Zar"/>
          <w:b/>
          <w:bCs/>
        </w:rPr>
      </w:pPr>
      <w:r w:rsidRPr="009868FC">
        <w:rPr>
          <w:rFonts w:cs="B Zar" w:hint="cs"/>
          <w:rtl/>
        </w:rPr>
        <w:t xml:space="preserve">نخستين دليل كساني كه مي‌خواهند اثبات كنند گيتا، از اجزاي اصيل مهابهاراتا است و آنرا خود </w:t>
      </w:r>
      <w:r w:rsidRPr="009868FC">
        <w:rPr>
          <w:rFonts w:cs="B Zar" w:hint="cs"/>
          <w:i/>
          <w:iCs/>
          <w:rtl/>
        </w:rPr>
        <w:t>وياس،</w:t>
      </w:r>
      <w:r w:rsidRPr="009868FC">
        <w:rPr>
          <w:rFonts w:cs="B Zar" w:hint="cs"/>
          <w:rtl/>
        </w:rPr>
        <w:t xml:space="preserve"> نگارنده مهابهاراتا سروده، آنست كه در هر دو اثر، نگرش واحدي به چشم مي‌خورد. اين وحدت نگرش ثابت مي‌كند كه نويسندة هر دو اثر فرد واحدي است و گيتا جزو مهابهاراتا است. </w:t>
      </w:r>
      <w:r w:rsidRPr="009868FC">
        <w:rPr>
          <w:rFonts w:cs="B Zar" w:hint="cs"/>
          <w:iCs/>
          <w:rtl/>
        </w:rPr>
        <w:t xml:space="preserve">اپاديهياي </w:t>
      </w:r>
      <w:r w:rsidRPr="009868FC">
        <w:rPr>
          <w:rFonts w:cs="B Zar" w:hint="cs"/>
          <w:rtl/>
        </w:rPr>
        <w:t>خاطر نشان مي‌سازد كه  نويسندة حماسة مهابهاراتا در تمام صد واندي باب و تمام كتاب، همواره درصدد بوده است ضمن داستانسرايي، اصول دين، شريعت و طريقت (دهرم) هندو را نيز ترسيم كند و با كوچكترين فرصت به بيان اينگونه معارف همت ‌گمارد. افزون بر دليل فوق، آنكه مهابهاراتا مشتمل بر سيزده رساله فلسفي ـ عرفاني ديگر است كه گيتا نام دارد. اگر بگوت گيتا از نويسندة ديگري است، مابقي نيز بايد چنين باشند.</w:t>
      </w:r>
      <w:r w:rsidRPr="009868FC">
        <w:rPr>
          <w:rFonts w:cs="B Zar" w:hint="cs"/>
          <w:b/>
          <w:bCs/>
          <w:rtl/>
        </w:rPr>
        <w:t xml:space="preserve"> </w:t>
      </w:r>
    </w:p>
    <w:p w:rsidR="009868FC" w:rsidRPr="009868FC" w:rsidP="003C0EF5">
      <w:pPr>
        <w:widowControl w:val="0"/>
        <w:spacing w:line="420" w:lineRule="exact"/>
        <w:ind w:left="0" w:right="0"/>
        <w:jc w:val="both"/>
        <w:rPr>
          <w:rFonts w:cs="B Zar" w:hint="cs"/>
          <w:rtl/>
        </w:rPr>
      </w:pPr>
      <w:r w:rsidRPr="009868FC">
        <w:rPr>
          <w:rFonts w:cs="B Zar"/>
        </w:rPr>
        <w:t>(Von Buitenon)</w:t>
      </w:r>
      <w:r w:rsidRPr="009868FC">
        <w:rPr>
          <w:rFonts w:cs="B Zar" w:hint="cs"/>
          <w:rtl/>
        </w:rPr>
        <w:t xml:space="preserve"> و ديگران معتقدند كه نه تنها گيتا، بلكه بسياري از رسايل و قطعات و بخش‌هاي فلسفي‌ـ عرفاني، در دورة سوم تدوين مهابهاراتا، كه آن را «دورة عمل برهمان‌گرايي» مي نامد، به اين حماسه افزوده شده است. پس معاندان خواهند گفت گيتاهاي سيزده گانه ديگر، حتي متاخرتر از بگوت گيتا مي‌باشند و به خاطر مقبوليت و اعتبار گيتا، آنها نيز اين عنوان را برخود نهاده‌اند؛ چنانكه گيتا عنوان اوپانيشاد را نيز با خود دارد.</w:t>
      </w:r>
    </w:p>
    <w:p w:rsidR="009868FC" w:rsidRPr="009868FC" w:rsidP="003C0EF5">
      <w:pPr>
        <w:widowControl w:val="0"/>
        <w:spacing w:line="420" w:lineRule="exact"/>
        <w:ind w:left="0" w:right="0"/>
        <w:jc w:val="both"/>
        <w:rPr>
          <w:rFonts w:cs="B Zar" w:hint="cs"/>
          <w:i/>
          <w:iCs/>
          <w:rtl/>
        </w:rPr>
      </w:pPr>
      <w:r w:rsidRPr="009868FC">
        <w:rPr>
          <w:rFonts w:cs="B Zar" w:hint="cs"/>
          <w:rtl/>
        </w:rPr>
        <w:t>اپادهياي</w:t>
      </w:r>
      <w:r w:rsidRPr="009868FC">
        <w:rPr>
          <w:rFonts w:cs="B Zar"/>
        </w:rPr>
        <w:t xml:space="preserve"> (Upadhayaya)</w:t>
      </w:r>
      <w:r w:rsidRPr="009868FC">
        <w:rPr>
          <w:rFonts w:cs="B Zar" w:hint="cs"/>
          <w:rtl/>
        </w:rPr>
        <w:t xml:space="preserve">، سپس در اثبات اين نظريه كه گيتا جزو مهابهاراتا است، به وحدت نگرش اين دو اثر اشاره مي‌كند و مي‌نويسد: </w:t>
      </w:r>
      <w:r w:rsidRPr="009868FC">
        <w:rPr>
          <w:rFonts w:cs="B Zar" w:hint="cs"/>
          <w:i/>
          <w:iCs/>
          <w:rtl/>
        </w:rPr>
        <w:t>«در تمام گيتا محور اصلي، روش نيكوكاري (كاراما يوگا) و عشق الهي «بهاگتي»</w:t>
      </w:r>
      <w:r w:rsidRPr="009868FC">
        <w:rPr>
          <w:rFonts w:cs="B Zar"/>
          <w:i/>
          <w:iCs/>
        </w:rPr>
        <w:t xml:space="preserve">(Bhagti)  </w:t>
      </w:r>
      <w:r w:rsidRPr="009868FC">
        <w:rPr>
          <w:rFonts w:cs="B Zar" w:hint="cs"/>
          <w:i/>
          <w:iCs/>
          <w:rtl/>
        </w:rPr>
        <w:t xml:space="preserve"> است و اين دو شيوه در همه جاي مهابهاراتا پراكنده و تاكيد شده است.</w:t>
      </w:r>
      <w:r>
        <w:rPr>
          <w:rStyle w:val="FootnoteReference"/>
          <w:rFonts w:cs="B Zar"/>
          <w:i/>
          <w:iCs/>
          <w:sz w:val="28"/>
          <w:szCs w:val="28"/>
          <w:rtl/>
        </w:rPr>
        <w:footnoteReference w:id="664"/>
      </w:r>
      <w:r w:rsidRPr="009868FC">
        <w:rPr>
          <w:rFonts w:cs="B Zar" w:hint="cs"/>
          <w:i/>
          <w:iCs/>
          <w:rtl/>
        </w:rPr>
        <w:t>»</w:t>
      </w:r>
      <w:r w:rsidRPr="009868FC">
        <w:rPr>
          <w:rFonts w:cs="B Zar" w:hint="cs"/>
          <w:rtl/>
        </w:rPr>
        <w:t xml:space="preserve"> بال گانگا دهار تيلاك</w:t>
      </w:r>
      <w:r w:rsidRPr="009868FC">
        <w:rPr>
          <w:rFonts w:cs="B Zar"/>
        </w:rPr>
        <w:t xml:space="preserve">(Bal Ganga Dhar Tilak)  </w:t>
      </w:r>
      <w:r w:rsidRPr="009868FC">
        <w:rPr>
          <w:rFonts w:cs="B Zar" w:hint="cs"/>
          <w:rtl/>
        </w:rPr>
        <w:t xml:space="preserve"> نيز بر اين نكته كه ميان نگرش مهابهاراتا و گيتا هماهنگي كامل وجود دارد، تأكيد كرده مي‌نويسد</w:t>
      </w:r>
      <w:r w:rsidRPr="009868FC">
        <w:rPr>
          <w:rFonts w:cs="B Zar" w:hint="cs"/>
          <w:i/>
          <w:iCs/>
          <w:rtl/>
        </w:rPr>
        <w:t>: «مهابهاراتا، گزارش عمل و جهاد است و گيتا خلاصه فلسفي و توجيه اخلاقي عرفاني آنست</w:t>
      </w:r>
      <w:r w:rsidRPr="009868FC">
        <w:rPr>
          <w:rFonts w:cs="B Zar"/>
          <w:i/>
          <w:iCs/>
          <w:rtl/>
        </w:rPr>
        <w:t xml:space="preserve"> </w:t>
      </w:r>
      <w:r>
        <w:rPr>
          <w:rStyle w:val="FootnoteReference"/>
          <w:rFonts w:cs="B Zar"/>
          <w:i/>
          <w:iCs/>
          <w:rtl/>
        </w:rPr>
        <w:footnoteReference w:id="665"/>
      </w:r>
      <w:r w:rsidRPr="009868FC">
        <w:rPr>
          <w:rFonts w:cs="B Zar" w:hint="cs"/>
          <w:i/>
          <w:iCs/>
          <w:rtl/>
        </w:rPr>
        <w:t>.»</w:t>
      </w:r>
    </w:p>
    <w:p w:rsidR="009868FC" w:rsidRPr="009868FC" w:rsidP="003C0EF5">
      <w:pPr>
        <w:widowControl w:val="0"/>
        <w:spacing w:line="420" w:lineRule="exact"/>
        <w:ind w:left="0" w:right="0"/>
        <w:jc w:val="both"/>
        <w:rPr>
          <w:rFonts w:cs="B Zar" w:hint="cs"/>
          <w:rtl/>
        </w:rPr>
      </w:pPr>
      <w:r w:rsidRPr="009868FC">
        <w:rPr>
          <w:rFonts w:cs="B Zar" w:hint="cs"/>
          <w:rtl/>
        </w:rPr>
        <w:t>به بيان ديگر، ترجيح طريق صالح براي نيل به نجات و لزوم انجام دادن تكاليف اجتماعي به جاي زندگي رهباني و ترك دنيا در مهابهاراتا و گيتا آمده است. در آغاز فصل دوم گيتا، دو راه نجات ؛ 1ـ طريق فلسفه متعالي (سام كهيا</w:t>
      </w:r>
      <w:r w:rsidRPr="009868FC">
        <w:rPr>
          <w:rFonts w:cs="B Zar"/>
        </w:rPr>
        <w:t xml:space="preserve"> Samkhia=</w:t>
      </w:r>
      <w:r w:rsidRPr="009868FC">
        <w:rPr>
          <w:rFonts w:cs="B Zar" w:hint="cs"/>
          <w:rtl/>
        </w:rPr>
        <w:t>)، معرفت (جنان</w:t>
      </w:r>
      <w:r w:rsidRPr="009868FC">
        <w:rPr>
          <w:rFonts w:cs="B Zar"/>
        </w:rPr>
        <w:t>Janan=</w:t>
      </w:r>
      <w:r w:rsidRPr="009868FC">
        <w:rPr>
          <w:rFonts w:cs="B Zar" w:hint="cs"/>
          <w:rtl/>
        </w:rPr>
        <w:t>) 2ـ طريق عمل و انجام تكاليف اجتماعي- ديني = نيكوكاري (كاراما يوگا</w:t>
      </w:r>
      <w:r w:rsidRPr="009868FC">
        <w:rPr>
          <w:rFonts w:cs="B Zar"/>
        </w:rPr>
        <w:t xml:space="preserve"> Karama Yoga=</w:t>
      </w:r>
      <w:r w:rsidRPr="009868FC">
        <w:rPr>
          <w:rFonts w:cs="B Zar" w:hint="cs"/>
          <w:rtl/>
        </w:rPr>
        <w:t xml:space="preserve">) تصريح شده است. در مهابهاراتا، بخش «سانت پرو»، دو طريق مذكور مورد تأكيد قرار گرفته و به طور صريح گفته شده است كه عمل از بي عملي بهتر است. دراوپدي همسر مشترك برادران پنجگانة پاندوا، به يدهشتر، يكي از شوهرانش مي‌گويد: </w:t>
      </w:r>
      <w:r w:rsidRPr="009868FC">
        <w:rPr>
          <w:rFonts w:cs="B Zar" w:hint="cs"/>
          <w:i/>
          <w:iCs/>
          <w:rtl/>
        </w:rPr>
        <w:t>«حتي بدون عمل انسان قوت و غذاي خود را نمي‌تواند به دست آورد»</w:t>
      </w:r>
      <w:r w:rsidRPr="009868FC">
        <w:rPr>
          <w:rFonts w:cs="B Zar" w:hint="cs"/>
          <w:rtl/>
        </w:rPr>
        <w:t>. اين تصور كه برهما انسان و مراسم عبادي «ياجنا» را با هم خلق كرد، در گيتا و در كتاب سانت پرو، هر دو ديده مي شود. نظرية آفرينشي را كه گيتا بيان كرده، با آنچه كه در بخش ديگر مهابهاراتا، سانت پورانا، عنوان شده است، كاملاً مطابقت دارد</w:t>
      </w:r>
      <w:r>
        <w:rPr>
          <w:rStyle w:val="FootnoteReference"/>
          <w:rFonts w:cs="B Zar"/>
          <w:sz w:val="28"/>
          <w:szCs w:val="28"/>
          <w:rtl/>
        </w:rPr>
        <w:footnoteReference w:id="666"/>
      </w:r>
      <w:r w:rsidRPr="009868FC">
        <w:rPr>
          <w:rFonts w:cs="B Zar" w:hint="cs"/>
          <w:rtl/>
        </w:rPr>
        <w:t>.</w:t>
      </w:r>
    </w:p>
    <w:p w:rsidR="009868FC" w:rsidRPr="009868FC" w:rsidP="003C0EF5">
      <w:pPr>
        <w:widowControl w:val="0"/>
        <w:spacing w:line="420" w:lineRule="exact"/>
        <w:ind w:left="0" w:right="0"/>
        <w:jc w:val="both"/>
        <w:rPr>
          <w:rFonts w:cs="B Zar" w:hint="cs"/>
          <w:rtl/>
        </w:rPr>
      </w:pPr>
      <w:r w:rsidRPr="009868FC">
        <w:rPr>
          <w:rFonts w:cs="B Zar" w:hint="cs"/>
          <w:rtl/>
        </w:rPr>
        <w:t>تيلاك و اوپادهياي، معتقدند كه مذهب و نگرش حاكم بر گيتا و مهابهاراتا هر دو نگرش بهاگتي</w:t>
      </w:r>
      <w:r w:rsidRPr="009868FC">
        <w:rPr>
          <w:rFonts w:cs="B Zar"/>
        </w:rPr>
        <w:t xml:space="preserve">(Bhagti)  </w:t>
      </w:r>
      <w:r w:rsidRPr="009868FC">
        <w:rPr>
          <w:rFonts w:cs="B Zar" w:hint="cs"/>
          <w:rtl/>
        </w:rPr>
        <w:t xml:space="preserve"> يا ولاء است. تيلاك مي‌گويد: نظرية كاراما يوگا كه در گيتا آمده، با مذهب بگوت (ولاء) كه جوهر تعاليم مهابهاراتا مي‌باشد، يكي است. درست است كه ميان مذهب نارايان</w:t>
      </w:r>
      <w:r w:rsidRPr="009868FC">
        <w:rPr>
          <w:rFonts w:cs="B Zar"/>
        </w:rPr>
        <w:t xml:space="preserve">(Narayana </w:t>
      </w:r>
      <w:r w:rsidRPr="009868FC">
        <w:rPr>
          <w:rFonts w:cs="B Zar" w:hint="cs"/>
          <w:rtl/>
        </w:rPr>
        <w:t xml:space="preserve"> در مهابهاراتا و نگرش گيتا كه كريشنا را به عنوان اوتار يا تجسم «نارايان» قلمداد كرده، تفاوت‌هايي وجود دارد؛ ولي تأكيد بر ولاء به «واسدوا» و انجام تكاليف اجتماعي طريق نجاتند، با نظرية بگوت در اساس تفاوتي ندارد</w:t>
      </w:r>
      <w:r>
        <w:rPr>
          <w:rStyle w:val="FootnoteReference"/>
          <w:rFonts w:cs="B Zar"/>
          <w:sz w:val="28"/>
          <w:szCs w:val="28"/>
          <w:rtl/>
        </w:rPr>
        <w:footnoteReference w:id="667"/>
      </w:r>
      <w:r w:rsidRPr="009868FC">
        <w:rPr>
          <w:rFonts w:cs="B Zar" w:hint="cs"/>
          <w:rtl/>
        </w:rPr>
        <w:t xml:space="preserve">. ك.ت.تلنگ </w:t>
      </w:r>
      <w:r w:rsidRPr="009868FC">
        <w:rPr>
          <w:rFonts w:cs="B Zar"/>
        </w:rPr>
        <w:t>(K.T.Telang)</w:t>
      </w:r>
      <w:r w:rsidRPr="009868FC">
        <w:rPr>
          <w:rFonts w:cs="B Zar" w:hint="cs"/>
          <w:rtl/>
        </w:rPr>
        <w:t xml:space="preserve"> بدين نكته بذل توجه كرده است كه احساسات آرجون و تنفر و انزجار وي از كشتار خويشان و آشنايان در سراسر مهابهاراتا ديده مي شود. آرجون به شدت نگران نتيجة جنگ است كه گيتا به عنوان عمل دلبسته، آنرا محكوم، و بر عمل وارسته كه بدون توجّه به نتايج اعمال انجام مي‌شود، تاكيد دارد</w:t>
      </w:r>
      <w:r>
        <w:rPr>
          <w:rStyle w:val="FootnoteReference"/>
          <w:rFonts w:cs="B Zar"/>
          <w:rtl/>
        </w:rPr>
        <w:footnoteReference w:id="668"/>
      </w:r>
      <w:r w:rsidRPr="009868FC">
        <w:rPr>
          <w:rFonts w:cs="B Zar" w:hint="cs"/>
          <w:rtl/>
        </w:rPr>
        <w:t>.</w:t>
      </w:r>
    </w:p>
    <w:p w:rsidR="009868FC" w:rsidRPr="009868FC" w:rsidP="003C0EF5">
      <w:pPr>
        <w:widowControl w:val="0"/>
        <w:spacing w:line="420" w:lineRule="exact"/>
        <w:ind w:left="0" w:right="0"/>
        <w:jc w:val="both"/>
        <w:rPr>
          <w:rFonts w:cs="B Zar"/>
          <w:rtl/>
        </w:rPr>
      </w:pPr>
      <w:r w:rsidRPr="009868FC">
        <w:rPr>
          <w:rFonts w:cs="B Zar" w:hint="cs"/>
          <w:rtl/>
        </w:rPr>
        <w:t xml:space="preserve">رابرت ماينر </w:t>
      </w:r>
      <w:r w:rsidRPr="009868FC">
        <w:rPr>
          <w:rFonts w:cs="B Zar"/>
        </w:rPr>
        <w:t>(Robert Minor)</w:t>
      </w:r>
      <w:r w:rsidRPr="009868FC">
        <w:rPr>
          <w:rFonts w:cs="B Zar" w:hint="cs"/>
          <w:rtl/>
        </w:rPr>
        <w:t xml:space="preserve"> اين استدلال را نمي‌پذيرد. او مي‌گويد: «بسياري از نظريه‌هاي گيتا كه در آن محوريت دارد، در ساير ابواب و كتابهاي ديگر مهابهاراتا يافت نمي‌شود». به نظر او گيتا، «اوتار واد» يا اعتقاد بدين اصل است كه كريشنا تجسم و تجلي خدا (ويشنو</w:t>
      </w:r>
      <w:r w:rsidRPr="009868FC">
        <w:rPr>
          <w:rFonts w:cs="B Zar"/>
        </w:rPr>
        <w:t xml:space="preserve"> Vishnu=</w:t>
      </w:r>
      <w:r w:rsidRPr="009868FC">
        <w:rPr>
          <w:rFonts w:cs="B Zar" w:hint="cs"/>
          <w:rtl/>
        </w:rPr>
        <w:t>) است و از جمله پيامدهاي اين كيش، ترويج طريق بهاگتي يا نجات از طريق محبت و ولاي كريشنا و پرستش او به عنوان خداست. اما در ساير ابواب و كتابهاي مهابهاراتا، نه تنها در ابواب پيش از گيتا، بلكه در ابوابي كه پس از آن آمده است، اشاره‌اي به الوهيت كريشنا و يا نجات از طريق محبت وي نشده است. همين كه ابواب هجده گانة گيتا تمام مي‌شود، در ابواب بعدي كريشنا به صورت يار، مشاور و دوست آرجون، فرمانده لشكر پاندوا، مطرح است و بس. آيا كسي كه تجلي خداوند را با ديدگان خود در كريشنا ديده، بدين سادگي اين امر را فراموش مي‌كند؟ آيا شاگرد چنان كوتاه حافظه و سست انديشه است كه تا روز بعد نيز نمي تواند درس استاد را به خاطر داشته باشد</w:t>
      </w:r>
      <w:r w:rsidRPr="009868FC">
        <w:rPr>
          <w:rFonts w:cs="B Zar"/>
          <w:rtl/>
        </w:rPr>
        <w:t>.</w:t>
      </w:r>
      <w:r>
        <w:rPr>
          <w:rStyle w:val="FootnoteReference"/>
          <w:rFonts w:cs="B Zar"/>
          <w:rtl/>
        </w:rPr>
        <w:footnoteReference w:id="669"/>
      </w:r>
    </w:p>
    <w:p w:rsidR="009868FC" w:rsidP="003C0EF5">
      <w:pPr>
        <w:widowControl w:val="0"/>
        <w:spacing w:line="420" w:lineRule="exact"/>
        <w:ind w:left="0" w:right="0"/>
        <w:jc w:val="both"/>
        <w:rPr>
          <w:rFonts w:cs="B Zar" w:hint="cs"/>
          <w:rtl/>
        </w:rPr>
      </w:pPr>
      <w:r w:rsidRPr="009868FC">
        <w:rPr>
          <w:rFonts w:cs="B Zar" w:hint="cs"/>
          <w:rtl/>
        </w:rPr>
        <w:t>استدلال ديگر تلنگ آنست كه شخصيت آرجون در سراسر كتابها و ابواب مهابهاراتا، كيفيت مشابهي دارد. از جنگ و ستيزه داخلي متنفر و دچار دغدغه و دلهره از نتيجة عمل خويش است. رابرت ماينر در پاسخ مي‌نويسد: استدلال تلنگ ادعايش را اثبات نمي‌كند، بلكه ثابت مي‌كند كه نويسندة گيتا و مهابهاراتا فرد واحدي نيست. دو نفر مختلف با فاصلة زماني، دو اثر را برشتة تحرير در آورده‌اند؛ چرا كه اگر نگارنده يك نفر بود، مي دانست كه گيتا حاوي اندرزهايي راجع به انسان و عمل بدون توجه به نتايج است، و خروج از دلهره و دغدغه با معرفت حيات جاويد روح است و تن و پيكر انساني، تماميت انسان نيست، پس كشتن و كشته شدن دلهره نخواهد داشت؛ لذا نويسنده فرضي، در فصول بعدي نبايد آرجون را همچنان يك فرد متزلزل كه نسبت به نتايج اعمال بيمناك است، ترسيم مي كرد. در مهابهاراتا همينكه گيتا به پايان مي‌رسد، آرجون</w:t>
      </w:r>
      <w:r w:rsidRPr="009868FC">
        <w:rPr>
          <w:rFonts w:cs="B Zar"/>
        </w:rPr>
        <w:t xml:space="preserve">(Arjuna= </w:t>
      </w:r>
      <w:r w:rsidRPr="009868FC">
        <w:rPr>
          <w:rFonts w:cs="B Zar" w:hint="cs"/>
          <w:rtl/>
        </w:rPr>
        <w:t xml:space="preserve"> به حالت قبلي بر مي‌گردد و مجدداً كريشنا را يك دوست تلقي مي كند، نه تجسم خدا يا هبوط خدا، بر روي آرجون. در واقع وحدت نگرشي در گيتا و مهابهاراتا نيست و از نظريه الوهيت كريشنا، و يا كاراما يوگا</w:t>
      </w:r>
      <w:r w:rsidRPr="009868FC">
        <w:rPr>
          <w:rFonts w:cs="B Zar"/>
        </w:rPr>
        <w:t xml:space="preserve">(Karama Yoga)  </w:t>
      </w:r>
      <w:r w:rsidRPr="009868FC">
        <w:rPr>
          <w:rFonts w:cs="B Zar" w:hint="cs"/>
          <w:rtl/>
        </w:rPr>
        <w:t xml:space="preserve"> يا وارستگي عمل بدون توجه به نتايج آن، در مهابهاراتا خبري نيست. نظرية بگوت كه در گيتا وجود دارد، با داستان آرجون و كريشنا به صورت دو قهرمان تاريخي ـ ملي، متفاوت است.</w:t>
      </w:r>
      <w:r>
        <w:rPr>
          <w:rStyle w:val="FootnoteReference"/>
          <w:rFonts w:cs="B Zar"/>
          <w:sz w:val="28"/>
          <w:szCs w:val="28"/>
          <w:rtl/>
        </w:rPr>
        <w:footnoteReference w:id="670"/>
      </w:r>
      <w:r w:rsidRPr="009868FC">
        <w:rPr>
          <w:rFonts w:cs="B Zar" w:hint="cs"/>
          <w:rtl/>
        </w:rPr>
        <w:t xml:space="preserve"> </w:t>
      </w:r>
    </w:p>
    <w:p w:rsidR="00C8559C" w:rsidRPr="009868FC" w:rsidP="003C0EF5">
      <w:pPr>
        <w:widowControl w:val="0"/>
        <w:spacing w:line="420" w:lineRule="exact"/>
        <w:ind w:left="0" w:right="0"/>
        <w:jc w:val="both"/>
        <w:rPr>
          <w:rFonts w:cs="B Zar" w:hint="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دليل دوم: اشارات به گيتا در متن مهابهاراتا</w:t>
      </w:r>
    </w:p>
    <w:p w:rsidR="009868FC" w:rsidRPr="009868FC" w:rsidP="003C0EF5">
      <w:pPr>
        <w:widowControl w:val="0"/>
        <w:spacing w:line="420" w:lineRule="exact"/>
        <w:ind w:left="0" w:right="0"/>
        <w:jc w:val="both"/>
        <w:rPr>
          <w:rFonts w:cs="B Zar" w:hint="cs"/>
          <w:rtl/>
        </w:rPr>
      </w:pPr>
      <w:r w:rsidRPr="009868FC">
        <w:rPr>
          <w:rFonts w:cs="B Zar" w:hint="cs"/>
          <w:rtl/>
        </w:rPr>
        <w:t xml:space="preserve">دليل دومِ كساني كه معتقدند گيتا از اجزاي اصيل مهابهاراتا است، آنست كه در كتابها و ابواب مختلف مهابهاراتا به گيتا اشاره شده و گاه ابيات و قطعات آن نقل گرديده است. اوپادهياي مي گويد: </w:t>
      </w:r>
      <w:r w:rsidRPr="009868FC">
        <w:rPr>
          <w:rFonts w:cs="B Zar" w:hint="cs"/>
          <w:i/>
          <w:iCs/>
          <w:rtl/>
        </w:rPr>
        <w:t>«بخشهائي از مهابهاراتا اشاره به بخشهاي ديگر آن دارد</w:t>
      </w:r>
      <w:r>
        <w:rPr>
          <w:rStyle w:val="FootnoteReference"/>
          <w:rFonts w:cs="B Zar"/>
          <w:i/>
          <w:iCs/>
          <w:rtl/>
        </w:rPr>
        <w:footnoteReference w:id="671"/>
      </w:r>
      <w:r w:rsidRPr="009868FC">
        <w:rPr>
          <w:rFonts w:cs="B Zar" w:hint="cs"/>
          <w:i/>
          <w:iCs/>
          <w:rtl/>
        </w:rPr>
        <w:t>».</w:t>
      </w:r>
    </w:p>
    <w:p w:rsidR="009868FC" w:rsidRPr="009868FC" w:rsidP="003C0EF5">
      <w:pPr>
        <w:widowControl w:val="0"/>
        <w:spacing w:line="420" w:lineRule="exact"/>
        <w:ind w:left="0" w:right="0"/>
        <w:jc w:val="both"/>
        <w:rPr>
          <w:rFonts w:cs="B Zar" w:hint="cs"/>
          <w:i/>
          <w:iCs/>
          <w:rtl/>
        </w:rPr>
      </w:pPr>
      <w:r w:rsidRPr="009868FC">
        <w:rPr>
          <w:rFonts w:cs="B Zar" w:hint="cs"/>
          <w:rtl/>
        </w:rPr>
        <w:t xml:space="preserve">بال گانگا دهار تيلاك مي‌گويد: </w:t>
      </w:r>
      <w:r w:rsidRPr="009868FC">
        <w:rPr>
          <w:rFonts w:cs="B Zar" w:hint="cs"/>
          <w:i/>
          <w:iCs/>
          <w:rtl/>
        </w:rPr>
        <w:t>«از ذكر و اشارات صريح به گيتا در خود مهابهاراتا به طور قاطع ثابت مي شود كه، گيتا از ملحقات بعدي نيست. مثلاً در فصل دوم كتاب ادي پرو گفته شده است: در رساله اي كه كريشنا «وسودوا» يأس (آرجون) را آزموده است، طريق نجات را به طور وضوح مي نماياند»</w:t>
      </w:r>
      <w:r>
        <w:rPr>
          <w:rStyle w:val="FootnoteReference"/>
          <w:rFonts w:cs="B Zar"/>
          <w:sz w:val="28"/>
          <w:szCs w:val="28"/>
          <w:rtl/>
        </w:rPr>
        <w:footnoteReference w:id="672"/>
      </w:r>
      <w:r w:rsidRPr="009868FC">
        <w:rPr>
          <w:rFonts w:cs="B Zar" w:hint="cs"/>
          <w:rtl/>
        </w:rPr>
        <w:t xml:space="preserve">. همچينين در فصل  اول ادي پرو دهرتراشتر پدر سرداران كورو، مي گويد: </w:t>
      </w:r>
      <w:r w:rsidRPr="009868FC">
        <w:rPr>
          <w:rFonts w:cs="B Zar" w:hint="cs"/>
          <w:i/>
          <w:iCs/>
          <w:rtl/>
        </w:rPr>
        <w:t>«وقتي آرجون دچار شك و ترديد شد و كريشنا تجلي الهي خويش را ظاهر فرمود، از پيروزي مايوس شدم.</w:t>
      </w:r>
      <w:r>
        <w:rPr>
          <w:rStyle w:val="FootnoteReference"/>
          <w:rFonts w:cs="B Zar"/>
          <w:i/>
          <w:iCs/>
          <w:sz w:val="28"/>
          <w:szCs w:val="28"/>
          <w:rtl/>
        </w:rPr>
        <w:footnoteReference w:id="673"/>
      </w:r>
      <w:r w:rsidRPr="009868FC">
        <w:rPr>
          <w:rFonts w:cs="B Zar" w:hint="cs"/>
          <w:i/>
          <w:iCs/>
          <w:rtl/>
        </w:rPr>
        <w:t>»</w:t>
      </w:r>
    </w:p>
    <w:p w:rsidR="009868FC" w:rsidRPr="009868FC" w:rsidP="003C0EF5">
      <w:pPr>
        <w:widowControl w:val="0"/>
        <w:spacing w:line="420" w:lineRule="exact"/>
        <w:ind w:left="0" w:right="0"/>
        <w:jc w:val="both"/>
        <w:rPr>
          <w:rFonts w:cs="B Zar" w:hint="cs"/>
          <w:rtl/>
        </w:rPr>
      </w:pPr>
      <w:r w:rsidRPr="009868FC">
        <w:rPr>
          <w:rFonts w:cs="B Zar" w:hint="cs"/>
          <w:rtl/>
        </w:rPr>
        <w:t>ابيات و قطعات گيتا به طور كامل در كتابها و ابواب و فصول مهابهاراتا نقل شده است. مثلاً ابيات 9:1 گيتا، در كتاب بهيسم پوروا ديده مي شود</w:t>
      </w:r>
      <w:r>
        <w:rPr>
          <w:rStyle w:val="FootnoteReference"/>
          <w:rFonts w:cs="B Zar"/>
          <w:sz w:val="28"/>
          <w:szCs w:val="28"/>
          <w:rtl/>
        </w:rPr>
        <w:footnoteReference w:id="674"/>
      </w:r>
      <w:r w:rsidRPr="009868FC">
        <w:rPr>
          <w:rFonts w:cs="B Zar" w:hint="cs"/>
          <w:rtl/>
        </w:rPr>
        <w:t>. تيلاك مي‌گويد</w:t>
      </w:r>
      <w:r w:rsidRPr="009868FC">
        <w:rPr>
          <w:rFonts w:cs="B Zar" w:hint="cs"/>
          <w:i/>
          <w:iCs/>
          <w:rtl/>
        </w:rPr>
        <w:t>: «27 قطعة گيتا به طور كامل و 12 ‌قطعه به طور ناقص با تغيير جزئي در تعبير، در مهابهاراتا نقل شده است</w:t>
      </w:r>
      <w:r w:rsidRPr="009868FC">
        <w:rPr>
          <w:rFonts w:cs="B Zar"/>
          <w:i/>
          <w:iCs/>
          <w:rtl/>
        </w:rPr>
        <w:t xml:space="preserve"> </w:t>
      </w:r>
      <w:r>
        <w:rPr>
          <w:rStyle w:val="FootnoteReference"/>
          <w:rFonts w:cs="B Zar"/>
          <w:i/>
          <w:iCs/>
          <w:rtl/>
        </w:rPr>
        <w:footnoteReference w:id="675"/>
      </w:r>
      <w:r w:rsidRPr="009868FC">
        <w:rPr>
          <w:rFonts w:cs="B Zar" w:hint="cs"/>
          <w:rtl/>
        </w:rPr>
        <w:t xml:space="preserve">». تيلاك مي‌گويد: </w:t>
      </w:r>
      <w:r w:rsidRPr="009868FC">
        <w:rPr>
          <w:rFonts w:cs="B Zar" w:hint="cs"/>
          <w:i/>
          <w:iCs/>
          <w:rtl/>
        </w:rPr>
        <w:t>«در مهابهاراتا ابياتي از گيتا يافت مي شود، كه با ديد نخست گمان مي رود گاه قطعة كاملي از مهابهاراتا خلاصه شده است، و نتيجه گرفته مي‌شود كه گيتا كهن تر از مهابهاراتا است، ولي با ديد ژرفتر گمان نخست برطرف شده، روشن مي‌گردد كه هر قطعه و فرازي در جاي مناسبي قرار گرفته و اقتباس از اثر ديگري نمي‌تواند باشد.»</w:t>
      </w:r>
    </w:p>
    <w:p w:rsidR="009868FC" w:rsidP="003C0EF5">
      <w:pPr>
        <w:widowControl w:val="0"/>
        <w:spacing w:line="420" w:lineRule="exact"/>
        <w:ind w:left="0" w:right="0"/>
        <w:jc w:val="both"/>
        <w:rPr>
          <w:rFonts w:cs="B Zar" w:hint="cs"/>
          <w:i/>
          <w:iCs/>
          <w:rtl/>
        </w:rPr>
      </w:pPr>
      <w:r w:rsidRPr="009868FC">
        <w:rPr>
          <w:rFonts w:cs="B Zar" w:hint="cs"/>
          <w:rtl/>
        </w:rPr>
        <w:t xml:space="preserve">رابرت ماينر </w:t>
      </w:r>
      <w:r w:rsidRPr="009868FC">
        <w:rPr>
          <w:rFonts w:cs="B Zar"/>
        </w:rPr>
        <w:t>(Robert Minor)</w:t>
      </w:r>
      <w:r w:rsidRPr="009868FC">
        <w:rPr>
          <w:rFonts w:cs="B Zar" w:hint="cs"/>
          <w:rtl/>
        </w:rPr>
        <w:t xml:space="preserve"> در پاسخ مي‌نويسد كه از اشارات گيتا به ابيات و قطعات مهابهاراتا، ثابت مي شود قطعات مزبور متأخر تر از تأليف گيتا مي باشد، و افرادي نظير وان بوتينن كه معتقدند ‌مهابهاراتا در سه مرحله به چنين حجمي رسيده‌ است، و از اين نتيجه مي‌گيرند كه گيتا و هفده رساله ديگر به عنوان گيتا، در مرحلة دوم به كتاب مهابهاراتا افزوده شده‌اند و قطعات و بخشهايي كه در آن از گيتا نام برده مي‌شود، در مرحلة سوم، پس از مدتي اضافه شده‌اند</w:t>
      </w:r>
      <w:r>
        <w:rPr>
          <w:rStyle w:val="FootnoteReference"/>
          <w:rFonts w:cs="B Zar"/>
          <w:rtl/>
        </w:rPr>
        <w:footnoteReference w:id="676"/>
      </w:r>
      <w:r w:rsidRPr="009868FC">
        <w:rPr>
          <w:rFonts w:cs="B Zar" w:hint="cs"/>
          <w:rtl/>
        </w:rPr>
        <w:t xml:space="preserve">. افزون بر مطلب فوق آورده است: </w:t>
      </w:r>
      <w:r w:rsidRPr="009868FC">
        <w:rPr>
          <w:rFonts w:cs="B Zar" w:hint="cs"/>
          <w:i/>
          <w:iCs/>
          <w:rtl/>
        </w:rPr>
        <w:t>«دلايل و شواهد، دلالت بر آن دارد كه گيتا در آغاز جزو مهابهاراتا نبوده، و اگر روند تدوين مهابهاراتا را در سه مرحله بدانيم، گيتا در مرحله وسطي به اين حماسه افزوده شده است؛ لذا از يكسو با روال داستان اصلي و سبك حماسي آن نمي‌سازد و از سوي ديگر در قطعات و كتابهاي ديگر از آن نام برده شده و حتي سطور و قطعات كامل آن نقل گرديده است».</w:t>
      </w:r>
      <w:r>
        <w:rPr>
          <w:rStyle w:val="FootnoteReference"/>
          <w:rFonts w:cs="B Zar"/>
          <w:i/>
          <w:iCs/>
          <w:sz w:val="28"/>
          <w:szCs w:val="28"/>
          <w:rtl/>
        </w:rPr>
        <w:footnoteReference w:id="677"/>
      </w:r>
    </w:p>
    <w:p w:rsidR="00C8559C" w:rsidRPr="009868FC" w:rsidP="003C0EF5">
      <w:pPr>
        <w:widowControl w:val="0"/>
        <w:spacing w:line="420" w:lineRule="exact"/>
        <w:ind w:left="0" w:right="0"/>
        <w:jc w:val="both"/>
        <w:rPr>
          <w:rFonts w:cs="B Zar" w:hint="cs"/>
          <w:i/>
          <w:i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دليل سوم: وحدت سبك</w:t>
      </w:r>
    </w:p>
    <w:p w:rsidR="009868FC" w:rsidRPr="009868FC" w:rsidP="003C0EF5">
      <w:pPr>
        <w:widowControl w:val="0"/>
        <w:spacing w:line="420" w:lineRule="exact"/>
        <w:ind w:left="0" w:right="0"/>
        <w:jc w:val="both"/>
        <w:rPr>
          <w:rFonts w:cs="B Zar" w:hint="cs"/>
          <w:i/>
          <w:iCs/>
          <w:rtl/>
        </w:rPr>
      </w:pPr>
      <w:r w:rsidRPr="009868FC">
        <w:rPr>
          <w:rFonts w:cs="B Zar" w:hint="cs"/>
          <w:rtl/>
        </w:rPr>
        <w:t xml:space="preserve">تيلاك و اوپادهياي، هر دو استدلال كرده‌اند كه سبك گيتا و مهابهاراتا كاملاً هم سنخ است. لغات، تعبيرات، تركيب‌هاي نحوي، اوزان شعري و سندهي (تركيب حروف) گيتا و مهابهاراتا داراي تشابه چشمگيري هستند. پسوندهايي كه در متون سابق نبوده و نويسندگان بعدي چون كاليداس، آنرا به كار نبرده‌اند، در هر دو ديده مي‌شود. شرما نيز با نقل شواهد ديگر ثابت كرده است كه زبان و تعبيرات مهابهاراتا و گيتا مشابهند. شرما مي‌گويد: </w:t>
      </w:r>
      <w:r w:rsidRPr="009868FC">
        <w:rPr>
          <w:rFonts w:cs="B Zar" w:hint="cs"/>
          <w:i/>
          <w:iCs/>
          <w:rtl/>
        </w:rPr>
        <w:t>«تمام تركيب‌هاي ابتدايي مهابهاراتا در گيتا به چشم مي‌خورد. حتي اشتباهات لغوي و نحوي كه در مهابهاراتا راه پيدا كرده، در گيتا نيز مشهود است.</w:t>
      </w:r>
      <w:r>
        <w:rPr>
          <w:rStyle w:val="FootnoteReference"/>
          <w:rFonts w:cs="B Zar"/>
          <w:i/>
          <w:iCs/>
          <w:sz w:val="28"/>
          <w:szCs w:val="28"/>
          <w:rtl/>
        </w:rPr>
        <w:footnoteReference w:id="678"/>
      </w:r>
      <w:r w:rsidRPr="009868FC">
        <w:rPr>
          <w:rFonts w:cs="B Zar" w:hint="cs"/>
          <w:i/>
          <w:iCs/>
          <w:rtl/>
        </w:rPr>
        <w:t>»</w:t>
      </w:r>
    </w:p>
    <w:p w:rsidR="009868FC" w:rsidRPr="009868FC" w:rsidP="003C0EF5">
      <w:pPr>
        <w:widowControl w:val="0"/>
        <w:spacing w:line="420" w:lineRule="exact"/>
        <w:ind w:left="0" w:right="0"/>
        <w:jc w:val="both"/>
        <w:rPr>
          <w:rFonts w:cs="B Zar" w:hint="cs"/>
          <w:rtl/>
        </w:rPr>
      </w:pPr>
      <w:r w:rsidRPr="009868FC">
        <w:rPr>
          <w:rFonts w:cs="B Zar" w:hint="cs"/>
          <w:rtl/>
        </w:rPr>
        <w:t>تيلاك هم مي‌گويد: «ميان سبك مهابهاراتا و گيتا، تشابه شگفت انگيزي ديده مي‌شود. نه تنها واژگان، بلكه نحوة تركيبها، ساختار نحوي جملات و غيره يكسانند. تلنگ (مفسر گيتا، «مجموعه متون مقدس شرق»، ناشر ماكس مولر) نيز اين نظر را تاكيد كرده است. او ثابت كرده است، كه زبان گيتا با سانسكريت پارينه ودا، برهمانا و اوپانيشاد تفاوت دارد. همچنان با زبان سانسكريت كلاسيك بعدي كاليداس نيز متفاوت است، ولي اين زبان با زبان مهابهاراتا كاملاً سنخيت دارد. واژه‌هايي نظير (اتت گيتا: 16:2)، بهاس       (52:2)، «برهما و پراكرتي» (3:14) و يوگا (9:2)، داراي آن معاني نيستند كه در آثار بعدي ‌راه يافته‌‌اند. پس مي‌توان نتيجه گرفت كه گيتا از جمله ملحقات زمان بعدي نيست؛ چرا كه تركيبهاي نحوي گيتا با قواعد نحوي كه وضع گرديده، مطابقت ندارد. مثلاً تركيب نحس مرت (35:11) سيكيا اهم (45:11)، از نظر قواعد سانسكريت كلاسيك نادرستند. گرچه در مهابهاراتا اين تركيبها به همين صورت به كار رفته‌اند.</w:t>
      </w:r>
    </w:p>
    <w:p w:rsidR="009868FC" w:rsidRPr="009868FC" w:rsidP="003C0EF5">
      <w:pPr>
        <w:widowControl w:val="0"/>
        <w:spacing w:line="420" w:lineRule="exact"/>
        <w:ind w:left="0" w:right="0"/>
        <w:jc w:val="both"/>
        <w:rPr>
          <w:rFonts w:cs="B Zar" w:hint="cs"/>
          <w:rtl/>
        </w:rPr>
      </w:pPr>
      <w:r w:rsidRPr="009868FC">
        <w:rPr>
          <w:rFonts w:cs="B Zar" w:hint="cs"/>
          <w:rtl/>
        </w:rPr>
        <w:t>بهرحال اوزان شعري گيتا با اوزان شعري مهابهاراتا مطابقت دارد و با اوزاني كه از زمان كاليداس استاندارد شده تفاوت مي‌كند. يكي از نمونه‌هاي اينگونه اوزان غير كلاسيك، قطعة (11-15-50) مي باشد.</w:t>
      </w:r>
    </w:p>
    <w:p w:rsidR="009868FC" w:rsidRPr="009868FC" w:rsidP="003C0EF5">
      <w:pPr>
        <w:widowControl w:val="0"/>
        <w:spacing w:line="420" w:lineRule="exact"/>
        <w:ind w:left="0" w:right="0"/>
        <w:jc w:val="both"/>
        <w:rPr>
          <w:rFonts w:cs="B Zar" w:hint="cs"/>
          <w:rtl/>
        </w:rPr>
      </w:pPr>
      <w:r w:rsidRPr="009868FC">
        <w:rPr>
          <w:rFonts w:cs="B Zar" w:hint="cs"/>
          <w:rtl/>
        </w:rPr>
        <w:t>دليل سوم محكم‌تر از دلايل قبلي است، و تا وقتيكه سانسكريت شناسان ديگر، با مطالعه دقيقتر نقاط اختلاف گيتا و مهابهاراتا را از نظر واژگان و تركيبها و ساختار نحوي جملات، ثابت نكرده‌اند، رد اين دليل مشكل است؛ ولي نبايد فراموش كرد كه «روي» خاطر نشان ساخته است اگر اين دليل را بپذيريم،  تنها اين نكته ثابت خواهد شد كه مهابهاراتا و گيتا تقريباً در دوره اي مقارن نوشته شده‌اند، ولي ثابت نمي‌كند كه گيتا جزو مهابهاراتا است يا نگارنده واحدي اين دو اثر را به وجود آورده است. براي اثبات اين نكته، دليل ديگري لازم است؛ ولي در عين حال، در ميان تمام دلايلي كه معتقدان اصالت گيتا به عنوان جزو مهابهاراتای اوليه عرضه كرده‌اند، اين دليل از همه قويتر است.</w:t>
      </w:r>
    </w:p>
    <w:p w:rsidR="009868FC" w:rsidRPr="009868FC" w:rsidP="003C0EF5">
      <w:pPr>
        <w:widowControl w:val="0"/>
        <w:spacing w:line="420" w:lineRule="exact"/>
        <w:ind w:left="0" w:right="0"/>
        <w:jc w:val="both"/>
        <w:rPr>
          <w:rFonts w:cs="B Zar" w:hint="cs"/>
          <w:b/>
          <w:bCs/>
          <w:rtl/>
        </w:rPr>
      </w:pPr>
      <w:r w:rsidRPr="009868FC">
        <w:rPr>
          <w:rFonts w:cs="B Zar" w:hint="cs"/>
          <w:b/>
          <w:bCs/>
          <w:rtl/>
        </w:rPr>
        <w:t>نتيجه گيري:</w:t>
      </w:r>
    </w:p>
    <w:p w:rsidR="009868FC" w:rsidP="003C0EF5">
      <w:pPr>
        <w:widowControl w:val="0"/>
        <w:spacing w:line="420" w:lineRule="exact"/>
        <w:ind w:left="0" w:right="0"/>
        <w:jc w:val="both"/>
        <w:rPr>
          <w:rFonts w:cs="B Zar" w:hint="cs"/>
          <w:i/>
          <w:iCs/>
          <w:rtl/>
        </w:rPr>
      </w:pPr>
      <w:r w:rsidRPr="009868FC">
        <w:rPr>
          <w:rFonts w:cs="B Zar" w:hint="cs"/>
          <w:rtl/>
        </w:rPr>
        <w:t xml:space="preserve">چنانكه اس.ك.دي </w:t>
      </w:r>
      <w:r w:rsidRPr="009868FC">
        <w:rPr>
          <w:rFonts w:cs="B Zar"/>
        </w:rPr>
        <w:t>(S.K.DEY)</w:t>
      </w:r>
      <w:r w:rsidRPr="009868FC">
        <w:rPr>
          <w:rFonts w:cs="B Zar" w:hint="cs"/>
          <w:rtl/>
        </w:rPr>
        <w:t xml:space="preserve"> خاطر نشان ساخته است، بحث مذكور «نگارنده يا نگارندگان مهابهاراتا، گيتا جزو مهابهاراتا يا ملحق بر آنست»، بحثي است پايان ناپذير؛ چرا كه شواهد‌ و ‌اسناد قاطعي كه يكي از دو ديدگاه موجود را اثبات كند، وجود ندارد. تمام نظريه‌ها جنبة فرضيه و گمان دارد و مبتني بر دلايلي مي‌باشند كه طرف ديگر به سادگي مي‌تواند آنرا نفي كند.</w:t>
      </w:r>
      <w:r>
        <w:rPr>
          <w:rStyle w:val="FootnoteReference"/>
          <w:rFonts w:cs="B Zar"/>
          <w:rtl/>
        </w:rPr>
        <w:footnoteReference w:id="679"/>
      </w:r>
      <w:r w:rsidRPr="009868FC">
        <w:rPr>
          <w:rFonts w:cs="B Zar" w:hint="cs"/>
          <w:rtl/>
        </w:rPr>
        <w:t xml:space="preserve"> ولي چنان كه سري اربيندو، فيلسوف و حكيم بزرگ قرن بيستم گفته است: </w:t>
      </w:r>
      <w:r w:rsidRPr="009868FC">
        <w:rPr>
          <w:rFonts w:cs="B Zar" w:hint="cs"/>
          <w:i/>
          <w:iCs/>
          <w:rtl/>
        </w:rPr>
        <w:t>«گيتا صحيفة ارشادي است و اين امر چندان اهميتي ندارد كه آنرا چه كسي و چگونه سروده است. از ديدگاه ارشادي چندان اهميتي ندارد كه گيتا به وسيله نويسندة مهابهاراتا سروده شده است يا به وسيلة عارفي ديگر، جزو مهابهاراتا است يا اثري مستقل. به نظر من  دلايل كافي كه ثابت كند گيتا جزو مهابهاراتا است وجود دارد. اگر چنين نباشد، بايد بپذيريم كه اشراق كنندة گيتا  هركه بوده، به شدت تلاش كرده است اين اثر را به مهابهاراتا ضميمه سازد. گيتا در آغاز و پايان كتاب، نه تنها با صحيفة عمومي جنگ مهابهاراتا سازگار است، بلكه در فصول مختلف به طور مكرر، شأن نزول خود را يادآور شده است. از اين رو اين اثر را بايد در دورنماي كشاكش حق و باطل در مهابهاراتا مطالعه كنيم».</w:t>
      </w:r>
      <w:r>
        <w:rPr>
          <w:rStyle w:val="FootnoteReference"/>
          <w:rFonts w:cs="B Zar"/>
          <w:i/>
          <w:iCs/>
          <w:rtl/>
        </w:rPr>
        <w:footnoteReference w:id="680"/>
      </w:r>
    </w:p>
    <w:p w:rsidR="00C8559C" w:rsidRPr="009868FC" w:rsidP="003C0EF5">
      <w:pPr>
        <w:widowControl w:val="0"/>
        <w:spacing w:line="420" w:lineRule="exact"/>
        <w:ind w:left="0" w:right="0"/>
        <w:jc w:val="both"/>
        <w:rPr>
          <w:rFonts w:cs="B Zar" w:hint="cs"/>
          <w:i/>
          <w:i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گيتا و اوپانيشاد</w:t>
      </w:r>
    </w:p>
    <w:p w:rsidR="009868FC" w:rsidRPr="009868FC" w:rsidP="003C0EF5">
      <w:pPr>
        <w:widowControl w:val="0"/>
        <w:spacing w:line="420" w:lineRule="exact"/>
        <w:ind w:left="0" w:right="0"/>
        <w:jc w:val="both"/>
        <w:rPr>
          <w:rFonts w:cs="B Zar" w:hint="cs"/>
          <w:rtl/>
        </w:rPr>
      </w:pPr>
      <w:r w:rsidRPr="009868FC">
        <w:rPr>
          <w:rFonts w:cs="B Zar" w:hint="cs"/>
          <w:rtl/>
        </w:rPr>
        <w:t>گيتا خود را به عنوان يكي از اوپانيشادها معرفي مي كند. نام كامل گيتا «بگوت گيتا سداپاني سو»، يعني بگوت گيتا اوپانيشاد است. در پايان هر هجده باب گيتا، اين جمله را مي‌خوانيم: «اوم تت ست! اتي سريماد بهگوت گيتا اسواپاني سو» (به نام خدا! بدينسان اين فصل اوپانيشاد بگوت گيتا به پايان رسيد).</w:t>
      </w:r>
    </w:p>
    <w:p w:rsidR="009868FC" w:rsidRPr="009868FC" w:rsidP="003C0EF5">
      <w:pPr>
        <w:widowControl w:val="0"/>
        <w:spacing w:line="420" w:lineRule="exact"/>
        <w:ind w:left="0" w:right="0"/>
        <w:jc w:val="both"/>
        <w:rPr>
          <w:rFonts w:cs="B Zar" w:hint="cs"/>
          <w:rtl/>
        </w:rPr>
      </w:pPr>
      <w:r w:rsidRPr="009868FC">
        <w:rPr>
          <w:rFonts w:cs="B Zar" w:hint="cs"/>
          <w:rtl/>
        </w:rPr>
        <w:t xml:space="preserve">اس.سي.راي </w:t>
      </w:r>
      <w:r w:rsidRPr="009868FC">
        <w:rPr>
          <w:rFonts w:cs="B Zar"/>
        </w:rPr>
        <w:t>S.C.Roy)</w:t>
      </w:r>
      <w:r w:rsidRPr="009868FC">
        <w:rPr>
          <w:rStyle w:val="FootnoteReference"/>
          <w:rFonts w:cs="B Zar"/>
          <w:sz w:val="28"/>
          <w:szCs w:val="28"/>
          <w:rtl/>
        </w:rPr>
        <w:t>,</w:t>
      </w:r>
      <w:r w:rsidRPr="009868FC">
        <w:rPr>
          <w:rFonts w:cs="B Zar" w:hint="cs"/>
          <w:rtl/>
        </w:rPr>
        <w:t xml:space="preserve">با توجه به تصريحات گيتا و دلايل ديگر نتيجه گرفته است، كه گيتا از جملة اوپانيشادها بوده كه بعداً به وسيلة ويرايشگران كتاب مهابهاراتا بدان افزوده شد. او مي‌گويد: </w:t>
      </w:r>
      <w:r w:rsidRPr="009868FC">
        <w:rPr>
          <w:rFonts w:cs="B Zar" w:hint="cs"/>
          <w:i/>
          <w:iCs/>
          <w:rtl/>
        </w:rPr>
        <w:t>«غير از اينكه گيتا خود را اوپانيشاد ناميده، در جاهاي ديگر مهابهاراتا نيز از گيتا، به عنوان يك اوپانيشاد ياد شده است»</w:t>
      </w:r>
      <w:r w:rsidRPr="009868FC">
        <w:rPr>
          <w:rFonts w:cs="B Zar" w:hint="cs"/>
          <w:rtl/>
        </w:rPr>
        <w:t>. همچنانكه برخي از قديميترين مفسران، گيتا را از جملة اوپانيشادها تلقي كرده اند. در ميان آنان از مادهو سندانا سرسوتي مي‌توان نام برد.</w:t>
      </w:r>
    </w:p>
    <w:p w:rsidR="009868FC" w:rsidRPr="009868FC" w:rsidP="003C0EF5">
      <w:pPr>
        <w:widowControl w:val="0"/>
        <w:spacing w:line="420" w:lineRule="exact"/>
        <w:ind w:left="0" w:right="0"/>
        <w:jc w:val="both"/>
        <w:rPr>
          <w:rFonts w:cs="B Zar" w:hint="cs"/>
          <w:rtl/>
        </w:rPr>
      </w:pPr>
      <w:r w:rsidRPr="009868FC">
        <w:rPr>
          <w:rFonts w:cs="B Zar" w:hint="cs"/>
          <w:rtl/>
        </w:rPr>
        <w:t>«اس.سي.راي» استدلال مي‌كند كه فلسفه گيتا عمدتاً فلسفه اوپانيشاد است و تعداد زيادي از قطعات و آيات اوپانيشاد در گيتا نقل گرديده است.«راي» به خصوص شباهت گيتا را با «كتا» اوپانيشاد يادآور مي شود و مي گويد: «كتا» چهار چوب فكري گيتا را تشكيل مي‌دهد. قطعة (29:2) گيتا در «ولي درم كتا» ديده مي شود و بيت 2:2 و قطعة 11:8 گيتا، لفظ به لفظ در كتا وجود دارد. قطعة 6:51 با تغيير مختصري از كتا نقل شده است. بال گانگا دهار تيلاك نيز معتقد است كه گيتا از سنخ اوپانيشاد كتا است.</w:t>
      </w:r>
      <w:r>
        <w:rPr>
          <w:rStyle w:val="FootnoteReference"/>
          <w:rFonts w:cs="B Zar"/>
          <w:rtl/>
        </w:rPr>
        <w:footnoteReference w:id="681"/>
      </w:r>
    </w:p>
    <w:p w:rsidR="009868FC" w:rsidRPr="009868FC" w:rsidP="003C0EF5">
      <w:pPr>
        <w:widowControl w:val="0"/>
        <w:spacing w:line="420" w:lineRule="exact"/>
        <w:ind w:left="0" w:right="0"/>
        <w:jc w:val="both"/>
        <w:rPr>
          <w:rFonts w:cs="B Zar" w:hint="cs"/>
          <w:rtl/>
        </w:rPr>
      </w:pPr>
      <w:r w:rsidRPr="009868FC">
        <w:rPr>
          <w:rFonts w:cs="B Zar" w:hint="cs"/>
          <w:rtl/>
        </w:rPr>
        <w:t>گيتا با «سوالس وتر اوپانيشاد» نيز سنخيت دارد. قطعة 13:6 گيتا از «سوتاس وتر اوپانيشاد» اقتباس گرديده، و هيچ تفاوتي ميان اين قطعه و قطعة 8:2 «سوتاس وتر» ديده نمي شود. بيت 13:13 گيتا، مبتني بر بيت 16:3 اوپانيشاد مي‌باشد. اقتباس‌هاي زير، از اوپانيشادهاي اوليه صورت گرفته است:</w:t>
      </w:r>
    </w:p>
    <w:p w:rsidR="009868FC" w:rsidRPr="009868FC" w:rsidP="003C0EF5">
      <w:pPr>
        <w:widowControl w:val="0"/>
        <w:spacing w:line="420" w:lineRule="exact"/>
        <w:ind w:left="0" w:right="0"/>
        <w:jc w:val="both"/>
        <w:rPr>
          <w:rFonts w:cs="B Zar" w:hint="cs"/>
          <w:rtl/>
        </w:rPr>
      </w:pPr>
      <w:r w:rsidRPr="009868FC">
        <w:rPr>
          <w:rFonts w:cs="B Zar" w:hint="cs"/>
          <w:rtl/>
        </w:rPr>
        <w:t>مبارزه طلبي و مقايسه ميان اعضاي بدن، از «برهدارن ياكا» و چاندوگيا اوپانيشاد، اصل عدم تغيير آتمان كه در فصل دوم گيتا بيان شده، شرحي از حقيقت برهمان يا حقيقت لايزال، وراي بعد ذات، و همچينين شرح رابطه ميان چشم و آتمان كه در فصل سيزدهم گيتا به طور مشروح بررسي گرديده، از برهداران ياكا و چاندوگيا اوپانيشاد مي‌باشد. قطعات 21:9 و 17:13 و 14:2 از برهدارن ياكا و چاندوگيا اوپانيشاد نقل شده است. قطعة 16:2 و 6:8 نيز از چاندوگيا اوپانيشاد است. قطعات بسياري هم از كيواليا اوپانيشاد اقتباسي كرده است. دو قطعه 29:6، 15:5 گيتا به همين شكل در كيواليا ديده مي شوند. با توجه به اقتباسات بسيار، وحدت نگرش و ماهيت درست است. برخي صاحب نظران، گيتا را يكي از اوپانيشادها محسوب كرده اند، كه بعداً به مهابهاراتا ضميمه گرديده است.</w:t>
      </w:r>
    </w:p>
    <w:p w:rsidR="009868FC" w:rsidRPr="009868FC" w:rsidP="003C0EF5">
      <w:pPr>
        <w:widowControl w:val="0"/>
        <w:spacing w:line="420" w:lineRule="exact"/>
        <w:ind w:left="0" w:right="0"/>
        <w:jc w:val="both"/>
        <w:rPr>
          <w:rFonts w:cs="B Zar" w:hint="cs"/>
          <w:rtl/>
        </w:rPr>
      </w:pPr>
      <w:r w:rsidRPr="009868FC">
        <w:rPr>
          <w:rFonts w:cs="B Zar" w:hint="cs"/>
          <w:rtl/>
        </w:rPr>
        <w:t>رادا كريشنان، گيتا را يكي از اوپانيشادها محسوب نكرده، ولي معتقد به وحدت ماهيت عرفاني ـ فلسفي گيتا و اوپانيشاد است و هر دو را يك سنخ دانسته كه مغاير سنخ داستانهاي حماسي مهابهاراتا يا رامايان مي باشد. تيلاك</w:t>
      </w:r>
      <w:r>
        <w:rPr>
          <w:rStyle w:val="FootnoteReference"/>
          <w:rFonts w:cs="B Zar"/>
          <w:rtl/>
        </w:rPr>
        <w:footnoteReference w:id="682"/>
      </w:r>
      <w:r w:rsidRPr="009868FC">
        <w:rPr>
          <w:rFonts w:cs="B Zar" w:hint="cs"/>
          <w:rtl/>
        </w:rPr>
        <w:t>، رادا كريشنان</w:t>
      </w:r>
      <w:r>
        <w:rPr>
          <w:rStyle w:val="FootnoteReference"/>
          <w:rFonts w:cs="B Zar"/>
          <w:rtl/>
        </w:rPr>
        <w:footnoteReference w:id="683"/>
      </w:r>
      <w:r w:rsidRPr="009868FC">
        <w:rPr>
          <w:rFonts w:cs="B Zar" w:hint="cs"/>
          <w:rtl/>
        </w:rPr>
        <w:t xml:space="preserve"> و اس.سي. راي، هر سه شباهت سبك گيتا را با سبك اوپانيشادهاي منظوم مقايسه مي كنند و آنرا از سنخ اوپانيشاد «كتا» يا «كيواليا» مي دانند.</w:t>
      </w:r>
    </w:p>
    <w:p w:rsidR="009868FC" w:rsidRPr="009868FC" w:rsidP="003C0EF5">
      <w:pPr>
        <w:widowControl w:val="0"/>
        <w:spacing w:line="420" w:lineRule="exact"/>
        <w:ind w:left="0" w:right="0"/>
        <w:jc w:val="both"/>
        <w:rPr>
          <w:rFonts w:cs="B Zar" w:hint="cs"/>
          <w:rtl/>
        </w:rPr>
      </w:pPr>
      <w:r w:rsidRPr="009868FC">
        <w:rPr>
          <w:rFonts w:cs="B Zar" w:hint="cs"/>
          <w:rtl/>
        </w:rPr>
        <w:t>رابرت ماينر با نظر اس.سي.راي موافق نيست. او خاطرنشان مي‌سازد كه نمي‌توان به ادعاي گيتا كه «جزو اوپانيشادها مي باشد» اعتماد كرده، دليل بر اثبات آن و قدمتش بر مهابهاراتا گرفت؛ چرا كه امكان دارد عرفا و انديشمندان ديني به سبب مقبوليت اوپانيشاد، نام اثر يا آثار خود را اوپانيشاد گذاشته باشند و گيتا يك مورد آن باشد. ثانياً اوپانيشاد، عنوان كلي رسائل حكيمانه و مذهبي گرديده و تاليف آن تا دير زمان ادامه داشته است. از اينرو اگر بپذيريم كه گيتا از جملة اوپانيشادها است، اين امر قدمت آنرا بر مهابهاراتا ثابت نخواهد كرد. اگرچه در مواردي گيتا اظهار داشته نظريه‌هاي آن مبتني بر «دانش كهن است»، اما ثابت نمي‌كند كه اشارة آن تنها به اوپانيشاد باشد. چه بسا كه مقصود آن «ودا» است. اينكه در گيتا ابيات و قطعات اوپانيشاد نقل شده، تنها ثابت مي كند كه گيتا از نظر تدوين، متأخر از اوپانيشادهاي اوليه است و نمي‌توان آنرا دليلي بر اينكه گيتا از جملة اوپانيشادهاست محسوب كرد</w:t>
      </w:r>
      <w:r>
        <w:rPr>
          <w:rStyle w:val="FootnoteReference"/>
          <w:rFonts w:cs="B Zar"/>
          <w:sz w:val="28"/>
          <w:szCs w:val="28"/>
          <w:rtl/>
        </w:rPr>
        <w:footnoteReference w:id="684"/>
      </w:r>
      <w:r w:rsidRPr="009868FC">
        <w:rPr>
          <w:rFonts w:cs="B Zar" w:hint="cs"/>
          <w:rtl/>
        </w:rPr>
        <w:t>.</w:t>
      </w:r>
    </w:p>
    <w:p w:rsidR="009868FC" w:rsidRPr="009868FC" w:rsidP="003C0EF5">
      <w:pPr>
        <w:widowControl w:val="0"/>
        <w:spacing w:line="420" w:lineRule="exact"/>
        <w:ind w:left="0" w:right="0"/>
        <w:jc w:val="both"/>
        <w:rPr>
          <w:rFonts w:cs="B Zar" w:hint="cs"/>
          <w:rtl/>
        </w:rPr>
      </w:pPr>
      <w:r w:rsidRPr="009868FC">
        <w:rPr>
          <w:rFonts w:cs="B Zar" w:hint="cs"/>
          <w:rtl/>
        </w:rPr>
        <w:t xml:space="preserve">بال گانگا دهار تيلاك در واقع معتقد است از نظر نگرش كلي، گيتا ادامه دهندة خط وداست و نه دنبالة خط اوپانيشاد. محور اصلي ودا عمل بوده، در حاليكه محور اصلي اوپانيشاد معرفت است. گيتا عمل و معرفت را تلفيق و سازگار كرده است، ولي تيلاك معتقد است تأكيد اصلي گيتا بر «كاراما يوگا» يا نجات از طريق عمل و انجام فرايض و تكاليف است، نه معرفت. همچنين تصور خدا در ودا تشبيهي و تجسمي است. </w:t>
      </w:r>
    </w:p>
    <w:p w:rsidR="009868FC" w:rsidRPr="009868FC" w:rsidP="003C0EF5">
      <w:pPr>
        <w:widowControl w:val="0"/>
        <w:spacing w:line="420" w:lineRule="exact"/>
        <w:ind w:left="0" w:right="0"/>
        <w:jc w:val="both"/>
        <w:rPr>
          <w:rFonts w:cs="B Zar" w:hint="cs"/>
          <w:rtl/>
        </w:rPr>
      </w:pPr>
      <w:r w:rsidRPr="009868FC">
        <w:rPr>
          <w:rFonts w:cs="B Zar" w:hint="cs"/>
          <w:rtl/>
        </w:rPr>
        <w:t>بال گانگا دهار تيلاك با توجه به اينكه تنزيه «نرگن برهمان»</w:t>
      </w:r>
      <w:r w:rsidRPr="009868FC">
        <w:rPr>
          <w:rFonts w:cs="B Zar"/>
        </w:rPr>
        <w:t xml:space="preserve">Nirguna Brahman) </w:t>
      </w:r>
      <w:r w:rsidRPr="009868FC">
        <w:rPr>
          <w:rFonts w:cs="B Zar" w:hint="cs"/>
          <w:rtl/>
        </w:rPr>
        <w:t xml:space="preserve"> </w:t>
      </w:r>
      <w:r w:rsidRPr="009868FC">
        <w:rPr>
          <w:rFonts w:cs="B Zar" w:hint="cs"/>
          <w:sz w:val="32"/>
          <w:szCs w:val="32"/>
          <w:rtl/>
        </w:rPr>
        <w:t>)</w:t>
      </w:r>
      <w:r w:rsidRPr="009868FC">
        <w:rPr>
          <w:rFonts w:cs="B Zar" w:hint="cs"/>
          <w:rtl/>
        </w:rPr>
        <w:t>در گيتا و اوپانيشاد همانند نيست، معتقد است كه ديدگاه گيتا در مورد برهمان به ودا نزديكتر از اوپانيشاد است. در اوپانيشاد برهمان ياكا حقيقت مجرد، ماوراي ذات است. او همچنين باور دارد كه عناصر فلسفة سام كهيا در گيتا بر عناصر فلسفه ودانت فزوني گرفته است. «سام كهيا» يا دو گانكي ماده و روح در اوپانيشاد نيامده است؛ گرچه در اوپانيشادهاي متاخر، نظير «كتا» اصطلاحات و تعبيراتي همچون «اويكتا» و «مهمان»، با نظرية فلسفي مذكور ديده مي شود كه در نگرش ودانتي تفسير شده است. در گيتا نيز بسياري از عناصر سام كهيا آمده و عناصر دوگانة  «پوروش»</w:t>
      </w:r>
      <w:r w:rsidRPr="009868FC">
        <w:rPr>
          <w:rFonts w:cs="B Zar"/>
        </w:rPr>
        <w:t xml:space="preserve">(Purush) </w:t>
      </w:r>
      <w:r w:rsidRPr="009868FC">
        <w:rPr>
          <w:rFonts w:cs="B Zar" w:hint="cs"/>
          <w:rtl/>
        </w:rPr>
        <w:t>، روح و «پراكرتي»</w:t>
      </w:r>
      <w:r w:rsidRPr="009868FC">
        <w:rPr>
          <w:rFonts w:cs="B Zar"/>
        </w:rPr>
        <w:t xml:space="preserve">(Prakirti) </w:t>
      </w:r>
      <w:r w:rsidRPr="009868FC">
        <w:rPr>
          <w:rFonts w:cs="B Zar" w:hint="cs"/>
          <w:rtl/>
        </w:rPr>
        <w:t xml:space="preserve"> ماده يا هيولي را مي‌پذيرد، ولي ثنويت را در وحدت تام ودانتي استحاله مي كند. پوروش و پراكرتي براي گيتا، هر دو تجلي يك حقيقت، و دو روي يك سكه‌اند.</w:t>
      </w:r>
      <w:r>
        <w:rPr>
          <w:rStyle w:val="FootnoteReference"/>
          <w:rFonts w:cs="B Zar"/>
          <w:sz w:val="28"/>
          <w:szCs w:val="28"/>
          <w:rtl/>
        </w:rPr>
        <w:footnoteReference w:id="685"/>
      </w:r>
    </w:p>
    <w:p w:rsidR="009868FC" w:rsidRPr="009868FC" w:rsidP="003C0EF5">
      <w:pPr>
        <w:widowControl w:val="0"/>
        <w:spacing w:line="420" w:lineRule="exact"/>
        <w:ind w:left="0" w:right="0"/>
        <w:jc w:val="both"/>
        <w:rPr>
          <w:rFonts w:cs="B Zar"/>
          <w:rtl/>
        </w:rPr>
      </w:pPr>
      <w:r w:rsidRPr="009868FC">
        <w:rPr>
          <w:rFonts w:cs="B Zar" w:hint="cs"/>
          <w:rtl/>
        </w:rPr>
        <w:t>همچنانكه اشاره شد، در بعد ‌تنزيهي، ‌اوپانيشاد ‌جايگاه ‌ويژه‌اي ‌دارد ‌كه ‌نگرش ‌آن وحدت‌الموجودي است. اين نگرش در گيتا و ودا يافت نمي‌شود، بلكه هر دو نهايتاً به واجب‌الوجود به عنوان يك ذات مي‌نگرند و تا به آنجا مي‌رسند كه از او به عنوان شخص مجسم ياد مي‌كنند. نكتة ديگر آنكه ولاء يا عشق الهي «بهاگتي» به كدامين نگرش نزديكتر است؟ هركس مي تواند پاسخي داشته باشد؛ اما گيتا و ودا هستند كه بر عشق الهي تأکيد مي‌كنند.</w:t>
      </w:r>
    </w:p>
    <w:p w:rsidR="009868FC" w:rsidRPr="009868FC" w:rsidP="003C0EF5">
      <w:pPr>
        <w:pStyle w:val="Heading4"/>
        <w:keepNext w:val="0"/>
        <w:widowControl w:val="0"/>
        <w:spacing w:line="420" w:lineRule="exact"/>
        <w:ind w:left="0" w:right="0"/>
        <w:jc w:val="left"/>
        <w:rPr>
          <w:rFonts w:cs="B Zar" w:hint="cs"/>
          <w:rtl/>
        </w:rPr>
      </w:pPr>
      <w:r w:rsidRPr="009868FC">
        <w:rPr>
          <w:rFonts w:cs="B Zar"/>
          <w:rtl/>
        </w:rPr>
        <w:br w:type="page"/>
      </w:r>
    </w:p>
    <w:p w:rsidR="009868FC" w:rsidRPr="009868FC" w:rsidP="003C0EF5">
      <w:pPr>
        <w:pStyle w:val="Heading4"/>
        <w:keepNext w:val="0"/>
        <w:widowControl w:val="0"/>
        <w:spacing w:line="420" w:lineRule="exact"/>
        <w:ind w:left="0" w:right="0"/>
        <w:jc w:val="left"/>
        <w:rPr>
          <w:rFonts w:cs="B Zar" w:hint="cs"/>
          <w:rtl/>
        </w:rPr>
      </w:pPr>
    </w:p>
    <w:p w:rsidR="009868FC" w:rsidRPr="00733C0F" w:rsidP="003C0EF5">
      <w:pPr>
        <w:pStyle w:val="Heading4"/>
        <w:keepNext w:val="0"/>
        <w:widowControl w:val="0"/>
        <w:spacing w:line="420" w:lineRule="exact"/>
        <w:ind w:left="0" w:right="0"/>
        <w:jc w:val="center"/>
        <w:rPr>
          <w:rFonts w:cs="B Zar"/>
          <w:b/>
          <w:bCs/>
          <w:rtl/>
        </w:rPr>
      </w:pPr>
      <w:r w:rsidRPr="00733C0F">
        <w:rPr>
          <w:rFonts w:cs="B Zar" w:hint="cs"/>
          <w:b/>
          <w:bCs/>
          <w:rtl/>
        </w:rPr>
        <w:t>تحقيقي درباره نويسندة گيتا</w:t>
      </w:r>
    </w:p>
    <w:p w:rsidR="009868FC" w:rsidRPr="009868FC" w:rsidP="003C0EF5">
      <w:pPr>
        <w:pStyle w:val="Heading3"/>
        <w:keepNext w:val="0"/>
        <w:widowControl w:val="0"/>
        <w:spacing w:before="0" w:after="0" w:line="420" w:lineRule="exact"/>
        <w:ind w:left="0" w:right="0" w:firstLine="720"/>
        <w:jc w:val="both"/>
        <w:rPr>
          <w:rFonts w:cs="B Zar"/>
          <w:b w:val="0"/>
          <w:bCs w:val="0"/>
        </w:rPr>
      </w:pPr>
    </w:p>
    <w:p w:rsidR="009868FC" w:rsidRPr="009868FC" w:rsidP="003C0EF5">
      <w:pPr>
        <w:widowControl w:val="0"/>
        <w:spacing w:line="420" w:lineRule="exact"/>
        <w:ind w:left="0" w:right="0"/>
        <w:jc w:val="both"/>
        <w:rPr>
          <w:rFonts w:cs="B Zar" w:hint="cs"/>
          <w:rtl/>
        </w:rPr>
      </w:pPr>
      <w:r w:rsidRPr="009868FC">
        <w:rPr>
          <w:rFonts w:cs="B Zar" w:hint="cs"/>
          <w:rtl/>
        </w:rPr>
        <w:t>هندوان معتقدند كه گيتا، سخنان كريشنا</w:t>
      </w:r>
      <w:r w:rsidRPr="009868FC">
        <w:rPr>
          <w:rFonts w:cs="B Zar"/>
        </w:rPr>
        <w:t xml:space="preserve">(Kirishna)  </w:t>
      </w:r>
      <w:r w:rsidRPr="009868FC">
        <w:rPr>
          <w:rFonts w:cs="B Zar" w:hint="cs"/>
          <w:rtl/>
        </w:rPr>
        <w:t>، انسان ـ‌ خدا يا تجسم ويشنو بر زمين است. متجددان هندو معتقدند كه او عارفي قدسي و مصلحي بزرگ و پيامبري بوده كه هوادرانش او را به صورت خدا و تجسم الله جلوه داده اند. گفته مي شود: شاگرد وي «ويسم پاين» اين داستان را بازگو نمود و «اگرس روس» آنرا نقل كرد. وياس</w:t>
      </w:r>
      <w:r w:rsidRPr="009868FC">
        <w:rPr>
          <w:rFonts w:cs="B Zar"/>
        </w:rPr>
        <w:t xml:space="preserve">(Viyasa) </w:t>
      </w:r>
      <w:r w:rsidRPr="009868FC">
        <w:rPr>
          <w:rFonts w:cs="B Zar" w:hint="cs"/>
          <w:rtl/>
        </w:rPr>
        <w:t xml:space="preserve"> (گويا يكي از تدوين كنندگان بزرگ متون باستاني است)، آنرا شنيد و به صورت شعر درآورد، و در اثر بزرگ خود مهابهاراتا جاي داد. در دعائي كه هندوها به صورت «دعاي افتتاح» پيش از قرائت گيتا مي‌خوانند، گفته شده است: «پاراشريه و چه سروجم ملم گيتا ارته گندهوت گتم» اين لاله و گل صحرائي در چشمة شيرين و زلال كلام فرزند پاراشر، آبياري شده است . (وياس فرزند پاراشر بود.)</w:t>
      </w:r>
    </w:p>
    <w:p w:rsidR="009868FC" w:rsidRPr="009868FC" w:rsidP="003C0EF5">
      <w:pPr>
        <w:widowControl w:val="0"/>
        <w:spacing w:line="420" w:lineRule="exact"/>
        <w:ind w:left="0" w:right="0"/>
        <w:jc w:val="both"/>
        <w:rPr>
          <w:rFonts w:cs="B Zar" w:hint="cs"/>
          <w:rtl/>
        </w:rPr>
      </w:pPr>
      <w:r w:rsidRPr="009868FC">
        <w:rPr>
          <w:rFonts w:cs="B Zar" w:hint="cs"/>
          <w:rtl/>
        </w:rPr>
        <w:t>هندوان باور دارند كه گيتا از كتب آسماني يا حديث قدسي است. در حالیکه ودا، اوپانيشاد و رسائل برهمانا چنين نيستند. تدوين كننده و راوي اين حديث قدسي را وياسا مي دانند.</w:t>
      </w:r>
    </w:p>
    <w:p w:rsidR="009868FC" w:rsidRPr="009868FC" w:rsidP="003C0EF5">
      <w:pPr>
        <w:widowControl w:val="0"/>
        <w:spacing w:line="420" w:lineRule="exact"/>
        <w:ind w:left="0" w:right="0"/>
        <w:jc w:val="both"/>
        <w:rPr>
          <w:rFonts w:cs="B Zar" w:hint="cs"/>
          <w:i/>
          <w:iCs/>
          <w:rtl/>
        </w:rPr>
      </w:pPr>
      <w:r w:rsidRPr="009868FC">
        <w:rPr>
          <w:rFonts w:cs="B Zar" w:hint="cs"/>
          <w:rtl/>
        </w:rPr>
        <w:t xml:space="preserve">محققان جديد در مورد اينكه آيا فرد خاصي به نام وياسا وجود خارجي داشته كه گيتا و مهابهاراتا را سروده، شك و ترديد دارند. رابرت ماينر مي‌گويد: </w:t>
      </w:r>
      <w:r w:rsidRPr="009868FC">
        <w:rPr>
          <w:rFonts w:cs="B Zar" w:hint="cs"/>
          <w:i/>
          <w:iCs/>
          <w:rtl/>
        </w:rPr>
        <w:t>«از نظر لغوي «وياسا» به معناي ويرايشگر است. و امكان دارد «وياسا» ‌اصطلاحي عمومي باشد كه براي ويرايشگران و تدوين كنندگان متون باستاني به كار برده‌اند».</w:t>
      </w:r>
      <w:r w:rsidRPr="009868FC">
        <w:rPr>
          <w:rFonts w:cs="B Zar" w:hint="cs"/>
          <w:rtl/>
        </w:rPr>
        <w:t xml:space="preserve"> تاريخ هندوئيسم سي تن را به نام وياسا مي‌شناسد و مجموعه‌هاي حديث «پورانا»</w:t>
      </w:r>
      <w:r w:rsidRPr="009868FC">
        <w:rPr>
          <w:rFonts w:cs="B Zar"/>
        </w:rPr>
        <w:t xml:space="preserve">(Purana) </w:t>
      </w:r>
      <w:r w:rsidRPr="009868FC">
        <w:rPr>
          <w:rFonts w:cs="B Zar" w:hint="cs"/>
          <w:rtl/>
        </w:rPr>
        <w:t xml:space="preserve"> به آنان منتسب است. همچنين گفته مي‌شود وياسا وداهاي چهارگانه را نگاشته است. در گيتا آمده كه وياسا</w:t>
      </w:r>
      <w:r w:rsidRPr="009868FC">
        <w:rPr>
          <w:rFonts w:cs="B Zar"/>
        </w:rPr>
        <w:t xml:space="preserve">(Viyasa) </w:t>
      </w:r>
      <w:r w:rsidRPr="009868FC">
        <w:rPr>
          <w:rFonts w:cs="B Zar" w:hint="cs"/>
          <w:rtl/>
        </w:rPr>
        <w:t>،  از دير زمان دربارة كريشنا سخن مي‌راند. آرجون به كريشنا مي‌گويد</w:t>
      </w:r>
      <w:r w:rsidRPr="009868FC">
        <w:rPr>
          <w:rFonts w:cs="B Zar" w:hint="cs"/>
          <w:i/>
          <w:iCs/>
          <w:rtl/>
        </w:rPr>
        <w:t>: «تمام فرزانگان از جمله «نرد»، «آس تا»، «ديول» و «وياسا» در گذشتة دور همين سخن را گفتند</w:t>
      </w:r>
      <w:r w:rsidRPr="009868FC">
        <w:rPr>
          <w:rFonts w:cs="B Zar" w:hint="cs"/>
          <w:rtl/>
        </w:rPr>
        <w:t>»</w:t>
      </w:r>
      <w:r>
        <w:rPr>
          <w:rStyle w:val="FootnoteReference"/>
          <w:rFonts w:cs="B Zar"/>
          <w:sz w:val="28"/>
          <w:szCs w:val="28"/>
          <w:rtl/>
        </w:rPr>
        <w:footnoteReference w:id="686"/>
      </w:r>
      <w:r w:rsidRPr="009868FC">
        <w:rPr>
          <w:rFonts w:cs="B Zar" w:hint="cs"/>
          <w:rtl/>
        </w:rPr>
        <w:t>. پس فردي به نام وياس حتي پيش از كريشنا وجود داشته است. پس چگونه وياسا مي تواند تدوين كننده حرفهاي كريشنا باشد. ماينر مي‌گويد</w:t>
      </w:r>
      <w:r w:rsidRPr="009868FC">
        <w:rPr>
          <w:rFonts w:cs="B Zar" w:hint="cs"/>
          <w:i/>
          <w:iCs/>
          <w:rtl/>
        </w:rPr>
        <w:t>: «احتمالاً اشارة گيتا به تدوين كنندة مهابهاراتا است و نشان مي دهد كه بخش‌هاي اولية مهابهاراتا را ديگري و گيتا را كسي ديگر تدوين كرده است، و «وياسا» عنواني عمومي براي هر تدوين كننده و ويرايشگران متون مقدس و باستاني سانسكريت مي‌باشد»</w:t>
      </w:r>
      <w:r w:rsidRPr="009868FC">
        <w:rPr>
          <w:rFonts w:cs="B Zar" w:hint="cs"/>
          <w:rtl/>
        </w:rPr>
        <w:t xml:space="preserve">. ماينر </w:t>
      </w:r>
      <w:r w:rsidRPr="009868FC">
        <w:rPr>
          <w:rFonts w:cs="B Zar"/>
        </w:rPr>
        <w:t>(Minor)</w:t>
      </w:r>
      <w:r w:rsidRPr="009868FC">
        <w:rPr>
          <w:rFonts w:cs="B Zar" w:hint="cs"/>
          <w:rtl/>
        </w:rPr>
        <w:t xml:space="preserve"> مي‌گويد: </w:t>
      </w:r>
      <w:r w:rsidRPr="009868FC">
        <w:rPr>
          <w:rFonts w:cs="B Zar" w:hint="cs"/>
          <w:i/>
          <w:iCs/>
          <w:rtl/>
        </w:rPr>
        <w:t>«به نظر مي رسد وياسا نام فرد خاصي نيست، بلكه به معناي «راوي احاديث» است و همانند كلمه ريشي مي باشد كه كتاب‌هاي آسماني، نظير ودا و اوپانيشادها را اشراق كرده‌اند، پس كساني كه سمرتي، يا احاديث را تدوين كنند وياسا ناميده مي‌شوند».</w:t>
      </w:r>
      <w:r>
        <w:rPr>
          <w:rStyle w:val="FootnoteReference"/>
          <w:rFonts w:cs="B Zar"/>
          <w:i/>
          <w:iCs/>
          <w:rtl/>
        </w:rPr>
        <w:footnoteReference w:id="687"/>
      </w:r>
    </w:p>
    <w:p w:rsidR="009868FC" w:rsidRPr="009868FC" w:rsidP="003C0EF5">
      <w:pPr>
        <w:widowControl w:val="0"/>
        <w:spacing w:line="420" w:lineRule="exact"/>
        <w:ind w:left="0" w:right="0"/>
        <w:jc w:val="both"/>
        <w:rPr>
          <w:rFonts w:cs="B Zar" w:hint="cs"/>
          <w:rtl/>
        </w:rPr>
      </w:pPr>
      <w:r w:rsidRPr="009868FC">
        <w:rPr>
          <w:rFonts w:cs="B Zar" w:hint="cs"/>
          <w:rtl/>
        </w:rPr>
        <w:t xml:space="preserve">روشن شد گيتا نويسندة خاصي به نام وياسا نداشته است. پس چه كسي يا كساني آنرا سروده و پديد آورده‌اند؟ مستشرقان، به ويژه خاورشناسان آلماني، باور دارند كه گيتا از انديشة منسجمي برخوردار نيست و دليل آنرا تفاوت موضوع در اخلاقي بودن گفتار اول، خدا «حقيقت برهمان» در گفتار دوم، انسانشناسي و روانشناسي در گفتار سوم مي‌دانند. از اين روي قائل به نظرية «تدوين تدريجي» شده اند. معتقدند در گذر طولاني قرون و به وسيله افراد متعددي سروده و تدوين گرديده و به صورت كنوني درآمده است. ديوسون </w:t>
      </w:r>
      <w:r w:rsidRPr="009868FC">
        <w:rPr>
          <w:rFonts w:cs="B Zar"/>
        </w:rPr>
        <w:t>(Deosan)</w:t>
      </w:r>
      <w:r w:rsidRPr="009868FC">
        <w:rPr>
          <w:rFonts w:cs="B Zar" w:hint="cs"/>
          <w:rtl/>
        </w:rPr>
        <w:t xml:space="preserve"> يكي از بهترين مترجمين اوپانيشاد، و از اوپانيشاد شناسان، گيتا را از محصولات فكري عصر پاياني و دورة انحطاطي اوپانيشاد معرفي مي كند.</w:t>
      </w:r>
    </w:p>
    <w:p w:rsidR="009868FC" w:rsidRPr="009868FC" w:rsidP="003C0EF5">
      <w:pPr>
        <w:widowControl w:val="0"/>
        <w:spacing w:line="420" w:lineRule="exact"/>
        <w:ind w:left="0" w:right="0"/>
        <w:jc w:val="both"/>
        <w:rPr>
          <w:rFonts w:cs="B Zar" w:hint="cs"/>
          <w:rtl/>
        </w:rPr>
      </w:pPr>
      <w:r w:rsidRPr="009868FC">
        <w:rPr>
          <w:rFonts w:cs="B Zar" w:hint="cs"/>
          <w:rtl/>
        </w:rPr>
        <w:t>نظريه هندشناسان بزرگ آلماني موجب شد كه خاورشناسان ديگر سرود مقدس هندوان را بررسي كنند و در پي آن باشند كه اثبات كنند كه گيتا داراي هيچ نگرش و فلسفه مقدسي نيست؛ بلكه به طور تدريجي تدوين گرديده و احياناً از اينجا و آنجا منجمله از مسيحيت اقتباس شده است. فراموش نكنيم كه در همان دوره، برخي خاورشناسان يهودي آلماني مي‌خواستند قرآن و احاديث اسلامي را تدريجي، الحاقي و يا اقتباس از ديگر كتب معرفي كنند! ظاهراً در آن دوره، خاورشناسان درصدد انهدام تقدس متون مذهبي شرق بوده اند.</w:t>
      </w:r>
    </w:p>
    <w:p w:rsidR="009868FC" w:rsidRPr="009868FC" w:rsidP="003C0EF5">
      <w:pPr>
        <w:widowControl w:val="0"/>
        <w:spacing w:line="420" w:lineRule="exact"/>
        <w:ind w:left="0" w:right="0"/>
        <w:jc w:val="both"/>
        <w:rPr>
          <w:rFonts w:cs="B Zar" w:hint="cs"/>
          <w:rtl/>
        </w:rPr>
      </w:pPr>
      <w:r w:rsidRPr="009868FC">
        <w:rPr>
          <w:rFonts w:cs="B Zar" w:hint="cs"/>
          <w:rtl/>
        </w:rPr>
        <w:t xml:space="preserve">از كساني كه به كالبد شكافي متن مقدس و زندة هندوها پرداخت، گاربه </w:t>
      </w:r>
      <w:r w:rsidRPr="009868FC">
        <w:rPr>
          <w:rFonts w:cs="B Zar"/>
        </w:rPr>
        <w:t>(Garbe)</w:t>
      </w:r>
      <w:r w:rsidRPr="009868FC">
        <w:rPr>
          <w:rFonts w:cs="B Zar" w:hint="cs"/>
          <w:rtl/>
        </w:rPr>
        <w:t xml:space="preserve"> بود كه مي گويد: «رساله گيتا در دو نوبت به وسيلة دو تن كه به فاصلة زماني حدود سيصد و پنجاه تا چهار صد سال مي زيسته اند، تدوين شده است. نويسنده نخست، قطعاتي را در ميان سالهاي 200 ـ 250 ق م تأليف نمود، سپس نويسندة ديگري در قرن دوم ميلادي قطعات و فصولي را بدين اثر افزود. نويسنده و يا سرايندة اول، شاعري معتقد به ولاي كريشنا بوده و به صورت مثنوي و قصيده، شرح حوادث و نظرية قدوسيت كريشنا را عنوان كرده است. نويسندة بعدي روحاني و داراي نگرش وحدت الوجودي اوپانيشاد مي‌باشد. نويسندة دوم ابيات، قطعات و فصول كاملي را به گيتا افزود تا آن را به صورت يك اثر فلسفي ـ عرفاني در آورد. قطعات و ابيات الحاقي بدين ترتيب‌اند: فصل 1:1-19؛ فصل دوم: 17، 72؛ فصل سوم: 18:9، 23-24؛ فصل چهارم: 24، 31، 32، 34، 35؛ فصل پنجم: 6، 7، 10، 16، 22، 24، 26؛ فصل ششم: 27- 32؛ فصل هفتم: 7- 11، 14، 15، 19، 25، 26، 29، 30؛ فصل هشتم: 1ـ4، 28ـ20؛ فصل نهم: 1ـ 16 19ـ، 29؛ فصل دهم 42ـ12؛ فصل يازدهم: 37،19،18،15،13،7، 40؛ فصل سيزدهم: 30،28،18،12،4،2-33؛ فصل چهاردهم: 27،26؛ فصل پانزدهم: 12-15؛ فصل هفدهم: 28-23؛ فصل هجدهم: 50،46،45ـ 54ـ78،74. »</w:t>
      </w:r>
    </w:p>
    <w:p w:rsidR="009868FC" w:rsidRPr="009868FC" w:rsidP="003C0EF5">
      <w:pPr>
        <w:widowControl w:val="0"/>
        <w:spacing w:line="420" w:lineRule="exact"/>
        <w:ind w:left="0" w:right="0"/>
        <w:jc w:val="both"/>
        <w:rPr>
          <w:rFonts w:cs="B Zar" w:hint="cs"/>
          <w:rtl/>
        </w:rPr>
      </w:pPr>
      <w:r w:rsidRPr="009868FC">
        <w:rPr>
          <w:rFonts w:cs="B Zar" w:hint="cs"/>
          <w:rtl/>
        </w:rPr>
        <w:t>اساس فرضيه گاربه آنست كه: گيتا دو ديدگاه متفاوت و احياناً متضاد دارد و در سراسر آن پراكنده و در هم تنيده است. نگرش وحدت الوجودي ودانت و نگرش فلسفي دو گانگي روح و ماده «سام كهيا»، هر دو در گيتا وجود دارد. گاربه نمي پذيرد كه گيتا دو طريق را به عنوان مكمل هم پيشنهاد كرده است، كه يكي براي عوام و ديگري براي عرفا باشد. مي گويد: «قطعات مختلف گيتا هر دو نگرش را به عنوان نگرش اصلي مطرح و برهمانان در زمانهاي بعد، ديدگاه ودانتي را نه مكانيستي، بلكه به طور منظم در لابلاي فصول آن افزوده‌اند تا ماهيت آنرا تغيير دهند و نگرش تازه اي را بر آن تحميل نمايند.</w:t>
      </w:r>
    </w:p>
    <w:p w:rsidR="009868FC" w:rsidRPr="009868FC" w:rsidP="003C0EF5">
      <w:pPr>
        <w:widowControl w:val="0"/>
        <w:spacing w:line="420" w:lineRule="exact"/>
        <w:ind w:left="0" w:right="0"/>
        <w:jc w:val="both"/>
        <w:rPr>
          <w:rFonts w:cs="B Zar" w:hint="cs"/>
          <w:rtl/>
        </w:rPr>
      </w:pPr>
      <w:r w:rsidRPr="009868FC">
        <w:rPr>
          <w:rFonts w:cs="B Zar" w:hint="cs"/>
          <w:rtl/>
        </w:rPr>
        <w:t xml:space="preserve">شاگردان گاربه، عمل كالبد شناسي گيتا را با قساوت بيشتر ادامه دادند. رادولف اوتو </w:t>
      </w:r>
      <w:r w:rsidRPr="009868FC">
        <w:rPr>
          <w:rFonts w:cs="B Zar"/>
        </w:rPr>
        <w:t>(Radolf Otto)</w:t>
      </w:r>
      <w:r w:rsidRPr="009868FC">
        <w:rPr>
          <w:rFonts w:cs="B Zar" w:hint="cs"/>
          <w:rtl/>
        </w:rPr>
        <w:t>، ادعا كرد که گيتا پيش از قرن سوم ق م، رساله و يا جزوه مختصري مشتمل بر 133 قطعه بوده و آغاز جنگ بزرگ ميان پاندوها و كوروها را ساده شرح داده كه اينك همان مطلب به صورت مقدمه در فصل اول قرار گرفته است. پس از آن تمام هفده فصل بعدي توسط شعرا و عرفاي مختلف اضافه شده اند. او گيتا را در نُه رسالة كوچك و بلند تقسيم نمي‌كند، بلكه ادعا كرده است نُه نگارندة مختلف آنرا به رشته تحرير درآورده اند.</w:t>
      </w:r>
    </w:p>
    <w:p w:rsidR="009868FC" w:rsidRPr="009868FC" w:rsidP="003C0EF5">
      <w:pPr>
        <w:widowControl w:val="0"/>
        <w:spacing w:line="420" w:lineRule="exact"/>
        <w:ind w:left="0" w:right="0"/>
        <w:jc w:val="both"/>
        <w:rPr>
          <w:rFonts w:cs="B Zar" w:hint="cs"/>
          <w:rtl/>
        </w:rPr>
      </w:pPr>
      <w:r w:rsidRPr="009868FC">
        <w:rPr>
          <w:rFonts w:cs="B Zar" w:hint="cs"/>
          <w:rtl/>
        </w:rPr>
        <w:t xml:space="preserve">جالب آنكه نويسنده و محققي هندو، به نام جي.س.كهير </w:t>
      </w:r>
      <w:r w:rsidRPr="009868FC">
        <w:rPr>
          <w:rFonts w:cs="B Zar"/>
        </w:rPr>
        <w:t>(Khair)</w:t>
      </w:r>
      <w:r w:rsidRPr="009868FC">
        <w:rPr>
          <w:rFonts w:cs="B Zar" w:hint="cs"/>
          <w:rtl/>
        </w:rPr>
        <w:t>، روش، «گاربه» و «اتو» را برگزيده و معتقد است: گيتا به وسيلة سه نفر و به فاصله زماني دو قرن نگاشته شده است. نخست مرتاضي پيروِ طريقت عمل «كاراما يوگا»، جزوه كوچكي نوشت كه مشتمل بر ابيات و قطعات گيتاي كنوني بود: فصل اول: 20-37،45-47؛ فصل دوم: 10-13-18-30، 39، 47، 52؛ فصل سوم: 1-16، 19، 26-29، 33، 34؛ فصل چهارم: 16-19، 23-33، 37، 42؛ فصل پنجم: 1-2، 4-6، 8-17؛ فصل ششم: 1-6، 10-12. سپس نويسنده ديگري ظاهراً روشنفكر، توانا و عملگرا، فلسفه عمل «كاراما يوگا» را به آن افزود، كه حدود صد سال پس از نگارش متن نخست بوده است و قطعات الحاقي عبارت اند از: فصل هشتم: 8-10، 17-20، 22-28؛ فصل سيزدهم: 31- 4-6، 19-21،23، 30،33؛ فصل چهادهم: 5-18،20؛ فصل پانزدهم: 1-5؛ فصل هفدهم: 42-7 ، 28؛ فصل هجدهم: 1- 40، 49- 53. نويسندة سوم در بين سالهاي 300-200 ق م مي زيسته و تقريباً شصت در صد مطالب را بر دو رسالة قبلي افزوده است و در آن فلسفه ودانت، و عشق الهي «بهاگتي»، را گنجاند، و در اين مرحله بود كه نظريه الوهيت كريشنا به گيتا راه پيدا كرد. فصول و قطعاتي كه در مرحلة سوم افزوده شدند، عبارتند از: فصل اول: 19،38،44؛ فصل دوم: 1-9-14-15-17-30-38-40-46-53-72؛ فصل سوم: 17-18-20-25-30-32-35-41-43؛ فصل چهارم: 1-15-20-22-24-36؛ فصل پنجم 3-7-18-29؛ فصل ششم: 7-9-13-17-29-45-47؛ فصل هفتم: 1-30؛ فصل هشتم: 1-7-11-16-21. گذشته از قطعات فوق براساس نظر كهير، فصول زير اضافه شده‌اند. فصل نهم، دوازدهم، سيزدهم از 7-18، 22-28-31-32؛ فصل چهاردهم: 14:1، 19-21-27؛ فصل پانزدهم: 6-20؛ فصل شانزدهم: فصل هفدهم: 1-5-6 و بالاخره فصل هجدهم: 41- 48-51- 78.</w:t>
      </w:r>
      <w:r>
        <w:rPr>
          <w:rStyle w:val="FootnoteReference"/>
          <w:rFonts w:cs="B Zar"/>
          <w:sz w:val="28"/>
          <w:szCs w:val="28"/>
          <w:rtl/>
        </w:rPr>
        <w:footnoteReference w:id="688"/>
      </w:r>
    </w:p>
    <w:p w:rsidR="009868FC" w:rsidRPr="009868FC" w:rsidP="004A1D9B">
      <w:pPr>
        <w:widowControl w:val="0"/>
        <w:spacing w:line="420" w:lineRule="exact"/>
        <w:ind w:left="0" w:right="0"/>
        <w:jc w:val="both"/>
        <w:rPr>
          <w:rFonts w:cs="B Zar" w:hint="cs"/>
          <w:rtl/>
        </w:rPr>
      </w:pPr>
      <w:r w:rsidRPr="009868FC">
        <w:rPr>
          <w:rFonts w:cs="B Zar" w:hint="cs"/>
          <w:rtl/>
        </w:rPr>
        <w:t xml:space="preserve">رابرت ماينر </w:t>
      </w:r>
      <w:r w:rsidRPr="009868FC">
        <w:rPr>
          <w:rFonts w:cs="B Zar"/>
        </w:rPr>
        <w:t>(R</w:t>
      </w:r>
      <w:r w:rsidR="004A1D9B">
        <w:rPr>
          <w:rFonts w:cs="B Zar"/>
        </w:rPr>
        <w:t>obert</w:t>
      </w:r>
      <w:r w:rsidRPr="009868FC">
        <w:rPr>
          <w:rFonts w:cs="B Zar"/>
        </w:rPr>
        <w:t xml:space="preserve"> Minor)</w:t>
      </w:r>
      <w:r w:rsidRPr="009868FC">
        <w:rPr>
          <w:rFonts w:cs="B Zar" w:hint="cs"/>
          <w:rtl/>
        </w:rPr>
        <w:t xml:space="preserve"> خاطرنشان مي سازد كه چون كهير هوادار فلسفه ودانت است، تمايل دارد نظير اوپانيشاد، ديدگاههاي خالص وحدت الوجودي را در گيتا بيابد، و هرجا چنين نيافته، آنرا قطعه نويسندة ديگر پنداشته است. او تصور نمي‌كند كه يك انديشمند مي تواند داراي ديدگاه جامع و تركيبي باشد.</w:t>
      </w:r>
      <w:r>
        <w:rPr>
          <w:rStyle w:val="FootnoteReference"/>
          <w:rFonts w:cs="B Zar"/>
          <w:rtl/>
        </w:rPr>
        <w:footnoteReference w:id="689"/>
      </w:r>
    </w:p>
    <w:p w:rsidR="009868FC" w:rsidRPr="009868FC" w:rsidP="003C0EF5">
      <w:pPr>
        <w:widowControl w:val="0"/>
        <w:spacing w:line="420" w:lineRule="exact"/>
        <w:ind w:left="0" w:right="0"/>
        <w:jc w:val="both"/>
        <w:rPr>
          <w:rFonts w:cs="B Zar" w:hint="cs"/>
          <w:rtl/>
        </w:rPr>
      </w:pPr>
      <w:r w:rsidRPr="009868FC">
        <w:rPr>
          <w:rFonts w:cs="B Zar" w:hint="cs"/>
          <w:rtl/>
        </w:rPr>
        <w:t xml:space="preserve">چارپن تير </w:t>
      </w:r>
      <w:r w:rsidRPr="009868FC">
        <w:rPr>
          <w:rFonts w:cs="B Zar"/>
        </w:rPr>
        <w:t>(Charpentier)</w:t>
      </w:r>
      <w:r w:rsidRPr="009868FC">
        <w:rPr>
          <w:rFonts w:cs="B Zar" w:hint="cs"/>
          <w:rtl/>
        </w:rPr>
        <w:t xml:space="preserve">، از نويسندگاني است كه معتقد به الحاق در گيتاي اوليه است. او رسالة نخست را مشتمل بر: فصل اول 1-20، 31-38 و بخشهاي ديگر را ملحقات بعدي مي‌داند و مي‌گويد: </w:t>
      </w:r>
      <w:r w:rsidRPr="009868FC">
        <w:rPr>
          <w:rFonts w:cs="B Zar" w:hint="cs"/>
          <w:i/>
          <w:iCs/>
          <w:rtl/>
        </w:rPr>
        <w:t>«گيتاي اوليه، سرود مختصري در تقديس ويشنو بوده، نويسنده يا نويسندگان و شاعران بعدي مسايل فلسفي و نظرية الوهيت كريشنا را با چنان ظرافت و مهارتي در آن جا دادند كه تشخيص اصل و ملحقات آن غير ممكن گرديد»</w:t>
      </w:r>
      <w:r w:rsidRPr="009868FC">
        <w:rPr>
          <w:rFonts w:cs="B Zar" w:hint="cs"/>
          <w:rtl/>
        </w:rPr>
        <w:t>. ظاهراً نويسندگان آنچنان مهارت نداشته اند كه آقاي چارپن تير نتواند آنرا تشخيص دهد!</w:t>
      </w:r>
    </w:p>
    <w:p w:rsidR="009868FC" w:rsidRPr="009868FC" w:rsidP="003C0EF5">
      <w:pPr>
        <w:widowControl w:val="0"/>
        <w:spacing w:line="420" w:lineRule="exact"/>
        <w:ind w:left="0" w:right="0"/>
        <w:jc w:val="both"/>
        <w:rPr>
          <w:rFonts w:cs="B Zar" w:hint="cs"/>
          <w:rtl/>
        </w:rPr>
      </w:pPr>
      <w:r w:rsidRPr="009868FC">
        <w:rPr>
          <w:rFonts w:cs="B Zar" w:hint="cs"/>
          <w:rtl/>
        </w:rPr>
        <w:t>بسياري از حكيمان، انديشمندان و فلاسفه هندو و خيلي از خاورشناسان معاصر، فرضيه‌ها و نظريه هاي قرن نوزدهم و اوايل قرن بيستم را رد كرده اند. آنان بدين نتيجه رسيده اند كه در گيتا تناقض و تضاد فاحشي وجود ندارد، بلكه فرزانه اي آنرا نگاشته و درصدد تركيب نظريه هاي مختلف و ديد تكاملي بوده است.گيتا هنگامي تأليف گرديد كه مكاتب گوناگون فلسفي به صورت مدوّن ايجاد نشده، و مرزهاي محكمي ميان نظريه‌هاي فلسفي مختلف و طرق عرفاني گوناگون به وجود نيامده بود، و نويسندة گيتا تلاش كرد از آنها مجموعه اي گردآورد.</w:t>
      </w:r>
    </w:p>
    <w:p w:rsidR="009868FC" w:rsidP="003C0EF5">
      <w:pPr>
        <w:widowControl w:val="0"/>
        <w:spacing w:line="420" w:lineRule="exact"/>
        <w:ind w:left="0" w:right="0"/>
        <w:jc w:val="both"/>
        <w:rPr>
          <w:rFonts w:cs="B Zar" w:hint="cs"/>
          <w:i/>
          <w:iCs/>
          <w:rtl/>
        </w:rPr>
      </w:pPr>
      <w:r w:rsidRPr="009868FC">
        <w:rPr>
          <w:rFonts w:cs="B Zar" w:hint="cs"/>
          <w:rtl/>
        </w:rPr>
        <w:t xml:space="preserve">براي توجيه عناصر مختلف فلسفي در يك اثر، لازم نيست پيشداوري كنيم كه به وسيلة چند نويسنده به رشتة تحرير درآمده است. رابرت ماينر در تفسير خود نشان داده است كه عليرغم ادعاي كالبد شكافان غربي، گيتا داراي يك نظم و انسجام منطقي است و اگر در آن احياناً نظريه‌هاي متضاد مطرح مي شود، خود گيتا اين تضادها را حل مي كند و همه آنان را به صورت يك سنتز در مي آورد. رادا كريشنان نيز در تفسير خود تلاش كرده است وحدت كلي نظام انديشه گيتا را ثابت كند. ادگر تن </w:t>
      </w:r>
      <w:r w:rsidRPr="009868FC">
        <w:rPr>
          <w:rFonts w:cs="B Zar"/>
        </w:rPr>
        <w:t>(Edgarton)</w:t>
      </w:r>
      <w:r w:rsidRPr="009868FC">
        <w:rPr>
          <w:rFonts w:cs="B Zar" w:hint="cs"/>
          <w:rtl/>
        </w:rPr>
        <w:t xml:space="preserve"> نيز از جمله كساني است كه فرضيه تأليف گيتا به وسيله بيش از يك تن را رد مي كند. او </w:t>
      </w:r>
      <w:r w:rsidRPr="009868FC">
        <w:rPr>
          <w:rFonts w:cs="B Zar" w:hint="cs"/>
          <w:i/>
          <w:iCs/>
          <w:rtl/>
        </w:rPr>
        <w:t>مي‌گويد «كساني كه نظريه تأليف تدريجي گيتا را مطرح كرده‌اند، به پيشداوري دست زده اند. آنان از پيش باور داشته‌اند كه مكتب فلسفي ودانت و مكتب فلسفي سام كهيا، نظرية وحدت الوجودي و نظرية توحيدي، طريق عرفان و معرفت، و طريق ولاء و طريق نجات از طريق عمل اجتماعي، ضد و نقيض‌اند و نمي‌توان تصور كرد كه انديشمندي عناصر مذكور را در سيستم واحدي بياميزد».</w:t>
      </w:r>
    </w:p>
    <w:p w:rsidR="002D008B" w:rsidRPr="009868FC" w:rsidP="003C0EF5">
      <w:pPr>
        <w:widowControl w:val="0"/>
        <w:spacing w:line="420" w:lineRule="exact"/>
        <w:ind w:left="0" w:right="0"/>
        <w:jc w:val="both"/>
        <w:rPr>
          <w:rFonts w:cs="B Zar" w:hint="cs"/>
          <w:i/>
          <w:i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نتيجه گيري</w:t>
      </w:r>
    </w:p>
    <w:p w:rsidR="009868FC" w:rsidP="003C0EF5">
      <w:pPr>
        <w:widowControl w:val="0"/>
        <w:spacing w:line="420" w:lineRule="exact"/>
        <w:ind w:left="0" w:right="0"/>
        <w:jc w:val="both"/>
        <w:rPr>
          <w:rFonts w:cs="B Zar" w:hint="cs"/>
          <w:rtl/>
        </w:rPr>
      </w:pPr>
      <w:r w:rsidRPr="009868FC">
        <w:rPr>
          <w:rFonts w:cs="B Zar" w:hint="cs"/>
          <w:rtl/>
        </w:rPr>
        <w:t xml:space="preserve">رابرت ماينر </w:t>
      </w:r>
      <w:r w:rsidRPr="009868FC">
        <w:rPr>
          <w:rFonts w:cs="B Zar"/>
        </w:rPr>
        <w:t>(Robert Minor)</w:t>
      </w:r>
      <w:r w:rsidRPr="009868FC">
        <w:rPr>
          <w:rFonts w:cs="B Zar" w:hint="cs"/>
          <w:rtl/>
        </w:rPr>
        <w:t xml:space="preserve"> در كتاب  «درآمدي بر گيتا» از انتشارات دهة 1985 كه يك تحقيق جديد است، چنين نتيجه گيري مي كند كه در اين مرحله از پژوهش و تحقيق، هيچ دليل قاطعي نداريم كه ثابت كند گيتا بيش از يك سراينده داشته است. تا اين زمان نويسنده گيتا مورد شناسايي قرار نگرفته</w:t>
      </w:r>
      <w:r>
        <w:rPr>
          <w:rStyle w:val="FootnoteReference"/>
          <w:rFonts w:cs="B Zar"/>
          <w:sz w:val="28"/>
          <w:szCs w:val="28"/>
          <w:rtl/>
        </w:rPr>
        <w:footnoteReference w:id="690"/>
      </w:r>
      <w:r w:rsidRPr="009868FC">
        <w:rPr>
          <w:rFonts w:cs="B Zar" w:hint="cs"/>
          <w:rtl/>
        </w:rPr>
        <w:t xml:space="preserve"> و همانند مولفان اوپانيشاد و ودا، ناشناخته‌است.</w:t>
      </w:r>
    </w:p>
    <w:p w:rsidR="002D008B" w:rsidRPr="009868FC" w:rsidP="003C0EF5">
      <w:pPr>
        <w:widowControl w:val="0"/>
        <w:spacing w:line="420" w:lineRule="exact"/>
        <w:ind w:left="0" w:right="0"/>
        <w:jc w:val="both"/>
        <w:rPr>
          <w:rFonts w:cs="B Zar" w:hint="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تاريخ تدوين گيتا</w:t>
      </w:r>
    </w:p>
    <w:p w:rsidR="009868FC" w:rsidRPr="009868FC" w:rsidP="003C0EF5">
      <w:pPr>
        <w:widowControl w:val="0"/>
        <w:spacing w:line="420" w:lineRule="exact"/>
        <w:ind w:left="0" w:right="0"/>
        <w:jc w:val="both"/>
        <w:rPr>
          <w:rFonts w:cs="B Zar" w:hint="cs"/>
          <w:rtl/>
        </w:rPr>
      </w:pPr>
      <w:r w:rsidRPr="009868FC">
        <w:rPr>
          <w:rFonts w:cs="B Zar" w:hint="cs"/>
          <w:rtl/>
        </w:rPr>
        <w:t>حال كه نگارندگاني براي گيتا اثبات نگرديد و طبعاً نگارندة مجهولي را مفروض</w:t>
      </w:r>
      <w:r w:rsidRPr="009868FC">
        <w:rPr>
          <w:rFonts w:cs="B Zar" w:hint="cs"/>
          <w:b/>
          <w:bCs/>
          <w:rtl/>
        </w:rPr>
        <w:t xml:space="preserve"> </w:t>
      </w:r>
      <w:r w:rsidRPr="009868FC">
        <w:rPr>
          <w:rFonts w:cs="B Zar" w:hint="cs"/>
          <w:rtl/>
        </w:rPr>
        <w:t>مي‌پنداريم، پاسخِ پرسش «در چه زماني نگاشته شد؟» را جستجو مي كنيم:</w:t>
      </w:r>
    </w:p>
    <w:p w:rsidR="009868FC" w:rsidRPr="009868FC" w:rsidP="003C0EF5">
      <w:pPr>
        <w:widowControl w:val="0"/>
        <w:spacing w:line="420" w:lineRule="exact"/>
        <w:ind w:left="0" w:right="0"/>
        <w:jc w:val="both"/>
        <w:rPr>
          <w:rFonts w:cs="B Zar" w:hint="cs"/>
          <w:rtl/>
        </w:rPr>
      </w:pPr>
      <w:r w:rsidRPr="009868FC">
        <w:rPr>
          <w:rFonts w:cs="B Zar" w:hint="cs"/>
          <w:rtl/>
        </w:rPr>
        <w:t xml:space="preserve">همانگونه كه در مورد نويسندة گيتا ميان صاحب نظران اختلاف شديدي وجود داشت، در مورد تاريخ تدوين نيز وحدت نظر نيست. بال گانگا دهار تيلاك كه تمايل به قدمت بيشتر تمدن و دين هند دارد، تاريخ تدوين ودا، اوپانيشاد و مهابهاراتا را پيشتر برده است. گيتا را كهن تر از محققان ديگر مي‌شمارد، و تاريخ تدوين آن را سال 500 ق م مي داند! ا.جي. بهندركر </w:t>
      </w:r>
      <w:r w:rsidRPr="009868FC">
        <w:rPr>
          <w:rFonts w:cs="B Zar"/>
        </w:rPr>
        <w:t>(A.G.Bhinderkar)</w:t>
      </w:r>
      <w:r w:rsidRPr="009868FC">
        <w:rPr>
          <w:rFonts w:cs="B Zar" w:hint="cs"/>
          <w:rtl/>
        </w:rPr>
        <w:t xml:space="preserve"> نيز تدوين گيتا را پيش از آغاز قرن چهارم قبل از ميلاد دانسته است. رادا كريشنان انديشمند بزرگ هند مي‌نگارد:</w:t>
      </w:r>
    </w:p>
    <w:p w:rsidR="009868FC" w:rsidRPr="009868FC" w:rsidP="003C0EF5">
      <w:pPr>
        <w:widowControl w:val="0"/>
        <w:spacing w:line="420" w:lineRule="exact"/>
        <w:ind w:left="0" w:right="0"/>
        <w:jc w:val="both"/>
        <w:rPr>
          <w:rFonts w:cs="B Zar" w:hint="cs"/>
          <w:i/>
          <w:iCs/>
          <w:rtl/>
        </w:rPr>
      </w:pPr>
      <w:r w:rsidRPr="009868FC">
        <w:rPr>
          <w:rFonts w:cs="B Zar" w:hint="cs"/>
          <w:i/>
          <w:iCs/>
          <w:rtl/>
        </w:rPr>
        <w:t>«بگوت گيتا، متأخر تر از جنبش بزرگ عرفاني اوپانيشادها، و مقدم بر آغاز دورة تدوين مكاتب فلسفي و تأليف سوترها مي‌باشد. از سبك و واژگان و تركيب‌هاي نحوي پارينه، مي‌توان حدس زد كه تدوين آن ميان سالهاي 500-450 ق م بوده، كه پس از آن متن اصلي بارها و بارها استنساخ و در زمانهاي اخير مكرراً چاپ شده است».</w:t>
      </w:r>
      <w:r>
        <w:rPr>
          <w:rStyle w:val="FootnoteReference"/>
          <w:rFonts w:cs="B Zar"/>
          <w:i/>
          <w:iCs/>
          <w:rtl/>
        </w:rPr>
        <w:footnoteReference w:id="691"/>
      </w:r>
    </w:p>
    <w:p w:rsidR="009868FC" w:rsidRPr="009868FC" w:rsidP="003C0EF5">
      <w:pPr>
        <w:widowControl w:val="0"/>
        <w:spacing w:line="420" w:lineRule="exact"/>
        <w:ind w:left="0" w:right="0"/>
        <w:jc w:val="both"/>
        <w:rPr>
          <w:rFonts w:cs="B Zar" w:hint="cs"/>
          <w:i/>
          <w:iCs/>
          <w:rtl/>
        </w:rPr>
      </w:pPr>
      <w:r w:rsidRPr="009868FC">
        <w:rPr>
          <w:rFonts w:cs="B Zar" w:hint="cs"/>
          <w:rtl/>
        </w:rPr>
        <w:t xml:space="preserve">تلنگ </w:t>
      </w:r>
      <w:r w:rsidRPr="009868FC">
        <w:rPr>
          <w:rFonts w:cs="B Zar"/>
        </w:rPr>
        <w:t>(Teleang)</w:t>
      </w:r>
      <w:r w:rsidRPr="009868FC">
        <w:rPr>
          <w:rFonts w:cs="B Zar" w:hint="cs"/>
          <w:rtl/>
        </w:rPr>
        <w:t xml:space="preserve">، مترجم و مفسر گيتا، در سلسله متون مقدس شرق، از انتشارات ماكس مولر، تدوين گيتا را قرن سوم قبل از ميلاد قلمداد مي كند. دليل او آنست كه گيتا، پيش از شكل گرفتن مكاتب شش گانة فلسفي و قبل از آنكه نظام كاستي به صورت ارثي درآيد، تدوين شده است؛ چرا كه طبق برخي از اظهارات گيتا اگر فردي از طبقة نجس ها طريق بهاگتي يا عشق الهي و ولاي كريشنا را پيش گيرد به جايگاه برهمانان مي رسد . رابرت ماينر اين استدلال را نمي‌پذيرد و مي گويد: </w:t>
      </w:r>
      <w:r w:rsidRPr="009868FC">
        <w:rPr>
          <w:rFonts w:cs="B Zar" w:hint="cs"/>
          <w:i/>
          <w:iCs/>
          <w:rtl/>
        </w:rPr>
        <w:t>«اظهارات گيتا ثابت نمي كند در آن زمان نظام كاستي جنبة ارثي و مادرزادي نداشته است.»</w:t>
      </w:r>
    </w:p>
    <w:p w:rsidR="009868FC" w:rsidRPr="009868FC" w:rsidP="003C0EF5">
      <w:pPr>
        <w:widowControl w:val="0"/>
        <w:spacing w:line="420" w:lineRule="exact"/>
        <w:ind w:left="0" w:right="0"/>
        <w:jc w:val="both"/>
        <w:rPr>
          <w:rFonts w:cs="B Zar" w:hint="cs"/>
          <w:rtl/>
        </w:rPr>
      </w:pPr>
      <w:r w:rsidRPr="009868FC">
        <w:rPr>
          <w:rFonts w:cs="B Zar" w:hint="cs"/>
          <w:rtl/>
        </w:rPr>
        <w:t xml:space="preserve">از شواهد داخلي گيتا بر مي‌آيد سرآيندة آن با متون اوپانيشادها كاملاً آشنايي داشته است. اوپاينشادهاي اوليه، ميان سالهاي 1000 تا 500 ق م تدوين شده است. پس گيتا به طور قطع متعلق به دورة بعد است. ماينر </w:t>
      </w:r>
      <w:r w:rsidRPr="009868FC">
        <w:rPr>
          <w:rFonts w:cs="B Zar"/>
        </w:rPr>
        <w:t>(Minor)</w:t>
      </w:r>
      <w:r w:rsidRPr="009868FC">
        <w:rPr>
          <w:rFonts w:cs="B Zar" w:hint="cs"/>
          <w:rtl/>
        </w:rPr>
        <w:t xml:space="preserve"> مي گويد: «چون گيتا به سويتاس واترا اوپانيشاد اشاراتي دارد كه در قرن چهارم قبل از ميلاد تدوين گرديده، از اين روي تدوين گيتا را نمي‌توان پيش از قرن چهارم ق م دانست؛ چرا كه مي بايستي مدت زمان لازم براي كسب اعتبار اوپانيشاد لحاظ گردد. ثانياً از شواهد داخلي و مطالب گيتا بر مي‌آيد كه نگارنده با دين و آئين بودا، آشنائي داشته و درصدد ابطال آن بوده است. اپادهياي </w:t>
      </w:r>
      <w:r w:rsidRPr="009868FC">
        <w:rPr>
          <w:rFonts w:cs="B Zar"/>
        </w:rPr>
        <w:t>(Upadhayaya)</w:t>
      </w:r>
      <w:r w:rsidRPr="009868FC">
        <w:rPr>
          <w:rFonts w:cs="B Zar" w:hint="cs"/>
          <w:rtl/>
        </w:rPr>
        <w:t xml:space="preserve"> ثابت مي كند كه بسياري از اصطلاحات و تعبيرات گيتا در اوپانيشاد نيست، اما در ادبيات بودائي به كار رفته است. اصطلاحات نيروان،</w:t>
      </w:r>
      <w:r>
        <w:rPr>
          <w:rStyle w:val="FootnoteReference"/>
          <w:rFonts w:cs="B Zar"/>
          <w:sz w:val="28"/>
          <w:szCs w:val="28"/>
          <w:rtl/>
        </w:rPr>
        <w:footnoteReference w:id="692"/>
      </w:r>
      <w:r w:rsidRPr="009868FC">
        <w:rPr>
          <w:rFonts w:cs="B Zar" w:hint="cs"/>
          <w:rtl/>
        </w:rPr>
        <w:t xml:space="preserve"> نيرواپر</w:t>
      </w:r>
      <w:r>
        <w:rPr>
          <w:rStyle w:val="FootnoteReference"/>
          <w:rFonts w:cs="B Zar"/>
          <w:sz w:val="28"/>
          <w:szCs w:val="28"/>
          <w:rtl/>
        </w:rPr>
        <w:footnoteReference w:id="693"/>
      </w:r>
      <w:r w:rsidRPr="009868FC">
        <w:rPr>
          <w:rFonts w:cs="B Zar" w:hint="cs"/>
          <w:rtl/>
        </w:rPr>
        <w:t xml:space="preserve"> و ميتر،</w:t>
      </w:r>
      <w:r>
        <w:rPr>
          <w:rStyle w:val="FootnoteReference"/>
          <w:rFonts w:cs="B Zar"/>
          <w:sz w:val="28"/>
          <w:szCs w:val="28"/>
          <w:rtl/>
        </w:rPr>
        <w:footnoteReference w:id="694"/>
      </w:r>
      <w:r w:rsidRPr="009868FC">
        <w:rPr>
          <w:rFonts w:cs="B Zar" w:hint="cs"/>
          <w:rtl/>
        </w:rPr>
        <w:t xml:space="preserve"> از آن جمله اند. اپادهياي خاطر نشان مي سازد كه اكثر نظريه هاي گيتا، آنتي تز و ابطال نظريه هاي بودا و ثمرة تلاش برهمانان براي غلبه بر جنبش بودائيسم مي باشد و يكي از عوامل اصلي انقراض بودائيسم در هند است. تأكيد بر نظرية عمل و زهد فعال، در واقع رد و ابطال نظرية زهد منفي و خانقاه نشيني بودايي است. از اين جهت تدوين گيتا، قطعاً پس از ظهور و رواج بودائيسم در هند صورت گرفت. مهاتما بدهـ (بودا) بين سالهاي 563- 483ق م مي‌زيسته است. گيتا نمي‌تواند قديمي تر از اين تاريخ باشد. ار.سي. زاهنر </w:t>
      </w:r>
      <w:r w:rsidRPr="009868FC">
        <w:rPr>
          <w:rFonts w:cs="B Zar"/>
        </w:rPr>
        <w:t>(R.C.Zahenair)</w:t>
      </w:r>
      <w:r w:rsidRPr="009868FC">
        <w:rPr>
          <w:rFonts w:cs="B Zar" w:hint="cs"/>
          <w:rtl/>
        </w:rPr>
        <w:t xml:space="preserve"> مي گويد: </w:t>
      </w:r>
      <w:r w:rsidRPr="009868FC">
        <w:rPr>
          <w:rFonts w:cs="B Zar" w:hint="cs"/>
          <w:i/>
          <w:iCs/>
          <w:rtl/>
        </w:rPr>
        <w:t>«گيتا ردية بودائيسم است.</w:t>
      </w:r>
      <w:r>
        <w:rPr>
          <w:rStyle w:val="FootnoteReference"/>
          <w:rFonts w:cs="B Zar"/>
          <w:i/>
          <w:iCs/>
          <w:sz w:val="28"/>
          <w:szCs w:val="28"/>
          <w:rtl/>
        </w:rPr>
        <w:footnoteReference w:id="695"/>
      </w:r>
      <w:r w:rsidRPr="009868FC">
        <w:rPr>
          <w:rFonts w:cs="B Zar" w:hint="cs"/>
          <w:i/>
          <w:iCs/>
          <w:rtl/>
        </w:rPr>
        <w:t>»</w:t>
      </w:r>
    </w:p>
    <w:p w:rsidR="009868FC" w:rsidRPr="009868FC" w:rsidP="003C0EF5">
      <w:pPr>
        <w:widowControl w:val="0"/>
        <w:spacing w:line="420" w:lineRule="exact"/>
        <w:ind w:left="0" w:right="0"/>
        <w:jc w:val="both"/>
        <w:rPr>
          <w:rFonts w:cs="B Zar" w:hint="cs"/>
          <w:rtl/>
        </w:rPr>
      </w:pPr>
      <w:r w:rsidRPr="009868FC">
        <w:rPr>
          <w:rFonts w:cs="B Zar" w:hint="cs"/>
          <w:rtl/>
        </w:rPr>
        <w:t>همچنين از شواهد داخلي گيتا بر مي‌آيد كه تدوين آن زماني صورت گرفت كه «اتهاروا ودا» به عنوان ودا، رسميت نيافته بود. گيتا از وداهاي سه گانه ياد مي كند و  از وداهاي چهارگانه سخن به ميان نمي آورد.</w:t>
      </w:r>
      <w:r>
        <w:rPr>
          <w:rStyle w:val="FootnoteReference"/>
          <w:rFonts w:cs="B Zar"/>
          <w:sz w:val="28"/>
          <w:szCs w:val="28"/>
          <w:rtl/>
        </w:rPr>
        <w:footnoteReference w:id="696"/>
      </w:r>
      <w:r w:rsidRPr="009868FC">
        <w:rPr>
          <w:rFonts w:cs="B Zar" w:hint="cs"/>
          <w:rtl/>
        </w:rPr>
        <w:t xml:space="preserve"> در متن مهابهاراتا به وداهاي سه گانه در مواردي و در ديگر جايها به وداهاي چهارگانه اشاره شده است، كه ثابت مي كند گيتاي ميانه در مرحله تدوين مهابهاراتا تأليف گرديده است.</w:t>
      </w:r>
    </w:p>
    <w:p w:rsidR="009868FC" w:rsidRPr="009868FC" w:rsidP="003C0EF5">
      <w:pPr>
        <w:widowControl w:val="0"/>
        <w:spacing w:line="420" w:lineRule="exact"/>
        <w:ind w:left="0" w:right="0"/>
        <w:jc w:val="both"/>
        <w:rPr>
          <w:rFonts w:cs="B Zar" w:hint="cs"/>
          <w:rtl/>
        </w:rPr>
      </w:pPr>
      <w:r w:rsidRPr="009868FC">
        <w:rPr>
          <w:rFonts w:cs="B Zar" w:hint="cs"/>
          <w:rtl/>
        </w:rPr>
        <w:t xml:space="preserve">خاورشناساني مغرض (برخلاف تيلاك و نويسندگاني هندو كه تاريخ تدوين گيتا را پيشتر برده تا هند را دارای تمدن كهن تر نشان دهند)، در صدد بوده اند گيتا را آنچنان مؤخر جلوه دهند، كه ثابت شود فلسفه و نظريه هاي گيتا از انجيل مسيحيان اقتباس گرديده است.  از اينگونه مسيحيان متعصب، لاسون </w:t>
      </w:r>
      <w:r w:rsidRPr="009868FC">
        <w:rPr>
          <w:rFonts w:cs="B Zar"/>
        </w:rPr>
        <w:t>(Lasson)</w:t>
      </w:r>
      <w:r w:rsidRPr="009868FC">
        <w:rPr>
          <w:rFonts w:cs="B Zar" w:hint="cs"/>
          <w:rtl/>
        </w:rPr>
        <w:t xml:space="preserve"> و لورن سر </w:t>
      </w:r>
      <w:r w:rsidRPr="009868FC">
        <w:rPr>
          <w:rFonts w:cs="B Zar"/>
        </w:rPr>
        <w:t>(Lorinser)</w:t>
      </w:r>
      <w:r w:rsidRPr="009868FC">
        <w:rPr>
          <w:rFonts w:cs="B Zar" w:hint="cs"/>
          <w:rtl/>
        </w:rPr>
        <w:t xml:space="preserve"> مي باشند. لاسون تاريخ تدوين گيتا را 500 ميلادي قلمداد مي كند. وي گمان كرده است: مثلاً 4:4 گيتا از انجيل يوحنا: 58:8، قطعة 23:3-24 گيتا از يوحنا آية 17:5 ، و قطعة: 17 از 21:14 يوحنا اقتباس شده است. اگر نظر مغرضانه نباشد بسيار ناشيانه است. اخلاقيات و مطالبي وجود دارند كه در تمامي اديان آمده است. اگر چنين رويه‌هايي را پيش گيريم كه خاور شناسان پيش گرفته‌اند، ممكن است نكات فراواني از تعاليم انجيل را در اوپانيشاد و ديگر متون باستاني شرق سراغ بگيريم، كه لزوماً به معناي اقتباس تورات و انجيل از متون هند، چين و ايران باستان است. متاسفانه مسيونرها و خاورشناسان غربي، از نيمة دوم قرن نوزدهم، روية مذكور را به صورت جهادي مقدس آغاز كردند كه اصالت متون مقدس اديان رقيب را مورد شك و ترديد قرار دهند. مستشرقين آلماني ـ يهودي در راس اين ادعاهاي واهي بوده‌اند. در آن زمان اصالت قرآن و احاديث اسلامي را نيز به عنوان «اقتباس» در معرض شك و ترديد قرار دادند و محققان جديد غرب اين نظريه ها را به طور قطع رد كرده‌اند. </w:t>
      </w:r>
    </w:p>
    <w:p w:rsidR="009868FC" w:rsidRPr="009868FC" w:rsidP="003C0EF5">
      <w:pPr>
        <w:widowControl w:val="0"/>
        <w:spacing w:line="420" w:lineRule="exact"/>
        <w:ind w:left="0" w:right="0"/>
        <w:jc w:val="both"/>
        <w:rPr>
          <w:rFonts w:cs="B Zar" w:hint="cs"/>
          <w:rtl/>
        </w:rPr>
      </w:pPr>
      <w:r w:rsidRPr="009868FC">
        <w:rPr>
          <w:rFonts w:cs="B Zar" w:hint="cs"/>
          <w:rtl/>
        </w:rPr>
        <w:t>رابرت ماينر تاريخ تدوين گيتا را در حدود 200 تا 150 قبل از ميلاد مي داند. اين همان دورة ميانة تدوين مهابهاراتا است (اگر تدوين آنرا بين 400 تا 450 ق م بدانيم)</w:t>
      </w:r>
      <w:r>
        <w:rPr>
          <w:rStyle w:val="FootnoteReference"/>
          <w:rFonts w:cs="B Zar"/>
          <w:rtl/>
        </w:rPr>
        <w:footnoteReference w:id="697"/>
      </w:r>
      <w:r w:rsidRPr="009868FC">
        <w:rPr>
          <w:rFonts w:cs="B Zar" w:hint="cs"/>
          <w:rtl/>
        </w:rPr>
        <w:t>.</w:t>
      </w:r>
    </w:p>
    <w:p w:rsidR="009868FC" w:rsidP="003C0EF5">
      <w:pPr>
        <w:pStyle w:val="Heading4"/>
        <w:keepNext w:val="0"/>
        <w:widowControl w:val="0"/>
        <w:spacing w:line="420" w:lineRule="exact"/>
        <w:ind w:left="0" w:right="0"/>
        <w:jc w:val="left"/>
        <w:rPr>
          <w:rFonts w:cs="B Zar" w:hint="cs"/>
          <w:rtl/>
        </w:rPr>
      </w:pPr>
      <w:r w:rsidRPr="009868FC">
        <w:rPr>
          <w:rFonts w:cs="B Zar"/>
          <w:rtl/>
        </w:rPr>
        <w:br w:type="page"/>
      </w:r>
      <w:r w:rsidR="00733C0F">
        <w:rPr>
          <w:rFonts w:cs="B Zar"/>
        </w:rPr>
        <w:t xml:space="preserve"> </w:t>
      </w:r>
    </w:p>
    <w:p w:rsidR="00873CD4" w:rsidRPr="00873CD4" w:rsidP="00873CD4">
      <w:pPr>
        <w:ind w:left="0" w:right="0"/>
        <w:jc w:val="both"/>
        <w:rPr>
          <w:rFonts w:hint="cs"/>
          <w:rtl/>
        </w:rPr>
      </w:pPr>
    </w:p>
    <w:p w:rsidR="009868FC" w:rsidRPr="00733C0F" w:rsidP="003C0EF5">
      <w:pPr>
        <w:pStyle w:val="Heading4"/>
        <w:keepNext w:val="0"/>
        <w:widowControl w:val="0"/>
        <w:spacing w:line="420" w:lineRule="exact"/>
        <w:ind w:left="0" w:right="0"/>
        <w:jc w:val="center"/>
        <w:rPr>
          <w:rFonts w:cs="B Zar" w:hint="cs"/>
          <w:b/>
          <w:bCs/>
          <w:rtl/>
        </w:rPr>
      </w:pPr>
      <w:r w:rsidRPr="00733C0F">
        <w:rPr>
          <w:rFonts w:cs="B Zar" w:hint="cs"/>
          <w:b/>
          <w:bCs/>
          <w:rtl/>
        </w:rPr>
        <w:t>نگاهي به تفاسير گيتا</w:t>
      </w:r>
    </w:p>
    <w:p w:rsidR="009868FC" w:rsidRPr="009868FC" w:rsidP="003C0EF5">
      <w:pPr>
        <w:pStyle w:val="Heading2"/>
        <w:keepNext w:val="0"/>
        <w:widowControl w:val="0"/>
        <w:spacing w:line="420" w:lineRule="exact"/>
        <w:ind w:left="0" w:right="0" w:firstLine="720"/>
        <w:jc w:val="center"/>
        <w:rPr>
          <w:rFonts w:cs="B Zar" w:hint="cs"/>
          <w:b w:val="0"/>
          <w:bCs w:val="0"/>
        </w:rPr>
      </w:pPr>
    </w:p>
    <w:p w:rsidR="009868FC" w:rsidRPr="009868FC" w:rsidP="003C0EF5">
      <w:pPr>
        <w:widowControl w:val="0"/>
        <w:spacing w:line="420" w:lineRule="exact"/>
        <w:ind w:left="0" w:right="0"/>
        <w:jc w:val="both"/>
        <w:rPr>
          <w:rFonts w:cs="B Zar" w:hint="cs"/>
          <w:rtl/>
        </w:rPr>
      </w:pPr>
      <w:r w:rsidRPr="009868FC">
        <w:rPr>
          <w:rFonts w:cs="B Zar" w:hint="cs"/>
          <w:rtl/>
        </w:rPr>
        <w:t>گيتا از جملة متون مقدس هندوان است كه بيش از همه شرح و تفسير شده است، در صدر اول (100-1000م) و در قرون وسطاي (100-1900) هندوئيسم، تقريباً تمام فيلسوفان، حكيمان</w:t>
      </w:r>
      <w:r w:rsidRPr="009868FC">
        <w:rPr>
          <w:rFonts w:cs="B Zar"/>
        </w:rPr>
        <w:t xml:space="preserve"> </w:t>
      </w:r>
      <w:r w:rsidRPr="009868FC">
        <w:rPr>
          <w:rFonts w:cs="B Zar" w:hint="cs"/>
          <w:rtl/>
        </w:rPr>
        <w:t>‌و متكلمان بزرگ هندو بر سه متن حاشيه زده و يا آنرا تفسير كرده‌اند. از ميان اوپانيشادهاي  اوليه، بگوت گيتا و ودانتا سوترا، گيتا مختصرتر و مقبول‌تر بوده و بيشتر مورد توجه قرار گرفته است.</w:t>
      </w:r>
      <w:r>
        <w:rPr>
          <w:rStyle w:val="FootnoteReference"/>
          <w:rFonts w:cs="B Zar"/>
          <w:rtl/>
        </w:rPr>
        <w:footnoteReference w:id="698"/>
      </w:r>
    </w:p>
    <w:p w:rsidR="009868FC" w:rsidRPr="009868FC" w:rsidP="003C0EF5">
      <w:pPr>
        <w:widowControl w:val="0"/>
        <w:spacing w:line="420" w:lineRule="exact"/>
        <w:ind w:left="0" w:right="0"/>
        <w:jc w:val="both"/>
        <w:rPr>
          <w:rFonts w:cs="B Zar" w:hint="cs"/>
          <w:rtl/>
        </w:rPr>
      </w:pPr>
      <w:r w:rsidRPr="009868FC">
        <w:rPr>
          <w:rFonts w:cs="B Zar" w:hint="cs"/>
          <w:rtl/>
        </w:rPr>
        <w:t>از تفسيرهاي گيتا كه متعلق به قرون اوليه مي‌باشند، چيزي به جا نمانده است. گرچه برخي پژوهشگران، گيتاهاي هجده گانه را در مهابهاراتا، تفسير ديدگاه هاي بگوات گيتا مي‌دانند، ولي رابرت ماينر با آنها مخالفت كرده و مي نويسد: آنها رسايل مستقل عرفاني مي باشند، و هر رساله محوري از محورهاي فلسفة تعاليم گيتا را شرح و بسط داده است. شانكارا در تفسيرش از مفسري قديمي كه او را «ورتكا» مي‌نامد، اسم مي‌برد. (وارتي، به معناي «حاشيه» و وارتكا، به معناي «حاشيه نويس» است.) با توجه به اينكه وارتكا به معناي  حاشيه نويس است و روشن مي شود اشارة وي به كسي است كه بر گيتا حاشيه زده و شانكارا آنرا در اختيار داشته  است. بال گانگا دهار تيلاك معتقد است كه پيش از شانكارا</w:t>
      </w:r>
      <w:r w:rsidRPr="009868FC">
        <w:rPr>
          <w:rFonts w:cs="B Zar"/>
        </w:rPr>
        <w:t xml:space="preserve">(Shankara) </w:t>
      </w:r>
      <w:r w:rsidRPr="009868FC">
        <w:rPr>
          <w:rFonts w:cs="B Zar" w:hint="cs"/>
          <w:rtl/>
        </w:rPr>
        <w:t xml:space="preserve"> تفاسير متعددي بر گيتا به رشتة تحرير در آمده است.</w:t>
      </w:r>
      <w:r>
        <w:rPr>
          <w:rStyle w:val="FootnoteReference"/>
          <w:rFonts w:cs="B Zar"/>
          <w:rtl/>
        </w:rPr>
        <w:footnoteReference w:id="699"/>
      </w:r>
    </w:p>
    <w:p w:rsidR="009868FC" w:rsidRPr="009868FC" w:rsidP="003C0EF5">
      <w:pPr>
        <w:widowControl w:val="0"/>
        <w:spacing w:line="420" w:lineRule="exact"/>
        <w:ind w:left="0" w:right="0"/>
        <w:jc w:val="both"/>
        <w:rPr>
          <w:rFonts w:cs="B Zar" w:hint="cs"/>
          <w:rtl/>
        </w:rPr>
      </w:pPr>
      <w:r w:rsidRPr="009868FC">
        <w:rPr>
          <w:rFonts w:cs="B Zar" w:hint="cs"/>
          <w:rtl/>
        </w:rPr>
        <w:t>كهن‌ترين تفسير گيتا، «گيتا بهاسيه»</w:t>
      </w:r>
      <w:r w:rsidRPr="009868FC">
        <w:rPr>
          <w:rFonts w:cs="B Zar"/>
        </w:rPr>
        <w:t xml:space="preserve">(Gita Bhasiya) </w:t>
      </w:r>
      <w:r w:rsidRPr="009868FC">
        <w:rPr>
          <w:rFonts w:cs="B Zar" w:hint="cs"/>
          <w:rtl/>
        </w:rPr>
        <w:t>، اثر شانكارا است كه در دسترس مي باشد (با توجه به ترجمة چند كلمه از سانسكريت: بهاسيه، تكا، وارتي ضروري است «بهاسيه»،</w:t>
      </w:r>
      <w:r w:rsidRPr="009868FC">
        <w:rPr>
          <w:rFonts w:cs="B Zar"/>
        </w:rPr>
        <w:t xml:space="preserve">(Bhasiya) </w:t>
      </w:r>
      <w:r w:rsidRPr="009868FC">
        <w:rPr>
          <w:rFonts w:cs="B Zar" w:hint="cs"/>
          <w:rtl/>
        </w:rPr>
        <w:t xml:space="preserve"> يعني: تفسير، تأويل، بررسي، «تكا»،</w:t>
      </w:r>
      <w:r w:rsidRPr="009868FC">
        <w:rPr>
          <w:rFonts w:cs="B Zar"/>
        </w:rPr>
        <w:t xml:space="preserve">(Tika) </w:t>
      </w:r>
      <w:r w:rsidRPr="009868FC">
        <w:rPr>
          <w:rFonts w:cs="B Zar" w:hint="cs"/>
          <w:rtl/>
        </w:rPr>
        <w:t xml:space="preserve"> شرح ساده كلمات و معاني است و «وارتي»، به معناي حاشيه ترجمه مي‌شود). امكان دارد پيش از شانكارا تنها حواشي «وارتي» بر گيتا نگاشته شده و شانكارا نخستين تفسير گيتا را به رشتة تحرير درآورده باشد. شانكارا در سالهاي 788 و 820 ميلادي مي زيسته و تفسيرش را حوالي سال 800 تدوين كرده است. او هر سه متن اوپانيشاد ، گيتا و ودانتا سوترا را تفسير نمود. رواج بيشتر گيتا مرهون تفسير شانكارا است.</w:t>
      </w:r>
    </w:p>
    <w:p w:rsidR="009868FC" w:rsidRPr="009868FC" w:rsidP="003C0EF5">
      <w:pPr>
        <w:widowControl w:val="0"/>
        <w:spacing w:line="420" w:lineRule="exact"/>
        <w:ind w:left="0" w:right="0"/>
        <w:jc w:val="both"/>
        <w:rPr>
          <w:rFonts w:cs="B Zar" w:hint="cs"/>
          <w:rtl/>
        </w:rPr>
      </w:pPr>
      <w:r w:rsidRPr="009868FC">
        <w:rPr>
          <w:rFonts w:cs="B Zar" w:hint="cs"/>
          <w:rtl/>
        </w:rPr>
        <w:t>شانكارا داراي ديدگاه وحدت الوجودي عرفاني اوپانيشاد بوده، و گيتا را نيز با همين ديد تفسير كرده است</w:t>
      </w:r>
      <w:r w:rsidRPr="009868FC">
        <w:rPr>
          <w:rFonts w:cs="B Zar"/>
          <w:rtl/>
        </w:rPr>
        <w:t xml:space="preserve"> </w:t>
      </w:r>
      <w:r>
        <w:rPr>
          <w:rStyle w:val="FootnoteReference"/>
          <w:rFonts w:cs="B Zar"/>
          <w:rtl/>
        </w:rPr>
        <w:footnoteReference w:id="700"/>
      </w:r>
      <w:r w:rsidRPr="009868FC">
        <w:rPr>
          <w:rFonts w:cs="B Zar" w:hint="cs"/>
          <w:rtl/>
        </w:rPr>
        <w:t>.  تأكيد بيشتر وي بر جنبة مطلقيت و تجرد واجب الوجود است و نه بر جنبة تشبيهي و تجسمي. او خداوند را در بعد ذات و تشخص مطالعه نمي كند، بلكه صرفاً به بعد مطلقيت ماوراي ذات مي‌نگرد و تصور «ايشوار» را در برهمان، در مقولة تصور «برهمان» در اوپانيشاد بررسي و تفسير كرده است. همچنين براي شانكارا والاترين راه نجات طريق عرفان و معرفت و «نياسا»، يعني دوري گزيدن از كار براي زندگي دنيوي است</w:t>
      </w:r>
      <w:r>
        <w:rPr>
          <w:rStyle w:val="FootnoteReference"/>
          <w:rFonts w:cs="B Zar"/>
          <w:rtl/>
        </w:rPr>
        <w:footnoteReference w:id="701"/>
      </w:r>
      <w:r w:rsidRPr="009868FC">
        <w:rPr>
          <w:rFonts w:cs="B Zar" w:hint="cs"/>
          <w:rtl/>
        </w:rPr>
        <w:t>.  او جنبه نيكوكاري «كاراما يوگا»</w:t>
      </w:r>
      <w:r w:rsidRPr="009868FC">
        <w:rPr>
          <w:rFonts w:cs="B Zar"/>
        </w:rPr>
        <w:t xml:space="preserve">(Karama Yoga) </w:t>
      </w:r>
      <w:r w:rsidRPr="009868FC">
        <w:rPr>
          <w:rFonts w:cs="B Zar" w:hint="cs"/>
          <w:rtl/>
        </w:rPr>
        <w:t xml:space="preserve"> يا نجات از طريق عمل اجتماعي را كه گيتا عنوان مي كند، ناديده مي‌گيرد و آنرا راهي پست براي نيل به نجات محسوب مي نمايد</w:t>
      </w:r>
      <w:r>
        <w:rPr>
          <w:rStyle w:val="FootnoteReference"/>
          <w:rFonts w:cs="B Zar"/>
          <w:rtl/>
        </w:rPr>
        <w:footnoteReference w:id="702"/>
      </w:r>
      <w:r w:rsidRPr="009868FC">
        <w:rPr>
          <w:rFonts w:cs="B Zar" w:hint="cs"/>
          <w:rtl/>
        </w:rPr>
        <w:t>. از نظر سبك نگارش «گيتابهاسيه»، از بهترين نمونه هاي سانسكريت كلاسيك مي باشد كه آنرا شانكارا نگاشته است.</w:t>
      </w:r>
    </w:p>
    <w:p w:rsidR="009868FC" w:rsidRPr="009868FC" w:rsidP="00907861">
      <w:pPr>
        <w:widowControl w:val="0"/>
        <w:spacing w:line="420" w:lineRule="exact"/>
        <w:ind w:left="0" w:right="0"/>
        <w:jc w:val="both"/>
        <w:rPr>
          <w:rFonts w:cs="B Zar" w:hint="cs"/>
          <w:rtl/>
        </w:rPr>
      </w:pPr>
      <w:r w:rsidRPr="009868FC">
        <w:rPr>
          <w:rFonts w:cs="B Zar" w:hint="cs"/>
          <w:rtl/>
        </w:rPr>
        <w:t>در اواخر قرن نوزدهم مهاديو شاستري</w:t>
      </w:r>
      <w:r w:rsidRPr="009868FC">
        <w:rPr>
          <w:rFonts w:cs="B Zar"/>
        </w:rPr>
        <w:t xml:space="preserve">(Mahadeva Shastri)  </w:t>
      </w:r>
      <w:r w:rsidRPr="009868FC">
        <w:rPr>
          <w:rFonts w:cs="B Zar" w:hint="cs"/>
          <w:rtl/>
        </w:rPr>
        <w:t>، ترجمة «گيتا بهاسيه» شانكارا را به انگليسي منتشر كرد. از آن پس ترجمه هاي متعددي از اين اثر به رشتة تحرير در آمد، از ترجمه هاي اخير آن، ترجمه ايست كه به وسيله «سي. وي. رامچندرن آير» صورت گرفته و «راما كريشنا ميشن» دهلي آنرا منتشر كرده است.</w:t>
      </w:r>
    </w:p>
    <w:p w:rsidR="009868FC" w:rsidRPr="009868FC" w:rsidP="003C0EF5">
      <w:pPr>
        <w:widowControl w:val="0"/>
        <w:spacing w:line="420" w:lineRule="exact"/>
        <w:ind w:left="0" w:right="0"/>
        <w:jc w:val="both"/>
        <w:rPr>
          <w:rFonts w:cs="B Zar" w:hint="cs"/>
          <w:rtl/>
        </w:rPr>
      </w:pPr>
      <w:r w:rsidRPr="009868FC">
        <w:rPr>
          <w:rFonts w:cs="B Zar" w:hint="cs"/>
          <w:rtl/>
        </w:rPr>
        <w:t>پس از شانكارا بسياري از شاگردان و هواداران مكتب وي به تفسير گيتا پرداختند. از جملة آنان «آناند گري»</w:t>
      </w:r>
      <w:r w:rsidRPr="009868FC">
        <w:rPr>
          <w:rFonts w:cs="B Zar"/>
        </w:rPr>
        <w:t xml:space="preserve">(Ananda Giri) </w:t>
      </w:r>
      <w:r w:rsidRPr="009868FC">
        <w:rPr>
          <w:rFonts w:cs="B Zar" w:hint="cs"/>
          <w:rtl/>
        </w:rPr>
        <w:t xml:space="preserve"> و «مادهون سودن»</w:t>
      </w:r>
      <w:r w:rsidRPr="009868FC">
        <w:rPr>
          <w:rFonts w:cs="B Zar"/>
        </w:rPr>
        <w:t xml:space="preserve"> (Madhavan Sudan) </w:t>
      </w:r>
      <w:r w:rsidRPr="009868FC">
        <w:rPr>
          <w:rFonts w:cs="B Zar" w:hint="cs"/>
          <w:rtl/>
        </w:rPr>
        <w:t xml:space="preserve"> </w:t>
      </w:r>
      <w:r w:rsidRPr="009868FC">
        <w:rPr>
          <w:rFonts w:cs="B Zar"/>
        </w:rPr>
        <w:t xml:space="preserve"> )</w:t>
      </w:r>
      <w:r w:rsidRPr="009868FC">
        <w:rPr>
          <w:rFonts w:cs="B Zar" w:hint="cs"/>
          <w:rtl/>
        </w:rPr>
        <w:t xml:space="preserve">1540 </w:t>
      </w:r>
      <w:r w:rsidRPr="009868FC">
        <w:rPr>
          <w:rtl/>
        </w:rPr>
        <w:t>–</w:t>
      </w:r>
      <w:r w:rsidRPr="009868FC">
        <w:rPr>
          <w:rFonts w:cs="B Zar" w:hint="cs"/>
          <w:rtl/>
        </w:rPr>
        <w:t>1647) بودند كه تفسيري به نام «گوده ارته ديپكا» نوشتند. «امن پانديت» نيز ديدگاه شانكارا را پذيرفت، ولي بر طريق بهاگتي (ولاء) تأكيد بيشتري داشت. «سردهر سوامي»</w:t>
      </w:r>
      <w:r w:rsidRPr="009868FC">
        <w:rPr>
          <w:rFonts w:cs="B Zar"/>
        </w:rPr>
        <w:t xml:space="preserve">Sardhar Swami) </w:t>
      </w:r>
      <w:r w:rsidRPr="009868FC">
        <w:rPr>
          <w:rFonts w:cs="B Zar" w:hint="cs"/>
          <w:rtl/>
        </w:rPr>
        <w:t>، برجسته‌ترين مفسر قرون وسطايي و پيرو مكتب شانكارا مي‌باشد</w:t>
      </w:r>
      <w:r w:rsidRPr="009868FC">
        <w:rPr>
          <w:rFonts w:cs="B Zar"/>
          <w:rtl/>
        </w:rPr>
        <w:t xml:space="preserve"> </w:t>
      </w:r>
      <w:r>
        <w:rPr>
          <w:rStyle w:val="FootnoteReference"/>
          <w:rFonts w:cs="B Zar"/>
          <w:rtl/>
        </w:rPr>
        <w:footnoteReference w:id="703"/>
      </w:r>
      <w:r w:rsidRPr="009868FC">
        <w:rPr>
          <w:rFonts w:cs="B Zar" w:hint="cs"/>
          <w:rtl/>
        </w:rPr>
        <w:t>. او در ايالت گجرات متولد شد و شاگرد «پرمانندپوري» و نام تفسيرش «سبودهني»</w:t>
      </w:r>
      <w:r w:rsidRPr="009868FC">
        <w:rPr>
          <w:rFonts w:cs="B Zar"/>
        </w:rPr>
        <w:t xml:space="preserve">Sabodhani)  </w:t>
      </w:r>
      <w:r w:rsidRPr="009868FC">
        <w:rPr>
          <w:rFonts w:cs="B Zar" w:hint="cs"/>
          <w:rtl/>
        </w:rPr>
        <w:t xml:space="preserve"> است. تفاوت اساسي ميان سري دهر و شانكارا آن است كه سري دهر در عرفان گرائي شانكارا را با آئين بهاگتي (ولاء) در هم آميخته است. اثر سري دهر سوامي را «ورسيورناند» به انگليسي ترجمه كرده است.</w:t>
      </w:r>
      <w:r>
        <w:rPr>
          <w:rStyle w:val="FootnoteReference"/>
          <w:rFonts w:cs="B Zar"/>
          <w:sz w:val="28"/>
          <w:szCs w:val="28"/>
          <w:rtl/>
        </w:rPr>
        <w:footnoteReference w:id="704"/>
      </w:r>
    </w:p>
    <w:p w:rsidR="009868FC" w:rsidRPr="009868FC" w:rsidP="003C0EF5">
      <w:pPr>
        <w:widowControl w:val="0"/>
        <w:spacing w:line="420" w:lineRule="exact"/>
        <w:ind w:left="0" w:right="0"/>
        <w:jc w:val="both"/>
        <w:rPr>
          <w:rFonts w:cs="B Zar" w:hint="cs"/>
          <w:rtl/>
        </w:rPr>
      </w:pPr>
      <w:r w:rsidRPr="009868FC">
        <w:rPr>
          <w:rFonts w:cs="B Zar" w:hint="cs"/>
          <w:rtl/>
        </w:rPr>
        <w:t xml:space="preserve">گرچه پيروان مكتب شانكارا بسيارند، ليكن  از معاصران سري دهر سوامي كسي بود به نام «بهاسكر» كه در عين اثر پذيري از انديشة شانكارا او را متهم به بودائي زدگي مي كرد و مي‌گفت: </w:t>
      </w:r>
      <w:r w:rsidRPr="009868FC">
        <w:rPr>
          <w:rFonts w:cs="B Zar" w:hint="cs"/>
          <w:i/>
          <w:iCs/>
          <w:rtl/>
        </w:rPr>
        <w:t>«شانكارا به جاي الهام از هندوئيسم، از بوديسم الهام گرفته است».</w:t>
      </w:r>
      <w:r w:rsidRPr="009868FC">
        <w:rPr>
          <w:rFonts w:cs="B Zar" w:hint="cs"/>
          <w:rtl/>
        </w:rPr>
        <w:t xml:space="preserve"> گيتا از طريق «بهاسكر» نيز روايت شده كه اختلافهائي با متن شانكارا دارد و اكنون نيز روايت بهاسكر از گيتا «علاوه بر طريق شانكارا» در دسترس ماست.</w:t>
      </w:r>
      <w:r>
        <w:rPr>
          <w:rStyle w:val="FootnoteReference"/>
          <w:rFonts w:cs="B Zar"/>
          <w:rtl/>
        </w:rPr>
        <w:footnoteReference w:id="705"/>
      </w:r>
    </w:p>
    <w:p w:rsidR="009868FC" w:rsidRPr="009868FC" w:rsidP="003C0EF5">
      <w:pPr>
        <w:widowControl w:val="0"/>
        <w:spacing w:line="420" w:lineRule="exact"/>
        <w:ind w:left="0" w:right="0"/>
        <w:jc w:val="both"/>
        <w:rPr>
          <w:rFonts w:cs="B Zar" w:hint="cs"/>
          <w:rtl/>
        </w:rPr>
      </w:pPr>
      <w:r w:rsidRPr="009868FC">
        <w:rPr>
          <w:rFonts w:cs="B Zar" w:hint="cs"/>
          <w:rtl/>
        </w:rPr>
        <w:t>رامانوجا</w:t>
      </w:r>
      <w:r w:rsidRPr="009868FC">
        <w:rPr>
          <w:rFonts w:cs="B Zar"/>
        </w:rPr>
        <w:t xml:space="preserve"> (Ramanuja)</w:t>
      </w:r>
      <w:r w:rsidRPr="009868FC">
        <w:rPr>
          <w:rFonts w:cs="B Zar" w:hint="cs"/>
          <w:rtl/>
        </w:rPr>
        <w:t xml:space="preserve"> (1017-1137)، پس از شانكارا دومين و بزرگترين شخصيت از نظر تاريخ هندوئيسم محسوب مي شود. او مكتب جديد «وسست آدويت» يا وحدت الوجود مشروط را در مقابل مكتب «آدويت» يا عدم ثنويت شانكارا بنيان گذارد. برخلاف شانكارا، رامانوج خداوند را به عنوان «ذات» و داراي تشخص معرفي كرده و طريق ولاء يا بهاگتي را شايسته ترين راه نجات دانسته و گيتا را در مقولات مذكور تفسير كرده است.</w:t>
      </w:r>
    </w:p>
    <w:p w:rsidR="009868FC" w:rsidRPr="009868FC" w:rsidP="003C0EF5">
      <w:pPr>
        <w:widowControl w:val="0"/>
        <w:spacing w:line="420" w:lineRule="exact"/>
        <w:ind w:left="0" w:right="0"/>
        <w:jc w:val="both"/>
        <w:rPr>
          <w:rFonts w:cs="B Zar" w:hint="cs"/>
          <w:rtl/>
        </w:rPr>
      </w:pPr>
      <w:r w:rsidRPr="009868FC">
        <w:rPr>
          <w:rFonts w:cs="B Zar" w:hint="cs"/>
          <w:rtl/>
        </w:rPr>
        <w:t>تفسير رامانوجا به عنوان «گيتا بهاسيه»</w:t>
      </w:r>
      <w:r w:rsidRPr="009868FC">
        <w:rPr>
          <w:rFonts w:cs="B Zar"/>
        </w:rPr>
        <w:t xml:space="preserve"> (Gita Bhasiya)</w:t>
      </w:r>
      <w:r w:rsidRPr="009868FC">
        <w:rPr>
          <w:rFonts w:cs="B Zar" w:hint="cs"/>
          <w:rtl/>
        </w:rPr>
        <w:t xml:space="preserve"> منتشر شده و در كنار تفسير شانكارا از مقبولترين و معتبرترين تفاسير است. در تفسيرش تأكيد كرده است كه ناراين (ويشنو</w:t>
      </w:r>
      <w:r w:rsidRPr="009868FC">
        <w:rPr>
          <w:rFonts w:cs="B Zar"/>
        </w:rPr>
        <w:t>Vishnu=</w:t>
      </w:r>
      <w:r w:rsidRPr="009868FC">
        <w:rPr>
          <w:rFonts w:cs="B Zar" w:hint="cs"/>
          <w:rtl/>
        </w:rPr>
        <w:t>)، خداي بزرگ و كريشنا تجسم اوست و از طريق عشق و محبت به آنان، انسان نجات مي يابد. خداوند ذاتي داراي تشخص است. رامانوجا اصرار دارد كه ميان ايشور (خداوند)، جيو (انسان) و جگت (جهان) رابطة تنگاتنگي استوار است.</w:t>
      </w:r>
      <w:r>
        <w:rPr>
          <w:rStyle w:val="FootnoteReference"/>
          <w:rFonts w:cs="B Zar"/>
          <w:rtl/>
        </w:rPr>
        <w:footnoteReference w:id="706"/>
      </w:r>
      <w:r w:rsidRPr="009868FC">
        <w:rPr>
          <w:rFonts w:cs="B Zar" w:hint="cs"/>
          <w:rtl/>
        </w:rPr>
        <w:t xml:space="preserve"> رامانوجا به جهان اصالت مي دهد و نظرية «مايا» (عالم شهود: فريب، وهم و خيال است) را رد مي كند. او كلمة «مايا» را در گيتا به معناي تجلي قدرت و ارادة الهي مي داند و معتقد است در هر كجا گيتا كلمة مايا را به كار برده بدين معنا بوده است.</w:t>
      </w:r>
    </w:p>
    <w:p w:rsidR="009868FC" w:rsidRPr="009868FC" w:rsidP="003C0EF5">
      <w:pPr>
        <w:widowControl w:val="0"/>
        <w:spacing w:line="420" w:lineRule="exact"/>
        <w:ind w:left="0" w:right="0"/>
        <w:jc w:val="both"/>
        <w:rPr>
          <w:rFonts w:cs="B Zar" w:hint="cs"/>
          <w:rtl/>
        </w:rPr>
      </w:pPr>
      <w:r w:rsidRPr="009868FC">
        <w:rPr>
          <w:rFonts w:cs="B Zar" w:hint="cs"/>
          <w:rtl/>
        </w:rPr>
        <w:t>پس از راما نوجا، شاگردان وي به شرح ديدگاههاي او پرداختند. از آن جمله مي توان از «ونكت ناته» (1267-1369) نام برد كه تفسيري بر گيتا به عنوان «تات پري چندريكا»، به رشتة تحرير در آورده است. در قرن دوازدهم «كسيوبهت» كه از شاگردان «تمبارك» كشميري حكيم مي باشد، تفسير معروفي به نام «گيتاتتوپركاسك» نگاشت.</w:t>
      </w:r>
    </w:p>
    <w:p w:rsidR="009868FC" w:rsidRPr="009868FC" w:rsidP="003C0EF5">
      <w:pPr>
        <w:widowControl w:val="0"/>
        <w:spacing w:line="420" w:lineRule="exact"/>
        <w:ind w:left="0" w:right="0"/>
        <w:jc w:val="both"/>
        <w:rPr>
          <w:rFonts w:cs="B Zar" w:hint="cs"/>
          <w:rtl/>
        </w:rPr>
      </w:pPr>
      <w:r w:rsidRPr="009868FC">
        <w:rPr>
          <w:rFonts w:cs="B Zar" w:hint="cs"/>
          <w:rtl/>
        </w:rPr>
        <w:t>«ولّبه»</w:t>
      </w:r>
      <w:r w:rsidRPr="009868FC">
        <w:rPr>
          <w:rFonts w:cs="B Zar"/>
        </w:rPr>
        <w:t xml:space="preserve">(Vallabh) </w:t>
      </w:r>
      <w:r w:rsidRPr="009868FC">
        <w:rPr>
          <w:rFonts w:cs="B Zar" w:hint="cs"/>
          <w:rtl/>
        </w:rPr>
        <w:t>، پرچمدار نظرية وحدت گرائي خالص (سده ادويت) كه از مكاتب كلامي فلسفي هندوان است، تفسيري بر گيتا به نام «ستوت توادي يك» نگاشت. او معتقد به وحدت كامل نفس انسان و حقيقت مطلق است و طريقت ولاء را يگانه راه معرفت مي‌داند. «پرسوتم پي تمبر» (1668-1781) نيز تفسيري دارد.</w:t>
      </w:r>
    </w:p>
    <w:p w:rsidR="009868FC" w:rsidRPr="009868FC" w:rsidP="003C0EF5">
      <w:pPr>
        <w:widowControl w:val="0"/>
        <w:spacing w:line="420" w:lineRule="exact"/>
        <w:ind w:left="0" w:right="0"/>
        <w:jc w:val="both"/>
        <w:rPr>
          <w:rFonts w:cs="B Zar" w:hint="cs"/>
          <w:rtl/>
        </w:rPr>
      </w:pPr>
      <w:r w:rsidRPr="009868FC">
        <w:rPr>
          <w:rFonts w:cs="B Zar" w:hint="cs"/>
          <w:rtl/>
        </w:rPr>
        <w:t>مادهو</w:t>
      </w:r>
      <w:r w:rsidRPr="009868FC">
        <w:rPr>
          <w:rFonts w:cs="B Zar"/>
        </w:rPr>
        <w:t xml:space="preserve">(Madhava) </w:t>
      </w:r>
      <w:r w:rsidRPr="009868FC">
        <w:rPr>
          <w:rFonts w:cs="B Zar" w:hint="cs"/>
          <w:rtl/>
        </w:rPr>
        <w:t xml:space="preserve"> (1238-1317)، از بنيانگذاران مكاتب فلسفي هند، دو اثر دربارة گيتا دارد؛ «گيتا بهاسيه» و گيتاتات پري نرنايه». او معتقد به ثنويت ماده (پراكرتي</w:t>
      </w:r>
      <w:r w:rsidRPr="009868FC">
        <w:rPr>
          <w:rFonts w:cs="B Zar"/>
        </w:rPr>
        <w:t>Prakirti=</w:t>
      </w:r>
      <w:r w:rsidRPr="009868FC">
        <w:rPr>
          <w:rFonts w:cs="B Zar" w:hint="cs"/>
          <w:rtl/>
        </w:rPr>
        <w:t>) و روح (پوروشا</w:t>
      </w:r>
      <w:r w:rsidRPr="009868FC">
        <w:rPr>
          <w:rFonts w:cs="B Zar"/>
        </w:rPr>
        <w:t>Purusha=</w:t>
      </w:r>
      <w:r w:rsidRPr="009868FC">
        <w:rPr>
          <w:rFonts w:cs="B Zar" w:hint="cs"/>
          <w:rtl/>
        </w:rPr>
        <w:t>) بوده و گيتا را در اين مكتب تفسير كرده است. «جياتيرته» (1335-1385) تفسيري با عنوان «پريميه ديپكا» دارد.</w:t>
      </w:r>
    </w:p>
    <w:p w:rsidR="009868FC" w:rsidP="003C0EF5">
      <w:pPr>
        <w:widowControl w:val="0"/>
        <w:spacing w:line="420" w:lineRule="exact"/>
        <w:ind w:left="0" w:right="0"/>
        <w:jc w:val="both"/>
        <w:rPr>
          <w:rFonts w:cs="B Zar" w:hint="cs"/>
          <w:rtl/>
        </w:rPr>
      </w:pPr>
      <w:r w:rsidRPr="009868FC">
        <w:rPr>
          <w:rFonts w:cs="B Zar" w:hint="cs"/>
          <w:rtl/>
        </w:rPr>
        <w:t>بهترين تفاسير گيتا را در صدر اول و در قرون وسطاي هندوئيزم نام برديم، كه اكثر آنها را حكيمان، فيلسوفان و متكلمان به رشته تحرير درآورده‌اند. تفاسير نام برده شده داراي ديدگاههاي خاص فلسفي مي‌باشند كه بيشتر تطبيق و تاويل‌اند و مانع مي شوند كه ديدگاههاي گيتا را آنچنان كه هست دريابيم. ديدگاههاي اصلي گيتا در گوناگوني تفاسير و انديشه و ذوق و سليقه هر مفسر گم مي شود.</w:t>
      </w:r>
    </w:p>
    <w:p w:rsidR="003062C8" w:rsidRPr="009868FC" w:rsidP="003C0EF5">
      <w:pPr>
        <w:widowControl w:val="0"/>
        <w:spacing w:line="420" w:lineRule="exact"/>
        <w:ind w:left="0" w:right="0"/>
        <w:jc w:val="both"/>
        <w:rPr>
          <w:rFonts w:cs="B Zar" w:hint="cs"/>
          <w:rtl/>
        </w:rPr>
      </w:pPr>
    </w:p>
    <w:p w:rsidR="009868FC" w:rsidRPr="009868FC" w:rsidP="003C0EF5">
      <w:pPr>
        <w:widowControl w:val="0"/>
        <w:spacing w:line="420" w:lineRule="exact"/>
        <w:ind w:left="0" w:right="0"/>
        <w:jc w:val="both"/>
        <w:rPr>
          <w:rFonts w:cs="B Zar" w:hint="cs"/>
          <w:b/>
          <w:bCs/>
          <w:rtl/>
        </w:rPr>
      </w:pPr>
      <w:r w:rsidRPr="009868FC">
        <w:rPr>
          <w:rFonts w:cs="B Zar" w:hint="cs"/>
          <w:b/>
          <w:bCs/>
          <w:rtl/>
        </w:rPr>
        <w:t>تفاسبر گيتا در دوره جديد:</w:t>
      </w:r>
    </w:p>
    <w:p w:rsidR="009868FC" w:rsidRPr="009868FC" w:rsidP="003C0EF5">
      <w:pPr>
        <w:widowControl w:val="0"/>
        <w:spacing w:line="420" w:lineRule="exact"/>
        <w:ind w:left="0" w:right="0"/>
        <w:jc w:val="both"/>
        <w:rPr>
          <w:rFonts w:cs="B Zar" w:hint="cs"/>
          <w:rtl/>
        </w:rPr>
      </w:pPr>
      <w:r w:rsidRPr="009868FC">
        <w:rPr>
          <w:rFonts w:cs="B Zar" w:hint="cs"/>
          <w:rtl/>
        </w:rPr>
        <w:t>در قرن نوزدهم، پس از ايجاد رنسانس جديد هندوئيسم، گيتا در كنار اوپانيشاد محور توجهات انديشمندان قرار گرفت. راجه رام موهن راي، دياناند سارسواتي، سوامي وويكاناند كه از رهبران جنبش احياي هندوئيسم بودند به گيتا ارج مي نهادند.</w:t>
      </w:r>
    </w:p>
    <w:p w:rsidR="009868FC" w:rsidRPr="009868FC" w:rsidP="003C0EF5">
      <w:pPr>
        <w:widowControl w:val="0"/>
        <w:spacing w:line="420" w:lineRule="exact"/>
        <w:ind w:left="0" w:right="0"/>
        <w:jc w:val="both"/>
        <w:rPr>
          <w:rFonts w:cs="B Zar" w:hint="cs"/>
          <w:rtl/>
        </w:rPr>
      </w:pPr>
      <w:r w:rsidRPr="009868FC">
        <w:rPr>
          <w:rFonts w:cs="B Zar" w:hint="cs"/>
          <w:rtl/>
        </w:rPr>
        <w:t>نخستين تفسير مهم را در دوره جديد بال گانگا دهار تيلاك</w:t>
      </w:r>
      <w:r w:rsidRPr="009868FC">
        <w:rPr>
          <w:rFonts w:cs="B Zar"/>
        </w:rPr>
        <w:t xml:space="preserve"> Bal Ganga Dhar Tilak)</w:t>
      </w:r>
      <w:r w:rsidRPr="009868FC">
        <w:rPr>
          <w:rFonts w:cs="B Zar" w:hint="cs"/>
          <w:rtl/>
        </w:rPr>
        <w:t xml:space="preserve"> (1856-1920) نگاشت. تيلاك رهبر جنبش ملي هند در دوره پيش از گاندي است. تيلاك در سال 1856 در شهر پونا در ايالت بمبئي (مهاراشترا</w:t>
      </w:r>
      <w:r w:rsidRPr="009868FC">
        <w:rPr>
          <w:rFonts w:cs="B Zar"/>
        </w:rPr>
        <w:t>Mahrashtra=</w:t>
      </w:r>
      <w:r w:rsidRPr="009868FC">
        <w:rPr>
          <w:rFonts w:cs="B Zar" w:hint="cs"/>
          <w:rtl/>
        </w:rPr>
        <w:t>) متولد شد. از زمان راجه شيواجي</w:t>
      </w:r>
      <w:r w:rsidRPr="009868FC">
        <w:rPr>
          <w:rFonts w:cs="B Zar"/>
        </w:rPr>
        <w:t xml:space="preserve">(Shivaji) </w:t>
      </w:r>
      <w:r w:rsidRPr="009868FC">
        <w:rPr>
          <w:rFonts w:cs="B Zar" w:hint="cs"/>
          <w:rtl/>
        </w:rPr>
        <w:t>، قوم مراتها</w:t>
      </w:r>
      <w:r w:rsidRPr="009868FC">
        <w:rPr>
          <w:rFonts w:cs="B Zar"/>
        </w:rPr>
        <w:t xml:space="preserve"> (Marhata) </w:t>
      </w:r>
      <w:r w:rsidRPr="009868FC">
        <w:rPr>
          <w:rFonts w:cs="B Zar" w:hint="cs"/>
          <w:rtl/>
        </w:rPr>
        <w:t xml:space="preserve"> تعصب بسيار زيادي نسبت به هندويزم داشتند، و حتي در دوره اخير، پرچمداران هندوئيسم افراطي (كادر رهبري آر.اس.اس) اكثراً از قوم مراتها هستند. تيلاك از نويسندگان و ژورناليستهاي چيره دست بود و در عين حال از استادان علوم قديمه هندوها محسوب مي شد. در جواني وارد مبارزات ضد انگليس گرديد، و پيش از آنكه گاندي از آفريقاي جنوبي وارد هند شود، تيلاگ در كنار گوكهله، رهبري جنبش ملي و حزب كنگره را به دست داشت. تيلاك سه بار به زندان افتاد و تفسير گيتا را در دورة اسارت خود به رشته تحرير درآورد.</w:t>
      </w:r>
    </w:p>
    <w:p w:rsidR="009868FC" w:rsidRPr="009868FC" w:rsidP="003C0EF5">
      <w:pPr>
        <w:widowControl w:val="0"/>
        <w:spacing w:line="420" w:lineRule="exact"/>
        <w:ind w:left="0" w:right="0"/>
        <w:jc w:val="both"/>
        <w:rPr>
          <w:rFonts w:cs="B Zar" w:hint="cs"/>
          <w:rtl/>
        </w:rPr>
      </w:pPr>
      <w:r w:rsidRPr="009868FC">
        <w:rPr>
          <w:rFonts w:cs="B Zar" w:hint="cs"/>
          <w:rtl/>
        </w:rPr>
        <w:t xml:space="preserve">اثر بال گانگا دهار تيلاك به عنوان «گيتا رهسيه» </w:t>
      </w:r>
      <w:r w:rsidRPr="009868FC">
        <w:rPr>
          <w:rFonts w:cs="B Zar"/>
        </w:rPr>
        <w:t xml:space="preserve">(Gita Rahasya) </w:t>
      </w:r>
      <w:r w:rsidRPr="009868FC">
        <w:rPr>
          <w:rFonts w:cs="B Zar" w:hint="cs"/>
          <w:rtl/>
        </w:rPr>
        <w:t>در دو جلد و به زبان مراتي نگاشته شد. نخستين بار اين تفسير در سال 1915 منتشر و تا سال 1926 چهار بار تجديد چاپ شد. نخستين ترجمه‌اش به زبان هندي در سال 1917 منتشر شد و دهها مرتبه تجديد چاپ گرديد. در سال 1935، اين اثر به زبان انگليسي ترجمه و در دو جلد منتشر گرديد. «بال گانگا دهار تيلاك» در تفسيرش تلاش كرده است خود را از تاثير برداشت هاي تفسيري شانكارا و رامانوجا رها سازد و مستقيماً از مفاهيم استفاده كند. او معتقد است: (برخلاف اذعان شانكارا) گيتا از نظر برداشت فلسفي و نگرش، در خط اوپانيشاد نيست، بلكه در خط ودا قرار دارد. در «گيتا رهسيه» ، تيلاك بر كاراما يوگا يا نجات از طريق انجام وظايف اجتماعي تأكيد مي كند و آنرا جوهر تعاليم گيتا مي‌داند. تفسیر تيلاك بالغ بر هزار و سيصد صفحه وزيري مي باشد.</w:t>
      </w:r>
    </w:p>
    <w:p w:rsidR="009868FC" w:rsidRPr="009868FC" w:rsidP="003C0EF5">
      <w:pPr>
        <w:widowControl w:val="0"/>
        <w:spacing w:line="420" w:lineRule="exact"/>
        <w:ind w:left="0" w:right="0"/>
        <w:jc w:val="both"/>
        <w:rPr>
          <w:rFonts w:cs="B Zar" w:hint="cs"/>
          <w:rtl/>
        </w:rPr>
      </w:pPr>
      <w:r w:rsidRPr="009868FC">
        <w:rPr>
          <w:rFonts w:cs="B Zar" w:hint="cs"/>
          <w:rtl/>
        </w:rPr>
        <w:t xml:space="preserve">پس از بال گانگا دهار تيلاك، «ماتما گاندي»، رهبري جنبش استقلال ملي و حزب كنگره را به دست گرفت. او نيز به شدت تحت تاثير گيتا بود و مي‌گفت: </w:t>
      </w:r>
      <w:r w:rsidRPr="009868FC">
        <w:rPr>
          <w:rFonts w:cs="B Zar" w:hint="cs"/>
          <w:i/>
          <w:iCs/>
          <w:rtl/>
        </w:rPr>
        <w:t>«گيتا رهبر و راهنما و مادر مهربان من است كه در لحظات بحراني مرا هدايت مي‌كند و تسكين مي‌دهد و روحيه مي‌بخشد.»</w:t>
      </w:r>
      <w:r w:rsidRPr="009868FC">
        <w:rPr>
          <w:rFonts w:cs="B Zar" w:hint="cs"/>
          <w:rtl/>
        </w:rPr>
        <w:t xml:space="preserve"> او ترجمه و شرح گيتا را به زبان گجراتي منتشر كرد كه از معدود آثار مكتوب اين رهبر بزرگ مي باشد. گاندي نيز همانند تيلاك، بر نظريه كاراما يوگا يا نجات از طريق عمل وارسته، بدون توجه به نتايج و ثمرات آن تأكيد مي كرد و اين نظريه را كليد حل تمام مسايل و معضلات رواني و اجتماعي مي‌دانست.</w:t>
      </w:r>
      <w:r>
        <w:rPr>
          <w:rStyle w:val="FootnoteReference"/>
          <w:rFonts w:cs="B Zar"/>
          <w:sz w:val="28"/>
          <w:szCs w:val="28"/>
          <w:rtl/>
        </w:rPr>
        <w:footnoteReference w:id="707"/>
      </w:r>
      <w:r w:rsidRPr="009868FC">
        <w:rPr>
          <w:rFonts w:cs="B Zar" w:hint="cs"/>
          <w:rtl/>
        </w:rPr>
        <w:t xml:space="preserve"> همچنان كه گاندي بزرگترين رهبر سياسي هند در نيمه اول قرن بيستم است، مي‌توان گفت كه سوامي وويكاناند از نظر تاثيرگذاري و نفوذ فكري، رهبر اصلي مذهبي ـ فكري هندوييسم معاصر در نيمه اول اين قرن مي باشد. وويكاناند به گيتا بسيار اهميت مي داد. البته همانند شانكارا، اهميت اصلي را براي اوپانيشاد قابل بود و گيتا را در مقولات فلسفه و نگرش اوپانيشاد تفسير مي كرد.</w:t>
      </w:r>
    </w:p>
    <w:p w:rsidR="009868FC" w:rsidRPr="009868FC" w:rsidP="003C0EF5">
      <w:pPr>
        <w:widowControl w:val="0"/>
        <w:spacing w:line="420" w:lineRule="exact"/>
        <w:ind w:left="0" w:right="0"/>
        <w:jc w:val="both"/>
        <w:rPr>
          <w:rFonts w:cs="B Zar" w:hint="cs"/>
          <w:rtl/>
        </w:rPr>
      </w:pPr>
      <w:r w:rsidRPr="009868FC">
        <w:rPr>
          <w:rFonts w:cs="B Zar" w:hint="cs"/>
          <w:rtl/>
        </w:rPr>
        <w:t>وويكاناند</w:t>
      </w:r>
      <w:r w:rsidRPr="009868FC">
        <w:rPr>
          <w:rFonts w:cs="B Zar"/>
        </w:rPr>
        <w:t xml:space="preserve">(Vivekananda) </w:t>
      </w:r>
      <w:r w:rsidRPr="009868FC">
        <w:rPr>
          <w:rFonts w:cs="B Zar" w:hint="cs"/>
          <w:rtl/>
        </w:rPr>
        <w:t xml:space="preserve"> كتاب يا تفسير مستقلي بر گيتا به جاي نگذاشت، ولي در لابلاي آثار و سخنراني‌هايش، از مطالب و فلسفه گيتا، بحث‌هاي فراواني دارد كه به عنوان «مقاله‌هائي در گيتا» به صورت مجموعه منتشر شده است.</w:t>
      </w:r>
    </w:p>
    <w:p w:rsidR="009868FC" w:rsidRPr="009868FC" w:rsidP="003C0EF5">
      <w:pPr>
        <w:widowControl w:val="0"/>
        <w:spacing w:line="420" w:lineRule="exact"/>
        <w:ind w:left="0" w:right="0"/>
        <w:jc w:val="both"/>
        <w:rPr>
          <w:rFonts w:cs="B Zar" w:hint="cs"/>
          <w:rtl/>
        </w:rPr>
      </w:pPr>
      <w:r w:rsidRPr="009868FC">
        <w:rPr>
          <w:rFonts w:cs="B Zar" w:hint="cs"/>
          <w:rtl/>
        </w:rPr>
        <w:t>مي‌توان گفت پس از تيلاك، بزرگترين گيتاشناس، سري اربيندو</w:t>
      </w:r>
      <w:r w:rsidRPr="009868FC">
        <w:rPr>
          <w:rFonts w:cs="B Zar"/>
        </w:rPr>
        <w:t xml:space="preserve">(Sri Auribindo) </w:t>
      </w:r>
      <w:r w:rsidRPr="009868FC">
        <w:rPr>
          <w:rFonts w:cs="B Zar" w:hint="cs"/>
          <w:rtl/>
        </w:rPr>
        <w:t xml:space="preserve"> است. اربيندو (1872-1950) در كنار رادا كريشنان</w:t>
      </w:r>
      <w:r w:rsidRPr="009868FC">
        <w:rPr>
          <w:rFonts w:cs="B Zar"/>
        </w:rPr>
        <w:t xml:space="preserve"> </w:t>
      </w:r>
      <w:r w:rsidRPr="009868FC">
        <w:rPr>
          <w:rFonts w:cs="B Zar" w:hint="cs"/>
          <w:rtl/>
        </w:rPr>
        <w:t xml:space="preserve">، از انديشمندان هندي است كه در مغرب زمين بيش از همه پرآوازه گرديدند. اربيندو كتاب مفصلي پيرامون گيتا به عنوان «مقالاتي در باب گيتا» </w:t>
      </w:r>
      <w:r w:rsidRPr="009868FC">
        <w:rPr>
          <w:rFonts w:cs="B Zar"/>
        </w:rPr>
        <w:t>(Essay in Gita)</w:t>
      </w:r>
      <w:r w:rsidRPr="009868FC">
        <w:rPr>
          <w:rFonts w:cs="B Zar" w:hint="cs"/>
          <w:rtl/>
        </w:rPr>
        <w:t xml:space="preserve"> منتشر كرد . اين اثر بيش از ساير آثار جديد، گيتاشناسي معاصر را تحت تاثير قرار داده است. مطالب اين كتاب نخست در دو سلسله مقالات در ميان سالهاي 1916-1918 و 1918-1926 در مجله آريا منتشر شدند. در سال 1922، اين مقالات با تجديد نظرهاي خود نويسنده به صورت كتاب منتشر شد. اين كتاب در سال 1926، 1937، 1944، 1949، تجديد چاپ گرديده و سپس دهها مرتبه در هند، آمريكا و اروپا منتشر شده است، سري اربيندو با تلاشهاي تيلاك و گاندي كه بر نظريه كاراما يوگا تاكيد ورزيده بودند و تلاش داشتند گيتا را به عنوان صحيفه جنبش ملي هند درآورند، مخالفت ورزيد و اصرار داشت، گيتا يك صحيفه دين جهاني است و نه آئين ملي هند</w:t>
      </w:r>
      <w:r>
        <w:rPr>
          <w:rStyle w:val="FootnoteReference"/>
          <w:rFonts w:cs="B Zar"/>
          <w:rtl/>
        </w:rPr>
        <w:footnoteReference w:id="708"/>
      </w:r>
      <w:r w:rsidRPr="009868FC">
        <w:rPr>
          <w:rFonts w:cs="B Zar" w:hint="cs"/>
          <w:rtl/>
        </w:rPr>
        <w:t>. بنا به نظر اربيندو، گيتا هيچكدام از نظريه‌هاي عرفاني معرفت، طريق ولاء و بهاگتي، نظريه اصالت عمل به تنهائي نيست، بلكه سنتزي از كل سير انديشه هند در صدر اول هندوييسم و نگرش آن نگرش چند بعدي، چند جهتي و ادغامي است. تمام طرق نجات با هم سازگاري داده شده و به صورت اجزاي يك كل جامع و شامل درآمده اند. او با تجزيه عناصر نگرش گيتا و تأكيد تك جهتي بر بعد خاصي مخالف ورزيده و نيز با استفاده سياسي از يك اثر جاودان به شدت مخالف بود</w:t>
      </w:r>
      <w:r>
        <w:rPr>
          <w:rStyle w:val="FootnoteReference"/>
          <w:rFonts w:cs="B Zar"/>
          <w:rtl/>
        </w:rPr>
        <w:footnoteReference w:id="709"/>
      </w:r>
      <w:r w:rsidRPr="009868FC">
        <w:rPr>
          <w:rFonts w:cs="B Zar" w:hint="cs"/>
          <w:rtl/>
        </w:rPr>
        <w:t>.</w:t>
      </w:r>
    </w:p>
    <w:p w:rsidR="009868FC" w:rsidRPr="009868FC" w:rsidP="003C0EF5">
      <w:pPr>
        <w:widowControl w:val="0"/>
        <w:spacing w:line="420" w:lineRule="exact"/>
        <w:ind w:left="0" w:right="0"/>
        <w:jc w:val="both"/>
        <w:rPr>
          <w:rFonts w:cs="B Zar" w:hint="cs"/>
          <w:rtl/>
        </w:rPr>
      </w:pPr>
      <w:r w:rsidRPr="009868FC">
        <w:rPr>
          <w:rFonts w:cs="B Zar" w:hint="cs"/>
          <w:rtl/>
        </w:rPr>
        <w:t>پس از اثر «سري اربيندو»، مقبولترين تفسير گيتا را انديشمند بزرگ هند معاصر رادا كريشنان</w:t>
      </w:r>
      <w:r w:rsidRPr="009868FC">
        <w:rPr>
          <w:rFonts w:cs="B Zar"/>
        </w:rPr>
        <w:t xml:space="preserve">(Radhakrishnan) </w:t>
      </w:r>
      <w:r w:rsidRPr="009868FC">
        <w:rPr>
          <w:rFonts w:cs="B Zar" w:hint="cs"/>
          <w:rtl/>
        </w:rPr>
        <w:t xml:space="preserve"> نوشت. تفسير و حواشي رادا كريشنان در سال 1948 براي نخستين بار منتشر و در سال هاي 1949 ، 1953، 1956، 1958 و 1960 مكرراً تجديد چاپ شده است. رادا كريشنان نظير «ويكاناند»، تحت تاثير نگرش وحدت الوجودي عرفاني بوده و گيتا را در مقولات فلسفه اوپانيشاد تفسير كرده است. او از انديشه اربيندو نيز متاثر است و در مقدمه كتابش برخي مطالب اربيندو را تكرار كرده است. رادا كريشنان در حواشي و تفسيرش كوشيده است از ذكر نكات و مباحث صرف و نحو، و ذكر اختلاف ميان مفسران اجتناب نمايد. هدف اصلي وي ياري دادن به خوانندگان جديد گيتاست و نه ابراز نظرهاي عالمانه و محققانه براي متكلمان و علماي لاهوت</w:t>
      </w:r>
      <w:r>
        <w:rPr>
          <w:rStyle w:val="FootnoteReference"/>
          <w:rFonts w:cs="B Zar"/>
          <w:sz w:val="28"/>
          <w:szCs w:val="28"/>
          <w:rtl/>
        </w:rPr>
        <w:footnoteReference w:id="710"/>
      </w:r>
      <w:r w:rsidRPr="009868FC">
        <w:rPr>
          <w:rFonts w:cs="B Zar" w:hint="cs"/>
          <w:rtl/>
        </w:rPr>
        <w:t>. رادا كريشنان در هدفش موفق بود و ترديدي نيست كه اكثر روشنفكران امروزي، اوپانيشاد و گيتا را با تفسير و حواشي رادا كريشنان مطالعه كرده اند.</w:t>
      </w:r>
    </w:p>
    <w:p w:rsidR="009868FC" w:rsidRPr="009868FC" w:rsidP="003C0EF5">
      <w:pPr>
        <w:widowControl w:val="0"/>
        <w:spacing w:line="420" w:lineRule="exact"/>
        <w:ind w:left="0" w:right="0"/>
        <w:jc w:val="both"/>
        <w:rPr>
          <w:rFonts w:cs="B Zar"/>
          <w:rtl/>
        </w:rPr>
      </w:pPr>
      <w:r w:rsidRPr="009868FC">
        <w:rPr>
          <w:rFonts w:cs="B Zar" w:hint="cs"/>
          <w:rtl/>
        </w:rPr>
        <w:t>آخرين تفسير مهم جديد گيتا را مي‌توان «درآمدي بر تفسير گيتا»، اثر رابرت ماينر</w:t>
      </w:r>
      <w:r w:rsidRPr="009868FC">
        <w:rPr>
          <w:rFonts w:cs="B Zar"/>
        </w:rPr>
        <w:t xml:space="preserve">(Robert Minor) </w:t>
      </w:r>
      <w:r w:rsidRPr="009868FC">
        <w:rPr>
          <w:rFonts w:cs="B Zar" w:hint="cs"/>
          <w:rtl/>
        </w:rPr>
        <w:t xml:space="preserve">، خاورشناس و پژوهنده آمريكائي دانست. اين تفسير نخستين بار در سال 1981 منتشر شد و بدينسان جديدترين تفسير معتبر گيتاست. كل تفسير مشتمل بر 500 صفحه وزيري است. رابرت ماينر استاد مطالعات ديني در دانشگاه كنراس </w:t>
      </w:r>
      <w:r w:rsidRPr="009868FC">
        <w:rPr>
          <w:rFonts w:cs="B Zar"/>
        </w:rPr>
        <w:t>(Kansas)</w:t>
      </w:r>
      <w:r w:rsidRPr="009868FC">
        <w:rPr>
          <w:rFonts w:cs="B Zar" w:hint="cs"/>
          <w:rtl/>
        </w:rPr>
        <w:t xml:space="preserve"> است. زمينه اصلي مطالعات وي در شناخت انديشه مذهبي در هند جديد و دورنماي تاريخي آن است. او نيز بدين نتيجه رسيده است كه بدون مطالعه عميق گيتا، شناخت روحيه فردي و قومي هنديان و نيز درك انديشه ديني فلسفي آنان غيرممكن است. از اينرو به بررسي و تفسير گيتا همت گمارده است. تفسير ماينر با تفاسير تيلاك، سري اربيندو و رادا كريشنان اين تفاوت را دارد كه گيتا را با روحيه انتقادي و به عنوان يك سند تاريخي مطالعه كرده است و تلاش كرده است ديدگاه هاي فلسفي متاخر را بر گيتا تحميل نكند. هين </w:t>
      </w:r>
      <w:r w:rsidRPr="009868FC">
        <w:rPr>
          <w:rFonts w:cs="B Zar"/>
        </w:rPr>
        <w:t>(Hein)</w:t>
      </w:r>
      <w:r w:rsidRPr="009868FC">
        <w:rPr>
          <w:rFonts w:cs="B Zar" w:hint="cs"/>
          <w:rtl/>
        </w:rPr>
        <w:t>، اثر ماينر را علمي ترين تفسير گيتا ناميده است.</w:t>
      </w:r>
    </w:p>
    <w:p w:rsidR="009868FC" w:rsidP="003C0EF5">
      <w:pPr>
        <w:pStyle w:val="Heading4"/>
        <w:keepNext w:val="0"/>
        <w:widowControl w:val="0"/>
        <w:spacing w:line="420" w:lineRule="exact"/>
        <w:ind w:left="0" w:right="0"/>
        <w:jc w:val="left"/>
        <w:rPr>
          <w:rFonts w:cs="B Zar" w:hint="cs"/>
          <w:rtl/>
        </w:rPr>
      </w:pPr>
    </w:p>
    <w:p w:rsidR="00253942" w:rsidP="00253942">
      <w:pPr>
        <w:ind w:left="0" w:right="0"/>
        <w:jc w:val="both"/>
        <w:rPr>
          <w:rFonts w:hint="cs"/>
          <w:rtl/>
        </w:rPr>
      </w:pPr>
      <w:r>
        <w:rPr>
          <w:rtl/>
        </w:rPr>
        <w:br w:type="page"/>
      </w:r>
    </w:p>
    <w:p w:rsidR="00253942" w:rsidRPr="00253942" w:rsidP="00253942">
      <w:pPr>
        <w:ind w:left="0" w:right="0"/>
        <w:jc w:val="both"/>
        <w:rPr>
          <w:rFonts w:hint="cs"/>
          <w:rtl/>
        </w:rPr>
      </w:pPr>
    </w:p>
    <w:p w:rsidR="009868FC" w:rsidRPr="00733C0F" w:rsidP="003C0EF5">
      <w:pPr>
        <w:pStyle w:val="Heading4"/>
        <w:keepNext w:val="0"/>
        <w:widowControl w:val="0"/>
        <w:spacing w:line="420" w:lineRule="exact"/>
        <w:ind w:left="0" w:right="0"/>
        <w:jc w:val="center"/>
        <w:rPr>
          <w:rFonts w:cs="B Zar" w:hint="cs"/>
          <w:b/>
          <w:bCs/>
          <w:rtl/>
        </w:rPr>
      </w:pPr>
      <w:r w:rsidRPr="00733C0F">
        <w:rPr>
          <w:rFonts w:cs="B Zar" w:hint="cs"/>
          <w:b/>
          <w:bCs/>
          <w:rtl/>
        </w:rPr>
        <w:t>نگرش گيتا ـ نمونه (سه فصل آغازين گيتا)</w:t>
      </w:r>
    </w:p>
    <w:p w:rsidR="009868FC" w:rsidRPr="009868FC" w:rsidP="003C0EF5">
      <w:pPr>
        <w:pStyle w:val="Heading4"/>
        <w:keepNext w:val="0"/>
        <w:widowControl w:val="0"/>
        <w:spacing w:line="420" w:lineRule="exact"/>
        <w:ind w:left="0" w:right="0"/>
        <w:jc w:val="both"/>
        <w:rPr>
          <w:rFonts w:cs="B Zar"/>
        </w:rPr>
      </w:pPr>
    </w:p>
    <w:p w:rsidR="009868FC" w:rsidRPr="009868FC" w:rsidP="003C0EF5">
      <w:pPr>
        <w:widowControl w:val="0"/>
        <w:spacing w:line="420" w:lineRule="exact"/>
        <w:ind w:left="0" w:right="0"/>
        <w:jc w:val="both"/>
        <w:rPr>
          <w:rFonts w:cs="B Zar" w:hint="cs"/>
          <w:b/>
          <w:bCs/>
          <w:rtl/>
        </w:rPr>
      </w:pPr>
      <w:r w:rsidRPr="009868FC">
        <w:rPr>
          <w:rFonts w:cs="B Zar" w:hint="cs"/>
          <w:b/>
          <w:bCs/>
          <w:rtl/>
        </w:rPr>
        <w:t>داستان</w:t>
      </w:r>
    </w:p>
    <w:p w:rsidR="009868FC" w:rsidRPr="009868FC" w:rsidP="003C0EF5">
      <w:pPr>
        <w:widowControl w:val="0"/>
        <w:spacing w:line="420" w:lineRule="exact"/>
        <w:ind w:left="0" w:right="0"/>
        <w:jc w:val="both"/>
        <w:rPr>
          <w:rFonts w:cs="B Zar" w:hint="cs"/>
          <w:rtl/>
        </w:rPr>
      </w:pPr>
      <w:r w:rsidRPr="009868FC">
        <w:rPr>
          <w:rFonts w:cs="B Zar" w:hint="cs"/>
          <w:rtl/>
        </w:rPr>
        <w:t>پس از درگذشت پاندو</w:t>
      </w:r>
      <w:r w:rsidRPr="009868FC">
        <w:rPr>
          <w:rFonts w:cs="B Zar"/>
        </w:rPr>
        <w:t xml:space="preserve">(Pandav) </w:t>
      </w:r>
      <w:r w:rsidRPr="009868FC">
        <w:rPr>
          <w:rFonts w:cs="B Zar" w:hint="cs"/>
          <w:rtl/>
        </w:rPr>
        <w:t xml:space="preserve"> شاه، پسرش «آرجون» با برادران خردسال و مادرشان تنها مي‌مانند. پاندو برادري به نام «دهراشتر» داشت؛ چون پسران پاندو خردسال بودند، حكومت به دهراشتر مي‌رسد. دهراشتر</w:t>
      </w:r>
      <w:r w:rsidRPr="009868FC">
        <w:rPr>
          <w:rFonts w:cs="B Zar"/>
        </w:rPr>
        <w:t xml:space="preserve">(Durtrashtra </w:t>
      </w:r>
      <w:r w:rsidRPr="009868FC">
        <w:rPr>
          <w:rFonts w:cs="B Zar" w:hint="cs"/>
          <w:rtl/>
        </w:rPr>
        <w:t xml:space="preserve"> پسراني داشت كه نام يكي از آنان «دريودهن» بود. دريودهن، برخلاف پدرش به قدرت تمايل داشت و پدر را به غصب هميشگي حكومت و پس ندادن آن به پسران پاندو كه «پاندوا» خوانده مي شدند، تشويق مي‌كند. دهراشتر پذيرفته و در جنايت سهيم مي گردد. دهراشتراي پير با آنكه به ظاهر كور بود، به «وياسا» پيامبر كه گفته بود: مي خواهي بينائي‌ات را پس بگيري؟ پاسخ داده بود: نمي‌خواهم مرگ خويشان و نزديكانم را ببينم. از اينرو آگاهي به غيب و بصيرت درون را وياس به «سانجي»</w:t>
      </w:r>
      <w:r w:rsidRPr="009868FC">
        <w:rPr>
          <w:rFonts w:cs="B Zar"/>
        </w:rPr>
        <w:t xml:space="preserve">(Sanjay) </w:t>
      </w:r>
      <w:r w:rsidRPr="009868FC">
        <w:rPr>
          <w:rFonts w:cs="B Zar" w:hint="cs"/>
          <w:rtl/>
        </w:rPr>
        <w:t xml:space="preserve"> كالسكه ران مرتاض و حكيم بنام مي بخشد. شايد در ميان آريائيان رسم بر آن بوده است كه كالسكه ران داناترين باشد. دو طرف درگيري و نبرد خونين حماسه مهابهاراتا، پاندوها به رهبري آرجون با هدايت «كريشنا» انسان ـ‌ خداي كالسكه ران است كه در جبهه حق مي‌باشند، و طرف ديگر دريودهن فرزند دهراشتر كور است و «كورو» خوانده مي‌شوند. سانجي كالسكه ران دهراشتر و پسرش مي باشد كه در جبهه باطل قرار دارند.</w:t>
      </w:r>
    </w:p>
    <w:p w:rsidR="009868FC" w:rsidRPr="009868FC" w:rsidP="003C0EF5">
      <w:pPr>
        <w:widowControl w:val="0"/>
        <w:spacing w:line="420" w:lineRule="exact"/>
        <w:ind w:left="0" w:right="0"/>
        <w:jc w:val="both"/>
        <w:rPr>
          <w:rFonts w:cs="B Zar" w:hint="cs"/>
          <w:rtl/>
        </w:rPr>
      </w:pPr>
      <w:r w:rsidRPr="009868FC">
        <w:rPr>
          <w:rFonts w:cs="B Zar" w:hint="cs"/>
          <w:rtl/>
        </w:rPr>
        <w:t>گيتا با تنها سخن دهراشتر كه مي‌پرسد: (سانجي) از جنگ چه خبر؟ آغاز مي گردد. سانجي مي گويد: «لشكريان بزرگي را مي‌بينم كه پهلوانان نام آور، راجه ها، شاهان و دلاوران در آن صف كشيده‌اند و فرزندت «دريودهن» با مشاهده لشكر حريف و حضور كريشنا دچار هراس شده است»؛ از استادش درونا چاره مي‌خواهد. او مي‌گويد كه طبل‌ها را (براي تقويت روحيه) به صد درآورند. بانك كوس و كرنا و طبل سپاه آرجون نيز بلند می شود، دلهره بيشتر می گردد و شگرد درونا كارگر نمي افتد. آرجون فرمانده پاندوها از كالسكه ران قدسي خود كريشنا مي‌خواهد كه او را به ميان دو سپاه ببرد، تا از نزديك كساني را كه براي كمك به كوروها آمده اند، ببيند و بداند چه كساني در سپاه دشمن اند؟</w:t>
      </w:r>
    </w:p>
    <w:p w:rsidR="009868FC" w:rsidRPr="009868FC" w:rsidP="003C0EF5">
      <w:pPr>
        <w:widowControl w:val="0"/>
        <w:spacing w:line="420" w:lineRule="exact"/>
        <w:ind w:left="0" w:right="0"/>
        <w:jc w:val="both"/>
        <w:rPr>
          <w:rFonts w:cs="B Zar" w:hint="cs"/>
          <w:sz w:val="26"/>
          <w:rtl/>
        </w:rPr>
      </w:pPr>
      <w:r w:rsidRPr="009868FC">
        <w:rPr>
          <w:rFonts w:cs="B Zar" w:hint="cs"/>
          <w:sz w:val="26"/>
          <w:rtl/>
        </w:rPr>
        <w:t>مهابهاراتا، داستان بزرگترين جنگ باستاني هند است. صحنه نبرد در مهابهاراتا رخ داده است. بگوت گيتا بخشي از كتاب مهابهاراتا است كه نام كتاب از مكان ستيز (احتمالاً واقع در بين شهرهاي دهلي و امباله در ايالت هريانا) گرفته شده است.</w:t>
      </w:r>
    </w:p>
    <w:p w:rsidR="009868FC" w:rsidRPr="009868FC" w:rsidP="003C0EF5">
      <w:pPr>
        <w:widowControl w:val="0"/>
        <w:spacing w:line="420" w:lineRule="exact"/>
        <w:ind w:left="0" w:right="0"/>
        <w:jc w:val="both"/>
        <w:rPr>
          <w:rFonts w:cs="B Zar" w:hint="cs"/>
          <w:sz w:val="26"/>
          <w:rtl/>
        </w:rPr>
      </w:pPr>
      <w:r w:rsidRPr="009868FC">
        <w:rPr>
          <w:rFonts w:cs="B Zar" w:hint="cs"/>
          <w:sz w:val="26"/>
          <w:rtl/>
        </w:rPr>
        <w:t>از نظر هنري فصل اول داراي برجستگي خاصي است. سراينده با مهارت فوق العاده، اثر لطيف عرفاني و فلسفي «گيتا» را به داستان حماسي مهابهاراتا وصل كرده است. اين فصل همانند پلي است براي عبور از سبك حماسي و داستاني مهابهاراتا به سبك مكالمه و اشراق گيتا. داستان مهابهاراتا به حماسه هومر، يا شاهنامه فردوسي شبيه است و گيتا با مكالمات افلاطون و يا مثنوي مولانا؛ فصل اول يا گفتار نخست دو سبك را به هم پيوند مي دهد.</w:t>
      </w:r>
    </w:p>
    <w:p w:rsidR="009868FC" w:rsidRPr="009868FC" w:rsidP="003C0EF5">
      <w:pPr>
        <w:widowControl w:val="0"/>
        <w:spacing w:line="420" w:lineRule="exact"/>
        <w:ind w:left="0" w:right="0"/>
        <w:jc w:val="both"/>
        <w:rPr>
          <w:rFonts w:cs="B Zar" w:hint="cs"/>
          <w:sz w:val="26"/>
          <w:rtl/>
        </w:rPr>
      </w:pPr>
      <w:r w:rsidRPr="009868FC">
        <w:rPr>
          <w:rFonts w:cs="B Zar" w:hint="cs"/>
          <w:sz w:val="26"/>
          <w:rtl/>
        </w:rPr>
        <w:t>براي آنكه رساله گيتا از بخشهاي مهابهاراتا گسيخته و تافتة جدا بافته به نظر نيايد، نگارنده در آغاز نامهاي دهرتراشتر، سانجي، آرجون، كريشنا و همه پهلوانان، سرداران و قهرمانان حماسه مهابهاراتا را ياد مي‌كند. اينان قهرمانان اصلي داستان مهابهاراتا هستند. ذكر اسامي آنان پشت سر هم از يكسو، يكساني ميان دو اثر را ايجاد مي كند، و از سوي ديگر سبك حماسي را حفظ مي‌كند. پس از فصل اول يا گفتار نخست، كمتر اثري از سبك حماسي ديده مي‌شود. سبك داستان سرايانه كتاب مهابهاراتا در گفتار نخست گيتا، مانند سبك گفتارهاي ديگر تحليلي و حكمت آميز شده است</w:t>
      </w:r>
      <w:r>
        <w:rPr>
          <w:rStyle w:val="FootnoteReference"/>
          <w:rFonts w:cs="B Zar"/>
          <w:sz w:val="26"/>
          <w:rtl/>
        </w:rPr>
        <w:footnoteReference w:id="711"/>
      </w:r>
      <w:r w:rsidRPr="009868FC">
        <w:rPr>
          <w:rFonts w:cs="B Zar" w:hint="cs"/>
          <w:sz w:val="26"/>
          <w:rtl/>
        </w:rPr>
        <w:t>. گفتار نخست چنين آغاز گرديده است:</w:t>
      </w:r>
    </w:p>
    <w:p w:rsidR="009868FC" w:rsidRPr="009868FC" w:rsidP="003C0EF5">
      <w:pPr>
        <w:widowControl w:val="0"/>
        <w:spacing w:line="420" w:lineRule="exact"/>
        <w:ind w:left="0" w:right="0"/>
        <w:jc w:val="both"/>
        <w:rPr>
          <w:rFonts w:cs="B Zar" w:hint="cs"/>
          <w:iCs/>
          <w:sz w:val="26"/>
          <w:rtl/>
        </w:rPr>
      </w:pPr>
      <w:r w:rsidRPr="009868FC">
        <w:rPr>
          <w:rFonts w:cs="B Zar" w:hint="cs"/>
          <w:i/>
          <w:sz w:val="26"/>
          <w:rtl/>
        </w:rPr>
        <w:t>1ـ1 دهرتراشتر، از ارابه ران خود سانجي مي پرسد</w:t>
      </w:r>
      <w:r w:rsidRPr="009868FC">
        <w:rPr>
          <w:rFonts w:cs="B Zar" w:hint="cs"/>
          <w:iCs/>
          <w:sz w:val="26"/>
          <w:rtl/>
        </w:rPr>
        <w:t>: «اي سانجي بگو! فرزندان ونوادگانم (كوروها) و برادرزادگانم (پاندوها)، در ميدان جنگ مقدس كوروك شيتر، كه مشتاقانه براي نبرد گردآمدند، چه كردند.»</w:t>
      </w:r>
    </w:p>
    <w:p w:rsidR="009868FC" w:rsidRPr="009868FC" w:rsidP="003C0EF5">
      <w:pPr>
        <w:widowControl w:val="0"/>
        <w:spacing w:line="420" w:lineRule="exact"/>
        <w:ind w:left="0" w:right="0"/>
        <w:jc w:val="both"/>
        <w:rPr>
          <w:rFonts w:cs="B Zar" w:hint="cs"/>
          <w:sz w:val="26"/>
          <w:rtl/>
        </w:rPr>
      </w:pPr>
      <w:r w:rsidRPr="009868FC">
        <w:rPr>
          <w:rFonts w:cs="B Zar" w:hint="cs"/>
          <w:sz w:val="26"/>
          <w:rtl/>
        </w:rPr>
        <w:t>دهرتراشتر، شاه نابيناي هستناپور است. او پدر دريودهن و كوروها و عموي پاندوان است. رامانوجا، مفسر معرف، نابينائي او را استعاره از كوري دل و محروم بودن از بصيرت ايمان مي‌داند</w:t>
      </w:r>
      <w:r>
        <w:rPr>
          <w:rStyle w:val="FootnoteReference"/>
          <w:rFonts w:cs="B Zar"/>
          <w:sz w:val="26"/>
          <w:rtl/>
        </w:rPr>
        <w:footnoteReference w:id="712"/>
      </w:r>
      <w:r w:rsidRPr="009868FC">
        <w:rPr>
          <w:rFonts w:cs="B Zar" w:hint="cs"/>
          <w:sz w:val="26"/>
          <w:rtl/>
        </w:rPr>
        <w:t xml:space="preserve">. كوروك شيتر، به معناي سرزمين كوروها، نقطه اي است در ميان شهر دهلي و امباله در ايالت هريانا. در قطعه فوق، كوروك شيتر را دهرمك شيتر نيز ناميده‌اند. اين تعبير را مفسران مختلف به گونه‌هاي متفاوت بازگو كرده‌اند. شانكارا مي‌گويد: </w:t>
      </w:r>
      <w:r w:rsidRPr="009868FC">
        <w:rPr>
          <w:rFonts w:cs="B Zar" w:hint="cs"/>
          <w:i/>
          <w:iCs/>
          <w:sz w:val="26"/>
          <w:rtl/>
        </w:rPr>
        <w:t>«دهرمك شيتر، به معناي سرزمين مقدس است و براي قوم آريائي كوروك شيتر مقدس محسوب مي شده است و گمان می رود كه شاه كورو همراه خدايان در آنجا مراسم قرباني برپا كرده بود</w:t>
      </w:r>
      <w:r w:rsidRPr="009868FC">
        <w:rPr>
          <w:rFonts w:cs="B Zar" w:hint="cs"/>
          <w:sz w:val="26"/>
          <w:rtl/>
        </w:rPr>
        <w:t>».</w:t>
      </w:r>
      <w:r>
        <w:rPr>
          <w:rStyle w:val="FootnoteReference"/>
          <w:rFonts w:cs="B Zar"/>
          <w:sz w:val="26"/>
          <w:rtl/>
        </w:rPr>
        <w:footnoteReference w:id="713"/>
      </w:r>
      <w:r w:rsidRPr="009868FC">
        <w:rPr>
          <w:rFonts w:cs="B Zar" w:hint="cs"/>
          <w:sz w:val="26"/>
          <w:rtl/>
        </w:rPr>
        <w:t xml:space="preserve"> البته رادا كريشنان مي گويد</w:t>
      </w:r>
      <w:r w:rsidRPr="009868FC">
        <w:rPr>
          <w:rFonts w:cs="B Zar" w:hint="cs"/>
          <w:i/>
          <w:iCs/>
          <w:sz w:val="26"/>
          <w:rtl/>
        </w:rPr>
        <w:t>: «دهرمك شيتر، به معناي ميدان مبارزه درستي و نادرستي یا حق و باطل است».</w:t>
      </w:r>
      <w:r w:rsidRPr="009868FC">
        <w:rPr>
          <w:rFonts w:cs="B Zar" w:hint="cs"/>
          <w:sz w:val="26"/>
          <w:rtl/>
        </w:rPr>
        <w:t xml:space="preserve"> او معتقد است كه در همان بيت اول، گيتا به جنبه تمثيلي كل داستان نبرد كورو و پاندوا اشاره كرده است.</w:t>
      </w:r>
      <w:r>
        <w:rPr>
          <w:rStyle w:val="FootnoteReference"/>
          <w:rFonts w:cs="B Zar"/>
          <w:sz w:val="26"/>
          <w:rtl/>
        </w:rPr>
        <w:footnoteReference w:id="714"/>
      </w:r>
      <w:r w:rsidRPr="009868FC">
        <w:rPr>
          <w:rFonts w:cs="B Zar" w:hint="cs"/>
          <w:sz w:val="26"/>
          <w:rtl/>
        </w:rPr>
        <w:t xml:space="preserve"> كورو علامت عنصر نادرستي و باطل و يا نفس اماره، و پاندوا علامت درستي حق و نفس لوامه است و اين نبرد در هر دوره، در صحنه هاي  جامعه و در درون نفس انسان صورت مي گيرد. طبق نگرش گيتا و تمام اديان بزرگ جهان، درون آدمي يك آزمايشگاه و يا ميدان جهاد است كه در آن، دائماً كشاكش ميان حق و باطل صورت مي‌گيرد. به اصطلاح هندوان، جهان كرم بهومي يا سرزمين عمل است. رادا كريشنان كلمه كوروك شيتر، سرزمين كوروها، را به عنوان يك استعاره در نظر مي گيرد. كورو سمبل باطل و نادرستي است، تا جهاد اكبري صورت گيرد. نفس در چنگال سلطه غرايز و جامعه تحت سيطره طاغوت است و مي‌توان آن را كوروك شيتر يا سرزمين كوروها ناميد.</w:t>
      </w:r>
      <w:r>
        <w:rPr>
          <w:rStyle w:val="FootnoteReference"/>
          <w:rFonts w:cs="B Zar"/>
          <w:sz w:val="26"/>
          <w:rtl/>
        </w:rPr>
        <w:footnoteReference w:id="715"/>
      </w:r>
    </w:p>
    <w:p w:rsidR="009868FC" w:rsidRPr="009868FC" w:rsidP="003C0EF5">
      <w:pPr>
        <w:widowControl w:val="0"/>
        <w:spacing w:line="420" w:lineRule="exact"/>
        <w:ind w:left="0" w:right="0"/>
        <w:jc w:val="both"/>
        <w:rPr>
          <w:rFonts w:cs="B Zar" w:hint="cs"/>
          <w:i/>
          <w:iCs/>
          <w:sz w:val="26"/>
          <w:rtl/>
        </w:rPr>
      </w:pPr>
      <w:r w:rsidRPr="009868FC">
        <w:rPr>
          <w:rFonts w:cs="B Zar" w:hint="cs"/>
          <w:sz w:val="26"/>
          <w:rtl/>
        </w:rPr>
        <w:t>1-2</w:t>
      </w:r>
      <w:r w:rsidRPr="009868FC">
        <w:rPr>
          <w:rFonts w:cs="B Zar" w:hint="cs"/>
          <w:i/>
          <w:iCs/>
          <w:sz w:val="26"/>
          <w:rtl/>
        </w:rPr>
        <w:t>: سانجي گفت: «وانگهي شاه دريودهن</w:t>
      </w:r>
      <w:r>
        <w:rPr>
          <w:rStyle w:val="FootnoteReference"/>
          <w:rFonts w:cs="B Zar"/>
          <w:i/>
          <w:iCs/>
          <w:sz w:val="26"/>
          <w:rtl/>
        </w:rPr>
        <w:footnoteReference w:id="716"/>
      </w:r>
      <w:r w:rsidRPr="009868FC">
        <w:rPr>
          <w:rFonts w:cs="B Zar" w:hint="cs"/>
          <w:i/>
          <w:iCs/>
          <w:sz w:val="26"/>
          <w:rtl/>
        </w:rPr>
        <w:t xml:space="preserve"> با مشاهده لشكر جرار پاندوان آراسته براي جنگ، پيش دروناچاريه، مرشد خود حاضر شد و چنين گفت»:</w:t>
      </w:r>
    </w:p>
    <w:p w:rsidR="009868FC" w:rsidRPr="009868FC" w:rsidP="003C0EF5">
      <w:pPr>
        <w:widowControl w:val="0"/>
        <w:spacing w:line="420" w:lineRule="exact"/>
        <w:ind w:left="0" w:right="0"/>
        <w:jc w:val="both"/>
        <w:rPr>
          <w:rFonts w:cs="B Zar" w:hint="cs"/>
          <w:i/>
          <w:iCs/>
          <w:sz w:val="26"/>
          <w:rtl/>
        </w:rPr>
      </w:pPr>
      <w:r w:rsidRPr="009868FC">
        <w:rPr>
          <w:rFonts w:cs="B Zar" w:hint="cs"/>
          <w:i/>
          <w:iCs/>
          <w:sz w:val="26"/>
          <w:rtl/>
        </w:rPr>
        <w:t>1-3: بنگر اي استاد! لشكر قهار پاندوان، صف بسته براي رزم به سرداري پسر دروپد</w:t>
      </w:r>
      <w:r>
        <w:rPr>
          <w:rStyle w:val="FootnoteReference"/>
          <w:rFonts w:cs="B Zar"/>
          <w:i/>
          <w:iCs/>
          <w:sz w:val="26"/>
          <w:rtl/>
        </w:rPr>
        <w:footnoteReference w:id="717"/>
      </w:r>
      <w:r w:rsidRPr="009868FC">
        <w:rPr>
          <w:rFonts w:cs="B Zar" w:hint="cs"/>
          <w:i/>
          <w:iCs/>
          <w:sz w:val="26"/>
          <w:rtl/>
        </w:rPr>
        <w:t xml:space="preserve"> شاگرد فرزانه تو.</w:t>
      </w:r>
    </w:p>
    <w:p w:rsidR="009868FC" w:rsidRPr="009868FC" w:rsidP="003C0EF5">
      <w:pPr>
        <w:widowControl w:val="0"/>
        <w:spacing w:line="420" w:lineRule="exact"/>
        <w:ind w:left="0" w:right="0"/>
        <w:jc w:val="both"/>
        <w:rPr>
          <w:rFonts w:cs="B Zar" w:hint="cs"/>
          <w:sz w:val="26"/>
          <w:rtl/>
        </w:rPr>
      </w:pPr>
      <w:r w:rsidRPr="009868FC">
        <w:rPr>
          <w:rFonts w:cs="B Zar" w:hint="cs"/>
          <w:sz w:val="26"/>
          <w:rtl/>
        </w:rPr>
        <w:t>1-4: در اينجا گردآمده‌اند قهرمانان</w:t>
      </w:r>
      <w:r>
        <w:rPr>
          <w:rStyle w:val="FootnoteReference"/>
          <w:rFonts w:cs="B Zar"/>
          <w:sz w:val="26"/>
          <w:rtl/>
        </w:rPr>
        <w:footnoteReference w:id="718"/>
      </w:r>
      <w:r w:rsidRPr="009868FC">
        <w:rPr>
          <w:rFonts w:cs="B Zar" w:hint="cs"/>
          <w:sz w:val="26"/>
          <w:rtl/>
        </w:rPr>
        <w:t xml:space="preserve"> كه تيراندازان چابكدست نظير بهيم و آرجون</w:t>
      </w:r>
      <w:r>
        <w:rPr>
          <w:rStyle w:val="FootnoteReference"/>
          <w:rFonts w:cs="B Zar"/>
          <w:sz w:val="26"/>
          <w:rtl/>
        </w:rPr>
        <w:footnoteReference w:id="719"/>
      </w:r>
      <w:r w:rsidRPr="009868FC">
        <w:rPr>
          <w:rFonts w:cs="B Zar" w:hint="cs"/>
          <w:sz w:val="26"/>
          <w:rtl/>
        </w:rPr>
        <w:t xml:space="preserve"> ست  يك</w:t>
      </w:r>
      <w:r>
        <w:rPr>
          <w:rStyle w:val="FootnoteReference"/>
          <w:rFonts w:cs="B Zar"/>
          <w:sz w:val="26"/>
          <w:rtl/>
        </w:rPr>
        <w:footnoteReference w:id="720"/>
      </w:r>
      <w:r w:rsidRPr="009868FC">
        <w:rPr>
          <w:rFonts w:cs="B Zar" w:hint="cs"/>
          <w:sz w:val="26"/>
          <w:rtl/>
        </w:rPr>
        <w:t xml:space="preserve"> ويرت</w:t>
      </w:r>
      <w:r>
        <w:rPr>
          <w:rStyle w:val="FootnoteReference"/>
          <w:rFonts w:cs="B Zar"/>
          <w:sz w:val="26"/>
          <w:rtl/>
        </w:rPr>
        <w:footnoteReference w:id="721"/>
      </w:r>
      <w:r w:rsidRPr="009868FC">
        <w:rPr>
          <w:rFonts w:cs="B Zar" w:hint="cs"/>
          <w:sz w:val="26"/>
          <w:rtl/>
        </w:rPr>
        <w:t xml:space="preserve"> و دروپد</w:t>
      </w:r>
      <w:r>
        <w:rPr>
          <w:rStyle w:val="FootnoteReference"/>
          <w:rFonts w:cs="B Zar"/>
          <w:sz w:val="26"/>
          <w:rtl/>
        </w:rPr>
        <w:footnoteReference w:id="722"/>
      </w:r>
    </w:p>
    <w:p w:rsidR="009868FC" w:rsidRPr="009868FC" w:rsidP="003C0EF5">
      <w:pPr>
        <w:widowControl w:val="0"/>
        <w:spacing w:line="420" w:lineRule="exact"/>
        <w:ind w:left="0" w:right="0"/>
        <w:jc w:val="both"/>
        <w:rPr>
          <w:rFonts w:cs="B Zar" w:hint="cs"/>
          <w:sz w:val="26"/>
          <w:rtl/>
        </w:rPr>
      </w:pPr>
      <w:r w:rsidRPr="009868FC">
        <w:rPr>
          <w:rFonts w:cs="B Zar" w:hint="cs"/>
          <w:sz w:val="26"/>
          <w:rtl/>
        </w:rPr>
        <w:t>1-5: دهرشت(</w:t>
      </w:r>
      <w:r>
        <w:rPr>
          <w:rStyle w:val="FootnoteReference"/>
          <w:rFonts w:cs="B Zar"/>
          <w:sz w:val="26"/>
          <w:rtl/>
        </w:rPr>
        <w:footnoteReference w:id="723"/>
      </w:r>
      <w:r w:rsidRPr="009868FC">
        <w:rPr>
          <w:rFonts w:cs="B Zar" w:hint="cs"/>
          <w:sz w:val="26"/>
          <w:rtl/>
        </w:rPr>
        <w:t>‌ 8</w:t>
      </w:r>
      <w:r>
        <w:rPr>
          <w:rStyle w:val="FootnoteReference"/>
          <w:rFonts w:cs="B Zar"/>
          <w:sz w:val="26"/>
          <w:rtl/>
        </w:rPr>
        <w:footnoteReference w:id="724"/>
      </w:r>
      <w:r w:rsidRPr="009868FC">
        <w:rPr>
          <w:rFonts w:cs="B Zar" w:hint="cs"/>
          <w:sz w:val="26"/>
          <w:rtl/>
        </w:rPr>
        <w:t>‌) گيت، چيك‌تان  9) و شاه كاشي زمامدار دلير، نيزكنت (10) بهوج، شوايه، از زبدگان جهان</w:t>
      </w:r>
    </w:p>
    <w:p w:rsidR="009868FC" w:rsidRPr="009868FC" w:rsidP="003C0EF5">
      <w:pPr>
        <w:widowControl w:val="0"/>
        <w:spacing w:line="420" w:lineRule="exact"/>
        <w:ind w:left="0" w:right="0"/>
        <w:jc w:val="both"/>
        <w:rPr>
          <w:rFonts w:cs="B Zar" w:hint="cs"/>
          <w:sz w:val="26"/>
          <w:rtl/>
        </w:rPr>
      </w:pPr>
      <w:r w:rsidRPr="009868FC">
        <w:rPr>
          <w:rFonts w:cs="B Zar" w:hint="cs"/>
          <w:sz w:val="26"/>
          <w:rtl/>
        </w:rPr>
        <w:t>1-6:  يدهامن يور، (</w:t>
      </w:r>
      <w:r>
        <w:rPr>
          <w:rStyle w:val="FootnoteReference"/>
          <w:rFonts w:cs="B Zar"/>
          <w:sz w:val="26"/>
          <w:rtl/>
        </w:rPr>
        <w:footnoteReference w:id="725"/>
      </w:r>
      <w:r w:rsidRPr="009868FC">
        <w:rPr>
          <w:rFonts w:cs="B Zar" w:hint="cs"/>
          <w:sz w:val="26"/>
          <w:rtl/>
        </w:rPr>
        <w:t>11) پهلوان نيرومند، اتم اجا مرد دلير، نيز فرزند سبهورا (</w:t>
      </w:r>
      <w:r>
        <w:rPr>
          <w:rStyle w:val="FootnoteReference"/>
          <w:rFonts w:cs="B Zar"/>
          <w:sz w:val="26"/>
          <w:rtl/>
        </w:rPr>
        <w:footnoteReference w:id="726"/>
      </w:r>
      <w:r w:rsidRPr="009868FC">
        <w:rPr>
          <w:rFonts w:cs="B Zar" w:hint="cs"/>
          <w:sz w:val="26"/>
          <w:rtl/>
        </w:rPr>
        <w:t>12) و فرزندان دراوپد، همه از سلحشوران زبردست.</w:t>
      </w:r>
    </w:p>
    <w:p w:rsidR="009868FC" w:rsidRPr="009868FC" w:rsidP="003C0EF5">
      <w:pPr>
        <w:widowControl w:val="0"/>
        <w:spacing w:line="420" w:lineRule="exact"/>
        <w:ind w:left="0" w:right="0"/>
        <w:jc w:val="both"/>
        <w:rPr>
          <w:rFonts w:cs="B Zar" w:hint="cs"/>
          <w:sz w:val="26"/>
          <w:rtl/>
        </w:rPr>
      </w:pPr>
      <w:r w:rsidRPr="009868FC">
        <w:rPr>
          <w:rFonts w:cs="B Zar" w:hint="cs"/>
          <w:sz w:val="26"/>
          <w:rtl/>
        </w:rPr>
        <w:t xml:space="preserve"> </w:t>
      </w:r>
      <w:r w:rsidRPr="009868FC">
        <w:rPr>
          <w:rFonts w:cs="B Zar"/>
          <w:sz w:val="26"/>
        </w:rPr>
        <w:t>]</w:t>
      </w:r>
      <w:r w:rsidRPr="009868FC">
        <w:rPr>
          <w:rFonts w:cs="B Zar" w:hint="cs"/>
          <w:sz w:val="26"/>
          <w:rtl/>
        </w:rPr>
        <w:t xml:space="preserve"> از اين پس از سرداران بزرگ لشكر متقابل يعني كورو اسم برده مي شود</w:t>
      </w:r>
      <w:r w:rsidRPr="009868FC">
        <w:rPr>
          <w:rFonts w:cs="B Zar"/>
          <w:sz w:val="26"/>
        </w:rPr>
        <w:t>[</w:t>
      </w:r>
      <w:r w:rsidRPr="009868FC">
        <w:rPr>
          <w:rFonts w:cs="B Zar" w:hint="cs"/>
          <w:sz w:val="26"/>
          <w:rtl/>
        </w:rPr>
        <w:t>:</w:t>
      </w:r>
    </w:p>
    <w:p w:rsidR="009868FC" w:rsidRPr="009868FC" w:rsidP="003C0EF5">
      <w:pPr>
        <w:widowControl w:val="0"/>
        <w:spacing w:line="420" w:lineRule="exact"/>
        <w:ind w:left="0" w:right="0"/>
        <w:jc w:val="both"/>
        <w:rPr>
          <w:rFonts w:cs="B Zar" w:hint="cs"/>
          <w:i/>
          <w:sz w:val="26"/>
          <w:rtl/>
        </w:rPr>
      </w:pPr>
      <w:r w:rsidRPr="009868FC">
        <w:rPr>
          <w:rFonts w:cs="B Zar" w:hint="cs"/>
          <w:i/>
          <w:sz w:val="26"/>
          <w:rtl/>
        </w:rPr>
        <w:t>1-7: اينك آشنا شو، اي بزرگترين برهمانان با قهرمانان زبده لشكر ما، من براي اطلاع تو اسم مي برم.</w:t>
      </w:r>
    </w:p>
    <w:p w:rsidR="009868FC" w:rsidRPr="009868FC" w:rsidP="003C0EF5">
      <w:pPr>
        <w:widowControl w:val="0"/>
        <w:spacing w:line="420" w:lineRule="exact"/>
        <w:ind w:left="0" w:right="0"/>
        <w:jc w:val="both"/>
        <w:rPr>
          <w:rFonts w:cs="B Zar" w:hint="cs"/>
          <w:sz w:val="26"/>
          <w:rtl/>
        </w:rPr>
      </w:pPr>
      <w:r w:rsidRPr="009868FC">
        <w:rPr>
          <w:rFonts w:cs="B Zar" w:hint="cs"/>
          <w:sz w:val="26"/>
          <w:rtl/>
        </w:rPr>
        <w:t>1-8: خودتان (</w:t>
      </w:r>
      <w:r>
        <w:rPr>
          <w:rStyle w:val="FootnoteReference"/>
          <w:rFonts w:cs="B Zar"/>
          <w:sz w:val="26"/>
          <w:rtl/>
        </w:rPr>
        <w:footnoteReference w:id="727"/>
      </w:r>
      <w:r w:rsidRPr="009868FC">
        <w:rPr>
          <w:rFonts w:cs="B Zar" w:hint="cs"/>
          <w:sz w:val="26"/>
          <w:rtl/>
        </w:rPr>
        <w:t>13)، بهيسم (</w:t>
      </w:r>
      <w:r>
        <w:rPr>
          <w:rStyle w:val="FootnoteReference"/>
          <w:rFonts w:cs="B Zar"/>
          <w:sz w:val="26"/>
          <w:rtl/>
        </w:rPr>
        <w:footnoteReference w:id="728"/>
      </w:r>
      <w:r w:rsidRPr="009868FC">
        <w:rPr>
          <w:rFonts w:cs="B Zar" w:hint="cs"/>
          <w:sz w:val="26"/>
          <w:rtl/>
        </w:rPr>
        <w:t>14)، كرن (</w:t>
      </w:r>
      <w:r>
        <w:rPr>
          <w:rStyle w:val="FootnoteReference"/>
          <w:rFonts w:cs="B Zar"/>
          <w:sz w:val="26"/>
          <w:rtl/>
        </w:rPr>
        <w:footnoteReference w:id="729"/>
      </w:r>
      <w:r w:rsidRPr="009868FC">
        <w:rPr>
          <w:rFonts w:cs="B Zar" w:hint="cs"/>
          <w:sz w:val="26"/>
          <w:rtl/>
        </w:rPr>
        <w:t>15)، گرپاآچاريه (</w:t>
      </w:r>
      <w:r>
        <w:rPr>
          <w:rStyle w:val="FootnoteReference"/>
          <w:rFonts w:cs="B Zar"/>
          <w:sz w:val="26"/>
          <w:rtl/>
        </w:rPr>
        <w:footnoteReference w:id="730"/>
      </w:r>
      <w:r w:rsidRPr="009868FC">
        <w:rPr>
          <w:rFonts w:cs="B Zar" w:hint="cs"/>
          <w:sz w:val="26"/>
          <w:rtl/>
        </w:rPr>
        <w:t>16) هميشه پيروز اشوتهمن  (</w:t>
      </w:r>
      <w:r>
        <w:rPr>
          <w:rStyle w:val="FootnoteReference"/>
          <w:rFonts w:cs="B Zar"/>
          <w:sz w:val="26"/>
          <w:rtl/>
        </w:rPr>
        <w:footnoteReference w:id="731"/>
      </w:r>
      <w:r w:rsidRPr="009868FC">
        <w:rPr>
          <w:rFonts w:cs="B Zar" w:hint="cs"/>
          <w:sz w:val="26"/>
          <w:rtl/>
        </w:rPr>
        <w:t>17) و كرن (</w:t>
      </w:r>
      <w:r>
        <w:rPr>
          <w:rStyle w:val="FootnoteReference"/>
          <w:rFonts w:cs="B Zar"/>
          <w:sz w:val="26"/>
          <w:rtl/>
        </w:rPr>
        <w:footnoteReference w:id="732"/>
      </w:r>
      <w:r w:rsidRPr="009868FC">
        <w:rPr>
          <w:rFonts w:cs="B Zar" w:hint="cs"/>
          <w:sz w:val="26"/>
          <w:rtl/>
        </w:rPr>
        <w:t>18) و فرزند سوم دت</w:t>
      </w:r>
    </w:p>
    <w:p w:rsidR="009868FC" w:rsidRPr="009868FC" w:rsidP="003C0EF5">
      <w:pPr>
        <w:widowControl w:val="0"/>
        <w:spacing w:line="420" w:lineRule="exact"/>
        <w:ind w:left="0" w:right="0"/>
        <w:jc w:val="both"/>
        <w:rPr>
          <w:rFonts w:cs="B Zar" w:hint="cs"/>
          <w:sz w:val="26"/>
          <w:rtl/>
        </w:rPr>
      </w:pPr>
      <w:r w:rsidRPr="009868FC">
        <w:rPr>
          <w:rFonts w:cs="B Zar" w:hint="cs"/>
          <w:sz w:val="26"/>
          <w:rtl/>
        </w:rPr>
        <w:t>1-9: و بسياري از قهرمانان ديگر كه جان خود را براي من بركف نهاده، سراپا مجهز و از سلحشوران ماهرند.</w:t>
      </w:r>
    </w:p>
    <w:p w:rsidR="009868FC" w:rsidRPr="009868FC" w:rsidP="003C0EF5">
      <w:pPr>
        <w:widowControl w:val="0"/>
        <w:spacing w:line="420" w:lineRule="exact"/>
        <w:ind w:left="0" w:right="0"/>
        <w:jc w:val="both"/>
        <w:rPr>
          <w:rFonts w:cs="B Zar"/>
          <w:sz w:val="26"/>
        </w:rPr>
      </w:pPr>
      <w:r w:rsidRPr="009868FC">
        <w:rPr>
          <w:rFonts w:cs="B Zar"/>
          <w:sz w:val="26"/>
        </w:rPr>
        <w:t>]</w:t>
      </w:r>
      <w:r w:rsidRPr="009868FC">
        <w:rPr>
          <w:rFonts w:cs="B Zar" w:hint="cs"/>
          <w:sz w:val="26"/>
          <w:rtl/>
        </w:rPr>
        <w:t xml:space="preserve">ذكر اسامي سرداران جنگي از جمله روشهاي ادبيات حماسي است. مثلاً در برخي جاها در شاهنامه فردوسي نيز اسامي پهلوانان بزرگ را پشت سر هم نقل مي كند. در آغاز گيتا، ذكر نام اين سرداران كه همه آنان از شخصيتهاي اصلي داستان مهابهاراتا هستند، موجب شد رساله عرفاني گيتا با حماسه شعري بلند مهابهاراتا پيوند يابد و تافته جدا بافته به نظر نيايد و ثانياً از ذكر اين اسامي نگارنده مي خواهد عظمت كشاكش را يادآور شود، گوئي اين جنگ جهاني هند باستان است كه در آن تمام شاهان و سرداران گرد آمده‌اند. تحليل اسامي سرداران نشان مي‌دهد كه در جامعه باستاني آريائي پيوندهاي خويشاوندي، داراي اهميت بود. تمام سرداراني كه در جبهه پاندو يا جبهه متقابل قرار گرفته‌اند، به گونه‌اي پيوند خانوادگي با رهبران اين دو طايفه دارند. نكته ديگري كه جلب توجه مي‌كند آن است كه در صف كوروها، اكثر برهمانان و كشاتريا، يا اعضاي طبقات مقدس بالا حضور دارند؛ در حاليكه در جبهه حق (پاندو)، افراد طبقات نسبتاً پائين، نظير يادوها حضور دارند. يادوها، دامداراني بودند كه به تجارت شيرگاو و غيره مشغول بودند. </w:t>
      </w:r>
      <w:r w:rsidRPr="009868FC">
        <w:rPr>
          <w:rFonts w:cs="B Zar"/>
          <w:sz w:val="26"/>
        </w:rPr>
        <w:t>]</w:t>
      </w:r>
      <w:r w:rsidRPr="009868FC">
        <w:rPr>
          <w:rFonts w:cs="B Zar" w:hint="cs"/>
          <w:sz w:val="26"/>
          <w:rtl/>
        </w:rPr>
        <w:t>آنان كه گيتا را يك تمثيل مي‌دانند، اين اسامي را به عنوان ملكات داخلي نفس انسان، نظير نفس اماره، نفس لوامه و غيره تاويل مي كنند.</w:t>
      </w:r>
      <w:r w:rsidRPr="009868FC">
        <w:rPr>
          <w:rFonts w:cs="B Zar"/>
          <w:sz w:val="26"/>
        </w:rPr>
        <w:t>[</w:t>
      </w:r>
    </w:p>
    <w:p w:rsidR="009868FC" w:rsidRPr="009868FC" w:rsidP="003C0EF5">
      <w:pPr>
        <w:widowControl w:val="0"/>
        <w:spacing w:line="420" w:lineRule="exact"/>
        <w:ind w:left="0" w:right="0"/>
        <w:jc w:val="center"/>
        <w:rPr>
          <w:rFonts w:cs="B Zar" w:hint="cs"/>
          <w:sz w:val="26"/>
          <w:rtl/>
        </w:rPr>
      </w:pPr>
      <w:r w:rsidRPr="009868FC">
        <w:rPr>
          <w:rFonts w:cs="B Zar" w:hint="cs"/>
          <w:sz w:val="26"/>
          <w:rtl/>
        </w:rPr>
        <w:t>وحشت زدگي سردار جبهه باطل</w:t>
      </w:r>
    </w:p>
    <w:p w:rsidR="009868FC" w:rsidRPr="009868FC" w:rsidP="003C0EF5">
      <w:pPr>
        <w:widowControl w:val="0"/>
        <w:spacing w:line="420" w:lineRule="exact"/>
        <w:ind w:left="0" w:right="0"/>
        <w:jc w:val="both"/>
        <w:rPr>
          <w:rFonts w:cs="B Zar"/>
          <w:sz w:val="26"/>
        </w:rPr>
      </w:pPr>
      <w:r w:rsidRPr="009868FC">
        <w:rPr>
          <w:rFonts w:cs="B Zar"/>
          <w:sz w:val="26"/>
        </w:rPr>
        <w:t>]</w:t>
      </w:r>
      <w:r w:rsidRPr="009868FC">
        <w:rPr>
          <w:rFonts w:cs="B Zar" w:hint="cs"/>
          <w:sz w:val="26"/>
          <w:rtl/>
        </w:rPr>
        <w:t>در عين حاليكه دريودهن، پرچمدار كوروها با درونا از قدرت قشون خود حرف مي زند، از لابلاي سخنان وي معلوم مي‌شود كه به شدت وحشت زده است و از شكست احتمالي بيمناك است</w:t>
      </w:r>
      <w:r w:rsidRPr="009868FC">
        <w:rPr>
          <w:rFonts w:cs="B Zar"/>
          <w:sz w:val="26"/>
        </w:rPr>
        <w:t>[.</w:t>
      </w:r>
    </w:p>
    <w:p w:rsidR="009868FC" w:rsidRPr="009868FC" w:rsidP="003C0EF5">
      <w:pPr>
        <w:widowControl w:val="0"/>
        <w:spacing w:line="420" w:lineRule="exact"/>
        <w:ind w:left="0" w:right="0"/>
        <w:jc w:val="both"/>
        <w:rPr>
          <w:rFonts w:cs="B Zar" w:hint="cs"/>
          <w:i/>
          <w:sz w:val="26"/>
          <w:rtl/>
        </w:rPr>
      </w:pPr>
      <w:r w:rsidRPr="009868FC">
        <w:rPr>
          <w:rFonts w:cs="B Zar" w:hint="cs"/>
          <w:i/>
          <w:sz w:val="26"/>
          <w:rtl/>
        </w:rPr>
        <w:t>1-10: اي استاد، لشكر ما به فرماندهي بهيسم ناتوان است. لشكر آنان به فرماندهي بهيسم توانا است. (</w:t>
      </w:r>
      <w:r>
        <w:rPr>
          <w:rStyle w:val="FootnoteReference"/>
          <w:rFonts w:cs="B Zar"/>
          <w:i/>
          <w:sz w:val="26"/>
          <w:rtl/>
        </w:rPr>
        <w:footnoteReference w:id="733"/>
      </w:r>
      <w:r w:rsidRPr="009868FC">
        <w:rPr>
          <w:rFonts w:cs="B Zar" w:hint="cs"/>
          <w:i/>
          <w:sz w:val="26"/>
          <w:rtl/>
        </w:rPr>
        <w:t>19)</w:t>
      </w:r>
    </w:p>
    <w:p w:rsidR="009868FC" w:rsidP="003C0EF5">
      <w:pPr>
        <w:widowControl w:val="0"/>
        <w:spacing w:line="420" w:lineRule="exact"/>
        <w:ind w:left="0" w:right="0"/>
        <w:jc w:val="both"/>
        <w:rPr>
          <w:rFonts w:cs="B Zar" w:hint="cs"/>
          <w:iCs/>
          <w:sz w:val="26"/>
          <w:rtl/>
        </w:rPr>
      </w:pPr>
      <w:r w:rsidRPr="009868FC">
        <w:rPr>
          <w:rFonts w:cs="B Zar" w:hint="cs"/>
          <w:i/>
          <w:sz w:val="26"/>
          <w:rtl/>
        </w:rPr>
        <w:t>1-11:. از اينروي، همه شما با تمام قوا از بهيسم پرچمدار ما نگهداري كنيد.(</w:t>
      </w:r>
      <w:r>
        <w:rPr>
          <w:rStyle w:val="FootnoteReference"/>
          <w:rFonts w:cs="B Zar"/>
          <w:i/>
          <w:sz w:val="26"/>
          <w:rtl/>
        </w:rPr>
        <w:footnoteReference w:id="734"/>
      </w:r>
      <w:r w:rsidRPr="009868FC">
        <w:rPr>
          <w:rFonts w:cs="B Zar" w:hint="cs"/>
          <w:i/>
          <w:sz w:val="26"/>
          <w:rtl/>
        </w:rPr>
        <w:t>20)</w:t>
      </w:r>
    </w:p>
    <w:p w:rsidR="00605B72" w:rsidRPr="009868FC" w:rsidP="003C0EF5">
      <w:pPr>
        <w:widowControl w:val="0"/>
        <w:spacing w:line="420" w:lineRule="exact"/>
        <w:ind w:left="0" w:right="0"/>
        <w:jc w:val="both"/>
        <w:rPr>
          <w:rFonts w:cs="B Zar" w:hint="cs"/>
          <w:iCs/>
          <w:sz w:val="26"/>
          <w:rtl/>
        </w:rPr>
      </w:pPr>
    </w:p>
    <w:p w:rsidR="009868FC" w:rsidRPr="009868FC" w:rsidP="003C0EF5">
      <w:pPr>
        <w:widowControl w:val="0"/>
        <w:spacing w:line="420" w:lineRule="exact"/>
        <w:ind w:left="0" w:right="0"/>
        <w:jc w:val="both"/>
        <w:rPr>
          <w:rFonts w:cs="B Zar" w:hint="cs"/>
          <w:b/>
          <w:bCs/>
          <w:sz w:val="26"/>
          <w:rtl/>
        </w:rPr>
      </w:pPr>
      <w:r w:rsidRPr="009868FC">
        <w:rPr>
          <w:rFonts w:cs="B Zar" w:hint="cs"/>
          <w:b/>
          <w:bCs/>
          <w:sz w:val="26"/>
          <w:rtl/>
        </w:rPr>
        <w:t>شگرد باطل و واكنش جبهه حق</w:t>
      </w:r>
    </w:p>
    <w:p w:rsidR="009868FC" w:rsidRPr="009868FC" w:rsidP="003C0EF5">
      <w:pPr>
        <w:widowControl w:val="0"/>
        <w:spacing w:line="420" w:lineRule="exact"/>
        <w:ind w:left="0" w:right="0"/>
        <w:jc w:val="both"/>
        <w:rPr>
          <w:rFonts w:cs="B Zar"/>
          <w:sz w:val="26"/>
        </w:rPr>
      </w:pPr>
      <w:r w:rsidRPr="009868FC">
        <w:rPr>
          <w:rFonts w:cs="B Zar"/>
          <w:sz w:val="26"/>
        </w:rPr>
        <w:t>]</w:t>
      </w:r>
      <w:r w:rsidRPr="009868FC">
        <w:rPr>
          <w:rFonts w:cs="B Zar" w:hint="cs"/>
          <w:sz w:val="26"/>
          <w:rtl/>
        </w:rPr>
        <w:t>درونا مرشد و استاد دريودهن، رييس جبهه باطل (كورو)، تشخيص مي دهد كه شاگرد وي وحشت زده شده است. او داراي زيركي خاصي است؛ با روانشناسي افراد آشنا است. براي تجديد روحيه در سردار جبهه باطل شيپور جنگي خود را به صدا در مي‌آورد. محاسبه او چنان بود كه چون لشكر باطل داراي اكثريت است، صداي بوق و كرناي آنان جبهه حق را مغلوب و سردار باطل را جري تر خواهد ساخت، اما اين شگرد كارگر نمي‌افتد؛ چرا كه در مقابل لشكر حق به رهبري آرجون و كريشنا نيز شيپورها و طبل‌هاي جنگي را چنان به صدا در مي آورند، كه در ميدان نبرد غوغا مي شود و دل پهلوانان لشكر باطل به لرزه در مي آيد. در سطح تمثيلي شايد مقصود آن باشد كه شهوات و خواهشهاي نفساني انسان هميشه در صددند آدمي را مقهور و مرعوب سازند، ولي اگر ميدان وجود وي از جنبش معنويات و وجدان خالي نباشد، هيچ خطري براي او بوجود نمي آيد. در سطح اجتماع نيز در تاريخ همواره باطل شگردهايش را به كار مي‌‌برد تا حق را مرعوب سازد، اما حق پرستان در نهايت باطل را مقهور مي كنند.</w:t>
      </w:r>
      <w:r w:rsidRPr="009868FC">
        <w:rPr>
          <w:rFonts w:cs="B Zar"/>
          <w:sz w:val="26"/>
        </w:rPr>
        <w:t>[</w:t>
      </w:r>
    </w:p>
    <w:p w:rsidR="009868FC" w:rsidRPr="009868FC" w:rsidP="003C0EF5">
      <w:pPr>
        <w:widowControl w:val="0"/>
        <w:spacing w:line="420" w:lineRule="exact"/>
        <w:ind w:left="0" w:right="0"/>
        <w:jc w:val="both"/>
        <w:rPr>
          <w:rFonts w:cs="B Zar" w:hint="cs"/>
          <w:i/>
          <w:sz w:val="26"/>
          <w:rtl/>
        </w:rPr>
      </w:pPr>
      <w:r w:rsidRPr="009868FC">
        <w:rPr>
          <w:rFonts w:cs="B Zar" w:hint="cs"/>
          <w:i/>
          <w:sz w:val="26"/>
          <w:rtl/>
        </w:rPr>
        <w:t>1-12: بهيسم، پيرهژبر، مانند شير به غرش در آمد و شيپور جنگي اش را نواخت.</w:t>
      </w:r>
    </w:p>
    <w:p w:rsidR="009868FC" w:rsidRPr="009868FC" w:rsidP="003C0EF5">
      <w:pPr>
        <w:widowControl w:val="0"/>
        <w:spacing w:line="420" w:lineRule="exact"/>
        <w:ind w:left="0" w:right="0"/>
        <w:jc w:val="both"/>
        <w:rPr>
          <w:rFonts w:cs="B Zar" w:hint="cs"/>
          <w:i/>
          <w:sz w:val="26"/>
          <w:rtl/>
        </w:rPr>
      </w:pPr>
      <w:r w:rsidRPr="009868FC">
        <w:rPr>
          <w:rFonts w:cs="B Zar" w:hint="cs"/>
          <w:i/>
          <w:sz w:val="26"/>
          <w:rtl/>
        </w:rPr>
        <w:t>1-13: ناگهان با بلندشدن صداي دهل، نقاره و بوق و كرنا، غريو هولناك پروحشت برخاست.</w:t>
      </w:r>
    </w:p>
    <w:p w:rsidR="009868FC" w:rsidRPr="009868FC" w:rsidP="003C0EF5">
      <w:pPr>
        <w:widowControl w:val="0"/>
        <w:spacing w:line="420" w:lineRule="exact"/>
        <w:ind w:left="0" w:right="0"/>
        <w:jc w:val="both"/>
        <w:rPr>
          <w:rFonts w:cs="B Zar" w:hint="cs"/>
          <w:i/>
          <w:sz w:val="26"/>
          <w:rtl/>
        </w:rPr>
      </w:pPr>
      <w:r w:rsidRPr="009868FC">
        <w:rPr>
          <w:rFonts w:cs="B Zar" w:hint="cs"/>
          <w:i/>
          <w:sz w:val="26"/>
          <w:rtl/>
        </w:rPr>
        <w:t>1-14: وانگهي مادهو (21)</w:t>
      </w:r>
      <w:r>
        <w:rPr>
          <w:rStyle w:val="FootnoteReference"/>
          <w:rFonts w:cs="B Zar"/>
          <w:i/>
          <w:sz w:val="26"/>
          <w:rtl/>
        </w:rPr>
        <w:footnoteReference w:id="735"/>
      </w:r>
      <w:r w:rsidRPr="009868FC">
        <w:rPr>
          <w:rFonts w:cs="B Zar" w:hint="cs"/>
          <w:i/>
          <w:sz w:val="26"/>
          <w:rtl/>
        </w:rPr>
        <w:t xml:space="preserve">  (كريشنا) و پاندوا (آرجون)، شيپور ملكوتي خود را به صدا درآوردند؛ در حاليكه بر ارابه بزرگ كه اسبان سپيد رنگ آنرا مي كشيدند،  سوار بودند.</w:t>
      </w:r>
    </w:p>
    <w:p w:rsidR="009868FC" w:rsidRPr="009868FC" w:rsidP="003C0EF5">
      <w:pPr>
        <w:widowControl w:val="0"/>
        <w:spacing w:line="420" w:lineRule="exact"/>
        <w:ind w:left="0" w:right="0"/>
        <w:jc w:val="both"/>
        <w:rPr>
          <w:rFonts w:cs="B Zar" w:hint="cs"/>
          <w:i/>
          <w:sz w:val="26"/>
          <w:rtl/>
        </w:rPr>
      </w:pPr>
      <w:r w:rsidRPr="009868FC">
        <w:rPr>
          <w:rFonts w:cs="B Zar" w:hint="cs"/>
          <w:i/>
          <w:sz w:val="26"/>
          <w:rtl/>
        </w:rPr>
        <w:t>1-15: كريشنا شيپور(22)</w:t>
      </w:r>
      <w:r>
        <w:rPr>
          <w:rStyle w:val="FootnoteReference"/>
          <w:rFonts w:cs="B Zar"/>
          <w:i/>
          <w:sz w:val="26"/>
          <w:rtl/>
        </w:rPr>
        <w:footnoteReference w:id="736"/>
      </w:r>
      <w:r w:rsidRPr="009868FC">
        <w:rPr>
          <w:rFonts w:cs="B Zar" w:hint="cs"/>
          <w:i/>
          <w:sz w:val="26"/>
          <w:rtl/>
        </w:rPr>
        <w:t xml:space="preserve"> پنج جنيه (23)</w:t>
      </w:r>
      <w:r>
        <w:rPr>
          <w:rStyle w:val="FootnoteReference"/>
          <w:rFonts w:cs="B Zar"/>
          <w:i/>
          <w:sz w:val="26"/>
          <w:rtl/>
        </w:rPr>
        <w:footnoteReference w:id="737"/>
      </w:r>
      <w:r w:rsidRPr="009868FC">
        <w:rPr>
          <w:rFonts w:cs="B Zar" w:hint="cs"/>
          <w:i/>
          <w:sz w:val="26"/>
          <w:rtl/>
        </w:rPr>
        <w:t xml:space="preserve"> را نواخت، آرجون ديودت را (24) و بهيسم آن قهرمان عمليات خطرناك پاندو را (25)</w:t>
      </w:r>
      <w:r>
        <w:rPr>
          <w:rStyle w:val="FootnoteReference"/>
          <w:rFonts w:cs="B Zar"/>
          <w:i/>
          <w:sz w:val="26"/>
          <w:rtl/>
        </w:rPr>
        <w:footnoteReference w:id="738"/>
      </w:r>
      <w:r w:rsidRPr="009868FC">
        <w:rPr>
          <w:rFonts w:cs="B Zar" w:hint="cs"/>
          <w:i/>
          <w:sz w:val="26"/>
          <w:rtl/>
        </w:rPr>
        <w:t xml:space="preserve"> به صدا درآورد.</w:t>
      </w:r>
    </w:p>
    <w:p w:rsidR="009868FC" w:rsidRPr="009868FC" w:rsidP="003C0EF5">
      <w:pPr>
        <w:widowControl w:val="0"/>
        <w:spacing w:line="420" w:lineRule="exact"/>
        <w:ind w:left="0" w:right="0"/>
        <w:jc w:val="both"/>
        <w:rPr>
          <w:rFonts w:cs="B Zar" w:hint="cs"/>
          <w:i/>
          <w:sz w:val="26"/>
          <w:rtl/>
        </w:rPr>
      </w:pPr>
      <w:r w:rsidRPr="009868FC">
        <w:rPr>
          <w:rFonts w:cs="B Zar" w:hint="cs"/>
          <w:i/>
          <w:sz w:val="26"/>
          <w:rtl/>
        </w:rPr>
        <w:t>1-16: يك مرتبه يودهشتر(26)</w:t>
      </w:r>
      <w:r>
        <w:rPr>
          <w:rStyle w:val="FootnoteReference"/>
          <w:rFonts w:cs="B Zar"/>
          <w:i/>
          <w:sz w:val="26"/>
          <w:rtl/>
        </w:rPr>
        <w:footnoteReference w:id="739"/>
      </w:r>
      <w:r w:rsidRPr="009868FC">
        <w:rPr>
          <w:rFonts w:cs="B Zar" w:hint="cs"/>
          <w:i/>
          <w:sz w:val="26"/>
          <w:rtl/>
        </w:rPr>
        <w:t xml:space="preserve"> آننت دجه را، نكل(27)</w:t>
      </w:r>
      <w:r>
        <w:rPr>
          <w:rStyle w:val="FootnoteReference"/>
          <w:rFonts w:cs="B Zar"/>
          <w:i/>
          <w:sz w:val="26"/>
          <w:rtl/>
        </w:rPr>
        <w:footnoteReference w:id="740"/>
      </w:r>
      <w:r w:rsidRPr="009868FC">
        <w:rPr>
          <w:rFonts w:cs="B Zar" w:hint="cs"/>
          <w:i/>
          <w:sz w:val="26"/>
          <w:rtl/>
        </w:rPr>
        <w:t xml:space="preserve"> سگوس را و سمديو(28)</w:t>
      </w:r>
      <w:r>
        <w:rPr>
          <w:rStyle w:val="FootnoteReference"/>
          <w:rFonts w:cs="B Zar"/>
          <w:i/>
          <w:sz w:val="26"/>
          <w:rtl/>
        </w:rPr>
        <w:footnoteReference w:id="741"/>
      </w:r>
      <w:r w:rsidRPr="009868FC">
        <w:rPr>
          <w:rFonts w:cs="B Zar" w:hint="cs"/>
          <w:i/>
          <w:sz w:val="26"/>
          <w:rtl/>
        </w:rPr>
        <w:t>، من پس  پك را نواختند.</w:t>
      </w:r>
    </w:p>
    <w:p w:rsidR="009868FC" w:rsidRPr="009868FC" w:rsidP="003C0EF5">
      <w:pPr>
        <w:widowControl w:val="0"/>
        <w:spacing w:line="420" w:lineRule="exact"/>
        <w:ind w:left="0" w:right="0"/>
        <w:jc w:val="both"/>
        <w:rPr>
          <w:rFonts w:cs="B Zar" w:hint="cs"/>
          <w:i/>
          <w:sz w:val="26"/>
          <w:rtl/>
        </w:rPr>
      </w:pPr>
      <w:r w:rsidRPr="009868FC">
        <w:rPr>
          <w:rFonts w:cs="B Zar" w:hint="cs"/>
          <w:i/>
          <w:sz w:val="26"/>
          <w:rtl/>
        </w:rPr>
        <w:t>1-17: راجه كاشي سردار تيراندازان، سكهندي (29)</w:t>
      </w:r>
      <w:r>
        <w:rPr>
          <w:rStyle w:val="FootnoteReference"/>
          <w:rFonts w:cs="B Zar"/>
          <w:i/>
          <w:sz w:val="26"/>
          <w:rtl/>
        </w:rPr>
        <w:footnoteReference w:id="742"/>
      </w:r>
      <w:r w:rsidRPr="009868FC">
        <w:rPr>
          <w:rFonts w:cs="B Zar" w:hint="cs"/>
          <w:i/>
          <w:sz w:val="26"/>
          <w:rtl/>
        </w:rPr>
        <w:t xml:space="preserve"> دين پهلوان بزرگ، ورت وست يك ودهرشت(30)</w:t>
      </w:r>
      <w:r>
        <w:rPr>
          <w:rStyle w:val="FootnoteReference"/>
          <w:rFonts w:cs="B Zar"/>
          <w:i/>
          <w:sz w:val="26"/>
          <w:rtl/>
        </w:rPr>
        <w:footnoteReference w:id="743"/>
      </w:r>
      <w:r w:rsidRPr="009868FC">
        <w:rPr>
          <w:rFonts w:cs="B Zar" w:hint="cs"/>
          <w:i/>
          <w:sz w:val="26"/>
          <w:rtl/>
        </w:rPr>
        <w:t>، دمن قهرمانان هژبر ،در شيپورها دميدند.</w:t>
      </w:r>
    </w:p>
    <w:p w:rsidR="009868FC" w:rsidRPr="009868FC" w:rsidP="003C0EF5">
      <w:pPr>
        <w:widowControl w:val="0"/>
        <w:spacing w:line="420" w:lineRule="exact"/>
        <w:ind w:left="0" w:right="0"/>
        <w:jc w:val="both"/>
        <w:rPr>
          <w:rFonts w:cs="B Zar" w:hint="cs"/>
          <w:i/>
          <w:sz w:val="26"/>
          <w:rtl/>
        </w:rPr>
      </w:pPr>
      <w:r w:rsidRPr="009868FC">
        <w:rPr>
          <w:rFonts w:cs="B Zar" w:hint="cs"/>
          <w:i/>
          <w:sz w:val="26"/>
          <w:rtl/>
        </w:rPr>
        <w:t xml:space="preserve">1-18: دروپد و جمله پسران دروپدي، و فرزند سمبهو(31) </w:t>
      </w:r>
      <w:r>
        <w:rPr>
          <w:rStyle w:val="FootnoteReference"/>
          <w:rFonts w:cs="B Zar"/>
          <w:i/>
          <w:sz w:val="26"/>
          <w:rtl/>
        </w:rPr>
        <w:footnoteReference w:id="744"/>
      </w:r>
      <w:r w:rsidRPr="009868FC">
        <w:rPr>
          <w:rFonts w:cs="B Zar" w:hint="cs"/>
          <w:i/>
          <w:sz w:val="26"/>
          <w:rtl/>
        </w:rPr>
        <w:t xml:space="preserve"> كه داراي بازوان قوي بودند، همه شيپورها را به صدا درآوردند. اي خداي من!</w:t>
      </w:r>
    </w:p>
    <w:p w:rsidR="009868FC" w:rsidRPr="009868FC" w:rsidP="003C0EF5">
      <w:pPr>
        <w:widowControl w:val="0"/>
        <w:spacing w:line="420" w:lineRule="exact"/>
        <w:ind w:left="0" w:right="0"/>
        <w:jc w:val="both"/>
        <w:rPr>
          <w:rFonts w:cs="B Zar" w:hint="cs"/>
          <w:i/>
          <w:sz w:val="26"/>
          <w:rtl/>
        </w:rPr>
      </w:pPr>
      <w:r w:rsidRPr="009868FC">
        <w:rPr>
          <w:rFonts w:cs="B Zar" w:hint="cs"/>
          <w:i/>
          <w:sz w:val="26"/>
          <w:rtl/>
        </w:rPr>
        <w:t>1-19: آن غوغاي مهيب در زمين و آسمان طنين انداخت و قلب فرزندان دهرتراشتر(32)</w:t>
      </w:r>
      <w:r>
        <w:rPr>
          <w:rStyle w:val="FootnoteReference"/>
          <w:rFonts w:cs="B Zar"/>
          <w:i/>
          <w:sz w:val="26"/>
          <w:rtl/>
        </w:rPr>
        <w:footnoteReference w:id="745"/>
      </w:r>
      <w:r w:rsidRPr="009868FC">
        <w:rPr>
          <w:rFonts w:cs="B Zar" w:hint="cs"/>
          <w:i/>
          <w:sz w:val="26"/>
          <w:rtl/>
        </w:rPr>
        <w:t>، (كوروها) را به لرزه درآورد.</w:t>
      </w:r>
    </w:p>
    <w:p w:rsidR="009868FC" w:rsidRPr="009868FC" w:rsidP="003C0EF5">
      <w:pPr>
        <w:widowControl w:val="0"/>
        <w:spacing w:line="420" w:lineRule="exact"/>
        <w:ind w:left="0" w:right="0"/>
        <w:jc w:val="both"/>
        <w:rPr>
          <w:rFonts w:cs="B Zar" w:hint="cs"/>
          <w:sz w:val="26"/>
          <w:rtl/>
        </w:rPr>
      </w:pPr>
      <w:r w:rsidRPr="009868FC">
        <w:rPr>
          <w:rFonts w:cs="B Zar" w:hint="cs"/>
          <w:sz w:val="26"/>
          <w:rtl/>
        </w:rPr>
        <w:t>دلهره و دغدغه آرجون</w:t>
      </w:r>
    </w:p>
    <w:p w:rsidR="009868FC" w:rsidRPr="009868FC" w:rsidP="003C0EF5">
      <w:pPr>
        <w:widowControl w:val="0"/>
        <w:spacing w:line="420" w:lineRule="exact"/>
        <w:ind w:left="0" w:right="0"/>
        <w:jc w:val="both"/>
        <w:rPr>
          <w:rFonts w:cs="B Zar"/>
          <w:sz w:val="26"/>
        </w:rPr>
      </w:pPr>
      <w:r w:rsidRPr="009868FC">
        <w:rPr>
          <w:rFonts w:cs="B Zar"/>
          <w:sz w:val="26"/>
        </w:rPr>
        <w:t>]</w:t>
      </w:r>
      <w:r w:rsidRPr="009868FC">
        <w:rPr>
          <w:rFonts w:cs="B Zar" w:hint="cs"/>
          <w:sz w:val="26"/>
          <w:rtl/>
        </w:rPr>
        <w:t>آرجون سردار پاندوا و فرمانده جبهه حق، وقتي مي بيند دو لشكر در آستانه جنگ قرار گرفته‌اند، يك مرتبه بدين فكر مي‌افتد كه خوب است پيش از آغاز جنگ، كساني را كه قرار است با آنان بجنگند، بشناسد. او مي داند كه كوروها، پسر عموي او هستند، كساني‌اند كه او ايام كودكي خود را در بازي با آنان سپري كرده است. چه بسا او داراي هيجانات روحي گرديده و خاطراتي از ايام كودكي‌اش را به ياد آورده است. او از كريشنا ارابه ران ملكوتي خود مي‌خواهد ارابه او را در وسط دو لشكر قرار دهد. آرجون در ارابه اي كه اسپان سپيد آنرا مي‌رانند نشسته و كريشنا ارابه ران اوست. رادا كريشنان خاطرنشان ساخته است كه در تمام ادبيات تمثيلي هندو «ارابه»، استعاره از قواي روحي ـ رواني انسان است. «اسپان»، استعاره از حواس و ارابه ران يا كريشنا، نفس ملكوتي يا عنصر خدائي در انسان است. بنابراين تاويل، آرجون سمبل انسان جستجوگر و يا سالك مجاهد است. در ودا نيز تشبيه روح به عنوان راكبي كه در ارابه بدن نشسته است ديده مي‌شود. در ريگ ودا مي‌خوانيم: كتسا فرزند ارجنا در ارابه نشسته است.(110) از نظر تمثيلي، در آستانه تعالي روحي، «نفس انسان» هنوز خود را از زندان علائق نرهانده، در نتيجه نگران است كه مبادا غرايز پست وجود او به خاطر جهش به فوق نابود شوند.</w:t>
      </w:r>
      <w:r w:rsidRPr="009868FC">
        <w:rPr>
          <w:rFonts w:cs="B Zar"/>
          <w:sz w:val="26"/>
        </w:rPr>
        <w:t>[</w:t>
      </w:r>
    </w:p>
    <w:p w:rsidR="009868FC" w:rsidRPr="009868FC" w:rsidP="003C0EF5">
      <w:pPr>
        <w:widowControl w:val="0"/>
        <w:spacing w:line="420" w:lineRule="exact"/>
        <w:ind w:left="0" w:right="0"/>
        <w:jc w:val="both"/>
        <w:rPr>
          <w:rFonts w:cs="B Zar" w:hint="cs"/>
          <w:sz w:val="26"/>
          <w:rtl/>
        </w:rPr>
      </w:pPr>
      <w:r w:rsidRPr="009868FC">
        <w:rPr>
          <w:rFonts w:cs="B Zar" w:hint="cs"/>
          <w:sz w:val="26"/>
          <w:rtl/>
        </w:rPr>
        <w:t>جي، راوي اين داستان، براي شاه نابينا، دهرتراشتر، صحنه را چنان ترسيم مي كند:</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w:t>
      </w:r>
      <w:r w:rsidRPr="009868FC">
        <w:rPr>
          <w:rFonts w:cs="B Zar"/>
          <w:iCs/>
          <w:sz w:val="26"/>
        </w:rPr>
        <w:t>-</w:t>
      </w:r>
      <w:r w:rsidRPr="009868FC">
        <w:rPr>
          <w:rFonts w:cs="B Zar" w:hint="cs"/>
          <w:iCs/>
          <w:sz w:val="26"/>
          <w:rtl/>
        </w:rPr>
        <w:t>20: پس اي شاه، اكنون چنين مي بينم:</w:t>
      </w:r>
    </w:p>
    <w:p w:rsidR="009868FC" w:rsidRPr="009868FC" w:rsidP="003C0EF5">
      <w:pPr>
        <w:widowControl w:val="0"/>
        <w:spacing w:line="420" w:lineRule="exact"/>
        <w:ind w:left="0" w:right="0"/>
        <w:jc w:val="both"/>
        <w:rPr>
          <w:rFonts w:cs="B Zar" w:hint="cs"/>
          <w:i/>
          <w:sz w:val="26"/>
          <w:rtl/>
        </w:rPr>
      </w:pPr>
      <w:r w:rsidRPr="009868FC">
        <w:rPr>
          <w:rFonts w:cs="B Zar" w:hint="cs"/>
          <w:i/>
          <w:sz w:val="26"/>
          <w:rtl/>
        </w:rPr>
        <w:t>با مشاهده فرزندان دهرتراشتر(33)</w:t>
      </w:r>
      <w:r>
        <w:rPr>
          <w:rStyle w:val="FootnoteReference"/>
          <w:rFonts w:cs="B Zar"/>
          <w:i/>
          <w:sz w:val="26"/>
          <w:rtl/>
        </w:rPr>
        <w:footnoteReference w:id="746"/>
      </w:r>
      <w:r w:rsidRPr="009868FC">
        <w:rPr>
          <w:rFonts w:cs="B Zar" w:hint="cs"/>
          <w:i/>
          <w:sz w:val="26"/>
          <w:rtl/>
        </w:rPr>
        <w:t>، آماده يورش است، آرجون آن تهمتن غيور داراي درفش ميموني(34)</w:t>
      </w:r>
      <w:r>
        <w:rPr>
          <w:rStyle w:val="FootnoteReference"/>
          <w:rFonts w:cs="B Zar"/>
          <w:i/>
          <w:sz w:val="26"/>
          <w:rtl/>
        </w:rPr>
        <w:footnoteReference w:id="747"/>
      </w:r>
      <w:r w:rsidRPr="009868FC">
        <w:rPr>
          <w:rFonts w:cs="B Zar" w:hint="cs"/>
          <w:i/>
          <w:sz w:val="26"/>
          <w:rtl/>
        </w:rPr>
        <w:t>، كمانش را برداشت و به كريشنا چنين گفت:</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1-21: اي كريشناي مقدس! ارابه مرا پيش ببر و در ميان دو لشكر قرار ده.</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1-22: تا بتوانم سلحشوراني را كه در ميدان گرد آمده اند بشناسم! و بدانم چه كساني حريف من هستند.</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1-23: مشتاقم مردان جنگي را، كه با شور و شوق در خدمت اهداف پليد فرزندان دهرتراشتر قرار گرفته‌اند، از نزديك بنگرم.</w:t>
      </w:r>
    </w:p>
    <w:p w:rsidR="009868FC" w:rsidRPr="009868FC" w:rsidP="003C0EF5">
      <w:pPr>
        <w:widowControl w:val="0"/>
        <w:spacing w:line="420" w:lineRule="exact"/>
        <w:ind w:left="0" w:right="0"/>
        <w:jc w:val="both"/>
        <w:rPr>
          <w:rFonts w:cs="B Zar" w:hint="cs"/>
          <w:iCs/>
          <w:sz w:val="26"/>
          <w:rtl/>
        </w:rPr>
      </w:pPr>
      <w:r w:rsidRPr="009868FC">
        <w:rPr>
          <w:rFonts w:cs="B Zar" w:hint="cs"/>
          <w:i/>
          <w:sz w:val="26"/>
          <w:rtl/>
        </w:rPr>
        <w:t>1</w:t>
      </w:r>
      <w:r w:rsidRPr="009868FC">
        <w:rPr>
          <w:rFonts w:cs="B Zar" w:hint="cs"/>
          <w:iCs/>
          <w:sz w:val="26"/>
          <w:rtl/>
        </w:rPr>
        <w:t>-</w:t>
      </w:r>
      <w:r w:rsidRPr="009868FC">
        <w:rPr>
          <w:rFonts w:cs="B Zar" w:hint="cs"/>
          <w:i/>
          <w:sz w:val="26"/>
          <w:rtl/>
        </w:rPr>
        <w:t>24:سانجي ادامه داد</w:t>
      </w:r>
      <w:r w:rsidRPr="009868FC">
        <w:rPr>
          <w:rFonts w:cs="B Zar" w:hint="cs"/>
          <w:iCs/>
          <w:sz w:val="26"/>
          <w:rtl/>
        </w:rPr>
        <w:t>: اي بارات! با شنيدن سخنان گُداكِس(35)</w:t>
      </w:r>
      <w:r>
        <w:rPr>
          <w:rStyle w:val="FootnoteReference"/>
          <w:rFonts w:cs="B Zar"/>
          <w:iCs/>
          <w:sz w:val="26"/>
          <w:rtl/>
        </w:rPr>
        <w:footnoteReference w:id="748"/>
      </w:r>
      <w:r w:rsidRPr="009868FC">
        <w:rPr>
          <w:rFonts w:cs="B Zar" w:hint="cs"/>
          <w:iCs/>
          <w:sz w:val="26"/>
          <w:rtl/>
        </w:rPr>
        <w:t xml:space="preserve"> هريسكيس،  بهترين ارابه را در وسط دو لشكر پيش راند.</w:t>
      </w:r>
    </w:p>
    <w:p w:rsidR="009868FC" w:rsidRPr="009868FC" w:rsidP="003C0EF5">
      <w:pPr>
        <w:widowControl w:val="0"/>
        <w:spacing w:line="420" w:lineRule="exact"/>
        <w:ind w:left="0" w:right="0"/>
        <w:jc w:val="both"/>
        <w:rPr>
          <w:rFonts w:cs="B Zar" w:hint="cs"/>
          <w:iCs/>
          <w:sz w:val="26"/>
          <w:rtl/>
        </w:rPr>
      </w:pPr>
      <w:r w:rsidRPr="009868FC">
        <w:rPr>
          <w:rFonts w:cs="B Zar" w:hint="cs"/>
          <w:i/>
          <w:sz w:val="26"/>
          <w:rtl/>
        </w:rPr>
        <w:t>1-25:  كريشنا ارابه را در پيشاپيش صفوف قرار داد و گفت:</w:t>
      </w:r>
      <w:r w:rsidRPr="009868FC">
        <w:rPr>
          <w:rFonts w:cs="B Zar" w:hint="cs"/>
          <w:iCs/>
          <w:sz w:val="26"/>
          <w:rtl/>
        </w:rPr>
        <w:t xml:space="preserve"> «اي فرزند كونتي(37)</w:t>
      </w:r>
      <w:r>
        <w:rPr>
          <w:rStyle w:val="FootnoteReference"/>
          <w:rFonts w:cs="B Zar"/>
          <w:iCs/>
          <w:sz w:val="26"/>
          <w:rtl/>
        </w:rPr>
        <w:footnoteReference w:id="749"/>
      </w:r>
      <w:r w:rsidRPr="009868FC">
        <w:rPr>
          <w:rFonts w:cs="B Zar" w:hint="cs"/>
          <w:iCs/>
          <w:sz w:val="26"/>
          <w:rtl/>
        </w:rPr>
        <w:t>، لشكر جرار كورو و شاهان گيتي را، بهيسم ودُرونا را، زير فرماندهي دريودهن تماشا كن!»</w:t>
      </w:r>
    </w:p>
    <w:p w:rsidR="009868FC" w:rsidRPr="009868FC" w:rsidP="003C0EF5">
      <w:pPr>
        <w:widowControl w:val="0"/>
        <w:spacing w:line="420" w:lineRule="exact"/>
        <w:ind w:left="0" w:right="0"/>
        <w:jc w:val="both"/>
        <w:rPr>
          <w:rFonts w:cs="B Zar" w:hint="cs"/>
          <w:sz w:val="26"/>
          <w:rtl/>
        </w:rPr>
      </w:pPr>
      <w:r w:rsidRPr="009868FC">
        <w:rPr>
          <w:rFonts w:cs="B Zar" w:hint="cs"/>
          <w:sz w:val="26"/>
          <w:rtl/>
        </w:rPr>
        <w:t xml:space="preserve"> در اين هنگام آرجون به سوي دو لشكر نظر مي افكند و در هر سو خويشان</w:t>
      </w:r>
      <w:r w:rsidRPr="009868FC">
        <w:rPr>
          <w:rFonts w:cs="B Zar" w:hint="cs"/>
          <w:sz w:val="26"/>
          <w:rtl/>
          <w:lang w:bidi="fa-IR"/>
        </w:rPr>
        <w:t xml:space="preserve"> و</w:t>
      </w:r>
      <w:r w:rsidRPr="009868FC">
        <w:rPr>
          <w:rFonts w:cs="B Zar" w:hint="cs"/>
          <w:sz w:val="26"/>
          <w:rtl/>
        </w:rPr>
        <w:t xml:space="preserve"> نزديك خود، عموها، اجداد، برادران، استادان، دوستان و همبازي‌ها، برادرزادگان و خواهرزادگان را مشاهده مي كند.</w:t>
      </w:r>
    </w:p>
    <w:p w:rsidR="009868FC" w:rsidRPr="009868FC" w:rsidP="003C0EF5">
      <w:pPr>
        <w:widowControl w:val="0"/>
        <w:spacing w:line="420" w:lineRule="exact"/>
        <w:ind w:left="0" w:right="0"/>
        <w:jc w:val="both"/>
        <w:rPr>
          <w:rFonts w:cs="B Zar" w:hint="cs"/>
          <w:sz w:val="26"/>
          <w:rtl/>
        </w:rPr>
      </w:pPr>
      <w:r w:rsidRPr="009868FC">
        <w:rPr>
          <w:rFonts w:cs="B Zar" w:hint="cs"/>
          <w:sz w:val="26"/>
          <w:rtl/>
        </w:rPr>
        <w:t>1-26: چون پارت، به سوي نبرد صف كشيده بودند، نگاه كرد. هان چه مي‌بيند: پدربزرگ‌ها، عموها، عموزادگان، معلمان، دائيها، برادران، فرزندان و نوادگان صف كشيده اند.</w:t>
      </w:r>
    </w:p>
    <w:p w:rsidR="009868FC" w:rsidRPr="009868FC" w:rsidP="003C0EF5">
      <w:pPr>
        <w:widowControl w:val="0"/>
        <w:spacing w:line="420" w:lineRule="exact"/>
        <w:ind w:left="0" w:right="0"/>
        <w:jc w:val="both"/>
        <w:rPr>
          <w:rFonts w:cs="B Zar" w:hint="cs"/>
          <w:i/>
          <w:sz w:val="26"/>
          <w:rtl/>
        </w:rPr>
      </w:pPr>
      <w:r w:rsidRPr="009868FC">
        <w:rPr>
          <w:rFonts w:cs="B Zar" w:hint="cs"/>
          <w:i/>
          <w:sz w:val="26"/>
          <w:rtl/>
        </w:rPr>
        <w:t>1-27: هم پدرزنان و دوستان با شمشيرهاي آخته.</w:t>
      </w:r>
    </w:p>
    <w:p w:rsidR="009868FC" w:rsidRPr="009868FC" w:rsidP="003C0EF5">
      <w:pPr>
        <w:widowControl w:val="0"/>
        <w:spacing w:line="420" w:lineRule="exact"/>
        <w:ind w:left="0" w:right="0"/>
        <w:jc w:val="both"/>
        <w:rPr>
          <w:rFonts w:cs="B Zar" w:hint="cs"/>
          <w:sz w:val="28"/>
          <w:szCs w:val="28"/>
          <w:rtl/>
        </w:rPr>
      </w:pPr>
      <w:r w:rsidRPr="009868FC">
        <w:rPr>
          <w:rFonts w:cs="B Zar" w:hint="cs"/>
          <w:sz w:val="26"/>
          <w:rtl/>
        </w:rPr>
        <w:t>وقتي آرجون مشاهده مي كند كساني كه در مقابل او صف كشيده‌‌اند، از خويشان، نزديكان و از تيره و تبار و دودمان خود او هستند، حتي معلمان و مرشدان وي در اين عده حضور دارند، به شدت ناراحت مي‌شود. آيا چند لحظه بعد او با تيرهاي فولادشكن خود سينه اين عزيزان را هدف خواهد گرفت؟ او در مقابل يك دو راهي قرار مي گيرد: بجنگد؟ نجنگد؟ اگر نجنگد از وظيفه كاستي و ديني خود كه جنگيدن است، سرباز زده است؛ از حق خود صرف نظر كرده، احقاق حق نكرده و يا كامل شدن حق خود را، كشتار لشكريان خود را و احتمالاً دستگيري يا تبعيد و آواره  شدن خود و خانواده خود را به جان خريده است. تاريخ او را به ترسوئي و فقدان شهامت متهم خواهد كرد. اگر بجنگد دست او به خون ياران، همبازي‌ها، برادران، خويشان، حتي عموها و جدهاي مادري و پدرزن ها و مرشدها و معلمان آغشته مي شود. مهمتر از آن تيره و تبار او، طبقه و كاست او تباه مي شود. كل خانواده نابود مي‌شود. با نابودي خانواده، سنن قومي و كل معارف شفاهي اين دودمان بزرگ به باد فراموشي سپرده مي‌شود؛ زنان قبيله در ورطه فحشا مي‌افتند؛ اصالت خوني و طبقاتي كشاتريا، قرباني مي شود؟ براي چه بجنگد؟ آيا براي آبروي خود؟ آبرو در نظر چه كسي؟ آيا براي مال و منال؟ چند روز دردست مي ماند؟ براي تخت و تاج؟ چند روز دوام مي يابد؟ اينجا است كه آرجون دچار عقده، دلهره و دغدغه‌اي مي‌گردد كه ما مي‌توانيم آنرا «دغدغه آرجوني» بناميم. كل هستي او گوئي آتش گرفته است. احساس خلاء مطلق و پوچي همه جانبه او را آزار مي دهد. بجنگم يا  نجنگم؟</w:t>
      </w:r>
    </w:p>
    <w:p w:rsidR="009868FC" w:rsidRPr="009868FC" w:rsidP="003C0EF5">
      <w:pPr>
        <w:widowControl w:val="0"/>
        <w:spacing w:line="420" w:lineRule="exact"/>
        <w:ind w:left="0" w:right="0"/>
        <w:jc w:val="both"/>
        <w:rPr>
          <w:rFonts w:cs="B Zar" w:hint="cs"/>
          <w:sz w:val="26"/>
          <w:rtl/>
        </w:rPr>
      </w:pPr>
      <w:r w:rsidRPr="009868FC">
        <w:rPr>
          <w:rFonts w:cs="B Zar" w:hint="cs"/>
          <w:sz w:val="26"/>
          <w:rtl/>
        </w:rPr>
        <w:t xml:space="preserve">اين قطعه به طور بسيار زيبا و رسا، اين «عقده آرجوني» را كه هر انساني در كشمكش‌هاي اجتماعي و دروني دچار آن مي شود، بيان مي دارد. اين حالت ترديد، نگراني و دودلي انسان را به رهبانيت سوق مي دهد. رها مي كنم، مي روم. </w:t>
      </w:r>
    </w:p>
    <w:p w:rsidR="009868FC" w:rsidRPr="009868FC" w:rsidP="003C0EF5">
      <w:pPr>
        <w:widowControl w:val="0"/>
        <w:spacing w:line="420" w:lineRule="exact"/>
        <w:ind w:left="0" w:right="0"/>
        <w:jc w:val="both"/>
        <w:rPr>
          <w:rFonts w:cs="B Zar" w:hint="cs"/>
          <w:sz w:val="26"/>
          <w:rtl/>
        </w:rPr>
      </w:pPr>
      <w:r w:rsidRPr="009868FC">
        <w:rPr>
          <w:rFonts w:cs="B Zar" w:hint="cs"/>
          <w:sz w:val="26"/>
          <w:rtl/>
        </w:rPr>
        <w:t>رادا كريشنان كه معتقد به تاويل تمثيلي گيتا است و اين رساله را گزارش مراحل سير تكاملي روح انسان و بيان طرق آن مي‌داند، آن را «عقده آرجوني» كه در واقع بيانگر وضع و حالت كسي است كه از قلمرو ماديات به قلمرو روح گذار مي‌كند، مي‌داند. گسيختن و بريدن از علائق مادي كه گويا برادران و همبازي‌هاي انسان‌اند، بسيار مشكل است. بايد همه اين علائق قتل عام شوند، تا انسان به مقام بصيرت روحي برسد. در اين مرحله از سير و سلوك، انسان احساس پوچي و بيهودگي مي كند و دلهره و دغدغه عجيبي وجود وي را فرا مي‌گيرد. بدينسان بنا بر نظر رادا كريشنان، گاندي و سري اربيندو، دلهره و رنج و اندوه آرجون را ترسيم كننده حالت عمومي عرفاني و اجتماعي مي‌دانند. پس از مدتي انسان از زندگي مادي گذر كرده، اما به شاهراه روحاني راه نيافته است.‌«عقده آرجوني» حالتي است كه انسان در برزخ معنوي احساس مي كند.</w:t>
      </w:r>
    </w:p>
    <w:p w:rsidR="009868FC" w:rsidRPr="009868FC" w:rsidP="003C0EF5">
      <w:pPr>
        <w:widowControl w:val="0"/>
        <w:spacing w:line="420" w:lineRule="exact"/>
        <w:ind w:left="0" w:right="0"/>
        <w:jc w:val="both"/>
        <w:rPr>
          <w:rFonts w:cs="B Zar" w:hint="cs"/>
          <w:sz w:val="26"/>
          <w:rtl/>
        </w:rPr>
      </w:pPr>
      <w:r w:rsidRPr="009868FC">
        <w:rPr>
          <w:rFonts w:cs="B Zar" w:hint="cs"/>
          <w:sz w:val="26"/>
          <w:rtl/>
        </w:rPr>
        <w:t>رادا كريشنان كشتن درونا معلم خود را كه آرجون از آن دلهره دارد، شرط تكامل در اين تمثيل مي داند. تا كسي از مرحله آموزش مكتب و مدرسه گذر نكند و آنرا رها نسازد، به مرحله اشراق وجودي نمي رسد. درونا بايد كشته شود تا كريشنا، آواي اشراق الهي را تجلي كند.</w:t>
      </w:r>
    </w:p>
    <w:p w:rsidR="009868FC" w:rsidRPr="009868FC" w:rsidP="003C0EF5">
      <w:pPr>
        <w:widowControl w:val="0"/>
        <w:spacing w:line="420" w:lineRule="exact"/>
        <w:ind w:left="0" w:right="0"/>
        <w:jc w:val="both"/>
        <w:rPr>
          <w:rFonts w:cs="B Zar" w:hint="cs"/>
          <w:sz w:val="26"/>
          <w:rtl/>
        </w:rPr>
      </w:pPr>
      <w:r w:rsidRPr="009868FC">
        <w:rPr>
          <w:rFonts w:cs="B Zar" w:hint="cs"/>
          <w:sz w:val="26"/>
          <w:rtl/>
        </w:rPr>
        <w:t>گيتا واكنش آرجون را پس از مشاهده عزيزان و خويشان خود در لشكر دشمن چنان توصيف مي كند:</w:t>
      </w:r>
    </w:p>
    <w:p w:rsidR="009868FC" w:rsidRPr="009868FC" w:rsidP="003C0EF5">
      <w:pPr>
        <w:widowControl w:val="0"/>
        <w:spacing w:line="420" w:lineRule="exact"/>
        <w:ind w:left="0" w:right="0"/>
        <w:jc w:val="both"/>
        <w:rPr>
          <w:rFonts w:cs="B Zar" w:hint="cs"/>
          <w:sz w:val="26"/>
          <w:rtl/>
        </w:rPr>
      </w:pPr>
      <w:r w:rsidRPr="009868FC">
        <w:rPr>
          <w:rFonts w:cs="B Zar" w:hint="cs"/>
          <w:sz w:val="26"/>
          <w:rtl/>
        </w:rPr>
        <w:t>1-27: چون فرزند كونتي اين همه عزيزان را در مقابل خود ديد،</w:t>
      </w:r>
    </w:p>
    <w:p w:rsidR="009868FC" w:rsidRPr="009868FC" w:rsidP="003C0EF5">
      <w:pPr>
        <w:widowControl w:val="0"/>
        <w:spacing w:line="420" w:lineRule="exact"/>
        <w:ind w:left="0" w:right="0"/>
        <w:jc w:val="both"/>
        <w:rPr>
          <w:rFonts w:cs="B Zar" w:hint="cs"/>
          <w:i/>
          <w:sz w:val="26"/>
          <w:rtl/>
        </w:rPr>
      </w:pPr>
      <w:r w:rsidRPr="009868FC">
        <w:rPr>
          <w:rFonts w:cs="B Zar" w:hint="cs"/>
          <w:i/>
          <w:sz w:val="26"/>
          <w:rtl/>
        </w:rPr>
        <w:t>1-28: احساس ترحم و دلسوزي، سراسر وجودش را فرا گرفت. سرش را پائين انداخته چنين گفت:</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وقتي عزيزان را مي نگرم كه شمشير بر روي هم كشيده اند، آماده پيكارند،</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1-29: اندام من به لرزه مي افتد. دهانم خشك ، اعضايم فلج و موهاي تنم سيخ مي شود.</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1-30: كمان گانديو(38)</w:t>
      </w:r>
      <w:r>
        <w:rPr>
          <w:rStyle w:val="FootnoteReference"/>
          <w:rFonts w:cs="B Zar"/>
          <w:iCs/>
          <w:sz w:val="26"/>
          <w:rtl/>
        </w:rPr>
        <w:footnoteReference w:id="750"/>
      </w:r>
      <w:r w:rsidRPr="009868FC">
        <w:rPr>
          <w:rFonts w:cs="B Zar" w:hint="cs"/>
          <w:iCs/>
          <w:sz w:val="26"/>
          <w:rtl/>
        </w:rPr>
        <w:t>، از دستم مي افتد. گرمي تنم زياد مي شود، قدرت ايستادن در من نمي ماند، فكرم آشفته مي گردد.</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1-31: آي كيشو!(39)</w:t>
      </w:r>
      <w:r>
        <w:rPr>
          <w:rStyle w:val="FootnoteReference"/>
          <w:rFonts w:cs="B Zar"/>
          <w:iCs/>
          <w:sz w:val="26"/>
          <w:rtl/>
        </w:rPr>
        <w:footnoteReference w:id="751"/>
      </w:r>
      <w:r w:rsidRPr="009868FC">
        <w:rPr>
          <w:rFonts w:cs="B Zar" w:hint="cs"/>
          <w:iCs/>
          <w:sz w:val="26"/>
          <w:rtl/>
        </w:rPr>
        <w:t xml:space="preserve"> علائم نحسي و شگون بدي مي‌بينم. پيشامدهاي ناگواري را پيشبيني مي‌كنم. هيچ سودي در ريختن خون عزيزان نمي بينم.</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1-32: اي كريشنا!</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من شوقي براي پيروزي ندارم، تخت و تاج ، ملك و دولت، عيش و عشرت نمي‌خواهم. سلطنت (دو روزه) و لذت‌هاي زودگذر، چه سودي دارد، اي گووندا(118) زندگي چه ارزشي دارد!؟ (40)</w:t>
      </w:r>
      <w:r>
        <w:rPr>
          <w:rStyle w:val="FootnoteReference"/>
          <w:rFonts w:cs="B Zar"/>
          <w:iCs/>
          <w:sz w:val="26"/>
          <w:rtl/>
        </w:rPr>
        <w:footnoteReference w:id="752"/>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1-33: عزيزاني كه با آنان تاج و تخت خوش بود، در برابر من قرار دارند. جان و مال خود را برباد مي دهند.</w:t>
      </w:r>
    </w:p>
    <w:p w:rsidR="009868FC" w:rsidRPr="009868FC" w:rsidP="003C0EF5">
      <w:pPr>
        <w:widowControl w:val="0"/>
        <w:spacing w:line="420" w:lineRule="exact"/>
        <w:ind w:left="0" w:right="0"/>
        <w:jc w:val="both"/>
        <w:rPr>
          <w:rFonts w:cs="B Zar" w:hint="cs"/>
          <w:iCs/>
          <w:sz w:val="28"/>
          <w:szCs w:val="28"/>
          <w:rtl/>
        </w:rPr>
      </w:pPr>
      <w:r w:rsidRPr="009868FC">
        <w:rPr>
          <w:rFonts w:cs="B Zar" w:hint="cs"/>
          <w:iCs/>
          <w:sz w:val="26"/>
          <w:rtl/>
        </w:rPr>
        <w:t>1-34: معلمان، پدران، فرزندان، پدربزرگ‌ها، داييها، پدرزن ها، نوادگان، دامادها، خويشان ، همه جان خود را بر كف نهاده‌اند.</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1-35: اي مادهو! حتي اگر آنان قصد جان من كنند، من حاضر نيستم آنان را از دم شمشير بگذرانم؛ اگر چه با كشتن آنان پادشاهي سه جهان (41)</w:t>
      </w:r>
      <w:r>
        <w:rPr>
          <w:rStyle w:val="FootnoteReference"/>
          <w:rFonts w:cs="B Zar"/>
          <w:iCs/>
          <w:sz w:val="26"/>
          <w:rtl/>
        </w:rPr>
        <w:footnoteReference w:id="753"/>
      </w:r>
      <w:r w:rsidRPr="009868FC">
        <w:rPr>
          <w:rFonts w:cs="B Zar" w:hint="cs"/>
          <w:iCs/>
          <w:sz w:val="26"/>
          <w:rtl/>
        </w:rPr>
        <w:t xml:space="preserve"> فراچنگ آيد، چه رسد به زمامداري يك كشور!</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1-36: اي جناردهن!(42)</w:t>
      </w:r>
      <w:r>
        <w:rPr>
          <w:rStyle w:val="FootnoteReference"/>
          <w:rFonts w:cs="B Zar"/>
          <w:iCs/>
          <w:sz w:val="26"/>
          <w:rtl/>
        </w:rPr>
        <w:footnoteReference w:id="754"/>
      </w:r>
      <w:r w:rsidRPr="009868FC">
        <w:rPr>
          <w:rFonts w:cs="B Zar" w:hint="cs"/>
          <w:iCs/>
          <w:sz w:val="26"/>
          <w:rtl/>
        </w:rPr>
        <w:t xml:space="preserve"> از كشتن فرزندان دهرتراشتر چه سودي مي توانم ببرم؟ جز گناهكاري؟ ريختن خود جنايتكاران! (43)</w:t>
      </w:r>
      <w:r>
        <w:rPr>
          <w:rStyle w:val="FootnoteReference"/>
          <w:rFonts w:cs="B Zar"/>
          <w:iCs/>
          <w:sz w:val="26"/>
          <w:rtl/>
        </w:rPr>
        <w:footnoteReference w:id="755"/>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1-37: بدينسان، روا نباشد ما خون بستگان خود، فرزندان دهرتراشتر را بريزيم. راستي اي مادهو چگونه با ريختن خون عزيزان شادان مي شويم!</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1-38: كسانيكه حرص و آز بر آنان چيره شده، در نابودي تيره و تبار، باكي ندارند از خيانت به دوستان.</w:t>
      </w:r>
    </w:p>
    <w:p w:rsidR="009868FC" w:rsidRPr="009868FC" w:rsidP="003C0EF5">
      <w:pPr>
        <w:widowControl w:val="0"/>
        <w:spacing w:line="420" w:lineRule="exact"/>
        <w:ind w:left="0" w:right="0"/>
        <w:jc w:val="both"/>
        <w:rPr>
          <w:rFonts w:cs="B Zar" w:hint="cs"/>
          <w:sz w:val="26"/>
          <w:rtl/>
        </w:rPr>
      </w:pPr>
      <w:r w:rsidRPr="009868FC">
        <w:rPr>
          <w:rFonts w:cs="B Zar" w:hint="cs"/>
          <w:sz w:val="26"/>
          <w:rtl/>
        </w:rPr>
        <w:t>آرجون به برخي از آفات و نتايج وخيم اجتماعي ـ ديني جنگ داخلي اشاره مي‌كند.</w:t>
      </w:r>
    </w:p>
    <w:p w:rsidR="009868FC" w:rsidRPr="009868FC" w:rsidP="003C0EF5">
      <w:pPr>
        <w:widowControl w:val="0"/>
        <w:spacing w:line="420" w:lineRule="exact"/>
        <w:ind w:left="0" w:right="0"/>
        <w:jc w:val="both"/>
        <w:rPr>
          <w:rFonts w:cs="B Zar" w:hint="cs"/>
          <w:sz w:val="26"/>
          <w:rtl/>
        </w:rPr>
      </w:pPr>
      <w:r w:rsidRPr="009868FC">
        <w:rPr>
          <w:rFonts w:cs="B Zar" w:hint="cs"/>
          <w:sz w:val="26"/>
          <w:rtl/>
        </w:rPr>
        <w:t>1-39: ما كه از آفات نابودي دودمان خود خبرداريم، چرا از خونريزي سرباز نزنيم؟</w:t>
      </w:r>
    </w:p>
    <w:p w:rsidR="009868FC" w:rsidRPr="009868FC" w:rsidP="003C0EF5">
      <w:pPr>
        <w:widowControl w:val="0"/>
        <w:spacing w:line="420" w:lineRule="exact"/>
        <w:ind w:left="0" w:right="0"/>
        <w:jc w:val="both"/>
        <w:rPr>
          <w:rFonts w:cs="B Zar" w:hint="cs"/>
          <w:iCs/>
          <w:sz w:val="26"/>
          <w:rtl/>
        </w:rPr>
      </w:pPr>
      <w:r w:rsidRPr="009868FC">
        <w:rPr>
          <w:rFonts w:cs="B Zar" w:hint="cs"/>
          <w:iCs/>
          <w:sz w:val="26"/>
          <w:rtl/>
        </w:rPr>
        <w:t>1-40: با انهدام خانواده، سنن قديمي برباد رفته، چون سنت هاي ديرينه نابود شود، شيرازه نظم جامعه بهم مي خورد.</w:t>
      </w:r>
    </w:p>
    <w:p w:rsidR="009868FC" w:rsidRPr="009868FC" w:rsidP="003C0EF5">
      <w:pPr>
        <w:widowControl w:val="0"/>
        <w:spacing w:line="420" w:lineRule="exact"/>
        <w:ind w:left="0" w:right="0"/>
        <w:jc w:val="both"/>
        <w:rPr>
          <w:rFonts w:cs="B Zar" w:hint="cs"/>
          <w:sz w:val="26"/>
          <w:rtl/>
        </w:rPr>
      </w:pPr>
      <w:r w:rsidRPr="009868FC">
        <w:rPr>
          <w:rFonts w:cs="B Zar" w:hint="cs"/>
          <w:sz w:val="26"/>
          <w:rtl/>
        </w:rPr>
        <w:t>در بيت بالا آرجون به نخستين آفت جنگ داخلي اشاره مي‌كند. در ملل پارينه فرهنگ شفاهي رواج دارد. چون سرداران و سالخوردگان يك طايفه كشته شوند، در واقع تمام هنجارها، ارزشها و سنن و معارف قومي آن قبيله ازبين مي رود. در ميان آريائي‌ها، حتي آئين و مناسك ودا در خانواده ها نگهداري مي شده است.</w:t>
      </w:r>
    </w:p>
    <w:p w:rsidR="009868FC" w:rsidRPr="009868FC" w:rsidP="003C0EF5">
      <w:pPr>
        <w:widowControl w:val="0"/>
        <w:spacing w:line="420" w:lineRule="exact"/>
        <w:ind w:left="0" w:right="0"/>
        <w:jc w:val="both"/>
        <w:rPr>
          <w:rFonts w:cs="B Zar" w:hint="cs"/>
          <w:sz w:val="26"/>
          <w:rtl/>
        </w:rPr>
      </w:pPr>
      <w:r w:rsidRPr="009868FC">
        <w:rPr>
          <w:rFonts w:cs="B Zar" w:hint="cs"/>
          <w:sz w:val="26"/>
          <w:rtl/>
        </w:rPr>
        <w:t>ظاهراً مقصود اصلي از «سنن خانوادگي»، مقررات طبقاتي و كاستي طبقه كشاترياست. يكي از نقاط ضعف گيتا، تأكيد بر ساختار طبقاتي جامعه و توجيه آن است، كه متعالي‌ترين اصول گيتا را خدشه‌دار مي كند.</w:t>
      </w:r>
    </w:p>
    <w:p w:rsidR="009868FC" w:rsidRPr="009868FC" w:rsidP="003C0EF5">
      <w:pPr>
        <w:widowControl w:val="0"/>
        <w:spacing w:line="420" w:lineRule="exact"/>
        <w:ind w:left="0" w:right="0"/>
        <w:jc w:val="both"/>
        <w:rPr>
          <w:rFonts w:cs="B Zar" w:hint="cs"/>
          <w:sz w:val="26"/>
          <w:rtl/>
        </w:rPr>
      </w:pPr>
      <w:r w:rsidRPr="009868FC">
        <w:rPr>
          <w:rFonts w:cs="B Zar" w:hint="cs"/>
          <w:sz w:val="26"/>
          <w:rtl/>
        </w:rPr>
        <w:t xml:space="preserve">1-41: چون وضع اجتماعي آشفته شد، اي كريشنا! </w:t>
      </w:r>
    </w:p>
    <w:p w:rsidR="009868FC" w:rsidRPr="009868FC" w:rsidP="003C0EF5">
      <w:pPr>
        <w:widowControl w:val="0"/>
        <w:spacing w:line="420" w:lineRule="exact"/>
        <w:ind w:left="0" w:right="0"/>
        <w:jc w:val="both"/>
        <w:rPr>
          <w:rFonts w:cs="B Zar" w:hint="cs"/>
          <w:iCs/>
          <w:sz w:val="28"/>
          <w:szCs w:val="28"/>
          <w:rtl/>
        </w:rPr>
      </w:pPr>
      <w:r w:rsidRPr="009868FC">
        <w:rPr>
          <w:rFonts w:cs="B Zar" w:hint="cs"/>
          <w:iCs/>
          <w:sz w:val="28"/>
          <w:szCs w:val="28"/>
          <w:rtl/>
        </w:rPr>
        <w:t>بي پروايي در زنان</w:t>
      </w:r>
    </w:p>
    <w:p w:rsidR="009868FC" w:rsidRPr="009868FC" w:rsidP="003C0EF5">
      <w:pPr>
        <w:widowControl w:val="0"/>
        <w:spacing w:line="420" w:lineRule="exact"/>
        <w:ind w:left="0" w:right="0"/>
        <w:jc w:val="both"/>
        <w:rPr>
          <w:rFonts w:cs="B Zar" w:hint="cs"/>
          <w:rtl/>
        </w:rPr>
      </w:pPr>
      <w:r w:rsidRPr="009868FC">
        <w:rPr>
          <w:rFonts w:cs="B Zar" w:hint="cs"/>
          <w:rtl/>
        </w:rPr>
        <w:t>فساد در دختران</w:t>
      </w:r>
    </w:p>
    <w:p w:rsidR="009868FC" w:rsidRPr="009868FC" w:rsidP="003C0EF5">
      <w:pPr>
        <w:widowControl w:val="0"/>
        <w:spacing w:line="420" w:lineRule="exact"/>
        <w:ind w:left="0" w:right="0"/>
        <w:jc w:val="both"/>
        <w:rPr>
          <w:rFonts w:cs="B Zar" w:hint="cs"/>
          <w:rtl/>
        </w:rPr>
      </w:pPr>
      <w:r w:rsidRPr="009868FC">
        <w:rPr>
          <w:rFonts w:cs="B Zar" w:hint="cs"/>
          <w:rtl/>
        </w:rPr>
        <w:t>آنگاه اصالت نژاد و كاست خدشه دار مي گردد.</w:t>
      </w:r>
    </w:p>
    <w:p w:rsidR="009868FC" w:rsidRPr="009868FC" w:rsidP="003C0EF5">
      <w:pPr>
        <w:widowControl w:val="0"/>
        <w:spacing w:line="420" w:lineRule="exact"/>
        <w:ind w:left="0" w:right="0"/>
        <w:jc w:val="both"/>
        <w:rPr>
          <w:rFonts w:cs="B Zar" w:hint="cs"/>
          <w:rtl/>
        </w:rPr>
      </w:pPr>
      <w:r w:rsidRPr="009868FC">
        <w:rPr>
          <w:rFonts w:cs="B Zar" w:hint="cs"/>
          <w:rtl/>
        </w:rPr>
        <w:t>آرجون همانند يك جامعه شناس ماهر به پيامدهاي اجتماعي جنگ اشاره مي كند. فساد زنان از جمله پيامدهاي وخيم جنگ است. جنگ، تناسب جمعيت زن و مرد يك جامعه را بهم مي‌زند. مردان طايفه وقتي كشته شوند، دختران و زنان با افراد طبقات ديگر وصلت مي‌كنند. در نتيجه اصالت نسبي كاست ها صدمه مي بيند. نگراني اصلي آرجون همين است.</w:t>
      </w:r>
    </w:p>
    <w:p w:rsidR="009868FC" w:rsidRPr="009868FC" w:rsidP="003C0EF5">
      <w:pPr>
        <w:widowControl w:val="0"/>
        <w:spacing w:line="420" w:lineRule="exact"/>
        <w:ind w:left="0" w:right="0"/>
        <w:jc w:val="both"/>
        <w:rPr>
          <w:rFonts w:cs="B Zar" w:hint="cs"/>
          <w:i/>
          <w:rtl/>
        </w:rPr>
      </w:pPr>
      <w:r w:rsidRPr="009868FC">
        <w:rPr>
          <w:rFonts w:cs="B Zar" w:hint="cs"/>
          <w:i/>
          <w:rtl/>
        </w:rPr>
        <w:t xml:space="preserve">1-42: لاجرم دوزخ مقام كسي است كه </w:t>
      </w:r>
    </w:p>
    <w:p w:rsidR="009868FC" w:rsidRPr="009868FC" w:rsidP="003C0EF5">
      <w:pPr>
        <w:widowControl w:val="0"/>
        <w:spacing w:line="420" w:lineRule="exact"/>
        <w:ind w:left="0" w:right="0"/>
        <w:jc w:val="both"/>
        <w:rPr>
          <w:rFonts w:cs="B Zar" w:hint="cs"/>
          <w:rtl/>
        </w:rPr>
      </w:pPr>
      <w:r w:rsidRPr="009868FC">
        <w:rPr>
          <w:rFonts w:cs="B Zar" w:hint="cs"/>
          <w:rtl/>
        </w:rPr>
        <w:t>خانواده را نابود و كاست را آشفته مي سازد.</w:t>
      </w:r>
    </w:p>
    <w:p w:rsidR="009868FC" w:rsidRPr="009868FC" w:rsidP="003C0EF5">
      <w:pPr>
        <w:widowControl w:val="0"/>
        <w:spacing w:line="420" w:lineRule="exact"/>
        <w:ind w:left="0" w:right="0"/>
        <w:jc w:val="both"/>
        <w:rPr>
          <w:rFonts w:cs="B Zar" w:hint="cs"/>
          <w:rtl/>
        </w:rPr>
      </w:pPr>
      <w:r w:rsidRPr="009868FC">
        <w:rPr>
          <w:rFonts w:cs="B Zar" w:hint="cs"/>
          <w:rtl/>
        </w:rPr>
        <w:t>چون مراسم مردگان انجام نگيرد،</w:t>
      </w:r>
    </w:p>
    <w:p w:rsidR="009868FC" w:rsidRPr="009868FC" w:rsidP="003C0EF5">
      <w:pPr>
        <w:widowControl w:val="0"/>
        <w:spacing w:line="420" w:lineRule="exact"/>
        <w:ind w:left="0" w:right="0"/>
        <w:jc w:val="both"/>
        <w:rPr>
          <w:rFonts w:cs="B Zar" w:hint="cs"/>
          <w:rtl/>
        </w:rPr>
      </w:pPr>
      <w:r w:rsidRPr="009868FC">
        <w:rPr>
          <w:rFonts w:cs="B Zar" w:hint="cs"/>
          <w:rtl/>
        </w:rPr>
        <w:t>روح گذشتگان عذاب مي بيند.</w:t>
      </w:r>
    </w:p>
    <w:p w:rsidR="009868FC" w:rsidRPr="009868FC" w:rsidP="003C0EF5">
      <w:pPr>
        <w:widowControl w:val="0"/>
        <w:spacing w:line="420" w:lineRule="exact"/>
        <w:ind w:left="0" w:right="0"/>
        <w:jc w:val="both"/>
        <w:rPr>
          <w:rFonts w:cs="B Zar" w:hint="cs"/>
          <w:rtl/>
        </w:rPr>
      </w:pPr>
      <w:r w:rsidRPr="009868FC">
        <w:rPr>
          <w:rFonts w:cs="B Zar" w:hint="cs"/>
          <w:rtl/>
        </w:rPr>
        <w:t>زندگان زجر مي كشند.</w:t>
      </w:r>
    </w:p>
    <w:p w:rsidR="009868FC" w:rsidRPr="009868FC" w:rsidP="003C0EF5">
      <w:pPr>
        <w:widowControl w:val="0"/>
        <w:spacing w:line="420" w:lineRule="exact"/>
        <w:ind w:left="0" w:right="0"/>
        <w:jc w:val="both"/>
        <w:rPr>
          <w:rFonts w:cs="B Zar" w:hint="cs"/>
          <w:rtl/>
        </w:rPr>
      </w:pPr>
      <w:r w:rsidRPr="009868FC">
        <w:rPr>
          <w:rFonts w:cs="B Zar" w:hint="cs"/>
          <w:rtl/>
        </w:rPr>
        <w:t>در هندوئيسم، نظام طبقاتي از آغاز با انجام مناسك عبادي ودايي همراه بوده، سالخوردگان مراسمي براي خوشنودي ارواح مردگان انجام مي داده و برنج و آب را با تشريفاتي تقديم آنان مي نموده اند. باور بر آن بود كه اگر اين مراسم صورت نگيرد، روح مردگان آزار مي‌بيند. انجام اين مراسم داراي شرايط خاصي بوده كه اصيل بودن نسب، از جمله آن است. مقصود آرجون آنست كه چون در جنگ، سالخوردگان و بزرگان قوم كشته شوند و اختلاط جنسي موجب هرج و مرج كاست ها شود، ديگر امكان برگزاري مراسم براي خوشنودي ارواح نياكان ميسور نيست؛ بدينسان در كنار زندگان، مردگان نيز زجر مي‌كشند.</w:t>
      </w:r>
    </w:p>
    <w:p w:rsidR="009868FC" w:rsidRPr="009868FC" w:rsidP="003C0EF5">
      <w:pPr>
        <w:widowControl w:val="0"/>
        <w:spacing w:line="420" w:lineRule="exact"/>
        <w:ind w:left="0" w:right="0"/>
        <w:jc w:val="both"/>
        <w:rPr>
          <w:rFonts w:cs="B Zar" w:hint="cs"/>
          <w:i/>
          <w:rtl/>
        </w:rPr>
      </w:pPr>
      <w:r w:rsidRPr="009868FC">
        <w:rPr>
          <w:rFonts w:cs="B Zar" w:hint="cs"/>
          <w:i/>
          <w:rtl/>
        </w:rPr>
        <w:t>1-43: اعمال شوم موجب</w:t>
      </w:r>
    </w:p>
    <w:p w:rsidR="009868FC" w:rsidRPr="009868FC" w:rsidP="003C0EF5">
      <w:pPr>
        <w:widowControl w:val="0"/>
        <w:spacing w:line="420" w:lineRule="exact"/>
        <w:ind w:left="0" w:right="0"/>
        <w:jc w:val="both"/>
        <w:rPr>
          <w:rFonts w:cs="B Zar" w:hint="cs"/>
          <w:rtl/>
        </w:rPr>
      </w:pPr>
      <w:r w:rsidRPr="009868FC">
        <w:rPr>
          <w:rFonts w:cs="B Zar" w:hint="cs"/>
          <w:rtl/>
        </w:rPr>
        <w:t>نابودي تبار، آشفتگي كاست</w:t>
      </w:r>
    </w:p>
    <w:p w:rsidR="009868FC" w:rsidRPr="009868FC" w:rsidP="003C0EF5">
      <w:pPr>
        <w:widowControl w:val="0"/>
        <w:spacing w:line="420" w:lineRule="exact"/>
        <w:ind w:left="0" w:right="0"/>
        <w:jc w:val="both"/>
        <w:rPr>
          <w:rFonts w:cs="B Zar" w:hint="cs"/>
          <w:rtl/>
        </w:rPr>
      </w:pPr>
      <w:r w:rsidRPr="009868FC">
        <w:rPr>
          <w:rFonts w:cs="B Zar" w:hint="cs"/>
          <w:rtl/>
        </w:rPr>
        <w:t>و ازبين رفتن سنن پارينه است.</w:t>
      </w:r>
    </w:p>
    <w:p w:rsidR="009868FC" w:rsidRPr="009868FC" w:rsidP="003C0EF5">
      <w:pPr>
        <w:widowControl w:val="0"/>
        <w:spacing w:line="420" w:lineRule="exact"/>
        <w:ind w:left="0" w:right="0"/>
        <w:jc w:val="both"/>
        <w:rPr>
          <w:rFonts w:cs="B Zar" w:hint="cs"/>
          <w:rtl/>
        </w:rPr>
      </w:pPr>
      <w:r w:rsidRPr="009868FC">
        <w:rPr>
          <w:rFonts w:cs="B Zar" w:hint="cs"/>
          <w:rtl/>
        </w:rPr>
        <w:t>1-44: افرادي كه سنن ديني را از دست داده اند،</w:t>
      </w:r>
    </w:p>
    <w:p w:rsidR="009868FC" w:rsidRPr="009868FC" w:rsidP="003C0EF5">
      <w:pPr>
        <w:widowControl w:val="0"/>
        <w:spacing w:line="420" w:lineRule="exact"/>
        <w:ind w:left="0" w:right="0"/>
        <w:jc w:val="both"/>
        <w:rPr>
          <w:rFonts w:cs="B Zar" w:hint="cs"/>
          <w:rtl/>
        </w:rPr>
      </w:pPr>
      <w:r w:rsidRPr="009868FC">
        <w:rPr>
          <w:rFonts w:cs="B Zar" w:hint="cs"/>
          <w:rtl/>
        </w:rPr>
        <w:t>در دوزخ ماندگار خواهند شد.</w:t>
      </w:r>
    </w:p>
    <w:p w:rsidR="009868FC" w:rsidRPr="009868FC" w:rsidP="003C0EF5">
      <w:pPr>
        <w:widowControl w:val="0"/>
        <w:spacing w:line="420" w:lineRule="exact"/>
        <w:ind w:left="0" w:right="0"/>
        <w:jc w:val="both"/>
        <w:rPr>
          <w:rFonts w:cs="B Zar" w:hint="cs"/>
          <w:rtl/>
        </w:rPr>
      </w:pPr>
      <w:r w:rsidRPr="009868FC">
        <w:rPr>
          <w:rFonts w:cs="B Zar" w:hint="cs"/>
          <w:rtl/>
        </w:rPr>
        <w:t>چنين ما شنيديم از بزرگان!</w:t>
      </w:r>
    </w:p>
    <w:p w:rsidR="009868FC" w:rsidRPr="009868FC" w:rsidP="003C0EF5">
      <w:pPr>
        <w:widowControl w:val="0"/>
        <w:spacing w:line="420" w:lineRule="exact"/>
        <w:ind w:left="0" w:right="0"/>
        <w:jc w:val="both"/>
        <w:rPr>
          <w:rFonts w:cs="B Zar" w:hint="cs"/>
          <w:rtl/>
        </w:rPr>
      </w:pPr>
      <w:r w:rsidRPr="009868FC">
        <w:rPr>
          <w:rFonts w:cs="B Zar" w:hint="cs"/>
          <w:rtl/>
        </w:rPr>
        <w:t>باز مقصود از «سنن ديني »، سنن و مقررات طبقاتي و كاستي است. سري دهر، مفسر قديم، با صراحت اين مطلب را تائيد ميكند. (سري دهر سبودهن ص 24)، اين توصيه بزرگان از اسفبارترين مواريث هندوئيسم است كه هنوز هند از آن رنج مي برد.</w:t>
      </w:r>
    </w:p>
    <w:p w:rsidR="009868FC" w:rsidRPr="009868FC" w:rsidP="003C0EF5">
      <w:pPr>
        <w:widowControl w:val="0"/>
        <w:spacing w:line="420" w:lineRule="exact"/>
        <w:ind w:left="0" w:right="0"/>
        <w:jc w:val="both"/>
        <w:rPr>
          <w:rFonts w:cs="B Zar" w:hint="cs"/>
          <w:rtl/>
        </w:rPr>
      </w:pPr>
      <w:r w:rsidRPr="009868FC">
        <w:rPr>
          <w:rFonts w:cs="B Zar" w:hint="cs"/>
          <w:rtl/>
        </w:rPr>
        <w:t>«اخلاص»، عبارت از اين است كه انسان تنها خدا را برگزيند. در مهابهاراتا مي‌خوانيم: كريشنا (سمبل خداوند) با دو طرف درگير، پاندوان و كوروها، به طور مساوي بستگي و خويشاوندي داشت. هر دو او را به كمك فرا خواندند، كريشنا با تمام افراد و نيروهايش حاضر شد و به دو طرف اختيار داد كه يكي او را همراه بگيرد؛ بدين شكل كه عملاً نخواهد جنگيد و ديگري تمام افراد و نيروهايش را بگيرد. آرجون گفت من ترا مي‌خواهم، نيازي به افراد و نيروهايتان ندارم؛ در حاليكه دريودهن و كوروها لشكر او را انتخاب كردند. كورو در اينجا علامت نگرش عاجل داني و مادي است و آرجون و پاندوان سمبل نگرش معنوي و اخلاص محض به خدا. وقتي انسان به مرحله اخلاص مي‌رسد، كمك و عنايت الهي شامل حال او مي گردد.</w:t>
      </w:r>
    </w:p>
    <w:p w:rsidR="009868FC" w:rsidRPr="009868FC" w:rsidP="003C0EF5">
      <w:pPr>
        <w:widowControl w:val="0"/>
        <w:spacing w:line="420" w:lineRule="exact"/>
        <w:ind w:left="0" w:right="0"/>
        <w:jc w:val="both"/>
        <w:rPr>
          <w:rFonts w:cs="B Zar" w:hint="cs"/>
          <w:rtl/>
        </w:rPr>
      </w:pPr>
      <w:r w:rsidRPr="009868FC">
        <w:rPr>
          <w:rFonts w:cs="B Zar" w:hint="cs"/>
          <w:rtl/>
        </w:rPr>
        <w:t>كريشنا سمبل خدايي است. جايگاه او يا ارابه زرين وي، «قلب» انسان است. «روح آدمي» در اين كالسكه معنوي كه «اسپان سپيد» رحمانيت و عنايت رباني آنرا مي كشد، در كنار عنصر ملكوتي مي نشيند. ارابه ران وجود انسان كه به درجه اخلاص رسيده، خداست نه او. در لحظات سخت بحران روحي كه اين «خدا» در وجود، او را راهنمائي مي‌كند، او سخنان الهي را مي شنود. نخست اين سخنان به طور مختصر پراكنده و در سطح نزديك تر از هستي مادي او هستند؛ سپس او به سطح انديشه والاي عرفاني كشانيده مي شود.</w:t>
      </w:r>
    </w:p>
    <w:p w:rsidR="009868FC" w:rsidRPr="009868FC" w:rsidP="003C0EF5">
      <w:pPr>
        <w:widowControl w:val="0"/>
        <w:spacing w:line="420" w:lineRule="exact"/>
        <w:ind w:left="0" w:right="0"/>
        <w:jc w:val="both"/>
        <w:rPr>
          <w:rFonts w:cs="B Zar" w:hint="cs"/>
          <w:rtl/>
        </w:rPr>
      </w:pPr>
      <w:r w:rsidRPr="009868FC">
        <w:rPr>
          <w:rFonts w:cs="B Zar" w:hint="cs"/>
          <w:rtl/>
        </w:rPr>
        <w:t>در آغاز فصل دوم، كريشنا به سخن مي آيد. اما هنوز به صورت صداي نفس لوامه است كه در سطح «من محوري» است. چه مي كنی؟ آيا افتخارات خود را برباد مي دهدي؟ اين شايسته جوانمردان نيست. ولي هنوز دلهره و دغدغه آرجون نيرومندتر است. آرجون دلهره خود را عنوان مي كند. صداي ملكوتي خاموش است. اما از بيت يازدهم به بعد كريشنا به سخن در مي آيد و آرجون را از اين دغدغه وجودي مي رهاند. فصل دوم چنين شروع مي‌شود:</w:t>
      </w:r>
    </w:p>
    <w:p w:rsidR="009868FC" w:rsidRPr="009868FC" w:rsidP="003C0EF5">
      <w:pPr>
        <w:widowControl w:val="0"/>
        <w:spacing w:line="420" w:lineRule="exact"/>
        <w:ind w:left="0" w:right="0"/>
        <w:jc w:val="both"/>
        <w:rPr>
          <w:rFonts w:cs="B Zar" w:hint="cs"/>
          <w:i/>
          <w:rtl/>
        </w:rPr>
      </w:pPr>
      <w:r w:rsidRPr="009868FC">
        <w:rPr>
          <w:rFonts w:cs="B Zar" w:hint="cs"/>
          <w:i/>
          <w:rtl/>
        </w:rPr>
        <w:t>2-1: سانجي نقل مي كند:</w:t>
      </w:r>
    </w:p>
    <w:p w:rsidR="009868FC" w:rsidRPr="009868FC" w:rsidP="003C0EF5">
      <w:pPr>
        <w:widowControl w:val="0"/>
        <w:spacing w:line="420" w:lineRule="exact"/>
        <w:ind w:left="0" w:right="0"/>
        <w:jc w:val="both"/>
        <w:rPr>
          <w:rFonts w:cs="B Zar" w:hint="cs"/>
          <w:rtl/>
        </w:rPr>
      </w:pPr>
      <w:r w:rsidRPr="009868FC">
        <w:rPr>
          <w:rFonts w:cs="B Zar" w:hint="cs"/>
          <w:rtl/>
        </w:rPr>
        <w:t>وانگهي به او (آرجون) كه حزن و اندوه بر او چيره شده،</w:t>
      </w:r>
    </w:p>
    <w:p w:rsidR="009868FC" w:rsidRPr="009868FC" w:rsidP="003C0EF5">
      <w:pPr>
        <w:widowControl w:val="0"/>
        <w:spacing w:line="420" w:lineRule="exact"/>
        <w:ind w:left="0" w:right="0"/>
        <w:jc w:val="both"/>
        <w:rPr>
          <w:rFonts w:cs="B Zar" w:hint="cs"/>
          <w:rtl/>
        </w:rPr>
      </w:pPr>
      <w:r w:rsidRPr="009868FC">
        <w:rPr>
          <w:rFonts w:cs="B Zar" w:hint="cs"/>
          <w:rtl/>
        </w:rPr>
        <w:t>قطره هاي اشك از چشمانش مي چكد،</w:t>
      </w:r>
    </w:p>
    <w:p w:rsidR="009868FC" w:rsidRPr="009868FC" w:rsidP="003C0EF5">
      <w:pPr>
        <w:widowControl w:val="0"/>
        <w:spacing w:line="420" w:lineRule="exact"/>
        <w:ind w:left="0" w:right="0"/>
        <w:jc w:val="both"/>
        <w:rPr>
          <w:rFonts w:cs="B Zar" w:hint="cs"/>
          <w:rtl/>
        </w:rPr>
      </w:pPr>
      <w:r w:rsidRPr="009868FC">
        <w:rPr>
          <w:rFonts w:cs="B Zar" w:hint="cs"/>
          <w:rtl/>
        </w:rPr>
        <w:t>قلب و انديشه اش پر از دلهره و اضطراب بود،</w:t>
      </w:r>
    </w:p>
    <w:p w:rsidR="009868FC" w:rsidRPr="009868FC" w:rsidP="003C0EF5">
      <w:pPr>
        <w:widowControl w:val="0"/>
        <w:spacing w:line="420" w:lineRule="exact"/>
        <w:ind w:left="0" w:right="0"/>
        <w:jc w:val="both"/>
        <w:rPr>
          <w:rFonts w:cs="B Zar" w:hint="cs"/>
          <w:i/>
          <w:rtl/>
        </w:rPr>
      </w:pPr>
      <w:r w:rsidRPr="009868FC">
        <w:rPr>
          <w:rFonts w:cs="B Zar" w:hint="cs"/>
          <w:i/>
          <w:rtl/>
        </w:rPr>
        <w:t>سرمدهوسدن (كريشنا) چنين گفت:</w:t>
      </w:r>
    </w:p>
    <w:p w:rsidR="009868FC" w:rsidRPr="009868FC" w:rsidP="003C0EF5">
      <w:pPr>
        <w:widowControl w:val="0"/>
        <w:spacing w:line="420" w:lineRule="exact"/>
        <w:ind w:left="0" w:right="0"/>
        <w:jc w:val="both"/>
        <w:rPr>
          <w:rFonts w:cs="B Zar" w:hint="cs"/>
          <w:rtl/>
        </w:rPr>
      </w:pPr>
      <w:r w:rsidRPr="009868FC">
        <w:rPr>
          <w:rFonts w:cs="B Zar" w:hint="cs"/>
          <w:rtl/>
        </w:rPr>
        <w:t>2-2: چسان دستخوش ياس شدي اي آرجون؟</w:t>
      </w:r>
    </w:p>
    <w:p w:rsidR="009868FC" w:rsidRPr="009868FC" w:rsidP="003C0EF5">
      <w:pPr>
        <w:widowControl w:val="0"/>
        <w:spacing w:line="420" w:lineRule="exact"/>
        <w:ind w:left="0" w:right="0"/>
        <w:jc w:val="both"/>
        <w:rPr>
          <w:rFonts w:cs="B Zar" w:hint="cs"/>
          <w:rtl/>
        </w:rPr>
      </w:pPr>
      <w:r w:rsidRPr="009868FC">
        <w:rPr>
          <w:rFonts w:cs="B Zar" w:hint="cs"/>
          <w:rtl/>
        </w:rPr>
        <w:t>كي قهرمانان آريايي(44)</w:t>
      </w:r>
      <w:r>
        <w:rPr>
          <w:rStyle w:val="FootnoteReference"/>
          <w:rFonts w:cs="B Zar"/>
          <w:iCs/>
          <w:sz w:val="28"/>
          <w:szCs w:val="28"/>
          <w:rtl/>
        </w:rPr>
        <w:footnoteReference w:id="756"/>
      </w:r>
      <w:r w:rsidRPr="009868FC">
        <w:rPr>
          <w:rFonts w:cs="B Zar" w:hint="cs"/>
          <w:rtl/>
        </w:rPr>
        <w:t xml:space="preserve"> چنين حالتي را داشته اند!</w:t>
      </w:r>
    </w:p>
    <w:p w:rsidR="009868FC" w:rsidRPr="009868FC" w:rsidP="003C0EF5">
      <w:pPr>
        <w:widowControl w:val="0"/>
        <w:spacing w:line="420" w:lineRule="exact"/>
        <w:ind w:left="0" w:right="0"/>
        <w:jc w:val="both"/>
        <w:rPr>
          <w:rFonts w:cs="B Zar" w:hint="cs"/>
          <w:rtl/>
        </w:rPr>
      </w:pPr>
      <w:r w:rsidRPr="009868FC">
        <w:rPr>
          <w:rFonts w:cs="B Zar" w:hint="cs"/>
          <w:rtl/>
        </w:rPr>
        <w:t>كه موجب برباد رفتن آبرو و رانده شدن از بهشت است.</w:t>
      </w:r>
    </w:p>
    <w:p w:rsidR="009868FC" w:rsidRPr="009868FC" w:rsidP="003C0EF5">
      <w:pPr>
        <w:widowControl w:val="0"/>
        <w:spacing w:line="420" w:lineRule="exact"/>
        <w:ind w:left="0" w:right="0"/>
        <w:jc w:val="both"/>
        <w:rPr>
          <w:rFonts w:cs="B Zar" w:hint="cs"/>
          <w:rtl/>
        </w:rPr>
      </w:pPr>
      <w:r w:rsidRPr="009868FC">
        <w:rPr>
          <w:rFonts w:cs="B Zar" w:hint="cs"/>
          <w:rtl/>
        </w:rPr>
        <w:t>2-3: اي فرزند پرتها! مردانگي ات را حفظ كن.</w:t>
      </w:r>
    </w:p>
    <w:p w:rsidR="009868FC" w:rsidRPr="009868FC" w:rsidP="003C0EF5">
      <w:pPr>
        <w:widowControl w:val="0"/>
        <w:spacing w:line="420" w:lineRule="exact"/>
        <w:ind w:left="0" w:right="0"/>
        <w:jc w:val="both"/>
        <w:rPr>
          <w:rFonts w:cs="B Zar" w:hint="cs"/>
          <w:rtl/>
        </w:rPr>
      </w:pPr>
      <w:r w:rsidRPr="009868FC">
        <w:rPr>
          <w:rFonts w:cs="B Zar" w:hint="cs"/>
          <w:rtl/>
        </w:rPr>
        <w:t>حزن و اندوه ترا نشايد</w:t>
      </w:r>
    </w:p>
    <w:p w:rsidR="009868FC" w:rsidRPr="009868FC" w:rsidP="003C0EF5">
      <w:pPr>
        <w:widowControl w:val="0"/>
        <w:spacing w:line="420" w:lineRule="exact"/>
        <w:ind w:left="0" w:right="0"/>
        <w:jc w:val="both"/>
        <w:rPr>
          <w:rFonts w:cs="B Zar" w:hint="cs"/>
          <w:rtl/>
        </w:rPr>
      </w:pPr>
      <w:r w:rsidRPr="009868FC">
        <w:rPr>
          <w:rFonts w:cs="B Zar" w:hint="cs"/>
          <w:rtl/>
        </w:rPr>
        <w:t>اي نابود كننده دشمنان!</w:t>
      </w:r>
    </w:p>
    <w:p w:rsidR="009868FC" w:rsidRPr="009868FC" w:rsidP="003C0EF5">
      <w:pPr>
        <w:widowControl w:val="0"/>
        <w:spacing w:line="420" w:lineRule="exact"/>
        <w:ind w:left="0" w:right="0"/>
        <w:jc w:val="both"/>
        <w:rPr>
          <w:rFonts w:cs="B Zar" w:hint="cs"/>
          <w:rtl/>
        </w:rPr>
      </w:pPr>
      <w:r w:rsidRPr="009868FC">
        <w:rPr>
          <w:rFonts w:cs="B Zar" w:hint="cs"/>
          <w:rtl/>
        </w:rPr>
        <w:t>كمرت را محكم ببند، برخيز و بستيز.</w:t>
      </w:r>
    </w:p>
    <w:p w:rsidR="009868FC" w:rsidRPr="009868FC" w:rsidP="003C0EF5">
      <w:pPr>
        <w:widowControl w:val="0"/>
        <w:spacing w:line="420" w:lineRule="exact"/>
        <w:ind w:left="0" w:right="0"/>
        <w:jc w:val="both"/>
        <w:rPr>
          <w:rFonts w:cs="B Zar" w:hint="cs"/>
          <w:rtl/>
        </w:rPr>
      </w:pPr>
      <w:r w:rsidRPr="009868FC">
        <w:rPr>
          <w:rFonts w:cs="B Zar" w:hint="cs"/>
          <w:rtl/>
        </w:rPr>
        <w:t>در ميان ياس و ترديد و دودلي، آرجون اين صداي كريشنا را مي‌شنود. كريشنا براي رهاساختن آرجون از دودلي و سستي، به شرف نژادي و خانوادگي او اشاره مي كند. اين نخستين دليل كريشنا است كه چرا آرجون نبايد اسلحه بر زمين بگذارد، امّا هنوز حالت اندوه، دلهره و دغدغه بر آرجون غلبه دارد. او چنان ادامه مي دهد.</w:t>
      </w:r>
    </w:p>
    <w:p w:rsidR="009868FC" w:rsidRPr="009868FC" w:rsidP="003C0EF5">
      <w:pPr>
        <w:widowControl w:val="0"/>
        <w:spacing w:line="420" w:lineRule="exact"/>
        <w:ind w:left="0" w:right="0"/>
        <w:jc w:val="both"/>
        <w:rPr>
          <w:rFonts w:cs="B Zar" w:hint="cs"/>
          <w:rtl/>
        </w:rPr>
      </w:pPr>
      <w:r w:rsidRPr="009868FC">
        <w:rPr>
          <w:rFonts w:cs="B Zar" w:hint="cs"/>
          <w:rtl/>
        </w:rPr>
        <w:t>2-4: آرجون چنين گفت:</w:t>
      </w:r>
    </w:p>
    <w:p w:rsidR="009868FC" w:rsidRPr="009868FC" w:rsidP="003C0EF5">
      <w:pPr>
        <w:widowControl w:val="0"/>
        <w:spacing w:line="420" w:lineRule="exact"/>
        <w:ind w:left="0" w:right="0"/>
        <w:jc w:val="both"/>
        <w:rPr>
          <w:rFonts w:cs="B Zar" w:hint="cs"/>
          <w:rtl/>
        </w:rPr>
      </w:pPr>
      <w:r w:rsidRPr="009868FC">
        <w:rPr>
          <w:rFonts w:cs="B Zar" w:hint="cs"/>
          <w:rtl/>
        </w:rPr>
        <w:t xml:space="preserve">چگونه با تير سينه معلمان خود درونا و بهيسم را </w:t>
      </w:r>
    </w:p>
    <w:p w:rsidR="009868FC" w:rsidRPr="009868FC" w:rsidP="003C0EF5">
      <w:pPr>
        <w:widowControl w:val="0"/>
        <w:spacing w:line="420" w:lineRule="exact"/>
        <w:ind w:left="0" w:right="0"/>
        <w:jc w:val="both"/>
        <w:rPr>
          <w:rFonts w:cs="B Zar" w:hint="cs"/>
          <w:rtl/>
        </w:rPr>
      </w:pPr>
      <w:r w:rsidRPr="009868FC">
        <w:rPr>
          <w:rFonts w:cs="B Zar" w:hint="cs"/>
          <w:rtl/>
        </w:rPr>
        <w:t>نشانه گيرم!؟</w:t>
      </w:r>
    </w:p>
    <w:p w:rsidR="009868FC" w:rsidRPr="009868FC" w:rsidP="003C0EF5">
      <w:pPr>
        <w:widowControl w:val="0"/>
        <w:spacing w:line="420" w:lineRule="exact"/>
        <w:ind w:left="0" w:right="0"/>
        <w:jc w:val="both"/>
        <w:rPr>
          <w:rFonts w:cs="B Zar" w:hint="cs"/>
          <w:rtl/>
        </w:rPr>
      </w:pPr>
      <w:r w:rsidRPr="009868FC">
        <w:rPr>
          <w:rFonts w:cs="B Zar" w:hint="cs"/>
          <w:rtl/>
        </w:rPr>
        <w:t>اي مدهو سدن (45)</w:t>
      </w:r>
      <w:r>
        <w:rPr>
          <w:rStyle w:val="FootnoteReference"/>
          <w:rFonts w:cs="B Zar"/>
          <w:iCs/>
          <w:sz w:val="28"/>
          <w:szCs w:val="28"/>
          <w:rtl/>
        </w:rPr>
        <w:footnoteReference w:id="757"/>
      </w:r>
      <w:r w:rsidRPr="009868FC">
        <w:rPr>
          <w:rFonts w:cs="B Zar" w:hint="cs"/>
          <w:rtl/>
        </w:rPr>
        <w:t xml:space="preserve"> آنان شايسته پرستش اند.</w:t>
      </w:r>
    </w:p>
    <w:p w:rsidR="009868FC" w:rsidRPr="009868FC" w:rsidP="003C0EF5">
      <w:pPr>
        <w:widowControl w:val="0"/>
        <w:spacing w:line="420" w:lineRule="exact"/>
        <w:ind w:left="0" w:right="0"/>
        <w:jc w:val="both"/>
        <w:rPr>
          <w:rFonts w:cs="B Zar" w:hint="cs"/>
          <w:rtl/>
        </w:rPr>
      </w:pPr>
      <w:r w:rsidRPr="009868FC">
        <w:rPr>
          <w:rFonts w:cs="B Zar" w:hint="cs"/>
          <w:rtl/>
        </w:rPr>
        <w:t>2-5: در به دري، گدايي، بهتر از كشتن عزيزان.</w:t>
      </w:r>
    </w:p>
    <w:p w:rsidR="009868FC" w:rsidRPr="009868FC" w:rsidP="003C0EF5">
      <w:pPr>
        <w:widowControl w:val="0"/>
        <w:spacing w:line="420" w:lineRule="exact"/>
        <w:ind w:left="0" w:right="0"/>
        <w:jc w:val="both"/>
        <w:rPr>
          <w:rFonts w:cs="B Zar" w:hint="cs"/>
          <w:rtl/>
        </w:rPr>
      </w:pPr>
      <w:r w:rsidRPr="009868FC">
        <w:rPr>
          <w:rFonts w:cs="B Zar" w:hint="cs"/>
          <w:rtl/>
        </w:rPr>
        <w:t>گيرم كه آنان تشنه خون من اند براي من شكوه و شوكت سلطنت</w:t>
      </w:r>
    </w:p>
    <w:p w:rsidR="009868FC" w:rsidRPr="009868FC" w:rsidP="003C0EF5">
      <w:pPr>
        <w:widowControl w:val="0"/>
        <w:spacing w:line="420" w:lineRule="exact"/>
        <w:ind w:left="0" w:right="0"/>
        <w:jc w:val="both"/>
        <w:rPr>
          <w:rFonts w:cs="B Zar" w:hint="cs"/>
          <w:rtl/>
        </w:rPr>
      </w:pPr>
      <w:r w:rsidRPr="009868FC">
        <w:rPr>
          <w:rFonts w:cs="B Zar" w:hint="cs"/>
          <w:rtl/>
        </w:rPr>
        <w:t>با آغشتن در خون بزرگان و معلمان،</w:t>
      </w:r>
    </w:p>
    <w:p w:rsidR="009868FC" w:rsidRPr="009868FC" w:rsidP="003C0EF5">
      <w:pPr>
        <w:widowControl w:val="0"/>
        <w:spacing w:line="420" w:lineRule="exact"/>
        <w:ind w:left="0" w:right="0"/>
        <w:jc w:val="both"/>
        <w:rPr>
          <w:rFonts w:cs="B Zar" w:hint="cs"/>
          <w:rtl/>
        </w:rPr>
      </w:pPr>
      <w:r w:rsidRPr="009868FC">
        <w:rPr>
          <w:rFonts w:cs="B Zar" w:hint="cs"/>
          <w:rtl/>
        </w:rPr>
        <w:t>به پشيزي  نمي ارزد!</w:t>
      </w:r>
    </w:p>
    <w:p w:rsidR="009868FC" w:rsidRPr="009868FC" w:rsidP="003C0EF5">
      <w:pPr>
        <w:widowControl w:val="0"/>
        <w:spacing w:line="420" w:lineRule="exact"/>
        <w:ind w:left="0" w:right="0"/>
        <w:jc w:val="both"/>
        <w:rPr>
          <w:rFonts w:cs="B Zar" w:hint="cs"/>
          <w:rtl/>
        </w:rPr>
      </w:pPr>
      <w:r w:rsidRPr="009868FC">
        <w:rPr>
          <w:rFonts w:cs="B Zar" w:hint="cs"/>
          <w:rtl/>
        </w:rPr>
        <w:t>(ردهرزپر دگ هان) به معناي درخون آغشته شده است. در لابه‌لاي صفحات تاريخ، تمام دستاوردهاي شاهان بزرگ، مالكان نام‌آور، صاحبان زور و زر با «خون» آغشته است. در نظر آرجون اين مال و حشم، ذره‌اي ارزش ندارد.</w:t>
      </w:r>
    </w:p>
    <w:p w:rsidR="009868FC" w:rsidRPr="009868FC" w:rsidP="003C0EF5">
      <w:pPr>
        <w:widowControl w:val="0"/>
        <w:spacing w:line="420" w:lineRule="exact"/>
        <w:ind w:left="0" w:right="0"/>
        <w:jc w:val="both"/>
        <w:rPr>
          <w:rFonts w:cs="B Zar" w:hint="cs"/>
          <w:rtl/>
        </w:rPr>
      </w:pPr>
      <w:r w:rsidRPr="009868FC">
        <w:rPr>
          <w:rFonts w:cs="B Zar" w:hint="cs"/>
          <w:rtl/>
        </w:rPr>
        <w:t xml:space="preserve">سري دهر مي گويد: </w:t>
      </w:r>
      <w:r w:rsidRPr="009868FC">
        <w:rPr>
          <w:rFonts w:cs="B Zar" w:hint="cs"/>
          <w:i/>
          <w:rtl/>
        </w:rPr>
        <w:t>«آرجون به طور ضمني به كريشنا پاسخ مي دهد: من به خاطر ترس، جوازي براي ريختن خون عزيزان در دست ندارم.»</w:t>
      </w:r>
      <w:r w:rsidRPr="009868FC">
        <w:rPr>
          <w:rFonts w:cs="B Zar" w:hint="cs"/>
          <w:rtl/>
        </w:rPr>
        <w:t>(125) رامانوجا نيز در تفسير خود مي‌نويسد. هراس و دودلي آرجون، به خاطر كمبود شهامت نيست، بلكه به خاطر آن است كه در تشخيص وظيفه اش و حق و درستي درمانده است. احساس محبت و ترحم نسبت به بستگان و احساس ارادت به استادان و معلمان، او را از پا درآورده، اما بعداً به توجيه اخلاقي و اجتماعي قضيه نيز مي‌پردازد. در زندگي عملي نيز اكثراً چنان است. انسان به خاطر عواطف و احساسات تصميم مي‌گيرد، سپس با طرح نكات اخلاقي ـ اجتماعي و عقيدتي آنرا توجيه مي‌كند. هنوز آرجون زنجير عواطف و عمل دلبسته به نتايج را در هم نشكسته  و هنر انجام عمل بدون دلبستگي به نتايج را ياد نگرفته است. هنوز در ترديد است. نمي داند وظيفه اش چيست. مي‌گويد:</w:t>
      </w:r>
    </w:p>
    <w:p w:rsidR="009868FC" w:rsidRPr="009868FC" w:rsidP="003C0EF5">
      <w:pPr>
        <w:widowControl w:val="0"/>
        <w:spacing w:line="420" w:lineRule="exact"/>
        <w:ind w:left="0" w:right="0"/>
        <w:jc w:val="both"/>
        <w:rPr>
          <w:rFonts w:cs="B Zar" w:hint="cs"/>
          <w:i/>
          <w:rtl/>
        </w:rPr>
      </w:pPr>
      <w:r w:rsidRPr="009868FC">
        <w:rPr>
          <w:rFonts w:cs="B Zar" w:hint="cs"/>
          <w:i/>
          <w:rtl/>
        </w:rPr>
        <w:t>2-6: من نمي دانم،</w:t>
      </w:r>
    </w:p>
    <w:p w:rsidR="009868FC" w:rsidRPr="009868FC" w:rsidP="003C0EF5">
      <w:pPr>
        <w:widowControl w:val="0"/>
        <w:spacing w:line="420" w:lineRule="exact"/>
        <w:ind w:left="0" w:right="0"/>
        <w:jc w:val="both"/>
        <w:rPr>
          <w:rFonts w:cs="B Zar" w:hint="cs"/>
          <w:rtl/>
        </w:rPr>
      </w:pPr>
      <w:r w:rsidRPr="009868FC">
        <w:rPr>
          <w:rFonts w:cs="B Zar" w:hint="cs"/>
          <w:rtl/>
        </w:rPr>
        <w:t>شكست يا پيروزي، كشته شدن يا ماندن، كدامين؟</w:t>
      </w:r>
    </w:p>
    <w:p w:rsidR="009868FC" w:rsidRPr="009868FC" w:rsidP="003C0EF5">
      <w:pPr>
        <w:widowControl w:val="0"/>
        <w:spacing w:line="420" w:lineRule="exact"/>
        <w:ind w:left="0" w:right="0"/>
        <w:jc w:val="both"/>
        <w:rPr>
          <w:rFonts w:cs="B Zar" w:hint="cs"/>
          <w:rtl/>
        </w:rPr>
      </w:pPr>
      <w:r w:rsidRPr="009868FC">
        <w:rPr>
          <w:rFonts w:cs="B Zar" w:hint="cs"/>
          <w:rtl/>
        </w:rPr>
        <w:t>عموزادگانم، فرزندان دهرتراشتر در صف مقابل اند.</w:t>
      </w:r>
    </w:p>
    <w:p w:rsidR="009868FC" w:rsidRPr="009868FC" w:rsidP="003C0EF5">
      <w:pPr>
        <w:widowControl w:val="0"/>
        <w:spacing w:line="420" w:lineRule="exact"/>
        <w:ind w:left="0" w:right="0"/>
        <w:jc w:val="both"/>
        <w:rPr>
          <w:rFonts w:cs="B Zar" w:hint="cs"/>
          <w:rtl/>
        </w:rPr>
      </w:pPr>
      <w:r w:rsidRPr="009868FC">
        <w:rPr>
          <w:rFonts w:cs="B Zar" w:hint="cs"/>
          <w:rtl/>
        </w:rPr>
        <w:t>پس از كشتن آنان،</w:t>
      </w:r>
    </w:p>
    <w:p w:rsidR="009868FC" w:rsidRPr="009868FC" w:rsidP="003C0EF5">
      <w:pPr>
        <w:widowControl w:val="0"/>
        <w:spacing w:line="420" w:lineRule="exact"/>
        <w:ind w:left="0" w:right="0"/>
        <w:jc w:val="both"/>
        <w:rPr>
          <w:rFonts w:cs="B Zar" w:hint="cs"/>
          <w:rtl/>
        </w:rPr>
      </w:pPr>
      <w:r w:rsidRPr="009868FC">
        <w:rPr>
          <w:rFonts w:cs="B Zar" w:hint="cs"/>
          <w:rtl/>
        </w:rPr>
        <w:t>چه ارزشي دارد زندگي!؟</w:t>
      </w:r>
    </w:p>
    <w:p w:rsidR="009868FC" w:rsidRPr="009868FC" w:rsidP="003C0EF5">
      <w:pPr>
        <w:widowControl w:val="0"/>
        <w:spacing w:line="420" w:lineRule="exact"/>
        <w:ind w:left="0" w:right="0"/>
        <w:jc w:val="both"/>
        <w:rPr>
          <w:rFonts w:cs="B Zar" w:hint="cs"/>
          <w:rtl/>
        </w:rPr>
      </w:pPr>
      <w:r w:rsidRPr="009868FC">
        <w:rPr>
          <w:rFonts w:cs="B Zar" w:hint="cs"/>
          <w:rtl/>
        </w:rPr>
        <w:t>2-7: اي كريشنا!</w:t>
      </w:r>
    </w:p>
    <w:p w:rsidR="009868FC" w:rsidRPr="009868FC" w:rsidP="003C0EF5">
      <w:pPr>
        <w:widowControl w:val="0"/>
        <w:spacing w:line="420" w:lineRule="exact"/>
        <w:ind w:left="0" w:right="0"/>
        <w:jc w:val="both"/>
        <w:rPr>
          <w:rFonts w:cs="B Zar" w:hint="cs"/>
          <w:rtl/>
        </w:rPr>
      </w:pPr>
      <w:r w:rsidRPr="009868FC">
        <w:rPr>
          <w:rFonts w:cs="B Zar" w:hint="cs"/>
          <w:rtl/>
        </w:rPr>
        <w:t>احساسم را گم كرده ام.</w:t>
      </w:r>
    </w:p>
    <w:p w:rsidR="009868FC" w:rsidRPr="009868FC" w:rsidP="003C0EF5">
      <w:pPr>
        <w:widowControl w:val="0"/>
        <w:spacing w:line="420" w:lineRule="exact"/>
        <w:ind w:left="0" w:right="0"/>
        <w:jc w:val="both"/>
        <w:rPr>
          <w:rFonts w:cs="B Zar" w:hint="cs"/>
          <w:rtl/>
        </w:rPr>
      </w:pPr>
      <w:r w:rsidRPr="009868FC">
        <w:rPr>
          <w:rFonts w:cs="B Zar" w:hint="cs"/>
          <w:rtl/>
        </w:rPr>
        <w:t>فكرم در تاريكي دست و پا مي زند.</w:t>
      </w:r>
    </w:p>
    <w:p w:rsidR="009868FC" w:rsidRPr="009868FC" w:rsidP="003C0EF5">
      <w:pPr>
        <w:widowControl w:val="0"/>
        <w:spacing w:line="420" w:lineRule="exact"/>
        <w:ind w:left="0" w:right="0"/>
        <w:jc w:val="both"/>
        <w:rPr>
          <w:rFonts w:cs="B Zar" w:hint="cs"/>
          <w:rtl/>
        </w:rPr>
      </w:pPr>
      <w:r w:rsidRPr="009868FC">
        <w:rPr>
          <w:rFonts w:cs="B Zar" w:hint="cs"/>
          <w:rtl/>
        </w:rPr>
        <w:t>بگو اي مرشد! وظيفه ام چيست؟ تكليفم چسان است؟</w:t>
      </w:r>
    </w:p>
    <w:p w:rsidR="009868FC" w:rsidRPr="009868FC" w:rsidP="003C0EF5">
      <w:pPr>
        <w:widowControl w:val="0"/>
        <w:spacing w:line="420" w:lineRule="exact"/>
        <w:ind w:left="0" w:right="0"/>
        <w:jc w:val="both"/>
        <w:rPr>
          <w:rFonts w:cs="B Zar" w:hint="cs"/>
          <w:rtl/>
        </w:rPr>
      </w:pPr>
      <w:r w:rsidRPr="009868FC">
        <w:rPr>
          <w:rFonts w:cs="B Zar" w:hint="cs"/>
          <w:rtl/>
        </w:rPr>
        <w:t>من شاگرد توام، به تو پناه مي برم.</w:t>
      </w:r>
    </w:p>
    <w:p w:rsidR="009868FC" w:rsidRPr="009868FC" w:rsidP="003C0EF5">
      <w:pPr>
        <w:widowControl w:val="0"/>
        <w:spacing w:line="420" w:lineRule="exact"/>
        <w:ind w:left="0" w:right="0"/>
        <w:jc w:val="both"/>
        <w:rPr>
          <w:rFonts w:cs="B Zar" w:hint="cs"/>
          <w:rtl/>
        </w:rPr>
      </w:pPr>
      <w:r w:rsidRPr="009868FC">
        <w:rPr>
          <w:rFonts w:cs="B Zar" w:hint="cs"/>
          <w:rtl/>
        </w:rPr>
        <w:t>اين دو بيت، «عقده آرجوني» را به وضوح منعكس مي‌سازد. آرجون به طور عمده درباره وظيفه خود در حال ترديد است. اين حالت هنگامي به وجود مي‌آيد كه انسان حق جو و جستجوگر مجاهد، هنوز در مورد اهداف خود توجيه نشده باشد.</w:t>
      </w:r>
    </w:p>
    <w:p w:rsidR="009868FC" w:rsidRPr="009868FC" w:rsidP="003C0EF5">
      <w:pPr>
        <w:widowControl w:val="0"/>
        <w:spacing w:line="420" w:lineRule="exact"/>
        <w:ind w:left="0" w:right="0"/>
        <w:jc w:val="both"/>
        <w:rPr>
          <w:rFonts w:cs="B Zar" w:hint="cs"/>
          <w:rtl/>
        </w:rPr>
      </w:pPr>
      <w:r w:rsidRPr="009868FC">
        <w:rPr>
          <w:rFonts w:cs="B Zar" w:hint="cs"/>
          <w:rtl/>
        </w:rPr>
        <w:t>آرجون از كريشنا «نس چي تم»، يعني يقين مي خواهد. شك در سير و سلوك، مقدمه يقين است. احساس نقص، نشانه استعداد تكامل فرد است. در سير و سلوك عرفاني، گاه سالك براي رضاي الهي، اينگونه حالت ياس و دودلي را احساس مي‌كند. برخي از بزرگترين ادبيات عرفاني دنيا، ناشي از اين حالت است. در آستانه روشن شدن چراغ هدايت، نخست دود بلند مي شود. «عقده آرجوني»، اين دود پيش از روشن شدن شمع هدايت است.</w:t>
      </w:r>
    </w:p>
    <w:p w:rsidR="009868FC" w:rsidRPr="009868FC" w:rsidP="003C0EF5">
      <w:pPr>
        <w:widowControl w:val="0"/>
        <w:spacing w:line="420" w:lineRule="exact"/>
        <w:ind w:left="0" w:right="0"/>
        <w:jc w:val="both"/>
        <w:rPr>
          <w:rFonts w:cs="B Zar" w:hint="cs"/>
          <w:rtl/>
        </w:rPr>
      </w:pPr>
      <w:r w:rsidRPr="009868FC">
        <w:rPr>
          <w:rFonts w:cs="B Zar" w:hint="cs"/>
          <w:rtl/>
        </w:rPr>
        <w:t>اما در اين مرحله هنوز آرجون دارد به اوج حالت ياس و حرمان نزديك مي شود. سپس او تصميم خود را مي گيرد. يك تصميم منفي، نمي‌جنگم:</w:t>
      </w:r>
    </w:p>
    <w:p w:rsidR="009868FC" w:rsidRPr="009868FC" w:rsidP="003C0EF5">
      <w:pPr>
        <w:widowControl w:val="0"/>
        <w:spacing w:line="420" w:lineRule="exact"/>
        <w:ind w:left="0" w:right="0"/>
        <w:jc w:val="both"/>
        <w:rPr>
          <w:rFonts w:cs="B Zar" w:hint="cs"/>
          <w:i/>
          <w:rtl/>
        </w:rPr>
      </w:pPr>
      <w:r w:rsidRPr="009868FC">
        <w:rPr>
          <w:rFonts w:cs="B Zar" w:hint="cs"/>
          <w:i/>
          <w:rtl/>
        </w:rPr>
        <w:t>2-8: هيچ چيز مرا از دلهره</w:t>
      </w:r>
    </w:p>
    <w:p w:rsidR="009868FC" w:rsidRPr="009868FC" w:rsidP="003C0EF5">
      <w:pPr>
        <w:widowControl w:val="0"/>
        <w:spacing w:line="420" w:lineRule="exact"/>
        <w:ind w:left="0" w:right="0"/>
        <w:jc w:val="both"/>
        <w:rPr>
          <w:rFonts w:cs="B Zar" w:hint="cs"/>
          <w:rtl/>
        </w:rPr>
      </w:pPr>
      <w:r w:rsidRPr="009868FC">
        <w:rPr>
          <w:rFonts w:cs="B Zar" w:hint="cs"/>
          <w:rtl/>
        </w:rPr>
        <w:t>نجات نمي دهد.</w:t>
      </w:r>
    </w:p>
    <w:p w:rsidR="009868FC" w:rsidRPr="009868FC" w:rsidP="003C0EF5">
      <w:pPr>
        <w:widowControl w:val="0"/>
        <w:spacing w:line="420" w:lineRule="exact"/>
        <w:ind w:left="0" w:right="0"/>
        <w:jc w:val="both"/>
        <w:rPr>
          <w:rFonts w:cs="B Zar" w:hint="cs"/>
          <w:rtl/>
        </w:rPr>
      </w:pPr>
      <w:r w:rsidRPr="009868FC">
        <w:rPr>
          <w:rFonts w:cs="B Zar" w:hint="cs"/>
          <w:rtl/>
        </w:rPr>
        <w:t>شكوه و شوكت جهان، نه</w:t>
      </w:r>
    </w:p>
    <w:p w:rsidR="009868FC" w:rsidRPr="009868FC" w:rsidP="003C0EF5">
      <w:pPr>
        <w:widowControl w:val="0"/>
        <w:spacing w:line="420" w:lineRule="exact"/>
        <w:ind w:left="0" w:right="0"/>
        <w:jc w:val="both"/>
        <w:rPr>
          <w:rFonts w:cs="B Zar" w:hint="cs"/>
          <w:rtl/>
        </w:rPr>
      </w:pPr>
      <w:r w:rsidRPr="009868FC">
        <w:rPr>
          <w:rFonts w:cs="B Zar" w:hint="cs"/>
          <w:rtl/>
        </w:rPr>
        <w:t>بلنداي عرش خدايان! نه</w:t>
      </w:r>
    </w:p>
    <w:p w:rsidR="009868FC" w:rsidRPr="009868FC" w:rsidP="003C0EF5">
      <w:pPr>
        <w:widowControl w:val="0"/>
        <w:spacing w:line="420" w:lineRule="exact"/>
        <w:ind w:left="0" w:right="0"/>
        <w:jc w:val="both"/>
        <w:rPr>
          <w:rFonts w:cs="B Zar" w:hint="cs"/>
          <w:rtl/>
        </w:rPr>
      </w:pPr>
      <w:r w:rsidRPr="009868FC">
        <w:rPr>
          <w:rFonts w:cs="B Zar" w:hint="cs"/>
          <w:rtl/>
        </w:rPr>
        <w:t>2-9: سانجي گفت:</w:t>
      </w:r>
    </w:p>
    <w:p w:rsidR="009868FC" w:rsidRPr="009868FC" w:rsidP="003C0EF5">
      <w:pPr>
        <w:widowControl w:val="0"/>
        <w:spacing w:line="420" w:lineRule="exact"/>
        <w:ind w:left="0" w:right="0"/>
        <w:jc w:val="both"/>
        <w:rPr>
          <w:rFonts w:cs="B Zar" w:hint="cs"/>
          <w:rtl/>
        </w:rPr>
      </w:pPr>
      <w:r w:rsidRPr="009868FC">
        <w:rPr>
          <w:rFonts w:cs="B Zar" w:hint="cs"/>
          <w:rtl/>
        </w:rPr>
        <w:t>شاها!</w:t>
      </w:r>
    </w:p>
    <w:p w:rsidR="009868FC" w:rsidRPr="009868FC" w:rsidP="003C0EF5">
      <w:pPr>
        <w:widowControl w:val="0"/>
        <w:spacing w:line="420" w:lineRule="exact"/>
        <w:ind w:left="0" w:right="0"/>
        <w:jc w:val="both"/>
        <w:rPr>
          <w:rFonts w:cs="B Zar" w:hint="cs"/>
          <w:rtl/>
        </w:rPr>
      </w:pPr>
      <w:r w:rsidRPr="009868FC">
        <w:rPr>
          <w:rFonts w:cs="B Zar" w:hint="cs"/>
          <w:rtl/>
        </w:rPr>
        <w:t>چون آرجون تهمتن چنان گفت به گوندا</w:t>
      </w:r>
    </w:p>
    <w:p w:rsidR="009868FC" w:rsidRPr="009868FC" w:rsidP="003C0EF5">
      <w:pPr>
        <w:widowControl w:val="0"/>
        <w:spacing w:line="420" w:lineRule="exact"/>
        <w:ind w:left="0" w:right="0"/>
        <w:jc w:val="both"/>
        <w:rPr>
          <w:rFonts w:cs="B Zar" w:hint="cs"/>
          <w:rtl/>
        </w:rPr>
      </w:pPr>
      <w:r w:rsidRPr="009868FC">
        <w:rPr>
          <w:rFonts w:cs="B Zar" w:hint="cs"/>
          <w:rtl/>
        </w:rPr>
        <w:t>سلاح را دور انداخت.</w:t>
      </w:r>
    </w:p>
    <w:p w:rsidR="009868FC" w:rsidRPr="009868FC" w:rsidP="003C0EF5">
      <w:pPr>
        <w:widowControl w:val="0"/>
        <w:spacing w:line="420" w:lineRule="exact"/>
        <w:ind w:left="0" w:right="0"/>
        <w:jc w:val="both"/>
        <w:rPr>
          <w:rFonts w:cs="B Zar" w:hint="cs"/>
          <w:rtl/>
        </w:rPr>
      </w:pPr>
      <w:r w:rsidRPr="009868FC">
        <w:rPr>
          <w:rFonts w:cs="B Zar" w:hint="cs"/>
          <w:rtl/>
        </w:rPr>
        <w:t>زير لب گفت:</w:t>
      </w:r>
    </w:p>
    <w:p w:rsidR="009868FC" w:rsidRPr="009868FC" w:rsidP="003C0EF5">
      <w:pPr>
        <w:widowControl w:val="0"/>
        <w:spacing w:line="420" w:lineRule="exact"/>
        <w:ind w:left="0" w:right="0"/>
        <w:jc w:val="both"/>
        <w:rPr>
          <w:rFonts w:cs="B Zar" w:hint="cs"/>
          <w:rtl/>
        </w:rPr>
      </w:pPr>
      <w:r w:rsidRPr="009868FC">
        <w:rPr>
          <w:rFonts w:cs="B Zar" w:hint="cs"/>
          <w:rtl/>
        </w:rPr>
        <w:t>نمي جنگم!!</w:t>
      </w:r>
    </w:p>
    <w:p w:rsidR="009868FC" w:rsidRPr="009868FC" w:rsidP="003C0EF5">
      <w:pPr>
        <w:widowControl w:val="0"/>
        <w:spacing w:line="420" w:lineRule="exact"/>
        <w:ind w:left="0" w:right="0"/>
        <w:jc w:val="both"/>
        <w:rPr>
          <w:rFonts w:cs="B Zar" w:hint="cs"/>
          <w:rtl/>
        </w:rPr>
      </w:pPr>
      <w:r w:rsidRPr="009868FC">
        <w:rPr>
          <w:rFonts w:cs="B Zar" w:hint="cs"/>
          <w:rtl/>
        </w:rPr>
        <w:t>آرجون كه در دو راهه قرار داشت، از يكسو وظيفه شغلي و كاستي او جنگيدن و احقاق حق به عنوان يك سردار كشاتريا بود، از سوي ديگر وجدانش راضي نمي‌شد نزديكان و معلمان خود را بكشد. تصميم گرفته است كه «عقده آرجوني»، دلهره و دغدغه كارزار با خويشان او را از پا در آورد. او مي‌گويد. «نايت سيه» نمي جنگم. وقتي بحران روحي به اوج مي‌رسد، انسان  از معركه كنار مي رود و سپس يك احساس اطمينان و آرامش كاذب پيدا مي‌شود. «توسينم بهابهو»، پس آرجون در سكوت فرو رفت. «فارغ البال نشست». وقتي انسان تصميم منفي مي‌گيرد، ديگر صدايي نيست، گويي تارهاي مضراب شكسته‌اند، اما مرشدي بايد باشد كه تارها را حركت دهد و مضراب را دوباره به صدا در آورد. (126)</w:t>
      </w:r>
    </w:p>
    <w:p w:rsidR="009868FC" w:rsidRPr="009868FC" w:rsidP="003C0EF5">
      <w:pPr>
        <w:widowControl w:val="0"/>
        <w:spacing w:line="420" w:lineRule="exact"/>
        <w:ind w:left="0" w:right="0"/>
        <w:jc w:val="both"/>
        <w:rPr>
          <w:rFonts w:cs="B Zar" w:hint="cs"/>
          <w:i/>
          <w:iCs/>
          <w:rtl/>
        </w:rPr>
      </w:pPr>
      <w:r w:rsidRPr="009868FC">
        <w:rPr>
          <w:rFonts w:cs="B Zar" w:hint="cs"/>
          <w:i/>
          <w:iCs/>
          <w:rtl/>
        </w:rPr>
        <w:t>2-10: وانگهي اي بارات (127)</w:t>
      </w:r>
    </w:p>
    <w:p w:rsidR="009868FC" w:rsidRPr="009868FC" w:rsidP="003C0EF5">
      <w:pPr>
        <w:widowControl w:val="0"/>
        <w:spacing w:line="420" w:lineRule="exact"/>
        <w:ind w:left="0" w:right="0"/>
        <w:jc w:val="both"/>
        <w:rPr>
          <w:rFonts w:cs="B Zar" w:hint="cs"/>
          <w:i/>
          <w:iCs/>
          <w:rtl/>
        </w:rPr>
      </w:pPr>
      <w:r w:rsidRPr="009868FC">
        <w:rPr>
          <w:rFonts w:cs="B Zar" w:hint="cs"/>
          <w:i/>
          <w:iCs/>
          <w:rtl/>
        </w:rPr>
        <w:t>به او كه اينچنين در گرما گرم كارزار خود را باخته بود.</w:t>
      </w:r>
    </w:p>
    <w:p w:rsidR="009868FC" w:rsidRPr="009868FC" w:rsidP="003C0EF5">
      <w:pPr>
        <w:widowControl w:val="0"/>
        <w:spacing w:line="420" w:lineRule="exact"/>
        <w:ind w:left="0" w:right="0"/>
        <w:jc w:val="both"/>
        <w:rPr>
          <w:rFonts w:cs="B Zar" w:hint="cs"/>
          <w:i/>
          <w:iCs/>
          <w:rtl/>
        </w:rPr>
      </w:pPr>
      <w:r w:rsidRPr="009868FC">
        <w:rPr>
          <w:rFonts w:cs="B Zar" w:hint="cs"/>
          <w:i/>
          <w:iCs/>
          <w:rtl/>
        </w:rPr>
        <w:t>هريسكيس (128) (كريشنا) چنين گفت:</w:t>
      </w:r>
    </w:p>
    <w:p w:rsidR="009868FC" w:rsidRPr="009868FC" w:rsidP="003C0EF5">
      <w:pPr>
        <w:widowControl w:val="0"/>
        <w:spacing w:line="420" w:lineRule="exact"/>
        <w:ind w:left="0" w:right="0"/>
        <w:jc w:val="both"/>
        <w:rPr>
          <w:rFonts w:cs="B Zar" w:hint="cs"/>
          <w:i/>
          <w:iCs/>
          <w:rtl/>
        </w:rPr>
      </w:pPr>
      <w:r w:rsidRPr="009868FC">
        <w:rPr>
          <w:rFonts w:cs="B Zar" w:hint="cs"/>
          <w:i/>
          <w:iCs/>
          <w:rtl/>
        </w:rPr>
        <w:t>با لبخندي مهرآميز!</w:t>
      </w:r>
    </w:p>
    <w:p w:rsidR="009868FC" w:rsidRPr="009868FC" w:rsidP="003C0EF5">
      <w:pPr>
        <w:widowControl w:val="0"/>
        <w:spacing w:line="420" w:lineRule="exact"/>
        <w:ind w:left="0" w:right="0"/>
        <w:jc w:val="both"/>
        <w:rPr>
          <w:rFonts w:cs="B Zar" w:hint="cs"/>
          <w:i/>
          <w:iCs/>
          <w:rtl/>
        </w:rPr>
      </w:pPr>
      <w:r w:rsidRPr="009868FC">
        <w:rPr>
          <w:rFonts w:cs="B Zar" w:hint="cs"/>
          <w:i/>
          <w:iCs/>
          <w:rtl/>
        </w:rPr>
        <w:t>2-11: خداوندگار فرمود:</w:t>
      </w:r>
    </w:p>
    <w:p w:rsidR="009868FC" w:rsidRPr="009868FC" w:rsidP="003C0EF5">
      <w:pPr>
        <w:widowControl w:val="0"/>
        <w:spacing w:line="420" w:lineRule="exact"/>
        <w:ind w:left="0" w:right="0"/>
        <w:jc w:val="both"/>
        <w:rPr>
          <w:rFonts w:cs="B Zar" w:hint="cs"/>
          <w:i/>
          <w:iCs/>
          <w:rtl/>
        </w:rPr>
      </w:pPr>
      <w:r w:rsidRPr="009868FC">
        <w:rPr>
          <w:rFonts w:cs="B Zar" w:hint="cs"/>
          <w:i/>
          <w:iCs/>
          <w:rtl/>
        </w:rPr>
        <w:t>اي آرجون! سخنان تو نغز و پر حكمت(129)،</w:t>
      </w:r>
    </w:p>
    <w:p w:rsidR="009868FC" w:rsidRPr="009868FC" w:rsidP="003C0EF5">
      <w:pPr>
        <w:widowControl w:val="0"/>
        <w:spacing w:line="420" w:lineRule="exact"/>
        <w:ind w:left="0" w:right="0"/>
        <w:jc w:val="both"/>
        <w:rPr>
          <w:rFonts w:cs="B Zar" w:hint="cs"/>
          <w:i/>
          <w:iCs/>
          <w:rtl/>
        </w:rPr>
      </w:pPr>
      <w:r w:rsidRPr="009868FC">
        <w:rPr>
          <w:rFonts w:cs="B Zar" w:hint="cs"/>
          <w:i/>
          <w:iCs/>
          <w:rtl/>
        </w:rPr>
        <w:t>اما اندوه تو براي كساني است كه شايسته آن نيستند.</w:t>
      </w:r>
    </w:p>
    <w:p w:rsidR="009868FC" w:rsidRPr="009868FC" w:rsidP="003C0EF5">
      <w:pPr>
        <w:widowControl w:val="0"/>
        <w:spacing w:line="420" w:lineRule="exact"/>
        <w:ind w:left="0" w:right="0"/>
        <w:jc w:val="both"/>
        <w:rPr>
          <w:rFonts w:cs="B Zar" w:hint="cs"/>
          <w:i/>
          <w:iCs/>
          <w:rtl/>
        </w:rPr>
      </w:pPr>
      <w:r w:rsidRPr="009868FC">
        <w:rPr>
          <w:rFonts w:cs="B Zar" w:hint="cs"/>
          <w:i/>
          <w:iCs/>
          <w:rtl/>
        </w:rPr>
        <w:t>صاحبان(130) علم نه براي زندگان اندوهگين شوند،</w:t>
      </w:r>
    </w:p>
    <w:p w:rsidR="009868FC" w:rsidRPr="009868FC" w:rsidP="003C0EF5">
      <w:pPr>
        <w:widowControl w:val="0"/>
        <w:spacing w:line="420" w:lineRule="exact"/>
        <w:ind w:left="0" w:right="0"/>
        <w:jc w:val="both"/>
        <w:rPr>
          <w:rFonts w:cs="B Zar" w:hint="cs"/>
          <w:i/>
          <w:iCs/>
          <w:rtl/>
        </w:rPr>
      </w:pPr>
      <w:r w:rsidRPr="009868FC">
        <w:rPr>
          <w:rFonts w:cs="B Zar" w:hint="cs"/>
          <w:i/>
          <w:iCs/>
          <w:rtl/>
        </w:rPr>
        <w:t>نه براي مردگان.</w:t>
      </w:r>
    </w:p>
    <w:p w:rsidR="009868FC" w:rsidRPr="009868FC" w:rsidP="003C0EF5">
      <w:pPr>
        <w:widowControl w:val="0"/>
        <w:spacing w:line="420" w:lineRule="exact"/>
        <w:ind w:left="0" w:right="0"/>
        <w:jc w:val="both"/>
        <w:rPr>
          <w:rFonts w:cs="B Zar" w:hint="cs"/>
          <w:rtl/>
        </w:rPr>
      </w:pPr>
      <w:r w:rsidRPr="009868FC">
        <w:rPr>
          <w:rFonts w:cs="B Zar" w:hint="cs"/>
          <w:i/>
          <w:rtl/>
        </w:rPr>
        <w:t xml:space="preserve">ميان مفسران اختلاف است. مقصود از سخنان پرحكمت آرجون چيست؟ ادگرتن مي گويد </w:t>
      </w:r>
      <w:r w:rsidRPr="009868FC">
        <w:rPr>
          <w:rFonts w:cs="B Zar" w:hint="cs"/>
          <w:iCs/>
          <w:rtl/>
        </w:rPr>
        <w:t>: «آرجون حكيم مابانه و روشنفكرگونه حرف زده است»</w:t>
      </w:r>
      <w:r w:rsidRPr="009868FC">
        <w:rPr>
          <w:rFonts w:cs="B Zar" w:hint="cs"/>
          <w:i/>
          <w:rtl/>
        </w:rPr>
        <w:t xml:space="preserve">. طبق نظر آناندگري و رامانوجا، مقصود از سخنان پرحكمت، اشاره به نظام كاست است؛ چرا كه كريشنا بر اين نظام صحه گذاشته است. تلنگ </w:t>
      </w:r>
      <w:r w:rsidRPr="009868FC">
        <w:rPr>
          <w:rFonts w:cs="B Zar"/>
        </w:rPr>
        <w:t>(Telang)</w:t>
      </w:r>
      <w:r w:rsidRPr="009868FC">
        <w:rPr>
          <w:rFonts w:cs="B Zar" w:hint="cs"/>
          <w:rtl/>
        </w:rPr>
        <w:t xml:space="preserve"> مي گويد</w:t>
      </w:r>
      <w:r w:rsidRPr="009868FC">
        <w:rPr>
          <w:rFonts w:cs="B Zar" w:hint="cs"/>
          <w:i/>
          <w:iCs/>
          <w:rtl/>
        </w:rPr>
        <w:t>: «اشاره كريشنا به سخنان آرجون راجع به ازبين رفتن سنن خانوادگي و فرهنگ شفاهي است.»</w:t>
      </w:r>
    </w:p>
    <w:p w:rsidR="009868FC" w:rsidRPr="009868FC" w:rsidP="003C0EF5">
      <w:pPr>
        <w:widowControl w:val="0"/>
        <w:spacing w:line="420" w:lineRule="exact"/>
        <w:ind w:left="0" w:right="0"/>
        <w:jc w:val="both"/>
        <w:rPr>
          <w:rFonts w:cs="B Zar" w:hint="cs"/>
          <w:i/>
          <w:iCs/>
          <w:rtl/>
        </w:rPr>
      </w:pPr>
      <w:r w:rsidRPr="009868FC">
        <w:rPr>
          <w:rFonts w:cs="B Zar" w:hint="cs"/>
          <w:rtl/>
        </w:rPr>
        <w:t>اشاره به كساني كه شايسته اندوه نيستند، درونا و بهيسم و غيره مي‌باشد. كريشنا متوجه مي شود كه آرجون، هستي انسان را عبارت مي داند از وجود فيزيكي او و گمان دارد كه با كشته شدن، انسان فنا مي شود. از اينرو كريشنا مي گويد</w:t>
      </w:r>
      <w:r w:rsidRPr="009868FC">
        <w:rPr>
          <w:rFonts w:cs="B Zar" w:hint="cs"/>
          <w:i/>
          <w:iCs/>
          <w:rtl/>
        </w:rPr>
        <w:t>: «صاحبان علم مي دانند هستي واقعي انسان وجود فيزيكي او نيست، بلكه روح ملكوتي و يا آتمان است. اين آتمان ماوراي آسيب پذيري و مرگ است. هيچ زخم، جراحت، صدمه، غم، اندوه، مرگ و نيستي به آن راه ندارد. پس «صاحبان علم»، نه براي مرده اندوهگين مي شوند نه براي زنده.»</w:t>
      </w:r>
    </w:p>
    <w:p w:rsidR="009868FC" w:rsidRPr="009868FC" w:rsidP="003C0EF5">
      <w:pPr>
        <w:widowControl w:val="0"/>
        <w:spacing w:line="420" w:lineRule="exact"/>
        <w:ind w:left="0" w:right="0"/>
        <w:jc w:val="both"/>
        <w:rPr>
          <w:rFonts w:cs="B Zar"/>
          <w:i/>
          <w:iCs/>
          <w:sz w:val="28"/>
          <w:szCs w:val="28"/>
        </w:rPr>
      </w:pPr>
    </w:p>
    <w:p w:rsidR="009868FC" w:rsidRPr="009868FC" w:rsidP="003C0EF5">
      <w:pPr>
        <w:widowControl w:val="0"/>
        <w:spacing w:line="420" w:lineRule="exact"/>
        <w:ind w:left="0" w:right="0"/>
        <w:jc w:val="both"/>
        <w:rPr>
          <w:rFonts w:cs="B Zar"/>
          <w:i/>
          <w:iCs/>
          <w:sz w:val="28"/>
          <w:szCs w:val="28"/>
          <w:rtl/>
        </w:rPr>
      </w:pPr>
    </w:p>
    <w:p w:rsidR="009868FC" w:rsidRPr="009868FC" w:rsidP="003C0EF5">
      <w:pPr>
        <w:widowControl w:val="0"/>
        <w:spacing w:line="420" w:lineRule="exact"/>
        <w:ind w:left="0" w:right="0"/>
        <w:jc w:val="both"/>
        <w:rPr>
          <w:rFonts w:cs="B Zar" w:hint="cs"/>
          <w:sz w:val="28"/>
          <w:szCs w:val="28"/>
        </w:rPr>
      </w:pPr>
    </w:p>
    <w:p w:rsidR="00DD0346" w:rsidP="003C0EF5">
      <w:pPr>
        <w:pStyle w:val="Heading4"/>
        <w:keepNext w:val="0"/>
        <w:widowControl w:val="0"/>
        <w:spacing w:line="420" w:lineRule="exact"/>
        <w:ind w:left="0" w:right="0"/>
        <w:jc w:val="center"/>
        <w:rPr>
          <w:rFonts w:cs="B Zar" w:hint="cs"/>
          <w:b/>
          <w:bCs/>
          <w:rtl/>
        </w:rPr>
      </w:pPr>
    </w:p>
    <w:p w:rsidR="00DD0346" w:rsidP="00DD0346">
      <w:pPr>
        <w:ind w:left="0" w:right="0"/>
        <w:jc w:val="both"/>
      </w:pPr>
    </w:p>
    <w:p w:rsidR="007077E8" w:rsidRPr="00DD0346" w:rsidP="00DD0346">
      <w:pPr>
        <w:ind w:left="0" w:right="0"/>
        <w:jc w:val="both"/>
        <w:rPr>
          <w:rFonts w:hint="cs"/>
          <w:rtl/>
        </w:rPr>
      </w:pPr>
    </w:p>
    <w:p w:rsidR="009868FC" w:rsidRPr="00E67C7B" w:rsidP="003C0EF5">
      <w:pPr>
        <w:pStyle w:val="Heading4"/>
        <w:keepNext w:val="0"/>
        <w:widowControl w:val="0"/>
        <w:spacing w:line="420" w:lineRule="exact"/>
        <w:ind w:left="0" w:right="0"/>
        <w:jc w:val="center"/>
        <w:rPr>
          <w:rFonts w:cs="B Zar" w:hint="cs"/>
          <w:b/>
          <w:bCs/>
          <w:rtl/>
        </w:rPr>
      </w:pPr>
      <w:r w:rsidRPr="00E67C7B">
        <w:rPr>
          <w:rFonts w:cs="B Zar" w:hint="eastAsia"/>
          <w:b/>
          <w:bCs/>
          <w:rtl/>
        </w:rPr>
        <w:t>مآخذ</w:t>
      </w:r>
      <w:r w:rsidRPr="00E67C7B">
        <w:rPr>
          <w:rFonts w:cs="B Zar"/>
          <w:b/>
          <w:bCs/>
          <w:rtl/>
        </w:rPr>
        <w:t xml:space="preserve"> </w:t>
      </w:r>
      <w:r w:rsidRPr="00E67C7B">
        <w:rPr>
          <w:rFonts w:cs="B Zar" w:hint="eastAsia"/>
          <w:b/>
          <w:bCs/>
          <w:rtl/>
        </w:rPr>
        <w:t>بخش</w:t>
      </w:r>
    </w:p>
    <w:p w:rsidR="00E67C7B" w:rsidP="003C0EF5">
      <w:pPr>
        <w:widowControl w:val="0"/>
        <w:spacing w:line="420" w:lineRule="exact"/>
        <w:ind w:left="0" w:right="0"/>
        <w:jc w:val="both"/>
      </w:pPr>
    </w:p>
    <w:p w:rsidR="007077E8" w:rsidRPr="00E67C7B" w:rsidP="003C0EF5">
      <w:pPr>
        <w:widowControl w:val="0"/>
        <w:spacing w:line="420" w:lineRule="exact"/>
        <w:ind w:left="0" w:right="0"/>
        <w:jc w:val="both"/>
        <w:rPr>
          <w:rFonts w:hint="cs"/>
        </w:rPr>
      </w:pPr>
    </w:p>
    <w:tbl>
      <w:tblPr>
        <w:tblStyle w:val="TableNormal"/>
        <w:tblW w:w="5000" w:type="pct"/>
        <w:tblLook w:val="0000"/>
      </w:tblPr>
      <w:tblGrid>
        <w:gridCol w:w="6453"/>
      </w:tblGrid>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Agarwal, P.:  The Social Message of the Gita Symbolized as Lokasamgraha, Munshiam, </w:t>
            </w:r>
            <w:smartTag w:uri="urn:schemas-microsoft-com:office:smarttags" w:element="place">
              <w:smartTag w:uri="urn:schemas-microsoft-com:office:smarttags" w:element="City">
                <w:r w:rsidRPr="009868FC">
                  <w:rPr>
                    <w:rFonts w:cs="B Zar"/>
                  </w:rPr>
                  <w:t>Delhi</w:t>
                </w:r>
              </w:smartTag>
            </w:smartTag>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Agarwal, P.: The Gita and Tulasi Ramayana</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Agarwal, P.: The Social Role of the Gita, Munshiam, </w:t>
            </w:r>
            <w:smartTag w:uri="urn:schemas-microsoft-com:office:smarttags" w:element="place">
              <w:smartTag w:uri="urn:schemas-microsoft-com:office:smarttags" w:element="City">
                <w:r w:rsidRPr="009868FC">
                  <w:rPr>
                    <w:rFonts w:cs="B Zar"/>
                  </w:rPr>
                  <w:t>Delhi</w:t>
                </w:r>
              </w:smartTag>
            </w:smartTag>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Amarnath, Swami: Shreemad Bhagavad Geeta, Munshiam, </w:t>
            </w:r>
            <w:smartTag w:uri="urn:schemas-microsoft-com:office:smarttags" w:element="place">
              <w:smartTag w:uri="urn:schemas-microsoft-com:office:smarttags" w:element="City">
                <w:r w:rsidRPr="009868FC">
                  <w:rPr>
                    <w:rFonts w:cs="B Zar"/>
                  </w:rPr>
                  <w:t>Delhi</w:t>
                </w:r>
              </w:smartTag>
            </w:smartTag>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Auribindo, Sri: Essays in Gita, Pondicherri, 1974</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Bodbe:, P.V.  The Philosophy of the Geeta, Munshiam, </w:t>
            </w:r>
            <w:smartTag w:uri="urn:schemas-microsoft-com:office:smarttags" w:element="place">
              <w:smartTag w:uri="urn:schemas-microsoft-com:office:smarttags" w:element="City">
                <w:r w:rsidRPr="009868FC">
                  <w:rPr>
                    <w:rFonts w:cs="B Zar"/>
                  </w:rPr>
                  <w:t>Delhi</w:t>
                </w:r>
              </w:smartTag>
            </w:smartTag>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Buck, William:  Mahabharata, Munshiam, </w:t>
            </w:r>
            <w:smartTag w:uri="urn:schemas-microsoft-com:office:smarttags" w:element="place">
              <w:smartTag w:uri="urn:schemas-microsoft-com:office:smarttags" w:element="City">
                <w:r w:rsidRPr="009868FC">
                  <w:rPr>
                    <w:rFonts w:cs="B Zar"/>
                  </w:rPr>
                  <w:t>Delhi</w:t>
                </w:r>
              </w:smartTag>
            </w:smartTag>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Comans, Michael:  Extracting the Essence of the Sruti</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Dandekar, A: Hinduism and Gita: A Reassessment, </w:t>
            </w:r>
            <w:smartTag w:uri="urn:schemas-microsoft-com:office:smarttags" w:element="place">
              <w:smartTag w:uri="urn:schemas-microsoft-com:office:smarttags" w:element="City">
                <w:r w:rsidRPr="009868FC">
                  <w:rPr>
                    <w:rFonts w:cs="B Zar"/>
                  </w:rPr>
                  <w:t>Calcutta</w:t>
                </w:r>
              </w:smartTag>
            </w:smartTag>
            <w:r w:rsidRPr="009868FC">
              <w:rPr>
                <w:rFonts w:cs="B Zar"/>
              </w:rPr>
              <w:t>, 1964</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Das Gupta, S:  Histoy of the Indian Philososphy, </w:t>
            </w:r>
            <w:smartTag w:uri="urn:schemas-microsoft-com:office:smarttags" w:element="PlaceName">
              <w:r w:rsidRPr="009868FC">
                <w:rPr>
                  <w:rFonts w:cs="B Zar"/>
                </w:rPr>
                <w:t>Cambridge</w:t>
              </w:r>
            </w:smartTag>
            <w:r w:rsidRPr="009868FC">
              <w:rPr>
                <w:rFonts w:cs="B Zar"/>
              </w:rPr>
              <w:t xml:space="preserve"> </w:t>
            </w:r>
            <w:smartTag w:uri="urn:schemas-microsoft-com:office:smarttags" w:element="PlaceType">
              <w:r w:rsidRPr="009868FC">
                <w:rPr>
                  <w:rFonts w:cs="B Zar"/>
                </w:rPr>
                <w:t>University</w:t>
              </w:r>
            </w:smartTag>
            <w:r w:rsidRPr="009868FC">
              <w:rPr>
                <w:rFonts w:cs="B Zar"/>
              </w:rPr>
              <w:t xml:space="preserve"> Press, </w:t>
            </w:r>
            <w:smartTag w:uri="urn:schemas-microsoft-com:office:smarttags" w:element="place">
              <w:smartTag w:uri="urn:schemas-microsoft-com:office:smarttags" w:element="City">
                <w:r w:rsidRPr="009868FC">
                  <w:rPr>
                    <w:rFonts w:cs="B Zar"/>
                  </w:rPr>
                  <w:t>London</w:t>
                </w:r>
              </w:smartTag>
            </w:smartTag>
            <w:r w:rsidRPr="009868FC">
              <w:rPr>
                <w:rFonts w:cs="B Zar"/>
              </w:rPr>
              <w:t>, 1969</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Desai</w:t>
            </w:r>
            <w:r w:rsidRPr="009868FC">
              <w:rPr>
                <w:rFonts w:cs="B Zar" w:hint="cs"/>
                <w:rtl/>
              </w:rPr>
              <w:t xml:space="preserve">: </w:t>
            </w:r>
            <w:r w:rsidRPr="009868FC">
              <w:rPr>
                <w:rFonts w:cs="B Zar"/>
              </w:rPr>
              <w:t xml:space="preserve">, R.G. </w:t>
            </w:r>
            <w:r w:rsidRPr="009868FC">
              <w:rPr>
                <w:rFonts w:cs="B Zar" w:hint="cs"/>
                <w:rtl/>
              </w:rPr>
              <w:t xml:space="preserve"> </w:t>
            </w:r>
            <w:r w:rsidRPr="009868FC">
              <w:rPr>
                <w:rFonts w:cs="B Zar"/>
              </w:rPr>
              <w:t>Bhagavad Geeta for Everyone</w:t>
            </w:r>
            <w:r w:rsidRPr="009868FC">
              <w:rPr>
                <w:rFonts w:cs="B Zar" w:hint="cs"/>
                <w:rtl/>
              </w:rPr>
              <w:t xml:space="preserve">و </w:t>
            </w:r>
            <w:r w:rsidRPr="009868FC">
              <w:rPr>
                <w:rFonts w:cs="B Zar"/>
              </w:rPr>
              <w:t xml:space="preserve"> Delhi, Benarsi das</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Deusson, Paul: Philosophy of Upanishad, </w:t>
            </w:r>
            <w:smartTag w:uri="urn:schemas-microsoft-com:office:smarttags" w:element="place">
              <w:smartTag w:uri="urn:schemas-microsoft-com:office:smarttags" w:element="City">
                <w:r w:rsidRPr="009868FC">
                  <w:rPr>
                    <w:rFonts w:cs="B Zar"/>
                  </w:rPr>
                  <w:t>London</w:t>
                </w:r>
              </w:smartTag>
            </w:smartTag>
            <w:r w:rsidRPr="009868FC">
              <w:rPr>
                <w:rFonts w:cs="B Zar"/>
              </w:rPr>
              <w:t>, 1957,</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Dey, S.K.: Aspects of the Sanskrit Literature, </w:t>
            </w:r>
            <w:smartTag w:uri="urn:schemas-microsoft-com:office:smarttags" w:element="place">
              <w:smartTag w:uri="urn:schemas-microsoft-com:office:smarttags" w:element="City">
                <w:r w:rsidRPr="009868FC">
                  <w:rPr>
                    <w:rFonts w:cs="B Zar"/>
                  </w:rPr>
                  <w:t>Calcutta</w:t>
                </w:r>
              </w:smartTag>
            </w:smartTag>
            <w:r w:rsidRPr="009868FC">
              <w:rPr>
                <w:rFonts w:cs="B Zar"/>
              </w:rPr>
              <w:t>, 1976</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Dilwali, Ashok: Bhagavad Gita,  </w:t>
            </w:r>
            <w:smartTag w:uri="urn:schemas-microsoft-com:office:smarttags" w:element="place">
              <w:smartTag w:uri="urn:schemas-microsoft-com:office:smarttags" w:element="City">
                <w:r w:rsidRPr="009868FC">
                  <w:rPr>
                    <w:rFonts w:cs="B Zar"/>
                  </w:rPr>
                  <w:t>Delhi</w:t>
                </w:r>
              </w:smartTag>
            </w:smartTag>
            <w:r w:rsidRPr="009868FC">
              <w:rPr>
                <w:rFonts w:cs="B Zar"/>
              </w:rPr>
              <w:t>, Benasi das</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Dimmock:, Edward The Lecture of </w:t>
            </w:r>
            <w:smartTag w:uri="urn:schemas-microsoft-com:office:smarttags" w:element="place">
              <w:smartTag w:uri="urn:schemas-microsoft-com:office:smarttags" w:element="PlaceName">
                <w:r w:rsidRPr="009868FC">
                  <w:rPr>
                    <w:rFonts w:cs="B Zar"/>
                  </w:rPr>
                  <w:t>India</w:t>
                </w:r>
              </w:smartTag>
              <w:r w:rsidRPr="009868FC">
                <w:rPr>
                  <w:rFonts w:cs="B Zar"/>
                </w:rPr>
                <w:t xml:space="preserve"> </w:t>
              </w:r>
              <w:smartTag w:uri="urn:schemas-microsoft-com:office:smarttags" w:element="PlaceName">
                <w:r w:rsidRPr="009868FC">
                  <w:rPr>
                    <w:rFonts w:cs="B Zar"/>
                  </w:rPr>
                  <w:t>Chicago</w:t>
                </w:r>
              </w:smartTag>
              <w:r w:rsidRPr="009868FC">
                <w:rPr>
                  <w:rFonts w:cs="B Zar"/>
                </w:rPr>
                <w:t xml:space="preserve"> </w:t>
              </w:r>
              <w:smartTag w:uri="urn:schemas-microsoft-com:office:smarttags" w:element="PlaceType">
                <w:r w:rsidRPr="009868FC">
                  <w:rPr>
                    <w:rFonts w:cs="B Zar"/>
                  </w:rPr>
                  <w:t>University</w:t>
                </w:r>
              </w:smartTag>
            </w:smartTag>
            <w:r w:rsidRPr="009868FC">
              <w:rPr>
                <w:rFonts w:cs="B Zar"/>
              </w:rPr>
              <w:t xml:space="preserve"> Press 1973</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Douglas, W.:  The Bhagavadgita, Munshiam, </w:t>
            </w:r>
            <w:smartTag w:uri="urn:schemas-microsoft-com:office:smarttags" w:element="place">
              <w:smartTag w:uri="urn:schemas-microsoft-com:office:smarttags" w:element="City">
                <w:r w:rsidRPr="009868FC">
                  <w:rPr>
                    <w:rFonts w:cs="B Zar"/>
                  </w:rPr>
                  <w:t>Delhi</w:t>
                </w:r>
              </w:smartTag>
            </w:smartTag>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Dowson: A classical Dictionary of Hindu Mythology &amp; Religion, </w:t>
            </w:r>
            <w:smartTag w:uri="urn:schemas-microsoft-com:office:smarttags" w:element="place">
              <w:smartTag w:uri="urn:schemas-microsoft-com:office:smarttags" w:element="City">
                <w:r w:rsidRPr="009868FC">
                  <w:rPr>
                    <w:rFonts w:cs="B Zar"/>
                  </w:rPr>
                  <w:t>New Delhi</w:t>
                </w:r>
              </w:smartTag>
            </w:smartTag>
            <w:r w:rsidRPr="009868FC">
              <w:rPr>
                <w:rFonts w:cs="B Zar"/>
              </w:rPr>
              <w:t xml:space="preserve"> 1962</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Dutt, M.N.: Mahabharata, </w:t>
            </w:r>
            <w:smartTag w:uri="urn:schemas-microsoft-com:office:smarttags" w:element="place">
              <w:smartTag w:uri="urn:schemas-microsoft-com:office:smarttags" w:element="City">
                <w:r w:rsidRPr="009868FC">
                  <w:rPr>
                    <w:rFonts w:cs="B Zar"/>
                  </w:rPr>
                  <w:t>Delhi</w:t>
                </w:r>
              </w:smartTag>
            </w:smartTag>
            <w:r w:rsidRPr="009868FC">
              <w:rPr>
                <w:rFonts w:cs="B Zar"/>
              </w:rPr>
              <w:t>, Benasi das</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Dutta, N.K.: Vedantic Philosophy, </w:t>
            </w:r>
            <w:smartTag w:uri="urn:schemas-microsoft-com:office:smarttags" w:element="place">
              <w:smartTag w:uri="urn:schemas-microsoft-com:office:smarttags" w:element="PlaceName">
                <w:r w:rsidRPr="009868FC">
                  <w:rPr>
                    <w:rFonts w:cs="B Zar"/>
                  </w:rPr>
                  <w:t>Cacutta</w:t>
                </w:r>
              </w:smartTag>
              <w:r w:rsidRPr="009868FC">
                <w:rPr>
                  <w:rFonts w:cs="B Zar"/>
                </w:rPr>
                <w:t xml:space="preserve"> </w:t>
              </w:r>
              <w:smartTag w:uri="urn:schemas-microsoft-com:office:smarttags" w:element="PlaceType">
                <w:r w:rsidRPr="009868FC">
                  <w:rPr>
                    <w:rFonts w:cs="B Zar"/>
                  </w:rPr>
                  <w:t>University</w:t>
                </w:r>
              </w:smartTag>
            </w:smartTag>
            <w:r w:rsidRPr="009868FC">
              <w:rPr>
                <w:rFonts w:cs="B Zar"/>
              </w:rPr>
              <w:t>, 1945</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smartTag w:uri="urn:schemas-microsoft-com:office:smarttags" w:element="City">
              <w:r w:rsidRPr="009868FC">
                <w:rPr>
                  <w:rFonts w:cs="B Zar"/>
                </w:rPr>
                <w:t>Franklin</w:t>
              </w:r>
            </w:smartTag>
            <w:r w:rsidRPr="009868FC">
              <w:rPr>
                <w:rFonts w:cs="B Zar"/>
              </w:rPr>
              <w:t>: Bhagavad Gita,</w:t>
            </w:r>
            <w:smartTag w:uri="urn:schemas-microsoft-com:office:smarttags" w:element="City">
              <w:r w:rsidRPr="009868FC">
                <w:rPr>
                  <w:rFonts w:cs="B Zar"/>
                </w:rPr>
                <w:t>Delhi</w:t>
              </w:r>
            </w:smartTag>
            <w:r w:rsidRPr="009868FC">
              <w:rPr>
                <w:rFonts w:cs="B Zar"/>
              </w:rPr>
              <w:t xml:space="preserve"> Munshiam, </w:t>
            </w:r>
            <w:smartTag w:uri="urn:schemas-microsoft-com:office:smarttags" w:element="place">
              <w:smartTag w:uri="urn:schemas-microsoft-com:office:smarttags" w:element="City">
                <w:r w:rsidRPr="009868FC">
                  <w:rPr>
                    <w:rFonts w:cs="B Zar"/>
                  </w:rPr>
                  <w:t>Delhi</w:t>
                </w:r>
              </w:smartTag>
            </w:smartTag>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Gandhi, Mahatma: The Bible of Selfless Action, T. Mahadeo Desai, </w:t>
            </w:r>
            <w:smartTag w:uri="urn:schemas-microsoft-com:office:smarttags" w:element="place">
              <w:smartTag w:uri="urn:schemas-microsoft-com:office:smarttags" w:element="City">
                <w:r w:rsidRPr="009868FC">
                  <w:rPr>
                    <w:rFonts w:cs="B Zar"/>
                  </w:rPr>
                  <w:t>Ahmadabad</w:t>
                </w:r>
              </w:smartTag>
            </w:smartTag>
            <w:r w:rsidRPr="009868FC">
              <w:rPr>
                <w:rFonts w:cs="B Zar"/>
              </w:rPr>
              <w:t>, 1946</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Huxley, A: Gita, </w:t>
            </w:r>
            <w:smartTag w:uri="urn:schemas-microsoft-com:office:smarttags" w:element="place">
              <w:smartTag w:uri="urn:schemas-microsoft-com:office:smarttags" w:element="City">
                <w:r w:rsidRPr="009868FC">
                  <w:rPr>
                    <w:rFonts w:cs="B Zar"/>
                  </w:rPr>
                  <w:t>Cambridge</w:t>
                </w:r>
              </w:smartTag>
            </w:smartTag>
            <w:r w:rsidRPr="009868FC">
              <w:rPr>
                <w:rFonts w:cs="B Zar"/>
              </w:rPr>
              <w:t>, 1946,</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Isa Upanishad,  </w:t>
            </w:r>
            <w:smartTag w:uri="urn:schemas-microsoft-com:office:smarttags" w:element="City">
              <w:r w:rsidRPr="009868FC">
                <w:rPr>
                  <w:rFonts w:cs="B Zar"/>
                </w:rPr>
                <w:t>New Delhi</w:t>
              </w:r>
            </w:smartTag>
            <w:r w:rsidRPr="009868FC">
              <w:rPr>
                <w:rFonts w:cs="B Zar"/>
              </w:rPr>
              <w:t xml:space="preserve"> , RM </w:t>
            </w:r>
            <w:smartTag w:uri="urn:schemas-microsoft-com:office:smarttags" w:element="City">
              <w:r w:rsidRPr="009868FC">
                <w:rPr>
                  <w:rFonts w:cs="B Zar"/>
                </w:rPr>
                <w:t>Mission</w:t>
              </w:r>
            </w:smartTag>
            <w:r w:rsidRPr="009868FC">
              <w:rPr>
                <w:rFonts w:cs="B Zar"/>
              </w:rPr>
              <w:t xml:space="preserve">, </w:t>
            </w:r>
            <w:smartTag w:uri="urn:schemas-microsoft-com:office:smarttags" w:element="place">
              <w:smartTag w:uri="urn:schemas-microsoft-com:office:smarttags" w:element="City">
                <w:r w:rsidRPr="009868FC">
                  <w:rPr>
                    <w:rFonts w:cs="B Zar"/>
                  </w:rPr>
                  <w:t>New Delhi</w:t>
                </w:r>
              </w:smartTag>
            </w:smartTag>
            <w:r w:rsidRPr="009868FC">
              <w:rPr>
                <w:rFonts w:cs="B Zar"/>
              </w:rPr>
              <w:t>, 1978</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Katha Upanishad, in Sixty Upanishads of Veda, ed and Tr by Paul Deusson</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Khair, G.B. Quest for the original Gita, </w:t>
            </w:r>
            <w:smartTag w:uri="urn:schemas-microsoft-com:office:smarttags" w:element="place">
              <w:smartTag w:uri="urn:schemas-microsoft-com:office:smarttags" w:element="City">
                <w:r w:rsidRPr="009868FC">
                  <w:rPr>
                    <w:rFonts w:cs="B Zar"/>
                  </w:rPr>
                  <w:t>Allahabad</w:t>
                </w:r>
              </w:smartTag>
            </w:smartTag>
            <w:r w:rsidRPr="009868FC">
              <w:rPr>
                <w:rFonts w:cs="B Zar"/>
              </w:rPr>
              <w:t>, 1961</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Mahajan, Yogi:  Geeta Enlightened, </w:t>
            </w:r>
            <w:smartTag w:uri="urn:schemas-microsoft-com:office:smarttags" w:element="place">
              <w:smartTag w:uri="urn:schemas-microsoft-com:office:smarttags" w:element="City">
                <w:r w:rsidRPr="009868FC">
                  <w:rPr>
                    <w:rFonts w:cs="B Zar"/>
                  </w:rPr>
                  <w:t>Delhi</w:t>
                </w:r>
              </w:smartTag>
            </w:smartTag>
            <w:r w:rsidRPr="009868FC">
              <w:rPr>
                <w:rFonts w:cs="B Zar"/>
              </w:rPr>
              <w:t>, Benasi das</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Minor, Robert: Commentary on Gita, </w:t>
            </w:r>
            <w:smartTag w:uri="urn:schemas-microsoft-com:office:smarttags" w:element="place">
              <w:smartTag w:uri="urn:schemas-microsoft-com:office:smarttags" w:element="City">
                <w:r w:rsidRPr="009868FC">
                  <w:rPr>
                    <w:rFonts w:cs="B Zar"/>
                  </w:rPr>
                  <w:t>Chicago</w:t>
                </w:r>
              </w:smartTag>
            </w:smartTag>
            <w:r w:rsidRPr="009868FC">
              <w:rPr>
                <w:rFonts w:cs="B Zar"/>
              </w:rPr>
              <w:t>, 1975</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Muller, Max: History of Sanskrit Literature, </w:t>
            </w:r>
            <w:smartTag w:uri="urn:schemas-microsoft-com:office:smarttags" w:element="place">
              <w:smartTag w:uri="urn:schemas-microsoft-com:office:smarttags" w:element="City">
                <w:r w:rsidRPr="009868FC">
                  <w:rPr>
                    <w:rFonts w:cs="B Zar"/>
                  </w:rPr>
                  <w:t>London</w:t>
                </w:r>
              </w:smartTag>
            </w:smartTag>
            <w:r w:rsidRPr="009868FC">
              <w:rPr>
                <w:rFonts w:cs="B Zar"/>
              </w:rPr>
              <w:t>, 1956</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Muller, Max: Six Schools of the Indian Philosophy, reprint, </w:t>
            </w:r>
            <w:smartTag w:uri="urn:schemas-microsoft-com:office:smarttags" w:element="place">
              <w:smartTag w:uri="urn:schemas-microsoft-com:office:smarttags" w:element="City">
                <w:r w:rsidRPr="009868FC">
                  <w:rPr>
                    <w:rFonts w:cs="B Zar"/>
                  </w:rPr>
                  <w:t>Delhi</w:t>
                </w:r>
              </w:smartTag>
            </w:smartTag>
            <w:r w:rsidRPr="009868FC">
              <w:rPr>
                <w:rFonts w:cs="B Zar"/>
              </w:rPr>
              <w:t>, 1975</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Muller</w:t>
            </w:r>
            <w:r w:rsidRPr="009868FC">
              <w:rPr>
                <w:rFonts w:cs="B Zar" w:hint="cs"/>
                <w:rtl/>
              </w:rPr>
              <w:t xml:space="preserve"> </w:t>
            </w:r>
            <w:r w:rsidRPr="009868FC">
              <w:rPr>
                <w:rFonts w:cs="B Zar"/>
              </w:rPr>
              <w:t xml:space="preserve">Max: What We Lean From </w:t>
            </w:r>
            <w:smartTag w:uri="urn:schemas-microsoft-com:office:smarttags" w:element="country-region">
              <w:r w:rsidRPr="009868FC">
                <w:rPr>
                  <w:rFonts w:cs="B Zar"/>
                </w:rPr>
                <w:t>India</w:t>
              </w:r>
            </w:smartTag>
            <w:r w:rsidRPr="009868FC">
              <w:rPr>
                <w:rFonts w:cs="B Zar"/>
              </w:rPr>
              <w:t xml:space="preserve">, </w:t>
            </w:r>
            <w:smartTag w:uri="urn:schemas-microsoft-com:office:smarttags" w:element="place">
              <w:smartTag w:uri="urn:schemas-microsoft-com:office:smarttags" w:element="City">
                <w:r w:rsidRPr="009868FC">
                  <w:rPr>
                    <w:rFonts w:cs="B Zar"/>
                  </w:rPr>
                  <w:t>New Delhi</w:t>
                </w:r>
              </w:smartTag>
            </w:smartTag>
            <w:r w:rsidRPr="009868FC">
              <w:rPr>
                <w:rFonts w:cs="B Zar"/>
              </w:rPr>
              <w:t>. 1962</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Mundaka Upanishad, in The Principle Upanishads, ed and tr by Dr Radhakrishnan</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Nicholas: Religious Doctrines in the Mahabharata</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Radhakrishnan, Dr:  Interpretation of Gita, </w:t>
            </w:r>
            <w:smartTag w:uri="urn:schemas-microsoft-com:office:smarttags" w:element="place">
              <w:smartTag w:uri="urn:schemas-microsoft-com:office:smarttags" w:element="City">
                <w:r w:rsidRPr="009868FC">
                  <w:rPr>
                    <w:rFonts w:cs="B Zar"/>
                  </w:rPr>
                  <w:t>Oxford</w:t>
                </w:r>
              </w:smartTag>
            </w:smartTag>
            <w:r w:rsidRPr="009868FC">
              <w:rPr>
                <w:rFonts w:cs="B Zar"/>
              </w:rPr>
              <w:t>, 1958</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Radhakshnan, Dr S:  The Indian Philosophy, </w:t>
            </w:r>
            <w:smartTag w:uri="urn:schemas-microsoft-com:office:smarttags" w:element="place">
              <w:smartTag w:uri="urn:schemas-microsoft-com:office:smarttags" w:element="PlaceName">
                <w:r w:rsidRPr="009868FC">
                  <w:rPr>
                    <w:rFonts w:cs="B Zar"/>
                  </w:rPr>
                  <w:t>Oxford</w:t>
                </w:r>
              </w:smartTag>
              <w:r w:rsidRPr="009868FC">
                <w:rPr>
                  <w:rFonts w:cs="B Zar"/>
                </w:rPr>
                <w:t xml:space="preserve"> </w:t>
              </w:r>
              <w:smartTag w:uri="urn:schemas-microsoft-com:office:smarttags" w:element="PlaceType">
                <w:r w:rsidRPr="009868FC">
                  <w:rPr>
                    <w:rFonts w:cs="B Zar"/>
                  </w:rPr>
                  <w:t>University</w:t>
                </w:r>
              </w:smartTag>
            </w:smartTag>
            <w:r w:rsidRPr="009868FC">
              <w:rPr>
                <w:rFonts w:cs="B Zar"/>
              </w:rPr>
              <w:t xml:space="preserve"> Press, 1975</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Ramanathan, A.S.: Essence of Bhagavad Gita, , </w:t>
            </w:r>
            <w:smartTag w:uri="urn:schemas-microsoft-com:office:smarttags" w:element="place">
              <w:smartTag w:uri="urn:schemas-microsoft-com:office:smarttags" w:element="City">
                <w:r w:rsidRPr="009868FC">
                  <w:rPr>
                    <w:rFonts w:cs="B Zar"/>
                  </w:rPr>
                  <w:t>Delhi</w:t>
                </w:r>
              </w:smartTag>
            </w:smartTag>
            <w:r w:rsidRPr="009868FC">
              <w:rPr>
                <w:rFonts w:cs="B Zar"/>
              </w:rPr>
              <w:t>, Benasi das</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Ramanuja: Gita-Bhasiya, text, </w:t>
            </w:r>
            <w:smartTag w:uri="urn:schemas-microsoft-com:office:smarttags" w:element="place">
              <w:smartTag w:uri="urn:schemas-microsoft-com:office:smarttags" w:element="City">
                <w:r w:rsidRPr="009868FC">
                  <w:rPr>
                    <w:rFonts w:cs="B Zar"/>
                  </w:rPr>
                  <w:t>Allahabad</w:t>
                </w:r>
              </w:smartTag>
            </w:smartTag>
            <w:r w:rsidRPr="009868FC">
              <w:rPr>
                <w:rFonts w:cs="B Zar"/>
              </w:rPr>
              <w:t>, 1968</w:t>
            </w:r>
          </w:p>
        </w:tc>
      </w:tr>
      <w:tr>
        <w:tblPrEx>
          <w:tblW w:w="5000" w:type="pct"/>
          <w:tblLook w:val="0000"/>
        </w:tblPrEx>
        <w:tc>
          <w:tcPr>
            <w:tcW w:w="5000" w:type="pct"/>
          </w:tcPr>
          <w:p w:rsidR="009868FC" w:rsidRPr="009868FC" w:rsidP="00432FD4">
            <w:pPr>
              <w:widowControl w:val="0"/>
              <w:spacing w:line="240" w:lineRule="auto"/>
              <w:ind w:left="0" w:right="0"/>
              <w:jc w:val="right"/>
              <w:rPr>
                <w:rFonts w:cs="B Zar"/>
              </w:rPr>
            </w:pPr>
            <w:r w:rsidRPr="009868FC">
              <w:rPr>
                <w:rFonts w:cs="B Zar"/>
              </w:rPr>
              <w:t>Sahrma,  Chandra: A Critical Study of Indian Philosophy P 17, The Vedic Vidya Bhawan, 1988</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Satyananda: Bhagavad Gita, </w:t>
            </w:r>
            <w:smartTag w:uri="urn:schemas-microsoft-com:office:smarttags" w:element="place">
              <w:smartTag w:uri="urn:schemas-microsoft-com:office:smarttags" w:element="City">
                <w:r w:rsidRPr="008D367D">
                  <w:rPr>
                    <w:rFonts w:cs="B Zar"/>
                  </w:rPr>
                  <w:t>Delhi</w:t>
                </w:r>
              </w:smartTag>
            </w:smartTag>
            <w:r w:rsidRPr="008D367D">
              <w:rPr>
                <w:rFonts w:cs="B Zar"/>
              </w:rPr>
              <w:t>, Benasi das</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Shankara : Gita-Bhasiya, , with Translation and text, Benarus, 1953 </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Sharma, B.K.: A Study and Analysis of the Grammatical Stucture of Gita, Bhind Magazine, 1967, N0 22</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Sharma, O.P.: Gita-in-Action, </w:t>
            </w:r>
            <w:smartTag w:uri="urn:schemas-microsoft-com:office:smarttags" w:element="place">
              <w:smartTag w:uri="urn:schemas-microsoft-com:office:smarttags" w:element="City">
                <w:r w:rsidRPr="009868FC">
                  <w:rPr>
                    <w:rFonts w:cs="B Zar"/>
                  </w:rPr>
                  <w:t>Delhi</w:t>
                </w:r>
              </w:smartTag>
            </w:smartTag>
            <w:r w:rsidRPr="009868FC">
              <w:rPr>
                <w:rFonts w:cs="B Zar"/>
              </w:rPr>
              <w:t>, Benasi das</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hint="cs"/>
                <w:rtl/>
              </w:rPr>
              <w:t>ٍ</w:t>
            </w:r>
            <w:r w:rsidRPr="009868FC">
              <w:rPr>
                <w:rFonts w:cs="B Zar"/>
              </w:rPr>
              <w:t>Sri Dhar: Sabodhani, RamkrishanaMath, Madras, 1957</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Sukthankar: On the Meaning of Mahabharata, Munshiam, </w:t>
            </w:r>
            <w:smartTag w:uri="urn:schemas-microsoft-com:office:smarttags" w:element="place">
              <w:smartTag w:uri="urn:schemas-microsoft-com:office:smarttags" w:element="City">
                <w:r w:rsidRPr="009868FC">
                  <w:rPr>
                    <w:rFonts w:cs="B Zar"/>
                  </w:rPr>
                  <w:t>Delhi</w:t>
                </w:r>
              </w:smartTag>
            </w:smartTag>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Telang, K.T. Bhagavadgita with the Sanatsujatiya and Anugita, S.B.E. Seies, </w:t>
            </w:r>
            <w:smartTag w:uri="urn:schemas-microsoft-com:office:smarttags" w:element="place">
              <w:smartTag w:uri="urn:schemas-microsoft-com:office:smarttags" w:element="City">
                <w:r w:rsidRPr="009868FC">
                  <w:rPr>
                    <w:rFonts w:cs="B Zar"/>
                  </w:rPr>
                  <w:t>Delhi</w:t>
                </w:r>
              </w:smartTag>
            </w:smartTag>
            <w:r w:rsidRPr="009868FC">
              <w:rPr>
                <w:rFonts w:cs="B Zar"/>
              </w:rPr>
              <w:t>. 1973</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Tilak, Bal Ganga Dhar: Gita- Rahasya, Poone, 1932</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Upadhaya, N.K.: Buddhism and Bhagvata Gita, </w:t>
            </w:r>
            <w:smartTag w:uri="urn:schemas-microsoft-com:office:smarttags" w:element="place">
              <w:smartTag w:uri="urn:schemas-microsoft-com:office:smarttags" w:element="City">
                <w:r w:rsidRPr="009868FC">
                  <w:rPr>
                    <w:rFonts w:cs="B Zar"/>
                  </w:rPr>
                  <w:t>Delhi</w:t>
                </w:r>
              </w:smartTag>
            </w:smartTag>
            <w:r w:rsidRPr="009868FC">
              <w:rPr>
                <w:rFonts w:cs="B Zar"/>
              </w:rPr>
              <w:t>. 192</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Vittalananda: Bhagavad Gita </w:t>
            </w:r>
            <w:smartTag w:uri="urn:schemas-microsoft-com:office:smarttags" w:element="place">
              <w:smartTag w:uri="urn:schemas-microsoft-com:office:smarttags" w:element="City">
                <w:r w:rsidRPr="008D367D">
                  <w:rPr>
                    <w:rFonts w:cs="B Zar"/>
                  </w:rPr>
                  <w:t>Delhi</w:t>
                </w:r>
              </w:smartTag>
            </w:smartTag>
            <w:r w:rsidRPr="008D367D">
              <w:rPr>
                <w:rFonts w:cs="B Zar"/>
              </w:rPr>
              <w:t>, Benasi das</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Von Buitenon: Mahabharata, Chicago, 1974</w:t>
            </w:r>
          </w:p>
        </w:tc>
      </w:tr>
      <w:tr>
        <w:tblPrEx>
          <w:tblW w:w="5000" w:type="pct"/>
          <w:tblLook w:val="0000"/>
        </w:tblPrEx>
        <w:tc>
          <w:tcPr>
            <w:tcW w:w="5000" w:type="pct"/>
          </w:tcPr>
          <w:p w:rsidR="009868FC" w:rsidRPr="009868FC" w:rsidP="00582715">
            <w:pPr>
              <w:widowControl w:val="0"/>
              <w:spacing w:line="240" w:lineRule="auto"/>
              <w:ind w:left="0" w:right="0"/>
              <w:jc w:val="right"/>
              <w:rPr>
                <w:rFonts w:cs="B Zar"/>
              </w:rPr>
            </w:pPr>
            <w:r w:rsidRPr="009868FC">
              <w:rPr>
                <w:rFonts w:cs="B Zar"/>
              </w:rPr>
              <w:t xml:space="preserve">Zahner, R .C.: </w:t>
            </w:r>
            <w:smartTag w:uri="urn:schemas-microsoft-com:office:smarttags" w:element="place">
              <w:smartTag w:uri="urn:schemas-microsoft-com:office:smarttags" w:element="City">
                <w:r w:rsidRPr="009868FC">
                  <w:rPr>
                    <w:rFonts w:cs="B Zar"/>
                  </w:rPr>
                  <w:t>Gita</w:t>
                </w:r>
              </w:smartTag>
              <w:r w:rsidRPr="009868FC">
                <w:rPr>
                  <w:rFonts w:cs="B Zar"/>
                </w:rPr>
                <w:t xml:space="preserve">, </w:t>
              </w:r>
              <w:smartTag w:uri="urn:schemas-microsoft-com:office:smarttags" w:element="State">
                <w:r w:rsidRPr="009868FC">
                  <w:rPr>
                    <w:rFonts w:cs="B Zar"/>
                  </w:rPr>
                  <w:t>New York</w:t>
                </w:r>
              </w:smartTag>
            </w:smartTag>
            <w:r w:rsidRPr="009868FC">
              <w:rPr>
                <w:rFonts w:cs="B Zar"/>
              </w:rPr>
              <w:t>, 1957</w:t>
            </w:r>
          </w:p>
        </w:tc>
      </w:tr>
    </w:tbl>
    <w:p w:rsidR="009868FC" w:rsidRPr="009868FC" w:rsidP="003C0EF5">
      <w:pPr>
        <w:widowControl w:val="0"/>
        <w:spacing w:line="420" w:lineRule="exact"/>
        <w:ind w:left="0" w:right="0"/>
        <w:jc w:val="both"/>
        <w:rPr>
          <w:rFonts w:cs="B Zar"/>
          <w:sz w:val="28"/>
          <w:szCs w:val="28"/>
        </w:rPr>
      </w:pPr>
    </w:p>
    <w:tbl>
      <w:tblPr>
        <w:tblStyle w:val="TableNormal"/>
        <w:tblW w:w="5000" w:type="pct"/>
        <w:tblLook w:val="0000"/>
      </w:tblPr>
      <w:tblGrid>
        <w:gridCol w:w="6453"/>
      </w:tblGrid>
      <w:tr>
        <w:tblPrEx>
          <w:tblW w:w="5000" w:type="pct"/>
          <w:tblLook w:val="0000"/>
        </w:tblPrEx>
        <w:tc>
          <w:tcPr>
            <w:tcW w:w="5000" w:type="pct"/>
          </w:tcPr>
          <w:p w:rsidR="009868FC" w:rsidRPr="009868FC" w:rsidP="003C0EF5">
            <w:pPr>
              <w:widowControl w:val="0"/>
              <w:spacing w:line="420" w:lineRule="exact"/>
              <w:ind w:left="0" w:right="0"/>
              <w:jc w:val="both"/>
              <w:rPr>
                <w:rFonts w:cs="B Zar"/>
              </w:rPr>
            </w:pPr>
            <w:r w:rsidRPr="009868FC">
              <w:rPr>
                <w:rFonts w:cs="B Zar" w:hint="cs"/>
                <w:rtl/>
              </w:rPr>
              <w:t>داراشكوه: مجمع البحرين</w:t>
            </w:r>
            <w:r w:rsidRPr="009868FC">
              <w:rPr>
                <w:rFonts w:cs="B Zar"/>
              </w:rPr>
              <w:t xml:space="preserve"> </w:t>
            </w:r>
            <w:r w:rsidRPr="009868FC">
              <w:rPr>
                <w:rFonts w:cs="B Zar" w:hint="cs"/>
                <w:rtl/>
              </w:rPr>
              <w:t>نولكشور پريس، لكهنؤ. 1325</w:t>
            </w:r>
          </w:p>
        </w:tc>
      </w:tr>
      <w:tr>
        <w:tblPrEx>
          <w:tblW w:w="5000" w:type="pct"/>
          <w:tblLook w:val="0000"/>
        </w:tblPrEx>
        <w:tc>
          <w:tcPr>
            <w:tcW w:w="5000" w:type="pct"/>
          </w:tcPr>
          <w:p w:rsidR="009868FC" w:rsidRPr="009868FC" w:rsidP="003C0EF5">
            <w:pPr>
              <w:widowControl w:val="0"/>
              <w:spacing w:line="420" w:lineRule="exact"/>
              <w:ind w:left="0" w:right="0"/>
              <w:jc w:val="both"/>
              <w:rPr>
                <w:rStyle w:val="FootnoteReference"/>
                <w:rFonts w:ascii="IPT.Zar" w:hAnsi="IPT.Zar" w:cs="B Zar"/>
                <w:sz w:val="28"/>
                <w:szCs w:val="28"/>
              </w:rPr>
            </w:pPr>
            <w:r w:rsidRPr="009868FC">
              <w:rPr>
                <w:rFonts w:ascii="IPT.Zar" w:hAnsi="IPT.Zar" w:cs="B Zar" w:hint="cs"/>
                <w:rtl/>
              </w:rPr>
              <w:t>داراشكوه:</w:t>
            </w:r>
            <w:r w:rsidRPr="009868FC">
              <w:rPr>
                <w:rFonts w:cs="B Zar" w:hint="cs"/>
                <w:rtl/>
              </w:rPr>
              <w:t xml:space="preserve"> «سراكبر»  </w:t>
            </w:r>
            <w:r w:rsidRPr="009868FC">
              <w:rPr>
                <w:rFonts w:ascii="IPT.Zar" w:hAnsi="IPT.Zar" w:cs="B Zar" w:hint="cs"/>
                <w:rtl/>
              </w:rPr>
              <w:t>ترجمه اوپانيشاد ها</w:t>
            </w:r>
            <w:r w:rsidRPr="009868FC">
              <w:rPr>
                <w:rFonts w:cs="B Zar" w:hint="cs"/>
                <w:rtl/>
              </w:rPr>
              <w:t xml:space="preserve">  از انتشارات محمد علي علمي </w:t>
            </w:r>
            <w:r w:rsidRPr="009868FC">
              <w:rPr>
                <w:rFonts w:ascii="IPT.Zar" w:hAnsi="IPT.Zar" w:cs="B Zar" w:hint="cs"/>
                <w:rtl/>
              </w:rPr>
              <w:t>، تهران</w:t>
            </w:r>
          </w:p>
        </w:tc>
      </w:tr>
    </w:tbl>
    <w:p w:rsidR="009868FC" w:rsidRPr="009868FC" w:rsidP="003C0EF5">
      <w:pPr>
        <w:widowControl w:val="0"/>
        <w:spacing w:line="420" w:lineRule="exact"/>
        <w:ind w:left="0" w:right="0"/>
        <w:jc w:val="both"/>
        <w:rPr>
          <w:rFonts w:cs="B Zar" w:hint="cs"/>
          <w:sz w:val="28"/>
          <w:szCs w:val="28"/>
        </w:rPr>
      </w:pPr>
    </w:p>
    <w:p w:rsidR="009868FC" w:rsidRPr="009868FC" w:rsidP="002D6B7E">
      <w:pPr>
        <w:widowControl w:val="0"/>
        <w:ind w:left="0" w:right="0"/>
        <w:jc w:val="both"/>
        <w:rPr>
          <w:rFonts w:cs="B Zar"/>
          <w:sz w:val="28"/>
          <w:szCs w:val="28"/>
        </w:rPr>
      </w:pPr>
    </w:p>
    <w:p w:rsidR="009C75F3" w:rsidRPr="00B67C5A" w:rsidP="002D6B7E">
      <w:pPr>
        <w:widowControl w:val="0"/>
        <w:spacing w:line="240" w:lineRule="auto"/>
        <w:ind w:left="0" w:right="0"/>
        <w:jc w:val="both"/>
        <w:rPr>
          <w:rFonts w:cs="B Zar" w:hint="cs"/>
          <w:rtl/>
          <w:lang w:bidi="fa-IR"/>
        </w:rPr>
      </w:pPr>
      <w:r w:rsidR="00B135B6">
        <w:rPr>
          <w:rFonts w:cs="B Zar"/>
          <w:rtl/>
          <w:lang w:bidi="fa-IR"/>
        </w:rPr>
        <w:br w:type="page"/>
      </w:r>
    </w:p>
    <w:sectPr w:rsidSect="00B67C5A">
      <w:headerReference w:type="even" r:id="rId6"/>
      <w:headerReference w:type="default" r:id="rId7"/>
      <w:footnotePr>
        <w:numRestart w:val="eachPage"/>
      </w:footnotePr>
      <w:type w:val="continuous"/>
      <w:pgSz w:w="11907" w:h="16840" w:code="9"/>
      <w:pgMar w:top="2268" w:right="2835" w:bottom="4536" w:left="2835" w:header="1701" w:footer="3969" w:gutter="0"/>
      <w:cols w:space="720"/>
      <w:bidi/>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MCS Basmalah normal.">
    <w:panose1 w:val="00000000000000000000"/>
    <w:charset w:val="00"/>
    <w:family w:val="auto"/>
    <w:pitch w:val="variable"/>
    <w:sig w:usb0="00000003" w:usb1="00000000" w:usb2="00000000" w:usb3="00000000" w:csb0="00000001" w:csb1="00000000"/>
  </w:font>
  <w:font w:name="Titr">
    <w:altName w:val="Courier New"/>
    <w:panose1 w:val="00000700000000000000"/>
    <w:charset w:val="B2"/>
    <w:family w:val="auto"/>
    <w:pitch w:val="variable"/>
    <w:sig w:usb0="00002000"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IPT.Lotus">
    <w:altName w:val="Symbol"/>
    <w:panose1 w:val="00000400000000000000"/>
    <w:charset w:val="02"/>
    <w:family w:val="auto"/>
    <w:pitch w:val="variable"/>
    <w:sig w:usb0="00000000" w:usb1="10000000" w:usb2="00000000" w:usb3="00000000" w:csb0="80000000" w:csb1="00000000"/>
  </w:font>
  <w:font w:name="Yagut">
    <w:altName w:val="Courier New"/>
    <w:panose1 w:val="00000500000000000000"/>
    <w:charset w:val="B2"/>
    <w:family w:val="auto"/>
    <w:pitch w:val="variable"/>
    <w:sig w:usb0="00002000" w:usb1="00000000" w:usb2="00000000" w:usb3="00000000" w:csb0="00000040" w:csb1="00000000"/>
  </w:font>
  <w:font w:name="IPT.Zar">
    <w:altName w:val="Darussalam Arabic Tughray"/>
    <w:panose1 w:val="00000400000000000000"/>
    <w:charset w:val="02"/>
    <w:family w:val="auto"/>
    <w:pitch w:val="variable"/>
    <w:sig w:usb0="00000000" w:usb1="10000000" w:usb2="00000000" w:usb3="00000000" w:csb0="80000000" w:csb1="00000000"/>
  </w:font>
  <w:font w:name="IPT.Yagut">
    <w:panose1 w:val="00000400000000000000"/>
    <w:charset w:val="02"/>
    <w:family w:val="auto"/>
    <w:pitch w:val="variable"/>
    <w:sig w:usb0="00000000" w:usb1="10000000" w:usb2="00000000" w:usb3="00000000" w:csb0="80000000" w:csb1="00000000"/>
  </w:font>
  <w:font w:name="IPT Lotus">
    <w:altName w:val="Symbol"/>
    <w:panose1 w:val="00000400000000000000"/>
    <w:charset w:val="02"/>
    <w:family w:val="auto"/>
    <w:pitch w:val="variable"/>
    <w:sig w:usb0="00000000" w:usb1="10000000" w:usb2="00000000" w:usb3="00000000" w:csb0="80000000" w:csb1="00000000"/>
  </w:font>
  <w:font w:name="Zar">
    <w:altName w:val="Courier New"/>
    <w:panose1 w:val="00000400000000000000"/>
    <w:charset w:val="B2"/>
    <w:family w:val="auto"/>
    <w:pitch w:val="variable"/>
    <w:sig w:usb0="00002000" w:usb1="00000000" w:usb2="00000000" w:usb3="00000000" w:csb0="00000040" w:csb1="00000000"/>
  </w:font>
  <w:font w:name="Lotus">
    <w:panose1 w:val="000004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79AB" w:rsidP="000C3E06">
      <w:pPr>
        <w:ind w:left="0" w:right="0"/>
        <w:jc w:val="both"/>
      </w:pPr>
      <w:r>
        <w:separator/>
      </w:r>
    </w:p>
  </w:footnote>
  <w:footnote w:type="continuationSeparator" w:id="1">
    <w:p w:rsidR="00D979AB" w:rsidP="000C3E06">
      <w:pPr>
        <w:ind w:left="0" w:right="0"/>
        <w:jc w:val="both"/>
      </w:pPr>
      <w:r>
        <w:continuationSeparator/>
      </w:r>
    </w:p>
  </w:footnote>
  <w:footnote w:id="2">
    <w:p w:rsidR="00C8559C" w:rsidRPr="008A39B4" w:rsidP="00260D39">
      <w:pPr>
        <w:pStyle w:val="FootnoteText"/>
        <w:bidi w:val="0"/>
        <w:spacing w:line="240" w:lineRule="exact"/>
        <w:ind w:left="227" w:hanging="227"/>
        <w:rPr>
          <w:sz w:val="18"/>
          <w:szCs w:val="18"/>
        </w:rPr>
      </w:pPr>
      <w:r w:rsidRPr="008A39B4">
        <w:rPr>
          <w:rStyle w:val="FootnoteReference"/>
          <w:sz w:val="18"/>
          <w:szCs w:val="18"/>
          <w:vertAlign w:val="baseline"/>
        </w:rPr>
        <w:footnoteRef/>
      </w:r>
      <w:r w:rsidRPr="008A39B4">
        <w:rPr>
          <w:sz w:val="18"/>
          <w:szCs w:val="18"/>
        </w:rPr>
        <w:t xml:space="preserve">. </w:t>
      </w:r>
      <w:r w:rsidRPr="008A39B4">
        <w:rPr>
          <w:rFonts w:cs="B Zar"/>
          <w:sz w:val="18"/>
          <w:szCs w:val="18"/>
        </w:rPr>
        <w:t xml:space="preserve"> Das Gupta: The History of the Indian Philosophy Vol.1,</w:t>
      </w:r>
      <w:r>
        <w:rPr>
          <w:rFonts w:cs="B Zar"/>
          <w:sz w:val="18"/>
          <w:szCs w:val="18"/>
        </w:rPr>
        <w:t xml:space="preserve"> </w:t>
      </w:r>
      <w:smartTag w:uri="urn:schemas-microsoft-com:office:smarttags" w:element="place">
        <w:smartTag w:uri="urn:schemas-microsoft-com:office:smarttags" w:element="City">
          <w:r w:rsidRPr="008A39B4">
            <w:rPr>
              <w:rFonts w:cs="B Zar"/>
              <w:sz w:val="18"/>
              <w:szCs w:val="18"/>
            </w:rPr>
            <w:t>New Delhi</w:t>
          </w:r>
        </w:smartTag>
      </w:smartTag>
      <w:r w:rsidRPr="008A39B4">
        <w:rPr>
          <w:rFonts w:cs="B Zar"/>
          <w:sz w:val="18"/>
          <w:szCs w:val="18"/>
        </w:rPr>
        <w:t>, 1965</w:t>
      </w:r>
    </w:p>
  </w:footnote>
  <w:footnote w:id="3">
    <w:p w:rsidR="00C8559C" w:rsidRPr="006A4F74" w:rsidP="00260D39">
      <w:pPr>
        <w:pStyle w:val="FootnoteText"/>
        <w:bidi w:val="0"/>
        <w:spacing w:line="240" w:lineRule="exact"/>
        <w:ind w:left="227" w:hanging="227"/>
        <w:rPr>
          <w:rFonts w:cs="B Zar"/>
        </w:rPr>
      </w:pPr>
      <w:r w:rsidRPr="008A39B4">
        <w:rPr>
          <w:rStyle w:val="FootnoteReference"/>
          <w:rFonts w:cs="B Zar"/>
          <w:sz w:val="18"/>
          <w:szCs w:val="18"/>
          <w:vertAlign w:val="baseline"/>
        </w:rPr>
        <w:footnoteRef/>
      </w:r>
      <w:r w:rsidRPr="008A39B4">
        <w:rPr>
          <w:rFonts w:cs="B Zar"/>
          <w:sz w:val="18"/>
          <w:szCs w:val="18"/>
        </w:rPr>
        <w:t xml:space="preserve">. </w:t>
      </w:r>
      <w:r>
        <w:rPr>
          <w:rFonts w:cs="B Zar"/>
          <w:sz w:val="18"/>
          <w:szCs w:val="18"/>
        </w:rPr>
        <w:t xml:space="preserve"> </w:t>
      </w:r>
      <w:r w:rsidRPr="008A39B4">
        <w:rPr>
          <w:rFonts w:cs="B Zar"/>
          <w:sz w:val="18"/>
          <w:szCs w:val="18"/>
        </w:rPr>
        <w:t xml:space="preserve">S. Radhakrishnan: The Principal Upanishads, Introduction, </w:t>
      </w:r>
      <w:smartTag w:uri="urn:schemas-microsoft-com:office:smarttags" w:element="place">
        <w:smartTag w:uri="urn:schemas-microsoft-com:office:smarttags" w:element="City">
          <w:r w:rsidRPr="008A39B4">
            <w:rPr>
              <w:rFonts w:cs="B Zar"/>
              <w:sz w:val="18"/>
              <w:szCs w:val="18"/>
            </w:rPr>
            <w:t>New Delhi</w:t>
          </w:r>
        </w:smartTag>
      </w:smartTag>
      <w:r w:rsidRPr="008A39B4">
        <w:rPr>
          <w:rFonts w:cs="B Zar"/>
          <w:sz w:val="18"/>
          <w:szCs w:val="18"/>
        </w:rPr>
        <w:t xml:space="preserve"> 1958, p10</w:t>
      </w:r>
      <w:r w:rsidRPr="006A4F74">
        <w:rPr>
          <w:rFonts w:cs="B Zar"/>
        </w:rPr>
        <w:t xml:space="preserve"> </w:t>
      </w:r>
    </w:p>
  </w:footnote>
  <w:footnote w:id="4">
    <w:p w:rsidR="00C8559C" w:rsidRPr="008A39B4" w:rsidP="00260D39">
      <w:pPr>
        <w:pStyle w:val="FootnoteText"/>
        <w:bidi w:val="0"/>
        <w:spacing w:line="240" w:lineRule="exact"/>
        <w:ind w:left="227" w:hanging="227"/>
        <w:rPr>
          <w:rFonts w:cs="Times New Roman"/>
          <w:sz w:val="18"/>
          <w:szCs w:val="18"/>
        </w:rPr>
      </w:pPr>
      <w:r w:rsidRPr="008A39B4">
        <w:rPr>
          <w:rStyle w:val="FootnoteReference"/>
          <w:rFonts w:cs="Times New Roman"/>
          <w:sz w:val="18"/>
          <w:szCs w:val="18"/>
          <w:vertAlign w:val="baseline"/>
        </w:rPr>
        <w:t>1</w:t>
      </w:r>
      <w:r w:rsidRPr="008A39B4">
        <w:rPr>
          <w:rFonts w:cs="Times New Roman" w:hint="cs"/>
          <w:sz w:val="18"/>
          <w:szCs w:val="18"/>
          <w:rtl/>
        </w:rPr>
        <w:t xml:space="preserve"> </w:t>
      </w:r>
      <w:r w:rsidRPr="008A39B4">
        <w:rPr>
          <w:rFonts w:cs="Times New Roman"/>
          <w:sz w:val="18"/>
          <w:szCs w:val="18"/>
          <w:rtl/>
        </w:rPr>
        <w:t>.</w:t>
      </w:r>
      <w:r w:rsidRPr="008A39B4">
        <w:rPr>
          <w:rFonts w:cs="Times New Roman"/>
          <w:sz w:val="18"/>
          <w:szCs w:val="18"/>
        </w:rPr>
        <w:t>Gibbon: The Rise and Fall of the Roman Empire, London, 1962, Vol. 7 p 269</w:t>
      </w:r>
    </w:p>
  </w:footnote>
  <w:footnote w:id="5">
    <w:p w:rsidR="00C8559C" w:rsidRPr="00260D39" w:rsidP="005C428C">
      <w:pPr>
        <w:pStyle w:val="FootnoteText"/>
        <w:tabs>
          <w:tab w:val="left" w:pos="227"/>
        </w:tabs>
        <w:ind w:left="227" w:right="0" w:hanging="227"/>
        <w:jc w:val="both"/>
        <w:rPr>
          <w:rFonts w:ascii="IPT.Zar" w:hAnsi="IPT.Zar" w:cs="B Zar"/>
        </w:rPr>
      </w:pPr>
      <w:r w:rsidRPr="005C428C">
        <w:rPr>
          <w:rFonts w:cs="B Zar"/>
        </w:rPr>
        <w:t>.</w:t>
      </w:r>
      <w:r w:rsidRPr="005C428C">
        <w:rPr>
          <w:rStyle w:val="FootnoteReference"/>
          <w:rFonts w:ascii="IPT.Zar" w:hAnsi="IPT.Zar" w:cs="B Zar"/>
          <w:sz w:val="24"/>
          <w:szCs w:val="24"/>
          <w:vertAlign w:val="baseline"/>
        </w:rPr>
        <w:footnoteRef/>
      </w:r>
      <w:r w:rsidRPr="00260D39">
        <w:rPr>
          <w:rFonts w:ascii="IPT.Zar" w:hAnsi="IPT.Zar" w:cs="B Zar"/>
          <w:rtl/>
        </w:rPr>
        <w:t xml:space="preserve">  </w:t>
        <w:tab/>
        <w:t>ابن النديم: الفهرست ترجمه  محمد رضا نجدد، انتشارات امير كبير تهران 1366، مقاله هفتم، فن اول، ص  447</w:t>
      </w:r>
    </w:p>
  </w:footnote>
  <w:footnote w:id="6">
    <w:p w:rsidR="00C8559C" w:rsidRPr="006A4F74" w:rsidP="00B135B6">
      <w:pPr>
        <w:pStyle w:val="FootnoteText"/>
        <w:tabs>
          <w:tab w:val="left" w:pos="227"/>
        </w:tabs>
        <w:ind w:left="227" w:right="0" w:hanging="227"/>
        <w:jc w:val="both"/>
        <w:rPr>
          <w:rFonts w:cs="B Zar" w:hint="cs"/>
          <w:rtl/>
        </w:rPr>
      </w:pPr>
      <w:r w:rsidR="00B135B6">
        <w:rPr>
          <w:rFonts w:ascii="IPT.Zar" w:hAnsi="IPT.Zar" w:cs="B Zar" w:hint="cs"/>
          <w:sz w:val="24"/>
          <w:szCs w:val="24"/>
          <w:rtl/>
          <w:lang w:bidi="fa-IR"/>
        </w:rPr>
        <w:t xml:space="preserve"> </w:t>
      </w:r>
      <w:r w:rsidRPr="005C428C">
        <w:rPr>
          <w:rStyle w:val="FootnoteReference"/>
          <w:rFonts w:ascii="IPT.Zar" w:hAnsi="IPT.Zar" w:cs="B Zar"/>
          <w:sz w:val="24"/>
          <w:szCs w:val="24"/>
          <w:vertAlign w:val="baseline"/>
        </w:rPr>
        <w:footnoteRef/>
      </w:r>
      <w:r w:rsidR="00B135B6">
        <w:rPr>
          <w:rFonts w:ascii="IPT.Zar" w:hAnsi="IPT.Zar" w:cs="B Zar" w:hint="cs"/>
          <w:sz w:val="24"/>
          <w:szCs w:val="24"/>
          <w:rtl/>
          <w:lang w:bidi="fa-IR"/>
        </w:rPr>
        <w:t xml:space="preserve">. </w:t>
      </w:r>
      <w:r w:rsidRPr="00260D39">
        <w:rPr>
          <w:rFonts w:ascii="IPT.Zar" w:hAnsi="IPT.Zar" w:cs="B Zar"/>
          <w:rtl/>
        </w:rPr>
        <w:t>همان، مقاله هفتم فن اول، ص 542</w:t>
      </w:r>
    </w:p>
  </w:footnote>
  <w:footnote w:id="7">
    <w:p w:rsidR="00C8559C" w:rsidRPr="00260D39" w:rsidP="00F0597A">
      <w:pPr>
        <w:pStyle w:val="FootnoteText"/>
        <w:ind w:left="227" w:right="0" w:hanging="227"/>
        <w:jc w:val="both"/>
        <w:rPr>
          <w:rFonts w:ascii="IPT.Zar" w:hAnsi="IPT.Zar"/>
        </w:rPr>
      </w:pPr>
      <w:r w:rsidRPr="005C428C">
        <w:rPr>
          <w:rStyle w:val="FootnoteReference"/>
          <w:rFonts w:ascii="IPT.Zar" w:hAnsi="IPT.Zar"/>
          <w:sz w:val="24"/>
          <w:szCs w:val="24"/>
          <w:vertAlign w:val="baseline"/>
        </w:rPr>
        <w:footnoteRef/>
      </w:r>
      <w:r w:rsidRPr="005C428C">
        <w:rPr>
          <w:rFonts w:ascii="IPT.Zar" w:hAnsi="IPT.Zar" w:cs="B Zar"/>
          <w:rtl/>
        </w:rPr>
        <w:t>.</w:t>
      </w:r>
      <w:r w:rsidRPr="005C428C">
        <w:rPr>
          <w:rFonts w:ascii="IPT.Zar" w:hAnsi="IPT.Zar" w:cs="B Zar"/>
          <w:sz w:val="24"/>
          <w:szCs w:val="24"/>
          <w:rtl/>
        </w:rPr>
        <w:t xml:space="preserve"> </w:t>
      </w:r>
      <w:r>
        <w:rPr>
          <w:rFonts w:ascii="IPT.Zar" w:hAnsi="IPT.Zar" w:cs="B Zar" w:hint="cs"/>
          <w:rtl/>
        </w:rPr>
        <w:tab/>
      </w:r>
      <w:r w:rsidRPr="00260D39">
        <w:rPr>
          <w:rFonts w:ascii="IPT.Zar" w:hAnsi="IPT.Zar" w:cs="B Zar"/>
          <w:rtl/>
        </w:rPr>
        <w:t xml:space="preserve"> همان، ص 162</w:t>
      </w:r>
    </w:p>
  </w:footnote>
  <w:footnote w:id="8">
    <w:p w:rsidR="00C8559C" w:rsidRPr="00260D39" w:rsidP="00F0597A">
      <w:pPr>
        <w:pStyle w:val="FootnoteText"/>
        <w:ind w:left="227" w:right="0" w:hanging="227"/>
        <w:jc w:val="both"/>
        <w:rPr>
          <w:rFonts w:ascii="IPT.Zar" w:hAnsi="IPT.Zar" w:cs="B Zar"/>
          <w:rtl/>
        </w:rPr>
      </w:pPr>
      <w:r w:rsidRPr="005C428C">
        <w:rPr>
          <w:rStyle w:val="FootnoteReference"/>
          <w:rFonts w:ascii="IPT.Zar" w:hAnsi="IPT.Zar" w:cs="B Zar"/>
          <w:sz w:val="24"/>
          <w:szCs w:val="24"/>
          <w:vertAlign w:val="baseline"/>
        </w:rPr>
        <w:footnoteRef/>
      </w:r>
      <w:r w:rsidRPr="005C428C">
        <w:rPr>
          <w:rFonts w:ascii="IPT.Zar" w:hAnsi="IPT.Zar" w:cs="B Zar"/>
          <w:rtl/>
        </w:rPr>
        <w:t>.</w:t>
      </w:r>
      <w:r w:rsidRPr="00260D39">
        <w:rPr>
          <w:rFonts w:ascii="IPT.Zar" w:hAnsi="IPT.Zar" w:cs="B Zar"/>
          <w:rtl/>
        </w:rPr>
        <w:t xml:space="preserve"> </w:t>
      </w:r>
      <w:r>
        <w:rPr>
          <w:rFonts w:ascii="IPT.Zar" w:hAnsi="IPT.Zar" w:cs="B Zar" w:hint="cs"/>
          <w:rtl/>
        </w:rPr>
        <w:tab/>
      </w:r>
      <w:r w:rsidRPr="00260D39">
        <w:rPr>
          <w:rFonts w:ascii="IPT.Zar" w:hAnsi="IPT.Zar" w:cs="B Zar"/>
          <w:rtl/>
        </w:rPr>
        <w:t xml:space="preserve"> همان، مقاله 8، فن 3، ص 560</w:t>
      </w:r>
    </w:p>
  </w:footnote>
  <w:footnote w:id="9">
    <w:p w:rsidR="00C8559C" w:rsidRPr="00260D39" w:rsidP="00B135B6">
      <w:pPr>
        <w:pStyle w:val="FootnoteText"/>
        <w:ind w:left="227" w:right="0" w:hanging="227"/>
        <w:jc w:val="both"/>
        <w:rPr>
          <w:rFonts w:ascii="IPT.Zar" w:hAnsi="IPT.Zar"/>
        </w:rPr>
      </w:pPr>
      <w:r w:rsidRPr="005C428C">
        <w:rPr>
          <w:rStyle w:val="FootnoteReference"/>
          <w:rFonts w:ascii="IPT.Zar" w:hAnsi="IPT.Zar"/>
          <w:sz w:val="24"/>
          <w:szCs w:val="24"/>
          <w:vertAlign w:val="baseline"/>
        </w:rPr>
        <w:footnoteRef/>
      </w:r>
      <w:r w:rsidRPr="00260D39">
        <w:rPr>
          <w:rFonts w:ascii="IPT.Zar" w:hAnsi="IPT.Zar"/>
          <w:rtl/>
        </w:rPr>
        <w:t xml:space="preserve"> </w:t>
      </w:r>
      <w:r w:rsidRPr="00260D39">
        <w:rPr>
          <w:rFonts w:ascii="IPT.Zar" w:hAnsi="IPT.Zar" w:cs="B Zar"/>
          <w:rtl/>
        </w:rPr>
        <w:t>همان، مقاله 3، فن 1 ، ص 238</w:t>
      </w:r>
    </w:p>
  </w:footnote>
  <w:footnote w:id="10">
    <w:p w:rsidR="00C8559C" w:rsidRPr="00260D39" w:rsidP="00F0597A">
      <w:pPr>
        <w:pStyle w:val="FootnoteText"/>
        <w:ind w:left="227" w:right="0" w:hanging="227"/>
        <w:jc w:val="both"/>
        <w:rPr>
          <w:rFonts w:ascii="IPT.Zar" w:hAnsi="IPT.Zar"/>
          <w:rtl/>
        </w:rPr>
      </w:pPr>
      <w:r w:rsidRPr="005C428C">
        <w:rPr>
          <w:rStyle w:val="FootnoteReference"/>
          <w:rFonts w:ascii="IPT.Zar" w:hAnsi="IPT.Zar"/>
          <w:sz w:val="24"/>
          <w:szCs w:val="24"/>
          <w:vertAlign w:val="baseline"/>
        </w:rPr>
        <w:footnoteRef/>
      </w:r>
      <w:r w:rsidRPr="005C428C">
        <w:rPr>
          <w:rFonts w:ascii="IPT.Zar" w:hAnsi="IPT.Zar" w:cs="B Zar"/>
          <w:rtl/>
        </w:rPr>
        <w:t>.</w:t>
      </w:r>
      <w:r>
        <w:rPr>
          <w:rFonts w:ascii="IPT.Zar" w:hAnsi="IPT.Zar" w:cs="B Zar" w:hint="cs"/>
          <w:rtl/>
        </w:rPr>
        <w:tab/>
      </w:r>
      <w:r w:rsidRPr="00260D39">
        <w:rPr>
          <w:rFonts w:ascii="IPT.Zar" w:hAnsi="IPT.Zar" w:cs="B Zar"/>
          <w:rtl/>
        </w:rPr>
        <w:t xml:space="preserve"> همان، مقاله 6، فن 1، ص 542</w:t>
      </w:r>
      <w:r w:rsidRPr="00260D39">
        <w:rPr>
          <w:rFonts w:ascii="IPT.Zar" w:hAnsi="IPT.Zar"/>
          <w:rtl/>
        </w:rPr>
        <w:t xml:space="preserve"> </w:t>
      </w:r>
    </w:p>
  </w:footnote>
  <w:footnote w:id="11">
    <w:p w:rsidR="00C8559C" w:rsidRPr="00260D39" w:rsidP="00F0597A">
      <w:pPr>
        <w:pStyle w:val="FootnoteText"/>
        <w:ind w:left="227" w:right="0" w:hanging="227"/>
        <w:jc w:val="both"/>
        <w:rPr>
          <w:rFonts w:ascii="IPT.Zar" w:hAnsi="IPT.Zar"/>
        </w:rPr>
      </w:pPr>
      <w:r w:rsidRPr="005C428C">
        <w:rPr>
          <w:rStyle w:val="FootnoteReference"/>
          <w:rFonts w:ascii="IPT.Zar" w:hAnsi="IPT.Zar"/>
          <w:sz w:val="24"/>
          <w:szCs w:val="24"/>
          <w:vertAlign w:val="baseline"/>
        </w:rPr>
        <w:footnoteRef/>
      </w:r>
      <w:r w:rsidRPr="005C428C">
        <w:rPr>
          <w:rFonts w:ascii="IPT.Zar" w:hAnsi="IPT.Zar" w:cs="B Zar"/>
          <w:rtl/>
        </w:rPr>
        <w:t>.</w:t>
      </w:r>
      <w:r w:rsidRPr="00260D39">
        <w:rPr>
          <w:rFonts w:ascii="IPT.Zar" w:hAnsi="IPT.Zar" w:cs="B Zar"/>
          <w:rtl/>
        </w:rPr>
        <w:t xml:space="preserve"> </w:t>
      </w:r>
      <w:r>
        <w:rPr>
          <w:rFonts w:ascii="IPT.Zar" w:hAnsi="IPT.Zar" w:cs="B Zar" w:hint="cs"/>
          <w:rtl/>
        </w:rPr>
        <w:tab/>
      </w:r>
      <w:r w:rsidRPr="00260D39">
        <w:rPr>
          <w:rFonts w:ascii="IPT.Zar" w:hAnsi="IPT.Zar" w:cs="B Zar"/>
          <w:rtl/>
        </w:rPr>
        <w:t>همان، مقاله 5، فن 1، ص 309</w:t>
      </w:r>
    </w:p>
  </w:footnote>
  <w:footnote w:id="12">
    <w:p w:rsidR="00C8559C" w:rsidRPr="00260D39" w:rsidP="00B135B6">
      <w:pPr>
        <w:pStyle w:val="FootnoteText"/>
        <w:ind w:left="227" w:right="0" w:hanging="227"/>
        <w:jc w:val="both"/>
        <w:rPr>
          <w:rFonts w:ascii="IPT.Zar" w:hAnsi="IPT.Zar"/>
          <w:rtl/>
        </w:rPr>
      </w:pPr>
      <w:r w:rsidRPr="005C428C">
        <w:rPr>
          <w:rStyle w:val="FootnoteReference"/>
          <w:rFonts w:ascii="IPT.Zar" w:hAnsi="IPT.Zar"/>
          <w:sz w:val="24"/>
          <w:szCs w:val="24"/>
          <w:vertAlign w:val="baseline"/>
        </w:rPr>
        <w:footnoteRef/>
      </w:r>
      <w:r w:rsidRPr="00260D39">
        <w:rPr>
          <w:rFonts w:ascii="IPT.Zar" w:hAnsi="IPT.Zar" w:cs="B Zar"/>
          <w:rtl/>
        </w:rPr>
        <w:t>همان، مقاله 3، فن 1، ص 186</w:t>
      </w:r>
    </w:p>
  </w:footnote>
  <w:footnote w:id="13">
    <w:p w:rsidR="00C8559C" w:rsidRPr="00260D39" w:rsidP="00F0597A">
      <w:pPr>
        <w:pStyle w:val="FootnoteText"/>
        <w:ind w:left="227" w:right="0" w:hanging="227"/>
        <w:jc w:val="both"/>
        <w:rPr>
          <w:rFonts w:ascii="IPT.Zar" w:hAnsi="IPT.Zar"/>
          <w:rtl/>
        </w:rPr>
      </w:pPr>
      <w:r w:rsidRPr="005C428C">
        <w:rPr>
          <w:rStyle w:val="FootnoteReference"/>
          <w:rFonts w:ascii="IPT.Zar" w:hAnsi="IPT.Zar"/>
          <w:sz w:val="24"/>
          <w:szCs w:val="24"/>
          <w:vertAlign w:val="baseline"/>
        </w:rPr>
        <w:footnoteRef/>
      </w:r>
      <w:r>
        <w:rPr>
          <w:rFonts w:ascii="IPT.Zar" w:hAnsi="IPT.Zar" w:cs="B Zar" w:hint="cs"/>
          <w:rtl/>
        </w:rPr>
        <w:tab/>
      </w:r>
      <w:r w:rsidRPr="00260D39">
        <w:rPr>
          <w:rFonts w:ascii="IPT.Zar" w:hAnsi="IPT.Zar" w:cs="B Zar"/>
          <w:rtl/>
        </w:rPr>
        <w:t xml:space="preserve"> همان، مقاله 3، فن 1، ص 186</w:t>
      </w:r>
    </w:p>
  </w:footnote>
  <w:footnote w:id="14">
    <w:p w:rsidR="00C8559C" w:rsidRPr="00260D39" w:rsidP="00B135B6">
      <w:pPr>
        <w:pStyle w:val="FootnoteText"/>
        <w:ind w:left="227" w:right="0" w:hanging="227"/>
        <w:jc w:val="both"/>
        <w:rPr>
          <w:rFonts w:ascii="IPT.Zar" w:hAnsi="IPT.Zar"/>
        </w:rPr>
      </w:pPr>
      <w:r w:rsidRPr="005C428C">
        <w:rPr>
          <w:rStyle w:val="FootnoteReference"/>
          <w:rFonts w:ascii="IPT.Zar" w:hAnsi="IPT.Zar"/>
          <w:sz w:val="24"/>
          <w:szCs w:val="24"/>
          <w:vertAlign w:val="baseline"/>
        </w:rPr>
        <w:footnoteRef/>
      </w:r>
      <w:r w:rsidRPr="00260D39">
        <w:rPr>
          <w:rFonts w:ascii="IPT.Zar" w:hAnsi="IPT.Zar"/>
          <w:rtl/>
        </w:rPr>
        <w:t xml:space="preserve"> </w:t>
      </w:r>
      <w:r w:rsidRPr="00260D39">
        <w:rPr>
          <w:rFonts w:ascii="IPT.Zar" w:hAnsi="IPT.Zar" w:cs="B Zar"/>
          <w:rtl/>
        </w:rPr>
        <w:t xml:space="preserve"> همان، مقاله 3، فن 2، ص 228</w:t>
      </w:r>
    </w:p>
  </w:footnote>
  <w:footnote w:id="15">
    <w:p w:rsidR="00C8559C" w:rsidRPr="002D36F9" w:rsidP="00F0597A">
      <w:pPr>
        <w:pStyle w:val="FootnoteText"/>
        <w:ind w:left="227" w:right="0" w:hanging="227"/>
        <w:jc w:val="both"/>
        <w:rPr>
          <w:rFonts w:ascii="IPT.Zar" w:hAnsi="IPT.Zar"/>
        </w:rPr>
      </w:pPr>
      <w:r w:rsidRPr="005C428C">
        <w:rPr>
          <w:rStyle w:val="FootnoteReference"/>
          <w:rFonts w:ascii="IPT.Zar" w:hAnsi="IPT.Zar"/>
          <w:sz w:val="24"/>
          <w:szCs w:val="24"/>
          <w:vertAlign w:val="baseline"/>
        </w:rPr>
        <w:footnoteRef/>
      </w:r>
      <w:r w:rsidRPr="005C428C">
        <w:rPr>
          <w:rFonts w:ascii="IPT.Zar" w:hAnsi="IPT.Zar" w:cs="B Zar"/>
          <w:rtl/>
        </w:rPr>
        <w:t>.</w:t>
      </w:r>
      <w:r>
        <w:rPr>
          <w:rFonts w:ascii="IPT.Zar" w:hAnsi="IPT.Zar" w:cs="B Zar" w:hint="cs"/>
          <w:rtl/>
        </w:rPr>
        <w:tab/>
      </w:r>
      <w:r w:rsidRPr="00260D39">
        <w:rPr>
          <w:rFonts w:ascii="IPT.Zar" w:hAnsi="IPT.Zar" w:cs="B Zar"/>
          <w:rtl/>
        </w:rPr>
        <w:t xml:space="preserve"> همان، مقاله 3، فن 2،ص 228</w:t>
      </w:r>
    </w:p>
  </w:footnote>
  <w:footnote w:id="16">
    <w:p w:rsidR="00C8559C" w:rsidRPr="00260D39" w:rsidP="009C7872">
      <w:pPr>
        <w:pStyle w:val="FootnoteText"/>
        <w:tabs>
          <w:tab w:val="left" w:pos="227"/>
          <w:tab w:val="left" w:pos="297"/>
        </w:tabs>
        <w:ind w:left="227" w:right="0" w:hanging="227"/>
        <w:jc w:val="both"/>
        <w:rPr>
          <w:rFonts w:ascii="IPT.Zar" w:hAnsi="IPT.Zar" w:cs="B Zar"/>
          <w:rtl/>
        </w:rPr>
      </w:pPr>
      <w:r w:rsidRPr="005C428C">
        <w:rPr>
          <w:rStyle w:val="FootnoteReference"/>
          <w:rFonts w:ascii="IPT.Zar" w:hAnsi="IPT.Zar" w:cs="B Zar"/>
          <w:sz w:val="24"/>
          <w:szCs w:val="24"/>
          <w:vertAlign w:val="baseline"/>
        </w:rPr>
        <w:footnoteRef/>
      </w:r>
      <w:r w:rsidRPr="005C428C">
        <w:rPr>
          <w:rFonts w:ascii="IPT.Zar" w:hAnsi="IPT.Zar" w:cs="B Zar"/>
          <w:rtl/>
        </w:rPr>
        <w:t>.</w:t>
      </w:r>
      <w:r w:rsidRPr="00260D39">
        <w:rPr>
          <w:rFonts w:ascii="IPT.Zar" w:hAnsi="IPT.Zar" w:cs="B Zar"/>
          <w:rtl/>
        </w:rPr>
        <w:tab/>
        <w:t xml:space="preserve"> شيخ طوسي: اختبار معرفه‌الرجال معروف به رجال كشي، احوال ابنِ نوبختي، تهران.1352 </w:t>
      </w:r>
    </w:p>
  </w:footnote>
  <w:footnote w:id="17">
    <w:p w:rsidR="00C8559C" w:rsidRPr="00260D39" w:rsidP="009C7872">
      <w:pPr>
        <w:pStyle w:val="FootnoteText"/>
        <w:tabs>
          <w:tab w:val="left" w:pos="227"/>
          <w:tab w:val="left" w:pos="297"/>
        </w:tabs>
        <w:ind w:left="227" w:right="0" w:hanging="227"/>
        <w:jc w:val="both"/>
        <w:rPr>
          <w:rFonts w:ascii="IPT.Zar" w:hAnsi="IPT.Zar" w:cs="B Zar"/>
          <w:rtl/>
        </w:rPr>
      </w:pPr>
      <w:r w:rsidRPr="00260D39">
        <w:rPr>
          <w:rStyle w:val="FootnoteReference"/>
          <w:rFonts w:ascii="IPT.Zar" w:hAnsi="IPT.Zar" w:cs="B Zar"/>
          <w:sz w:val="24"/>
          <w:szCs w:val="24"/>
          <w:vertAlign w:val="baseline"/>
        </w:rPr>
        <w:footnoteRef/>
      </w:r>
      <w:r w:rsidRPr="00260D39">
        <w:rPr>
          <w:rFonts w:ascii="IPT.Zar" w:hAnsi="IPT.Zar" w:cs="B Zar"/>
          <w:rtl/>
        </w:rPr>
        <w:t>.</w:t>
        <w:tab/>
        <w:t xml:space="preserve"> يعقوبي، تاريخ، ج 1، ص 79، تهران، ترجمه ابراهيم ايتي، انتشارات علمي، تهران،1366</w:t>
      </w:r>
    </w:p>
  </w:footnote>
  <w:footnote w:id="18">
    <w:p w:rsidR="00C8559C" w:rsidRPr="00260D39" w:rsidP="009C7872">
      <w:pPr>
        <w:pStyle w:val="FootnoteText"/>
        <w:tabs>
          <w:tab w:val="left" w:pos="227"/>
          <w:tab w:val="left" w:pos="297"/>
        </w:tabs>
        <w:ind w:left="227" w:right="0" w:hanging="227"/>
        <w:jc w:val="both"/>
        <w:rPr>
          <w:rFonts w:ascii="IPT.Zar" w:hAnsi="IPT.Zar" w:cs="B Zar"/>
          <w:rtl/>
        </w:rPr>
      </w:pPr>
      <w:r w:rsidRPr="00260D39">
        <w:rPr>
          <w:rStyle w:val="FootnoteReference"/>
          <w:rFonts w:ascii="IPT.Zar" w:hAnsi="IPT.Zar" w:cs="B Zar"/>
          <w:sz w:val="24"/>
          <w:szCs w:val="24"/>
          <w:vertAlign w:val="baseline"/>
        </w:rPr>
        <w:footnoteRef/>
      </w:r>
      <w:r w:rsidRPr="00260D39">
        <w:rPr>
          <w:rFonts w:ascii="IPT.Zar" w:hAnsi="IPT.Zar" w:cs="B Zar"/>
          <w:rtl/>
        </w:rPr>
        <w:t>.</w:t>
        <w:tab/>
        <w:t xml:space="preserve"> ابن النديم: پيشين ص 115</w:t>
      </w:r>
    </w:p>
  </w:footnote>
  <w:footnote w:id="19">
    <w:p w:rsidR="00C8559C" w:rsidRPr="00260D39" w:rsidP="009C7872">
      <w:pPr>
        <w:pStyle w:val="FootnoteText"/>
        <w:tabs>
          <w:tab w:val="left" w:pos="227"/>
          <w:tab w:val="left" w:pos="297"/>
        </w:tabs>
        <w:ind w:left="227" w:right="0" w:hanging="227"/>
        <w:jc w:val="both"/>
        <w:rPr>
          <w:rFonts w:ascii="IPT.Zar" w:hAnsi="IPT.Zar" w:cs="B Zar"/>
          <w:rtl/>
        </w:rPr>
      </w:pPr>
      <w:r w:rsidRPr="00260D39">
        <w:rPr>
          <w:rStyle w:val="FootnoteReference"/>
          <w:rFonts w:ascii="IPT.Zar" w:hAnsi="IPT.Zar" w:cs="B Zar"/>
          <w:sz w:val="24"/>
          <w:szCs w:val="24"/>
          <w:vertAlign w:val="baseline"/>
        </w:rPr>
        <w:footnoteRef/>
      </w:r>
      <w:r w:rsidRPr="00260D39">
        <w:rPr>
          <w:rFonts w:ascii="IPT.Zar" w:hAnsi="IPT.Zar" w:cs="B Zar"/>
          <w:rtl/>
        </w:rPr>
        <w:t>.</w:t>
        <w:tab/>
        <w:t xml:space="preserve"> ابن النديم: پيشين ، ص 116 تا 161</w:t>
      </w:r>
    </w:p>
  </w:footnote>
  <w:footnote w:id="20">
    <w:p w:rsidR="00C8559C" w:rsidRPr="00260D39" w:rsidP="009C7872">
      <w:pPr>
        <w:pStyle w:val="FootnoteText"/>
        <w:tabs>
          <w:tab w:val="left" w:pos="227"/>
          <w:tab w:val="left" w:pos="297"/>
        </w:tabs>
        <w:ind w:left="227" w:right="0" w:hanging="227"/>
        <w:jc w:val="both"/>
        <w:rPr>
          <w:rFonts w:ascii="IPT.Zar" w:hAnsi="IPT.Zar" w:cs="B Zar"/>
          <w:rtl/>
        </w:rPr>
      </w:pPr>
      <w:r w:rsidRPr="00260D39">
        <w:rPr>
          <w:rStyle w:val="FootnoteReference"/>
          <w:rFonts w:ascii="IPT.Zar" w:hAnsi="IPT.Zar" w:cs="B Zar"/>
          <w:sz w:val="24"/>
          <w:szCs w:val="24"/>
          <w:vertAlign w:val="baseline"/>
        </w:rPr>
        <w:footnoteRef/>
      </w:r>
      <w:r w:rsidRPr="00260D39">
        <w:rPr>
          <w:rFonts w:ascii="IPT.Zar" w:hAnsi="IPT.Zar" w:cs="B Zar"/>
          <w:rtl/>
        </w:rPr>
        <w:t>.</w:t>
        <w:tab/>
        <w:t xml:space="preserve"> ابن النديم: پيشين ، ص 186</w:t>
      </w:r>
    </w:p>
  </w:footnote>
  <w:footnote w:id="21">
    <w:p w:rsidR="00C8559C" w:rsidRPr="00260D39" w:rsidP="009C7872">
      <w:pPr>
        <w:pStyle w:val="FootnoteText"/>
        <w:tabs>
          <w:tab w:val="left" w:pos="227"/>
          <w:tab w:val="left" w:pos="297"/>
        </w:tabs>
        <w:ind w:left="227" w:right="0" w:hanging="227"/>
        <w:jc w:val="both"/>
        <w:rPr>
          <w:rFonts w:ascii="IPT.Zar" w:hAnsi="IPT.Zar" w:cs="B Zar"/>
        </w:rPr>
      </w:pPr>
      <w:r w:rsidRPr="00260D39">
        <w:rPr>
          <w:rStyle w:val="FootnoteReference"/>
          <w:rFonts w:ascii="IPT.Zar" w:hAnsi="IPT.Zar" w:cs="B Zar"/>
          <w:sz w:val="24"/>
          <w:szCs w:val="24"/>
          <w:vertAlign w:val="baseline"/>
        </w:rPr>
        <w:footnoteRef/>
      </w:r>
      <w:r w:rsidRPr="00260D39">
        <w:rPr>
          <w:rFonts w:ascii="IPT.Zar" w:hAnsi="IPT.Zar" w:cs="B Zar"/>
          <w:rtl/>
        </w:rPr>
        <w:t>.</w:t>
        <w:tab/>
        <w:t xml:space="preserve"> ابن النديم: پيشين ، ص 177 تا 186</w:t>
      </w:r>
    </w:p>
  </w:footnote>
  <w:footnote w:id="22">
    <w:p w:rsidR="00C8559C" w:rsidRPr="00260D39" w:rsidP="005C428C">
      <w:pPr>
        <w:pStyle w:val="FootnoteText"/>
        <w:tabs>
          <w:tab w:val="left" w:pos="227"/>
          <w:tab w:val="left" w:pos="297"/>
        </w:tabs>
        <w:ind w:left="227" w:right="0" w:hanging="227"/>
        <w:jc w:val="both"/>
        <w:rPr>
          <w:rFonts w:ascii="IPT.Zar" w:hAnsi="IPT.Zar" w:cs="B Zar"/>
        </w:rPr>
      </w:pPr>
      <w:r w:rsidRPr="00260D39">
        <w:rPr>
          <w:rStyle w:val="FootnoteReference"/>
          <w:rFonts w:ascii="IPT.Zar" w:hAnsi="IPT.Zar" w:cs="B Zar"/>
          <w:sz w:val="24"/>
          <w:szCs w:val="24"/>
          <w:vertAlign w:val="baseline"/>
        </w:rPr>
        <w:footnoteRef/>
      </w:r>
      <w:r w:rsidRPr="00260D39">
        <w:rPr>
          <w:rFonts w:ascii="IPT.Zar" w:hAnsi="IPT.Zar" w:cs="B Zar"/>
          <w:rtl/>
        </w:rPr>
        <w:t>.</w:t>
        <w:tab/>
        <w:t xml:space="preserve"> ابن النديم: پيشين ، ص 186</w:t>
      </w:r>
    </w:p>
  </w:footnote>
  <w:footnote w:id="23">
    <w:p w:rsidR="00C8559C" w:rsidRPr="00260D39" w:rsidP="009C7872">
      <w:pPr>
        <w:pStyle w:val="FootnoteText"/>
        <w:tabs>
          <w:tab w:val="left" w:pos="227"/>
          <w:tab w:val="left" w:pos="297"/>
        </w:tabs>
        <w:ind w:left="227" w:right="0" w:hanging="227"/>
        <w:jc w:val="both"/>
        <w:rPr>
          <w:rFonts w:ascii="IPT.Zar" w:hAnsi="IPT.Zar" w:cs="B Zar"/>
        </w:rPr>
      </w:pPr>
      <w:r w:rsidRPr="00260D39">
        <w:rPr>
          <w:rStyle w:val="FootnoteReference"/>
          <w:rFonts w:ascii="IPT.Zar" w:hAnsi="IPT.Zar" w:cs="B Zar"/>
          <w:sz w:val="24"/>
          <w:szCs w:val="24"/>
          <w:vertAlign w:val="baseline"/>
        </w:rPr>
        <w:footnoteRef/>
      </w:r>
      <w:r w:rsidRPr="00260D39">
        <w:rPr>
          <w:rFonts w:ascii="IPT.Zar" w:hAnsi="IPT.Zar" w:cs="B Zar"/>
          <w:rtl/>
        </w:rPr>
        <w:t>.</w:t>
        <w:tab/>
        <w:t xml:space="preserve"> يعقوبي پيشين ، ص 216</w:t>
      </w:r>
    </w:p>
  </w:footnote>
  <w:footnote w:id="24">
    <w:p w:rsidR="00C8559C" w:rsidRPr="00260D39" w:rsidP="009C7872">
      <w:pPr>
        <w:pStyle w:val="FootnoteText"/>
        <w:tabs>
          <w:tab w:val="left" w:pos="227"/>
          <w:tab w:val="left" w:pos="297"/>
        </w:tabs>
        <w:ind w:left="227" w:right="0" w:hanging="227"/>
        <w:jc w:val="both"/>
        <w:rPr>
          <w:rFonts w:ascii="IPT.Zar" w:hAnsi="IPT.Zar" w:cs="B Zar"/>
        </w:rPr>
      </w:pPr>
      <w:r w:rsidRPr="00260D39">
        <w:rPr>
          <w:rStyle w:val="FootnoteReference"/>
          <w:rFonts w:ascii="IPT.Zar" w:hAnsi="IPT.Zar" w:cs="B Zar"/>
          <w:sz w:val="24"/>
          <w:szCs w:val="24"/>
          <w:vertAlign w:val="baseline"/>
        </w:rPr>
        <w:footnoteRef/>
      </w:r>
      <w:r w:rsidRPr="00260D39">
        <w:rPr>
          <w:rFonts w:ascii="IPT.Zar" w:hAnsi="IPT.Zar" w:cs="B Zar"/>
          <w:rtl/>
        </w:rPr>
        <w:t xml:space="preserve">. </w:t>
        <w:tab/>
        <w:t>يعقوبي پيشين ، ص 226</w:t>
      </w:r>
    </w:p>
  </w:footnote>
  <w:footnote w:id="25">
    <w:p w:rsidR="00C8559C" w:rsidRPr="00260D39" w:rsidP="009C7872">
      <w:pPr>
        <w:pStyle w:val="FootnoteText"/>
        <w:tabs>
          <w:tab w:val="left" w:pos="227"/>
          <w:tab w:val="left" w:pos="297"/>
        </w:tabs>
        <w:ind w:left="227" w:right="0" w:hanging="227"/>
        <w:jc w:val="both"/>
        <w:rPr>
          <w:rFonts w:ascii="IPT.Zar" w:hAnsi="IPT.Zar" w:cs="B Zar"/>
        </w:rPr>
      </w:pPr>
      <w:r w:rsidRPr="00260D39">
        <w:rPr>
          <w:rStyle w:val="FootnoteReference"/>
          <w:rFonts w:ascii="IPT.Zar" w:hAnsi="IPT.Zar" w:cs="B Zar"/>
          <w:sz w:val="24"/>
          <w:szCs w:val="24"/>
          <w:vertAlign w:val="baseline"/>
        </w:rPr>
        <w:footnoteRef/>
      </w:r>
      <w:r w:rsidRPr="00260D39">
        <w:rPr>
          <w:rFonts w:ascii="IPT.Zar" w:hAnsi="IPT.Zar" w:cs="B Zar"/>
          <w:rtl/>
        </w:rPr>
        <w:t xml:space="preserve">. </w:t>
        <w:tab/>
        <w:t>يعقوبي پيشين ، ص 216</w:t>
      </w:r>
    </w:p>
  </w:footnote>
  <w:footnote w:id="26">
    <w:p w:rsidR="00C8559C" w:rsidRPr="00260D39" w:rsidP="009C7872">
      <w:pPr>
        <w:pStyle w:val="FootnoteText"/>
        <w:tabs>
          <w:tab w:val="left" w:pos="227"/>
          <w:tab w:val="left" w:pos="297"/>
        </w:tabs>
        <w:ind w:left="227" w:right="0" w:hanging="227"/>
        <w:jc w:val="both"/>
        <w:rPr>
          <w:rFonts w:ascii="IPT.Zar" w:hAnsi="IPT.Zar" w:cs="B Zar"/>
        </w:rPr>
      </w:pPr>
      <w:r w:rsidRPr="00260D39">
        <w:rPr>
          <w:rStyle w:val="FootnoteReference"/>
          <w:rFonts w:ascii="IPT.Zar" w:hAnsi="IPT.Zar" w:cs="B Zar"/>
          <w:sz w:val="24"/>
          <w:szCs w:val="24"/>
          <w:vertAlign w:val="baseline"/>
        </w:rPr>
        <w:footnoteRef/>
      </w:r>
      <w:r w:rsidRPr="00260D39">
        <w:rPr>
          <w:rFonts w:ascii="IPT.Zar" w:hAnsi="IPT.Zar" w:cs="B Zar"/>
          <w:rtl/>
        </w:rPr>
        <w:t xml:space="preserve">. </w:t>
        <w:tab/>
        <w:t>يعقوبي پيشين ، ص 331</w:t>
      </w:r>
    </w:p>
  </w:footnote>
  <w:footnote w:id="27">
    <w:p w:rsidR="00C8559C" w:rsidRPr="00260D39" w:rsidP="009C7872">
      <w:pPr>
        <w:pStyle w:val="FootnoteText"/>
        <w:tabs>
          <w:tab w:val="left" w:pos="227"/>
          <w:tab w:val="left" w:pos="297"/>
        </w:tabs>
        <w:ind w:left="227" w:right="0" w:hanging="227"/>
        <w:jc w:val="both"/>
        <w:rPr>
          <w:rFonts w:ascii="IPT.Zar" w:hAnsi="IPT.Zar" w:cs="B Zar"/>
          <w:rtl/>
        </w:rPr>
      </w:pPr>
      <w:r w:rsidRPr="00260D39">
        <w:rPr>
          <w:rStyle w:val="FootnoteReference"/>
          <w:rFonts w:ascii="IPT.Zar" w:hAnsi="IPT.Zar" w:cs="B Zar"/>
          <w:sz w:val="24"/>
          <w:szCs w:val="24"/>
          <w:vertAlign w:val="baseline"/>
        </w:rPr>
        <w:footnoteRef/>
      </w:r>
      <w:r w:rsidRPr="00260D39">
        <w:rPr>
          <w:rFonts w:ascii="IPT.Zar" w:hAnsi="IPT.Zar" w:cs="B Zar"/>
          <w:rtl/>
        </w:rPr>
        <w:t xml:space="preserve">. </w:t>
        <w:tab/>
        <w:t>دينوري: اخبارالطوال، ص 49، نجف 1356</w:t>
      </w:r>
    </w:p>
  </w:footnote>
  <w:footnote w:id="28">
    <w:p w:rsidR="00C8559C" w:rsidRPr="00260D39" w:rsidP="009C7872">
      <w:pPr>
        <w:pStyle w:val="FootnoteText"/>
        <w:tabs>
          <w:tab w:val="left" w:pos="227"/>
          <w:tab w:val="left" w:pos="297"/>
        </w:tabs>
        <w:ind w:left="227" w:right="0" w:hanging="227"/>
        <w:jc w:val="both"/>
        <w:rPr>
          <w:rFonts w:ascii="IPT.Zar" w:hAnsi="IPT.Zar" w:cs="B Zar"/>
          <w:rtl/>
        </w:rPr>
      </w:pPr>
      <w:r w:rsidRPr="00260D39">
        <w:rPr>
          <w:rStyle w:val="FootnoteReference"/>
          <w:rFonts w:ascii="IPT.Zar" w:hAnsi="IPT.Zar" w:cs="B Zar"/>
          <w:sz w:val="24"/>
          <w:szCs w:val="24"/>
          <w:vertAlign w:val="baseline"/>
        </w:rPr>
        <w:footnoteRef/>
      </w:r>
      <w:r w:rsidRPr="00260D39">
        <w:rPr>
          <w:rFonts w:ascii="IPT.Zar" w:hAnsi="IPT.Zar" w:cs="B Zar"/>
          <w:rtl/>
        </w:rPr>
        <w:t>.</w:t>
        <w:tab/>
        <w:t>يعقوبي پيشين ص 73.</w:t>
      </w:r>
    </w:p>
  </w:footnote>
  <w:footnote w:id="29">
    <w:p w:rsidR="00C8559C" w:rsidRPr="006A4F74" w:rsidP="009C7872">
      <w:pPr>
        <w:pStyle w:val="FootnoteText"/>
        <w:tabs>
          <w:tab w:val="left" w:pos="227"/>
          <w:tab w:val="left" w:pos="297"/>
        </w:tabs>
        <w:ind w:left="227" w:right="0" w:hanging="227"/>
        <w:jc w:val="both"/>
        <w:rPr>
          <w:rFonts w:cs="B Zar" w:hint="cs"/>
          <w:rtl/>
        </w:rPr>
      </w:pPr>
      <w:r w:rsidRPr="00260D39">
        <w:rPr>
          <w:rStyle w:val="FootnoteReference"/>
          <w:rFonts w:ascii="IPT.Zar" w:hAnsi="IPT.Zar" w:cs="B Zar"/>
          <w:sz w:val="24"/>
          <w:szCs w:val="24"/>
          <w:vertAlign w:val="baseline"/>
        </w:rPr>
        <w:footnoteRef/>
      </w:r>
      <w:r w:rsidRPr="00260D39">
        <w:rPr>
          <w:rFonts w:ascii="IPT.Zar" w:hAnsi="IPT.Zar" w:cs="B Zar"/>
          <w:rtl/>
        </w:rPr>
        <w:t>.</w:t>
        <w:tab/>
        <w:t>يعقوبي پيشين ، ص 94</w:t>
      </w:r>
    </w:p>
  </w:footnote>
  <w:footnote w:id="30">
    <w:p w:rsidR="00C8559C" w:rsidRPr="006A4F74" w:rsidP="009C7872">
      <w:pPr>
        <w:pStyle w:val="FootnoteText"/>
        <w:tabs>
          <w:tab w:val="left" w:pos="227"/>
          <w:tab w:val="left" w:pos="297"/>
        </w:tabs>
        <w:ind w:left="227" w:right="0" w:hanging="227"/>
        <w:jc w:val="both"/>
        <w:rPr>
          <w:rFonts w:cs="B Zar" w:hint="cs"/>
          <w:rtl/>
        </w:rPr>
      </w:pPr>
      <w:r w:rsidRPr="005C428C">
        <w:rPr>
          <w:rStyle w:val="FootnoteReference"/>
          <w:rFonts w:ascii="IPT.Zar" w:hAnsi="IPT.Zar" w:cs="B Zar"/>
          <w:sz w:val="24"/>
          <w:szCs w:val="24"/>
          <w:vertAlign w:val="baseline"/>
        </w:rPr>
        <w:footnoteRef/>
      </w:r>
      <w:r w:rsidRPr="006A4F74">
        <w:rPr>
          <w:rFonts w:cs="B Zar" w:hint="cs"/>
          <w:rtl/>
        </w:rPr>
        <w:t>.</w:t>
      </w:r>
      <w:r>
        <w:rPr>
          <w:rFonts w:cs="B Zar" w:hint="cs"/>
          <w:rtl/>
        </w:rPr>
        <w:tab/>
      </w:r>
      <w:r w:rsidRPr="006A4F74">
        <w:rPr>
          <w:rFonts w:cs="B Zar" w:hint="cs"/>
          <w:rtl/>
        </w:rPr>
        <w:t>طبري: تاريخ الرسل و الملوك،ترجمه پاينده، تهران، 1362، ج 1، ص 170 به بعد</w:t>
      </w:r>
    </w:p>
  </w:footnote>
  <w:footnote w:id="31">
    <w:p w:rsidR="00C8559C" w:rsidRPr="006A4F74" w:rsidP="009C7872">
      <w:pPr>
        <w:pStyle w:val="FootnoteText"/>
        <w:tabs>
          <w:tab w:val="left" w:pos="227"/>
          <w:tab w:val="left" w:pos="297"/>
        </w:tabs>
        <w:ind w:left="227" w:right="0" w:hanging="227"/>
        <w:jc w:val="both"/>
        <w:rPr>
          <w:rFonts w:cs="B Zar" w:hint="cs"/>
          <w:rtl/>
        </w:rPr>
      </w:pPr>
      <w:r w:rsidRPr="005C428C">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طبري، پيشين ، ج 2، ص 579 به بعد</w:t>
      </w:r>
    </w:p>
  </w:footnote>
  <w:footnote w:id="32">
    <w:p w:rsidR="00C8559C" w:rsidRPr="00E4739F" w:rsidP="002D008B">
      <w:pPr>
        <w:pStyle w:val="FootnoteText"/>
        <w:tabs>
          <w:tab w:val="left" w:pos="227"/>
          <w:tab w:val="left" w:pos="297"/>
        </w:tabs>
        <w:spacing w:line="280" w:lineRule="exact"/>
        <w:ind w:left="227" w:right="0" w:hanging="227"/>
        <w:jc w:val="both"/>
        <w:rPr>
          <w:rFonts w:ascii="IPT.Zar" w:hAnsi="IPT.Zar" w:cs="B Zar"/>
          <w:rtl/>
        </w:rPr>
      </w:pPr>
      <w:r w:rsidRPr="00E4739F">
        <w:rPr>
          <w:rStyle w:val="FootnoteReference"/>
          <w:rFonts w:ascii="IPT.Zar" w:hAnsi="IPT.Zar" w:cs="B Zar"/>
          <w:sz w:val="24"/>
          <w:szCs w:val="24"/>
          <w:vertAlign w:val="baseline"/>
        </w:rPr>
        <w:footnoteRef/>
      </w:r>
      <w:r w:rsidRPr="00E4739F">
        <w:rPr>
          <w:rFonts w:ascii="IPT.Zar" w:hAnsi="IPT.Zar" w:cs="B Zar"/>
          <w:rtl/>
        </w:rPr>
        <w:t xml:space="preserve">. </w:t>
        <w:tab/>
        <w:t>ابوالحسن المسعودي: مروج الذهب، بيروت،1393 ه، ج 1، ص 10 تا 448، ج 2 تا آخر</w:t>
      </w:r>
    </w:p>
  </w:footnote>
  <w:footnote w:id="33">
    <w:p w:rsidR="00C8559C" w:rsidRPr="00E4739F" w:rsidP="002D008B">
      <w:pPr>
        <w:pStyle w:val="FootnoteText"/>
        <w:tabs>
          <w:tab w:val="left" w:pos="227"/>
          <w:tab w:val="left" w:pos="297"/>
        </w:tabs>
        <w:spacing w:line="280" w:lineRule="exact"/>
        <w:ind w:left="227" w:right="0" w:hanging="227"/>
        <w:jc w:val="both"/>
        <w:rPr>
          <w:rFonts w:ascii="IPT.Zar" w:hAnsi="IPT.Zar" w:cs="B Zar"/>
          <w:rtl/>
        </w:rPr>
      </w:pPr>
      <w:r w:rsidRPr="00E4739F">
        <w:rPr>
          <w:rStyle w:val="FootnoteReference"/>
          <w:rFonts w:ascii="IPT.Zar" w:hAnsi="IPT.Zar" w:cs="B Zar"/>
          <w:sz w:val="24"/>
          <w:szCs w:val="24"/>
          <w:vertAlign w:val="baseline"/>
        </w:rPr>
        <w:footnoteRef/>
      </w:r>
      <w:r w:rsidRPr="00E4739F">
        <w:rPr>
          <w:rFonts w:ascii="IPT.Zar" w:hAnsi="IPT.Zar" w:cs="B Zar"/>
          <w:rtl/>
        </w:rPr>
        <w:t xml:space="preserve">. </w:t>
        <w:tab/>
        <w:t xml:space="preserve">رجوع شود به: اثر ابوريحان بيروني: «تحقيق ماللهند» ، لكهنؤ، 1936 </w:t>
      </w:r>
    </w:p>
  </w:footnote>
  <w:footnote w:id="34">
    <w:p w:rsidR="00C8559C" w:rsidRPr="00E4739F" w:rsidP="002D008B">
      <w:pPr>
        <w:pStyle w:val="FootnoteText"/>
        <w:tabs>
          <w:tab w:val="left" w:pos="227"/>
        </w:tabs>
        <w:spacing w:line="280" w:lineRule="exact"/>
        <w:ind w:left="227" w:right="0" w:hanging="227"/>
        <w:jc w:val="both"/>
        <w:rPr>
          <w:rFonts w:ascii="IPT.Zar" w:hAnsi="IPT.Zar" w:cs="B Zar"/>
        </w:rPr>
      </w:pPr>
      <w:r w:rsidRPr="00E4739F">
        <w:rPr>
          <w:rStyle w:val="FootnoteReference"/>
          <w:rFonts w:ascii="IPT.Zar" w:hAnsi="IPT.Zar" w:cs="B Zar"/>
          <w:sz w:val="24"/>
          <w:szCs w:val="24"/>
          <w:vertAlign w:val="baseline"/>
        </w:rPr>
        <w:footnoteRef/>
      </w:r>
      <w:r w:rsidRPr="00E4739F">
        <w:rPr>
          <w:rFonts w:ascii="IPT.Zar" w:hAnsi="IPT.Zar" w:cs="B Zar"/>
          <w:rtl/>
        </w:rPr>
        <w:t xml:space="preserve">. </w:t>
        <w:tab/>
        <w:t>ابن النديم: پيشين » مقاله 3، فن 1</w:t>
      </w:r>
    </w:p>
  </w:footnote>
  <w:footnote w:id="35">
    <w:p w:rsidR="00C8559C" w:rsidRPr="006A4F74" w:rsidP="00C166FC">
      <w:pPr>
        <w:pStyle w:val="FootnoteText"/>
        <w:tabs>
          <w:tab w:val="left" w:pos="227"/>
        </w:tabs>
        <w:ind w:left="227" w:right="0" w:hanging="227"/>
        <w:jc w:val="both"/>
        <w:rPr>
          <w:rFonts w:ascii="IPT.Zar" w:hAnsi="IPT.Zar" w:cs="B Zar"/>
        </w:rPr>
      </w:pPr>
      <w:r w:rsidRPr="00E4739F">
        <w:rPr>
          <w:rStyle w:val="FootnoteReference"/>
          <w:rFonts w:ascii="IPT.Zar" w:hAnsi="IPT.Zar" w:cs="B Zar"/>
          <w:sz w:val="24"/>
          <w:szCs w:val="24"/>
          <w:vertAlign w:val="baseline"/>
        </w:rPr>
        <w:footnoteRef/>
      </w:r>
      <w:r w:rsidRPr="00E4739F">
        <w:rPr>
          <w:rFonts w:ascii="IPT.Zar" w:hAnsi="IPT.Zar" w:cs="B Zar"/>
          <w:rtl/>
        </w:rPr>
        <w:t xml:space="preserve">. </w:t>
        <w:tab/>
        <w:t>ابن النديم: پيشين ، مقاله 3، فن 2، ص 191</w:t>
      </w:r>
    </w:p>
  </w:footnote>
  <w:footnote w:id="36">
    <w:p w:rsidR="00C8559C" w:rsidRPr="006A4F74" w:rsidP="00C166FC">
      <w:pPr>
        <w:pStyle w:val="FootnoteText"/>
        <w:tabs>
          <w:tab w:val="left" w:pos="227"/>
        </w:tabs>
        <w:ind w:left="227" w:right="0" w:hanging="227"/>
        <w:jc w:val="both"/>
        <w:rPr>
          <w:rFonts w:ascii="IPT.Zar" w:hAnsi="IPT.Zar" w:cs="B Zar"/>
        </w:rPr>
      </w:pPr>
      <w:r w:rsidRPr="006A4F74">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ابن النديم: پيشين ، مقاله 3، فن 2، ص 196</w:t>
      </w:r>
    </w:p>
  </w:footnote>
  <w:footnote w:id="37">
    <w:p w:rsidR="00C8559C" w:rsidRPr="006A4F74" w:rsidP="00C166FC">
      <w:pPr>
        <w:pStyle w:val="FootnoteText"/>
        <w:tabs>
          <w:tab w:val="left" w:pos="227"/>
        </w:tabs>
        <w:ind w:left="227" w:right="0" w:hanging="227"/>
        <w:jc w:val="both"/>
        <w:rPr>
          <w:rFonts w:ascii="IPT.Zar" w:hAnsi="IPT.Zar" w:cs="B Zar"/>
        </w:rPr>
      </w:pPr>
      <w:r w:rsidRPr="006A4F74">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ابن النديم: پيشين ، مقاله 4، فن 2، ص 272</w:t>
      </w:r>
    </w:p>
  </w:footnote>
  <w:footnote w:id="38">
    <w:p w:rsidR="00C8559C" w:rsidRPr="006A4F74" w:rsidP="00C166FC">
      <w:pPr>
        <w:pStyle w:val="FootnoteText"/>
        <w:tabs>
          <w:tab w:val="left" w:pos="227"/>
        </w:tabs>
        <w:ind w:left="227" w:right="0" w:hanging="227"/>
        <w:jc w:val="both"/>
        <w:rPr>
          <w:rFonts w:ascii="IPT.Zar" w:hAnsi="IPT.Zar" w:cs="B Zar"/>
        </w:rPr>
      </w:pPr>
      <w:r w:rsidRPr="006A4F74">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ابن النديم: پيشين ، مقاله3، فن 2، ص 196</w:t>
      </w:r>
    </w:p>
  </w:footnote>
  <w:footnote w:id="39">
    <w:p w:rsidR="00C8559C" w:rsidRPr="006A4F74" w:rsidP="00C166FC">
      <w:pPr>
        <w:pStyle w:val="FootnoteText"/>
        <w:tabs>
          <w:tab w:val="left" w:pos="227"/>
        </w:tabs>
        <w:ind w:left="227" w:right="0" w:hanging="227"/>
        <w:jc w:val="both"/>
        <w:rPr>
          <w:rFonts w:ascii="IPT.Zar" w:hAnsi="IPT.Zar" w:cs="B Zar"/>
        </w:rPr>
      </w:pPr>
      <w:r w:rsidRPr="006A4F74">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ابن النديم: پيشين ، مقاله 5، فن 5، ص 353</w:t>
      </w:r>
    </w:p>
  </w:footnote>
  <w:footnote w:id="40">
    <w:p w:rsidR="00C8559C" w:rsidRPr="009C7872" w:rsidP="00C166FC">
      <w:pPr>
        <w:pStyle w:val="FootnoteText"/>
        <w:tabs>
          <w:tab w:val="left" w:pos="227"/>
        </w:tabs>
        <w:ind w:left="227" w:right="0" w:hanging="227"/>
        <w:jc w:val="both"/>
        <w:rPr>
          <w:rFonts w:ascii="IPT.Zar" w:hAnsi="IPT.Zar" w:cs="B Zar"/>
        </w:rPr>
      </w:pPr>
      <w:r>
        <w:rPr>
          <w:rFonts w:cs="B Zar"/>
        </w:rPr>
        <w:t>.</w:t>
      </w:r>
      <w:r w:rsidRPr="002C43EC">
        <w:rPr>
          <w:rStyle w:val="FootnoteReference"/>
          <w:rFonts w:ascii="IPT.Zar" w:hAnsi="IPT.Zar" w:cs="B Zar"/>
          <w:sz w:val="24"/>
          <w:szCs w:val="24"/>
          <w:vertAlign w:val="baseline"/>
        </w:rPr>
        <w:footnoteRef/>
      </w:r>
      <w:r w:rsidRPr="002C43EC">
        <w:rPr>
          <w:rFonts w:ascii="IPT.Zar" w:hAnsi="IPT.Zar" w:cs="B Zar"/>
          <w:sz w:val="24"/>
          <w:szCs w:val="24"/>
          <w:rtl/>
        </w:rPr>
        <w:t xml:space="preserve"> </w:t>
      </w:r>
      <w:r>
        <w:rPr>
          <w:rFonts w:ascii="IPT.Zar" w:hAnsi="IPT.Zar" w:cs="B Zar" w:hint="cs"/>
          <w:rtl/>
        </w:rPr>
        <w:tab/>
      </w:r>
      <w:r w:rsidRPr="006A4F74">
        <w:rPr>
          <w:rFonts w:ascii="IPT.Zar" w:hAnsi="IPT.Zar" w:cs="B Zar"/>
          <w:rtl/>
        </w:rPr>
        <w:t>ابن النديم، مقاله 3، فن 2، ص 228</w:t>
      </w:r>
    </w:p>
  </w:footnote>
  <w:footnote w:id="41">
    <w:p w:rsidR="00C8559C" w:rsidRPr="006A4F74" w:rsidP="00C166FC">
      <w:pPr>
        <w:pStyle w:val="FootnoteText"/>
        <w:tabs>
          <w:tab w:val="left" w:pos="227"/>
        </w:tabs>
        <w:ind w:left="227" w:right="0" w:hanging="227"/>
        <w:jc w:val="both"/>
        <w:rPr>
          <w:rFonts w:ascii="IPT.Zar" w:hAnsi="IPT.Zar" w:cs="B Zar"/>
        </w:rPr>
      </w:pPr>
      <w:r w:rsidRPr="006A4F74">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ابن النديم: پيشين ، مقاله 5، فن 1، ص 300</w:t>
      </w:r>
    </w:p>
  </w:footnote>
  <w:footnote w:id="42">
    <w:p w:rsidR="00C8559C" w:rsidRPr="006A4F74" w:rsidP="002D6B7E">
      <w:pPr>
        <w:pStyle w:val="FootnoteText"/>
        <w:ind w:left="227" w:right="0" w:hanging="227"/>
        <w:jc w:val="both"/>
        <w:rPr>
          <w:rFonts w:ascii="IPT.Zar" w:hAnsi="IPT.Zar" w:cs="B Zar"/>
          <w:rtl/>
        </w:rPr>
      </w:pPr>
      <w:r w:rsidRPr="002C43EC">
        <w:rPr>
          <w:rStyle w:val="FootnoteReference"/>
          <w:rFonts w:ascii="IPT.Zar" w:hAnsi="IPT.Zar" w:cs="B Zar"/>
          <w:sz w:val="24"/>
          <w:szCs w:val="24"/>
          <w:vertAlign w:val="baseline"/>
        </w:rPr>
        <w:footnoteRef/>
      </w:r>
      <w:r w:rsidRPr="002C43EC">
        <w:rPr>
          <w:rFonts w:ascii="IPT.Zar" w:hAnsi="IPT.Zar" w:cs="B Zar"/>
          <w:rtl/>
        </w:rPr>
        <w:t>.</w:t>
      </w:r>
      <w:r w:rsidRPr="006A4F74">
        <w:rPr>
          <w:rFonts w:ascii="IPT.Zar" w:hAnsi="IPT.Zar" w:cs="B Zar"/>
          <w:rtl/>
        </w:rPr>
        <w:t xml:space="preserve"> </w:t>
      </w:r>
      <w:r>
        <w:rPr>
          <w:rFonts w:ascii="IPT.Zar" w:hAnsi="IPT.Zar" w:cs="B Zar" w:hint="cs"/>
          <w:rtl/>
        </w:rPr>
        <w:tab/>
      </w:r>
      <w:r w:rsidRPr="006A4F74">
        <w:rPr>
          <w:rFonts w:ascii="IPT.Zar" w:hAnsi="IPT.Zar" w:cs="B Zar"/>
          <w:rtl/>
        </w:rPr>
        <w:t>ابن النديم: پيشين ، ص 166</w:t>
      </w:r>
    </w:p>
  </w:footnote>
  <w:footnote w:id="43">
    <w:p w:rsidR="00C8559C" w:rsidRPr="006A4F74" w:rsidP="00B135B6">
      <w:pPr>
        <w:pStyle w:val="FootnoteText"/>
        <w:ind w:left="227" w:right="0" w:hanging="227"/>
        <w:jc w:val="both"/>
        <w:rPr>
          <w:rFonts w:ascii="IPT.Zar" w:hAnsi="IPT.Zar" w:cs="B Zar"/>
          <w:rtl/>
        </w:rPr>
      </w:pPr>
      <w:r w:rsidRPr="006A4F74">
        <w:rPr>
          <w:rStyle w:val="FootnoteReference"/>
          <w:rFonts w:ascii="IPT.Zar" w:hAnsi="IPT.Zar" w:cs="B Zar"/>
          <w:sz w:val="24"/>
          <w:szCs w:val="24"/>
          <w:vertAlign w:val="baseline"/>
        </w:rPr>
        <w:footnoteRef/>
      </w:r>
      <w:r w:rsidRPr="006A4F74">
        <w:rPr>
          <w:rFonts w:ascii="IPT.Zar" w:hAnsi="IPT.Zar" w:cs="B Zar"/>
          <w:rtl/>
        </w:rPr>
        <w:t>. ابن النديم: پيشين ، مقاله 3، فن 1، ص 188</w:t>
      </w:r>
    </w:p>
  </w:footnote>
  <w:footnote w:id="44">
    <w:p w:rsidR="00C8559C" w:rsidRPr="006A4F74" w:rsidP="002D6B7E">
      <w:pPr>
        <w:pStyle w:val="FootnoteText"/>
        <w:ind w:left="227" w:right="0" w:hanging="227"/>
        <w:jc w:val="both"/>
        <w:rPr>
          <w:rFonts w:ascii="IPT.Zar" w:hAnsi="IPT.Zar" w:cs="B Zar" w:hint="cs"/>
          <w:rtl/>
        </w:rPr>
      </w:pPr>
      <w:r w:rsidRPr="006A4F74">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ابن النديم: پيشين مقاله 5، فن 2، ص 328</w:t>
      </w:r>
    </w:p>
  </w:footnote>
  <w:footnote w:id="45">
    <w:p w:rsidR="00C8559C" w:rsidRPr="006A4F74" w:rsidP="002C43EC">
      <w:pPr>
        <w:pStyle w:val="FootnoteText"/>
        <w:ind w:left="227" w:right="0" w:hanging="227"/>
        <w:jc w:val="both"/>
        <w:rPr>
          <w:rFonts w:ascii="IPT.Zar" w:hAnsi="IPT.Zar" w:cs="B Zar" w:hint="cs"/>
          <w:rtl/>
          <w:lang w:bidi="fa-IR"/>
        </w:rPr>
      </w:pPr>
      <w:r w:rsidRPr="002C43EC">
        <w:rPr>
          <w:rStyle w:val="FootnoteReference"/>
          <w:rFonts w:ascii="IPT.Zar" w:hAnsi="IPT.Zar" w:cs="B Zar"/>
          <w:sz w:val="24"/>
          <w:szCs w:val="24"/>
          <w:vertAlign w:val="baseline"/>
        </w:rPr>
        <w:footnoteRef/>
      </w:r>
      <w:r w:rsidRPr="002C43EC">
        <w:rPr>
          <w:rFonts w:ascii="IPT.Zar" w:hAnsi="IPT.Zar" w:cs="B Zar"/>
          <w:rtl/>
        </w:rPr>
        <w:t xml:space="preserve"> </w:t>
      </w:r>
      <w:r w:rsidRPr="006A4F74">
        <w:rPr>
          <w:rFonts w:ascii="IPT.Zar" w:hAnsi="IPT.Zar" w:cs="B Zar"/>
          <w:rtl/>
        </w:rPr>
        <w:t xml:space="preserve"> </w:t>
      </w:r>
      <w:r>
        <w:rPr>
          <w:rFonts w:ascii="IPT.Zar" w:hAnsi="IPT.Zar" w:cs="B Zar" w:hint="cs"/>
          <w:rtl/>
        </w:rPr>
        <w:tab/>
      </w:r>
      <w:r w:rsidRPr="006A4F74">
        <w:rPr>
          <w:rFonts w:ascii="IPT.Zar" w:hAnsi="IPT.Zar" w:cs="B Zar"/>
          <w:rtl/>
        </w:rPr>
        <w:t>ابن النديم: پيشين ، ص 540</w:t>
      </w:r>
    </w:p>
  </w:footnote>
  <w:footnote w:id="46">
    <w:p w:rsidR="00C8559C" w:rsidRPr="00BC72C6" w:rsidP="002D6B7E">
      <w:pPr>
        <w:pStyle w:val="FootnoteText"/>
        <w:ind w:left="227" w:right="0" w:hanging="227"/>
        <w:jc w:val="both"/>
        <w:rPr>
          <w:rFonts w:ascii="IPT.Zar" w:hAnsi="IPT.Zar" w:cs="B Zar"/>
        </w:rPr>
      </w:pPr>
      <w:r w:rsidRPr="00DB71DF">
        <w:rPr>
          <w:rStyle w:val="FootnoteReference"/>
          <w:rFonts w:ascii="IPT.Zar" w:hAnsi="IPT.Zar" w:cs="B Zar"/>
          <w:sz w:val="24"/>
          <w:szCs w:val="24"/>
          <w:vertAlign w:val="baseline"/>
        </w:rPr>
        <w:footnoteRef/>
      </w:r>
      <w:r w:rsidRPr="00BC72C6">
        <w:rPr>
          <w:rFonts w:ascii="IPT.Zar" w:hAnsi="IPT.Zar" w:cs="B Zar"/>
          <w:rtl/>
        </w:rPr>
        <w:t xml:space="preserve"> </w:t>
      </w:r>
      <w:r w:rsidRPr="006A4F74">
        <w:rPr>
          <w:rFonts w:ascii="IPT.Zar" w:hAnsi="IPT.Zar" w:cs="B Zar"/>
          <w:rtl/>
        </w:rPr>
        <w:t xml:space="preserve">. </w:t>
      </w:r>
      <w:r>
        <w:rPr>
          <w:rFonts w:ascii="IPT.Zar" w:hAnsi="IPT.Zar" w:cs="B Zar" w:hint="cs"/>
          <w:rtl/>
        </w:rPr>
        <w:tab/>
      </w:r>
      <w:r w:rsidRPr="006A4F74">
        <w:rPr>
          <w:rFonts w:ascii="IPT.Zar" w:hAnsi="IPT.Zar" w:cs="B Zar"/>
          <w:rtl/>
        </w:rPr>
        <w:t>ابن النديم: پيشين ، ص 540</w:t>
      </w:r>
    </w:p>
  </w:footnote>
  <w:footnote w:id="47">
    <w:p w:rsidR="00C8559C" w:rsidRPr="006A4F74" w:rsidP="002D6B7E">
      <w:pPr>
        <w:pStyle w:val="FootnoteText"/>
        <w:ind w:left="227" w:right="0" w:hanging="227"/>
        <w:jc w:val="both"/>
        <w:rPr>
          <w:rFonts w:ascii="IPT.Zar" w:hAnsi="IPT.Zar" w:cs="B Zar"/>
        </w:rPr>
      </w:pPr>
      <w:r w:rsidRPr="006A4F74">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ابن النديم: پيشين ، ص 526</w:t>
      </w:r>
    </w:p>
  </w:footnote>
  <w:footnote w:id="48">
    <w:p w:rsidR="00C8559C" w:rsidRPr="006A4F74" w:rsidP="002D6B7E">
      <w:pPr>
        <w:pStyle w:val="FootnoteText"/>
        <w:ind w:left="227" w:right="0" w:hanging="227"/>
        <w:jc w:val="both"/>
        <w:rPr>
          <w:rFonts w:ascii="IPT.Zar" w:hAnsi="IPT.Zar" w:cs="B Zar"/>
        </w:rPr>
      </w:pPr>
      <w:r w:rsidRPr="006A4F74">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ابن النديم: پيشين ، مقاله 4، فن 2، 180</w:t>
      </w:r>
    </w:p>
  </w:footnote>
  <w:footnote w:id="49">
    <w:p w:rsidR="00C8559C" w:rsidRPr="006A4F74" w:rsidP="00B135B6">
      <w:pPr>
        <w:pStyle w:val="FootnoteText"/>
        <w:ind w:left="227" w:right="0" w:hanging="227"/>
        <w:jc w:val="both"/>
        <w:rPr>
          <w:rFonts w:cs="B Zar" w:hint="cs"/>
          <w:rtl/>
        </w:rPr>
      </w:pPr>
      <w:r w:rsidRPr="006A4F74">
        <w:rPr>
          <w:rStyle w:val="FootnoteReference"/>
          <w:rFonts w:ascii="IPT.Zar" w:hAnsi="IPT.Zar" w:cs="B Zar"/>
          <w:sz w:val="24"/>
          <w:szCs w:val="24"/>
          <w:vertAlign w:val="baseline"/>
        </w:rPr>
        <w:footnoteRef/>
      </w:r>
      <w:r w:rsidRPr="006A4F74">
        <w:rPr>
          <w:rFonts w:ascii="IPT.Zar" w:hAnsi="IPT.Zar" w:cs="B Zar"/>
          <w:rtl/>
        </w:rPr>
        <w:t>.</w:t>
      </w:r>
      <w:r w:rsidRPr="006A4F74" w:rsidR="00B135B6">
        <w:rPr>
          <w:rFonts w:ascii="IPT.Zar" w:hAnsi="IPT.Zar" w:cs="B Zar"/>
        </w:rPr>
        <w:sym w:font="IPT.Zar" w:char="F020"/>
      </w:r>
      <w:r w:rsidRPr="006A4F74">
        <w:rPr>
          <w:rFonts w:ascii="IPT.Zar" w:hAnsi="IPT.Zar" w:cs="B Zar"/>
          <w:rtl/>
        </w:rPr>
        <w:t xml:space="preserve"> ابن النديم: پيشين ، مقاله 5، فن 1، ص 301</w:t>
      </w:r>
    </w:p>
  </w:footnote>
  <w:footnote w:id="50">
    <w:p w:rsidR="00C8559C" w:rsidRPr="007B797A" w:rsidP="00D762C2">
      <w:pPr>
        <w:pStyle w:val="FootnoteText"/>
        <w:ind w:left="227" w:right="0" w:hanging="227"/>
        <w:jc w:val="both"/>
        <w:rPr>
          <w:rFonts w:ascii="IPT.Zar" w:hAnsi="IPT.Zar" w:cs="B Zar"/>
        </w:rPr>
      </w:pPr>
      <w:r w:rsidRPr="007B797A">
        <w:rPr>
          <w:rStyle w:val="FootnoteReference"/>
          <w:rFonts w:ascii="IPT.Zar" w:hAnsi="IPT.Zar" w:cs="B Zar"/>
          <w:sz w:val="24"/>
          <w:szCs w:val="24"/>
          <w:vertAlign w:val="baseline"/>
        </w:rPr>
        <w:footnoteRef/>
      </w:r>
      <w:r w:rsidRPr="007B797A">
        <w:rPr>
          <w:rFonts w:ascii="IPT.Zar" w:hAnsi="IPT.Zar" w:cs="B Zar"/>
          <w:rtl/>
        </w:rPr>
        <w:t xml:space="preserve">. </w:t>
      </w:r>
      <w:r>
        <w:rPr>
          <w:rFonts w:ascii="IPT.Zar" w:hAnsi="IPT.Zar" w:cs="B Zar" w:hint="cs"/>
          <w:rtl/>
        </w:rPr>
        <w:tab/>
      </w:r>
      <w:r w:rsidRPr="007B797A">
        <w:rPr>
          <w:rFonts w:ascii="IPT.Zar" w:hAnsi="IPT.Zar" w:cs="B Zar"/>
          <w:rtl/>
        </w:rPr>
        <w:t>ابن النديم: پيشين ، ص 308</w:t>
      </w:r>
    </w:p>
  </w:footnote>
  <w:footnote w:id="51">
    <w:p w:rsidR="00C8559C" w:rsidRPr="007B797A" w:rsidP="00D762C2">
      <w:pPr>
        <w:pStyle w:val="FootnoteText"/>
        <w:ind w:left="227" w:right="0" w:hanging="227"/>
        <w:jc w:val="both"/>
        <w:rPr>
          <w:rFonts w:ascii="IPT.Zar" w:hAnsi="IPT.Zar" w:cs="B Zar"/>
        </w:rPr>
      </w:pPr>
      <w:r w:rsidRPr="007B797A">
        <w:rPr>
          <w:rStyle w:val="FootnoteReference"/>
          <w:rFonts w:ascii="IPT.Zar" w:hAnsi="IPT.Zar" w:cs="B Zar"/>
          <w:sz w:val="24"/>
          <w:szCs w:val="24"/>
          <w:vertAlign w:val="baseline"/>
        </w:rPr>
        <w:footnoteRef/>
      </w:r>
      <w:r w:rsidRPr="007B797A">
        <w:rPr>
          <w:rFonts w:ascii="IPT.Zar" w:hAnsi="IPT.Zar" w:cs="B Zar"/>
          <w:rtl/>
        </w:rPr>
        <w:t xml:space="preserve">. </w:t>
      </w:r>
      <w:r>
        <w:rPr>
          <w:rFonts w:ascii="IPT.Zar" w:hAnsi="IPT.Zar" w:cs="B Zar" w:hint="cs"/>
          <w:rtl/>
        </w:rPr>
        <w:tab/>
      </w:r>
      <w:r w:rsidRPr="007B797A">
        <w:rPr>
          <w:rFonts w:ascii="IPT.Zar" w:hAnsi="IPT.Zar" w:cs="B Zar"/>
          <w:rtl/>
        </w:rPr>
        <w:t>ابن النديم: پيشين ، ص 314</w:t>
      </w:r>
    </w:p>
  </w:footnote>
  <w:footnote w:id="52">
    <w:p w:rsidR="00C8559C" w:rsidRPr="009F03A5" w:rsidP="009F03A5">
      <w:pPr>
        <w:pStyle w:val="FootnoteText"/>
        <w:ind w:left="227" w:right="0" w:hanging="227"/>
        <w:jc w:val="both"/>
        <w:rPr>
          <w:rFonts w:ascii="IPT.Zar" w:hAnsi="IPT.Zar" w:cs="B Zar"/>
        </w:rPr>
      </w:pPr>
      <w:r w:rsidRPr="009F03A5">
        <w:rPr>
          <w:rStyle w:val="FootnoteReference"/>
          <w:rFonts w:ascii="IPT.Zar" w:hAnsi="IPT.Zar" w:cs="B Zar"/>
          <w:sz w:val="24"/>
          <w:szCs w:val="24"/>
          <w:vertAlign w:val="baseline"/>
        </w:rPr>
        <w:footnoteRef/>
      </w:r>
      <w:r w:rsidRPr="009F03A5">
        <w:rPr>
          <w:rFonts w:ascii="IPT.Zar" w:hAnsi="IPT.Zar" w:cs="B Zar"/>
          <w:rtl/>
        </w:rPr>
        <w:t xml:space="preserve">. </w:t>
        <w:tab/>
        <w:t>ابن النديم: پيشين ، ص 316</w:t>
      </w:r>
    </w:p>
  </w:footnote>
  <w:footnote w:id="53">
    <w:p w:rsidR="00C8559C" w:rsidRPr="009F03A5" w:rsidP="00B135B6">
      <w:pPr>
        <w:pStyle w:val="FootnoteText"/>
        <w:ind w:left="227" w:right="0" w:hanging="227"/>
        <w:jc w:val="both"/>
        <w:rPr>
          <w:rFonts w:ascii="IPT.Zar" w:hAnsi="IPT.Zar" w:cs="B Zar"/>
        </w:rPr>
      </w:pPr>
      <w:r w:rsidRPr="009F03A5">
        <w:rPr>
          <w:rStyle w:val="FootnoteReference"/>
          <w:rFonts w:ascii="IPT.Zar" w:hAnsi="IPT.Zar" w:cs="B Zar"/>
          <w:sz w:val="24"/>
          <w:szCs w:val="24"/>
          <w:vertAlign w:val="baseline"/>
        </w:rPr>
        <w:footnoteRef/>
      </w:r>
      <w:r w:rsidRPr="009F03A5">
        <w:rPr>
          <w:rFonts w:ascii="IPT.Zar" w:hAnsi="IPT.Zar" w:cs="B Zar"/>
          <w:rtl/>
        </w:rPr>
        <w:t>. يعقوبي پيشين ، ج 1، ص 177</w:t>
      </w:r>
    </w:p>
  </w:footnote>
  <w:footnote w:id="54">
    <w:p w:rsidR="00C8559C" w:rsidRPr="009F03A5" w:rsidP="009F03A5">
      <w:pPr>
        <w:pStyle w:val="FootnoteText"/>
        <w:ind w:left="227" w:right="0" w:hanging="227"/>
        <w:jc w:val="both"/>
        <w:rPr>
          <w:rFonts w:ascii="IPT.Zar" w:hAnsi="IPT.Zar" w:cs="B Zar"/>
        </w:rPr>
      </w:pPr>
      <w:r w:rsidRPr="009F03A5">
        <w:rPr>
          <w:rStyle w:val="FootnoteReference"/>
          <w:rFonts w:ascii="IPT.Zar" w:hAnsi="IPT.Zar" w:cs="B Zar"/>
          <w:sz w:val="24"/>
          <w:szCs w:val="24"/>
          <w:vertAlign w:val="baseline"/>
        </w:rPr>
        <w:footnoteRef/>
      </w:r>
      <w:r w:rsidRPr="009F03A5">
        <w:rPr>
          <w:rFonts w:ascii="IPT.Zar" w:hAnsi="IPT.Zar" w:cs="B Zar"/>
          <w:rtl/>
        </w:rPr>
        <w:t>.  طبري: پيشين ، ج 2، ص 170 به بعد</w:t>
      </w:r>
    </w:p>
  </w:footnote>
  <w:footnote w:id="55">
    <w:p w:rsidR="00C8559C" w:rsidRPr="009F03A5" w:rsidP="009F03A5">
      <w:pPr>
        <w:pStyle w:val="FootnoteText"/>
        <w:ind w:left="227" w:right="0" w:hanging="227"/>
        <w:jc w:val="both"/>
        <w:rPr>
          <w:rFonts w:ascii="IPT.Zar" w:hAnsi="IPT.Zar" w:cs="B Zar"/>
        </w:rPr>
      </w:pPr>
      <w:r w:rsidRPr="009F03A5">
        <w:rPr>
          <w:rStyle w:val="FootnoteReference"/>
          <w:rFonts w:ascii="IPT.Zar" w:hAnsi="IPT.Zar" w:cs="B Zar"/>
          <w:sz w:val="24"/>
          <w:szCs w:val="24"/>
          <w:vertAlign w:val="baseline"/>
        </w:rPr>
        <w:footnoteRef/>
      </w:r>
      <w:r w:rsidRPr="009F03A5">
        <w:rPr>
          <w:rFonts w:ascii="IPT.Zar" w:hAnsi="IPT.Zar" w:cs="B Zar"/>
          <w:rtl/>
        </w:rPr>
        <w:t>.  مسعودي: پيشين ، ج 2 ص 180، نيز 234</w:t>
      </w:r>
    </w:p>
  </w:footnote>
  <w:footnote w:id="56">
    <w:p w:rsidR="00C8559C" w:rsidRPr="009F03A5" w:rsidP="009F03A5">
      <w:pPr>
        <w:pStyle w:val="FootnoteText"/>
        <w:ind w:left="227" w:right="0" w:hanging="227"/>
        <w:jc w:val="both"/>
        <w:rPr>
          <w:rFonts w:ascii="IPT.Zar" w:hAnsi="IPT.Zar" w:cs="B Zar"/>
        </w:rPr>
      </w:pPr>
      <w:r w:rsidRPr="00DB71DF">
        <w:rPr>
          <w:rStyle w:val="FootnoteReference"/>
          <w:rFonts w:ascii="IPT.Zar" w:hAnsi="IPT.Zar" w:cs="B Zar"/>
          <w:sz w:val="24"/>
          <w:szCs w:val="24"/>
          <w:vertAlign w:val="baseline"/>
        </w:rPr>
        <w:footnoteRef/>
      </w:r>
      <w:r>
        <w:rPr>
          <w:rFonts w:ascii="IPT.Zar" w:hAnsi="IPT.Zar" w:cs="B Zar" w:hint="cs"/>
          <w:rtl/>
        </w:rPr>
        <w:t>.</w:t>
      </w:r>
      <w:r w:rsidRPr="009F03A5">
        <w:rPr>
          <w:rFonts w:ascii="IPT.Zar" w:hAnsi="IPT.Zar" w:cs="B Zar"/>
          <w:rtl/>
        </w:rPr>
        <w:tab/>
        <w:t>4 و 5 و 6 ابن النديم پيشين ، مقاله 1، فن 2، ص 29</w:t>
      </w:r>
    </w:p>
  </w:footnote>
  <w:footnote w:id="57">
    <w:p w:rsidR="00C8559C" w:rsidRPr="009F03A5" w:rsidP="00B135B6">
      <w:pPr>
        <w:pStyle w:val="FootnoteText"/>
        <w:ind w:left="227" w:right="0" w:hanging="227"/>
        <w:jc w:val="both"/>
        <w:rPr>
          <w:rFonts w:ascii="IPT.Zar" w:hAnsi="IPT.Zar"/>
        </w:rPr>
      </w:pPr>
      <w:r w:rsidRPr="00DB71DF">
        <w:rPr>
          <w:rStyle w:val="FootnoteReference"/>
          <w:rFonts w:ascii="IPT.Zar" w:hAnsi="IPT.Zar"/>
          <w:sz w:val="24"/>
          <w:szCs w:val="24"/>
          <w:vertAlign w:val="baseline"/>
        </w:rPr>
        <w:footnoteRef/>
      </w:r>
      <w:r w:rsidRPr="009F03A5">
        <w:rPr>
          <w:rFonts w:ascii="IPT.Zar" w:hAnsi="IPT.Zar"/>
          <w:rtl/>
        </w:rPr>
        <w:t xml:space="preserve"> </w:t>
      </w:r>
      <w:r w:rsidRPr="009F03A5">
        <w:rPr>
          <w:rFonts w:ascii="IPT.Zar" w:hAnsi="IPT.Zar" w:cs="B Zar"/>
          <w:rtl/>
        </w:rPr>
        <w:t>ابن النديم پيشين ، مقاله 1، فن 2، ص 29</w:t>
      </w:r>
    </w:p>
  </w:footnote>
  <w:footnote w:id="58">
    <w:p w:rsidR="00C8559C" w:rsidRPr="009F03A5" w:rsidP="003E1C6D">
      <w:pPr>
        <w:pStyle w:val="FootnoteText"/>
        <w:ind w:left="227" w:right="0" w:hanging="227"/>
        <w:jc w:val="both"/>
        <w:rPr>
          <w:rFonts w:ascii="IPT.Zar" w:hAnsi="IPT.Zar"/>
        </w:rPr>
      </w:pPr>
      <w:r w:rsidRPr="00DB71DF">
        <w:rPr>
          <w:rStyle w:val="FootnoteReference"/>
          <w:rFonts w:ascii="IPT.Zar" w:hAnsi="IPT.Zar"/>
          <w:sz w:val="24"/>
          <w:szCs w:val="24"/>
          <w:vertAlign w:val="baseline"/>
        </w:rPr>
        <w:footnoteRef/>
      </w:r>
      <w:r w:rsidRPr="009F03A5">
        <w:rPr>
          <w:rFonts w:ascii="IPT.Zar" w:hAnsi="IPT.Zar" w:cs="B Zar"/>
          <w:rtl/>
        </w:rPr>
        <w:t>.  ابن النديم پيشين ، مقاله 1، فن 2، ص 29</w:t>
      </w:r>
    </w:p>
  </w:footnote>
  <w:footnote w:id="59">
    <w:p w:rsidR="00C8559C" w:rsidRPr="006A4F74" w:rsidP="00D762C2">
      <w:pPr>
        <w:pStyle w:val="FootnoteText"/>
        <w:ind w:left="227" w:right="0" w:hanging="227"/>
        <w:jc w:val="both"/>
        <w:rPr>
          <w:rFonts w:cs="B Zar" w:hint="cs"/>
        </w:rPr>
      </w:pPr>
      <w:r w:rsidRPr="009F03A5">
        <w:rPr>
          <w:rStyle w:val="FootnoteReference"/>
          <w:rFonts w:ascii="IPT.Zar" w:hAnsi="IPT.Zar" w:cs="B Zar"/>
          <w:sz w:val="24"/>
          <w:szCs w:val="24"/>
          <w:vertAlign w:val="baseline"/>
        </w:rPr>
        <w:footnoteRef/>
      </w:r>
      <w:r w:rsidRPr="009F03A5">
        <w:rPr>
          <w:rFonts w:ascii="IPT.Zar" w:hAnsi="IPT.Zar" w:cs="B Zar"/>
          <w:rtl/>
        </w:rPr>
        <w:t xml:space="preserve">.  </w:t>
      </w:r>
      <w:r>
        <w:rPr>
          <w:rFonts w:ascii="IPT.Zar" w:hAnsi="IPT.Zar" w:cs="B Zar" w:hint="cs"/>
          <w:rtl/>
        </w:rPr>
        <w:tab/>
      </w:r>
      <w:r w:rsidRPr="009F03A5">
        <w:rPr>
          <w:rFonts w:ascii="IPT.Zar" w:hAnsi="IPT.Zar" w:cs="B Zar"/>
          <w:rtl/>
        </w:rPr>
        <w:t>ابن النديم پيشين ، مقاله 4، فن 2، ص 270</w:t>
      </w:r>
      <w:r w:rsidRPr="006A4F74">
        <w:rPr>
          <w:rFonts w:cs="B Zar" w:hint="cs"/>
          <w:rtl/>
        </w:rPr>
        <w:t xml:space="preserve">  </w:t>
      </w:r>
    </w:p>
  </w:footnote>
  <w:footnote w:id="60">
    <w:p w:rsidR="00C8559C" w:rsidRPr="006A4F74" w:rsidP="00D762C2">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 xml:space="preserve"> </w:t>
        <w:tab/>
      </w:r>
      <w:r w:rsidRPr="006A4F74">
        <w:rPr>
          <w:rFonts w:cs="B Zar" w:hint="cs"/>
          <w:rtl/>
        </w:rPr>
        <w:t xml:space="preserve">ابن النديم پيشين </w:t>
      </w:r>
      <w:r w:rsidRPr="006A4F74">
        <w:rPr>
          <w:rFonts w:ascii="IPT.Yagut" w:hAnsi="IPT.Yagut" w:cs="B Zar" w:hint="cs"/>
          <w:rtl/>
        </w:rPr>
        <w:t>،</w:t>
      </w:r>
      <w:r w:rsidRPr="006A4F74">
        <w:rPr>
          <w:rFonts w:cs="B Zar" w:hint="cs"/>
          <w:rtl/>
        </w:rPr>
        <w:t xml:space="preserve"> مقاله 5، فن 1، ص 300</w:t>
      </w:r>
    </w:p>
  </w:footnote>
  <w:footnote w:id="61">
    <w:p w:rsidR="00C8559C" w:rsidRPr="006A4F74" w:rsidP="00D762C2">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 xml:space="preserve"> </w:t>
        <w:tab/>
      </w:r>
      <w:r w:rsidRPr="006A4F74">
        <w:rPr>
          <w:rFonts w:cs="B Zar" w:hint="cs"/>
          <w:rtl/>
        </w:rPr>
        <w:t>ابن النديم پيشين ، ص 308</w:t>
      </w:r>
    </w:p>
  </w:footnote>
  <w:footnote w:id="62">
    <w:p w:rsidR="00C8559C" w:rsidRPr="006A4F74" w:rsidP="00D762C2">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 xml:space="preserve"> </w:t>
        <w:tab/>
      </w:r>
      <w:r w:rsidRPr="006A4F74">
        <w:rPr>
          <w:rFonts w:cs="B Zar" w:hint="cs"/>
          <w:rtl/>
        </w:rPr>
        <w:t>ابن النديم پيشين ، 10 و 11 همان، ص 316</w:t>
      </w:r>
    </w:p>
  </w:footnote>
  <w:footnote w:id="63">
    <w:p w:rsidR="00C8559C" w:rsidRPr="006A4F74" w:rsidP="00D762C2">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 xml:space="preserve"> </w:t>
        <w:tab/>
      </w:r>
      <w:r w:rsidRPr="006A4F74">
        <w:rPr>
          <w:rFonts w:cs="B Zar" w:hint="cs"/>
          <w:rtl/>
        </w:rPr>
        <w:t>ابن النديم پيشين ، مقاله 5، فن 1، ص 316</w:t>
      </w:r>
    </w:p>
  </w:footnote>
  <w:footnote w:id="64">
    <w:p w:rsidR="00C8559C" w:rsidRPr="006A4F74" w:rsidP="00D762C2">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 xml:space="preserve"> </w:t>
        <w:tab/>
      </w:r>
      <w:r w:rsidRPr="006A4F74">
        <w:rPr>
          <w:rFonts w:cs="B Zar" w:hint="cs"/>
          <w:rtl/>
        </w:rPr>
        <w:t>ابن النديم پيشين ، مقاله 2، فم 1، ص 37</w:t>
      </w:r>
    </w:p>
  </w:footnote>
  <w:footnote w:id="65">
    <w:p w:rsidR="00C8559C" w:rsidRPr="006A4F74" w:rsidP="00D762C2">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النديم پيشين ، مقاله 5. فن 1، ص 309</w:t>
      </w:r>
    </w:p>
  </w:footnote>
  <w:footnote w:id="66">
    <w:p w:rsidR="00C8559C" w:rsidRPr="006A4F74" w:rsidP="00D762C2">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النديم پيشين ، مقاله 1، فن 3، ص 162</w:t>
      </w:r>
    </w:p>
  </w:footnote>
  <w:footnote w:id="67">
    <w:p w:rsidR="00C8559C" w:rsidRPr="006A4F74" w:rsidP="000F7E99">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النديم پيشين ، مقاله 8، فن 2، ص 552</w:t>
      </w:r>
    </w:p>
  </w:footnote>
  <w:footnote w:id="68">
    <w:p w:rsidR="00C8559C" w:rsidRPr="006A4F74" w:rsidP="000F7E99">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 xml:space="preserve">ابن النديم پيشين </w:t>
      </w:r>
      <w:r w:rsidRPr="006A4F74">
        <w:rPr>
          <w:rFonts w:ascii="IPT.Yagut" w:hAnsi="IPT.Yagut" w:cs="B Zar" w:hint="cs"/>
          <w:rtl/>
        </w:rPr>
        <w:t>،</w:t>
      </w:r>
      <w:r w:rsidRPr="006A4F74">
        <w:rPr>
          <w:rFonts w:cs="B Zar" w:hint="cs"/>
          <w:rtl/>
        </w:rPr>
        <w:t xml:space="preserve"> مقاله 3، فن 2، ص 205</w:t>
      </w:r>
    </w:p>
  </w:footnote>
  <w:footnote w:id="69">
    <w:p w:rsidR="00C8559C" w:rsidRPr="006A4F74" w:rsidP="000F7E99">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النديم پيشين ، ص 228</w:t>
      </w:r>
    </w:p>
  </w:footnote>
  <w:footnote w:id="70">
    <w:p w:rsidR="00C8559C" w:rsidRPr="006A4F74" w:rsidP="000F7E99">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يعقوبي پيشين ، ج 1، ص 79</w:t>
      </w:r>
    </w:p>
  </w:footnote>
  <w:footnote w:id="71">
    <w:p w:rsidR="00C8559C" w:rsidRPr="006A4F74" w:rsidP="000F7E99">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طبري: پيشين ، ج 1، ص 170 به بعد</w:t>
      </w:r>
    </w:p>
  </w:footnote>
  <w:footnote w:id="72">
    <w:p w:rsidR="00C8559C" w:rsidRPr="006A4F74" w:rsidP="000F7E99">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مسعودي پيشين ج 1، ف 9 و 32، ج 2، ف 28، 29، 30، 31، 32</w:t>
      </w:r>
    </w:p>
  </w:footnote>
  <w:footnote w:id="73">
    <w:p w:rsidR="00C8559C" w:rsidRPr="006A4F74" w:rsidP="002D6B7E">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نديم پيشين ، مقاله 9، ص 617</w:t>
      </w:r>
    </w:p>
  </w:footnote>
  <w:footnote w:id="74">
    <w:p w:rsidR="00C8559C" w:rsidRPr="006A4F74" w:rsidP="002D6B7E">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نديم پيشين ، مقاله 8، فن 3، ص 560</w:t>
      </w:r>
    </w:p>
  </w:footnote>
  <w:footnote w:id="75">
    <w:p w:rsidR="00C8559C" w:rsidRPr="006A4F74" w:rsidP="002D6B7E">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نديم پيشين مقاله 8، فن 3، ص 560</w:t>
      </w:r>
    </w:p>
  </w:footnote>
  <w:footnote w:id="76">
    <w:p w:rsidR="00C8559C" w:rsidRPr="006A4F74" w:rsidP="002D6B7E">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نديم پيشين ، مقاله 8، فن 3، ص 504</w:t>
      </w:r>
    </w:p>
  </w:footnote>
  <w:footnote w:id="77">
    <w:p w:rsidR="00C8559C" w:rsidRPr="006A4F74" w:rsidP="002D6B7E">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نديم پيشين ، مقاله 8، فن 3، ص 542</w:t>
      </w:r>
    </w:p>
  </w:footnote>
  <w:footnote w:id="78">
    <w:p w:rsidR="00C8559C" w:rsidRPr="006A4F74" w:rsidP="002D6B7E">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نديم پيشين ، مقاله 9، فن 3، ص 618</w:t>
      </w:r>
    </w:p>
  </w:footnote>
  <w:footnote w:id="79">
    <w:p w:rsidR="00C8559C" w:rsidRPr="006A4F74" w:rsidP="002D6B7E">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نديم پيشين ، مقاله 7، فن 1، ص 447</w:t>
      </w:r>
    </w:p>
  </w:footnote>
  <w:footnote w:id="80">
    <w:p w:rsidR="00C8559C" w:rsidRPr="006A4F74" w:rsidP="002D6B7E">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نديم: كتاب الفهرست، مقاله 7، فن 1، ص 447</w:t>
      </w:r>
    </w:p>
  </w:footnote>
  <w:footnote w:id="81">
    <w:p w:rsidR="00C8559C" w:rsidRPr="006A4F74" w:rsidP="003F023D">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نديم پيشين ، مقاله 8، فم 3، ص 558</w:t>
      </w:r>
    </w:p>
  </w:footnote>
  <w:footnote w:id="82">
    <w:p w:rsidR="00C8559C" w:rsidRPr="006A4F74" w:rsidP="003F023D">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نديم پيشين ، مقاله 2، فن 3، ص 132</w:t>
      </w:r>
    </w:p>
  </w:footnote>
  <w:footnote w:id="83">
    <w:p w:rsidR="00C8559C" w:rsidRPr="006A4F74" w:rsidP="003F023D">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نديم پيشين ، مقاله 3، فن 1، ص 170</w:t>
      </w:r>
    </w:p>
  </w:footnote>
  <w:footnote w:id="84">
    <w:p w:rsidR="00C8559C" w:rsidRPr="006A4F74" w:rsidP="003F023D">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نديم پيشين ، مقاله 7، فن 2، ص 493</w:t>
      </w:r>
    </w:p>
  </w:footnote>
  <w:footnote w:id="85">
    <w:p w:rsidR="00C8559C" w:rsidRPr="006A4F74" w:rsidP="003F023D">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مسعودي: پيشين ، ج 1، ص 91، ابوريحان البيروني: تحقيق ماللهند، نيز آثار الباقيه</w:t>
      </w:r>
    </w:p>
  </w:footnote>
  <w:footnote w:id="86">
    <w:p w:rsidR="00C8559C" w:rsidRPr="006A4F74" w:rsidP="003F023D">
      <w:pPr>
        <w:pStyle w:val="FootnoteText"/>
        <w:ind w:left="227" w:right="0" w:hanging="227"/>
        <w:jc w:val="both"/>
        <w:rPr>
          <w:rFonts w:cs="B Zar" w:hint="cs"/>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قرآن كريم: 4: 134</w:t>
      </w:r>
    </w:p>
  </w:footnote>
  <w:footnote w:id="87">
    <w:p w:rsidR="00C8559C" w:rsidRPr="006A4F74" w:rsidP="003F023D">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ابوريحان بيروني پيشين ، مقدمه، ص 3</w:t>
      </w:r>
    </w:p>
  </w:footnote>
  <w:footnote w:id="88">
    <w:p w:rsidR="00C8559C" w:rsidRPr="006A4F74" w:rsidP="003F023D">
      <w:pPr>
        <w:pStyle w:val="FootnoteText"/>
        <w:ind w:left="227" w:right="0" w:hanging="227"/>
        <w:jc w:val="both"/>
        <w:rPr>
          <w:rFonts w:cs="B Zar" w:hint="cs"/>
          <w:rtl/>
        </w:rPr>
      </w:pPr>
      <w:r w:rsidRPr="00DB71DF">
        <w:rPr>
          <w:rStyle w:val="FootnoteReference"/>
          <w:rFonts w:ascii="IPT.Zar" w:hAnsi="IPT.Zar" w:cs="B Zar"/>
          <w:sz w:val="24"/>
          <w:szCs w:val="24"/>
          <w:vertAlign w:val="baseline"/>
        </w:rPr>
        <w:footnoteRef/>
      </w:r>
      <w:r w:rsidRPr="006A4F74">
        <w:rPr>
          <w:rFonts w:cs="B Zar" w:hint="cs"/>
          <w:rtl/>
        </w:rPr>
        <w:t>.</w:t>
      </w:r>
      <w:r>
        <w:rPr>
          <w:rFonts w:cs="B Zar" w:hint="cs"/>
          <w:rtl/>
        </w:rPr>
        <w:tab/>
      </w:r>
      <w:r w:rsidRPr="006A4F74">
        <w:rPr>
          <w:rFonts w:cs="B Zar" w:hint="cs"/>
          <w:rtl/>
        </w:rPr>
        <w:t>ابوريحان بيروني: پيشين ، ديباچه، ص 2 و 3</w:t>
      </w:r>
    </w:p>
  </w:footnote>
  <w:footnote w:id="89">
    <w:p w:rsidR="00C8559C" w:rsidRPr="006A4F74" w:rsidP="00332C63">
      <w:pPr>
        <w:pStyle w:val="FootnoteText"/>
        <w:ind w:left="227" w:right="0" w:hanging="227"/>
        <w:jc w:val="both"/>
        <w:rPr>
          <w:rFonts w:cs="B Zar" w:hint="cs"/>
          <w:rtl/>
        </w:rPr>
      </w:pPr>
      <w:r w:rsidRPr="0077152A">
        <w:rPr>
          <w:rStyle w:val="FootnoteReference"/>
          <w:rFonts w:ascii="IPT.Zar" w:hAnsi="IPT.Zar" w:cs="B Zar"/>
          <w:sz w:val="24"/>
          <w:szCs w:val="24"/>
          <w:vertAlign w:val="baseline"/>
        </w:rPr>
        <w:footnoteRef/>
      </w:r>
      <w:r w:rsidRPr="006A4F74">
        <w:rPr>
          <w:rFonts w:cs="B Zar" w:hint="cs"/>
          <w:rtl/>
        </w:rPr>
        <w:t>.</w:t>
      </w:r>
      <w:r>
        <w:rPr>
          <w:rFonts w:cs="B Zar"/>
        </w:rPr>
        <w:t xml:space="preserve"> </w:t>
      </w:r>
      <w:r w:rsidRPr="006A4F74">
        <w:rPr>
          <w:rFonts w:cs="B Zar"/>
        </w:rPr>
        <w:t xml:space="preserve"> </w:t>
      </w:r>
      <w:r w:rsidRPr="006A4F74">
        <w:rPr>
          <w:rFonts w:cs="B Zar" w:hint="cs"/>
          <w:rtl/>
        </w:rPr>
        <w:t>تاريخ كمبريج تاريخ هند را به سه دوره تقسيم مي‌كند: دورة هندوئيسم (3000  تا 1000ق م)، دورة اسلامي (1000 تا 1800م) و دورة جديد (1800 م به بعد)</w:t>
      </w:r>
    </w:p>
  </w:footnote>
  <w:footnote w:id="90">
    <w:p w:rsidR="00C8559C" w:rsidRPr="006A4F74" w:rsidP="004F2901">
      <w:pPr>
        <w:pStyle w:val="FootnoteText"/>
        <w:ind w:left="227" w:right="0" w:hanging="227"/>
        <w:jc w:val="both"/>
        <w:rPr>
          <w:rFonts w:cs="B Zar" w:hint="cs"/>
          <w:rtl/>
        </w:rPr>
      </w:pPr>
      <w:r w:rsidRPr="0077152A">
        <w:rPr>
          <w:rStyle w:val="FootnoteReference"/>
          <w:rFonts w:ascii="IPT.Zar" w:hAnsi="IPT.Zar" w:cs="B Zar"/>
          <w:sz w:val="24"/>
          <w:szCs w:val="24"/>
          <w:vertAlign w:val="baseline"/>
        </w:rPr>
        <w:footnoteRef/>
      </w:r>
      <w:r w:rsidRPr="006A4F74">
        <w:rPr>
          <w:rFonts w:cs="B Zar" w:hint="cs"/>
          <w:rtl/>
        </w:rPr>
        <w:t xml:space="preserve">. </w:t>
      </w:r>
      <w:r>
        <w:rPr>
          <w:rFonts w:cs="B Zar" w:hint="cs"/>
          <w:rtl/>
        </w:rPr>
        <w:t xml:space="preserve">  </w:t>
      </w:r>
      <w:r w:rsidRPr="006A4F74">
        <w:rPr>
          <w:rFonts w:cs="B Zar" w:hint="cs"/>
          <w:rtl/>
        </w:rPr>
        <w:t>عنوان كتاب كلهانا «ترنگيني» است و در سال 1149م تدوين گرديده كلهانا نخستين هندي بومي بوده كه به تاريخ نويسي پرداخت.</w:t>
      </w:r>
    </w:p>
  </w:footnote>
  <w:footnote w:id="91">
    <w:p w:rsidR="00C8559C" w:rsidRPr="006A4F74" w:rsidP="004F2901">
      <w:pPr>
        <w:pStyle w:val="FootnoteText"/>
        <w:ind w:left="227" w:right="0" w:hanging="227"/>
        <w:jc w:val="both"/>
        <w:rPr>
          <w:rFonts w:cs="B Zar" w:hint="cs"/>
          <w:rtl/>
        </w:rPr>
      </w:pPr>
      <w:r w:rsidRPr="0077152A">
        <w:rPr>
          <w:rStyle w:val="FootnoteReference"/>
          <w:rFonts w:ascii="IPT.Zar" w:hAnsi="IPT.Zar" w:cs="B Zar"/>
          <w:sz w:val="24"/>
          <w:szCs w:val="24"/>
          <w:vertAlign w:val="baseline"/>
        </w:rPr>
        <w:footnoteRef/>
      </w:r>
      <w:r w:rsidRPr="006A4F74">
        <w:rPr>
          <w:rFonts w:cs="B Zar" w:hint="cs"/>
          <w:rtl/>
        </w:rPr>
        <w:t>.</w:t>
      </w:r>
      <w:r>
        <w:rPr>
          <w:rFonts w:cs="B Zar" w:hint="cs"/>
          <w:rtl/>
        </w:rPr>
        <w:t xml:space="preserve">  </w:t>
      </w:r>
      <w:r w:rsidRPr="006A4F74">
        <w:rPr>
          <w:rFonts w:cs="B Zar" w:hint="cs"/>
          <w:rtl/>
        </w:rPr>
        <w:t xml:space="preserve"> رجوع شود به كتابهاي زير:</w:t>
      </w:r>
    </w:p>
    <w:p w:rsidR="00C8559C" w:rsidRPr="00260D39" w:rsidP="00260D39">
      <w:pPr>
        <w:pStyle w:val="FootnoteText"/>
        <w:bidi w:val="0"/>
        <w:spacing w:line="240" w:lineRule="exact"/>
        <w:rPr>
          <w:rFonts w:cs="B Zar"/>
          <w:sz w:val="18"/>
          <w:szCs w:val="18"/>
        </w:rPr>
      </w:pPr>
      <w:r w:rsidRPr="00260D39">
        <w:rPr>
          <w:rFonts w:cs="B Zar"/>
          <w:sz w:val="18"/>
          <w:szCs w:val="18"/>
        </w:rPr>
        <w:t xml:space="preserve">- Falkenstein, A. : Code of Imamo,. 2nd  Edition, </w:t>
      </w:r>
      <w:smartTag w:uri="urn:schemas-microsoft-com:office:smarttags" w:element="place">
        <w:smartTag w:uri="urn:schemas-microsoft-com:office:smarttags" w:element="City">
          <w:r w:rsidRPr="00260D39">
            <w:rPr>
              <w:rFonts w:cs="B Zar"/>
              <w:sz w:val="18"/>
              <w:szCs w:val="18"/>
            </w:rPr>
            <w:t>London</w:t>
          </w:r>
        </w:smartTag>
      </w:smartTag>
      <w:r w:rsidRPr="00260D39">
        <w:rPr>
          <w:rFonts w:cs="B Zar"/>
          <w:sz w:val="18"/>
          <w:szCs w:val="18"/>
        </w:rPr>
        <w:t>, 1975</w:t>
      </w:r>
    </w:p>
    <w:p w:rsidR="00C8559C" w:rsidRPr="00260D39" w:rsidP="00260D39">
      <w:pPr>
        <w:pStyle w:val="FootnoteText"/>
        <w:bidi w:val="0"/>
        <w:spacing w:line="240" w:lineRule="exact"/>
        <w:rPr>
          <w:rFonts w:cs="B Zar"/>
          <w:sz w:val="18"/>
          <w:szCs w:val="18"/>
        </w:rPr>
      </w:pPr>
      <w:r w:rsidRPr="00260D39">
        <w:rPr>
          <w:rFonts w:cs="B Zar"/>
          <w:sz w:val="18"/>
          <w:szCs w:val="18"/>
        </w:rPr>
        <w:t xml:space="preserve">- Barton, G.A. : Royal Inscriptions of </w:t>
      </w:r>
      <w:smartTag w:uri="urn:schemas-microsoft-com:office:smarttags" w:element="country-region">
        <w:r w:rsidRPr="00260D39">
          <w:rPr>
            <w:rFonts w:cs="B Zar"/>
            <w:sz w:val="18"/>
            <w:szCs w:val="18"/>
          </w:rPr>
          <w:t>Sumer</w:t>
        </w:r>
      </w:smartTag>
      <w:r w:rsidRPr="00260D39">
        <w:rPr>
          <w:rFonts w:cs="B Zar"/>
          <w:sz w:val="18"/>
          <w:szCs w:val="18"/>
        </w:rPr>
        <w:t xml:space="preserve"> and Akkad, </w:t>
      </w:r>
      <w:smartTag w:uri="urn:schemas-microsoft-com:office:smarttags" w:element="place">
        <w:smartTag w:uri="urn:schemas-microsoft-com:office:smarttags" w:element="City">
          <w:r w:rsidRPr="00260D39">
            <w:rPr>
              <w:rFonts w:cs="B Zar"/>
              <w:sz w:val="18"/>
              <w:szCs w:val="18"/>
            </w:rPr>
            <w:t>London</w:t>
          </w:r>
        </w:smartTag>
      </w:smartTag>
      <w:r w:rsidRPr="00260D39">
        <w:rPr>
          <w:rFonts w:cs="B Zar"/>
          <w:sz w:val="18"/>
          <w:szCs w:val="18"/>
        </w:rPr>
        <w:t>, 1929</w:t>
      </w:r>
    </w:p>
    <w:p w:rsidR="00C8559C" w:rsidRPr="00260D39" w:rsidP="00260D39">
      <w:pPr>
        <w:pStyle w:val="FootnoteText"/>
        <w:bidi w:val="0"/>
        <w:spacing w:line="240" w:lineRule="exact"/>
        <w:rPr>
          <w:rFonts w:cs="B Zar"/>
          <w:spacing w:val="-12"/>
          <w:sz w:val="18"/>
          <w:szCs w:val="18"/>
        </w:rPr>
      </w:pPr>
      <w:r w:rsidRPr="00260D39">
        <w:rPr>
          <w:rFonts w:cs="B Zar"/>
          <w:spacing w:val="-12"/>
          <w:sz w:val="18"/>
          <w:szCs w:val="18"/>
        </w:rPr>
        <w:t>- Code of Lipit-Eshtar, in Pritchard, ed: Ancient Near Eastern Texts, 2nd Ed. Princeton, 1955</w:t>
      </w:r>
    </w:p>
    <w:p w:rsidR="00C8559C" w:rsidRPr="00260D39" w:rsidP="00260D39">
      <w:pPr>
        <w:pStyle w:val="FootnoteText"/>
        <w:bidi w:val="0"/>
        <w:spacing w:line="240" w:lineRule="exact"/>
        <w:rPr>
          <w:rFonts w:cs="B Zar"/>
          <w:sz w:val="18"/>
          <w:szCs w:val="18"/>
          <w:rtl/>
        </w:rPr>
      </w:pPr>
      <w:r w:rsidRPr="00260D39">
        <w:rPr>
          <w:rFonts w:cs="B Zar"/>
          <w:sz w:val="18"/>
          <w:szCs w:val="18"/>
        </w:rPr>
        <w:t xml:space="preserve">- G.Driver and J.Miles: The Babylonian Law. (Volume II) </w:t>
      </w:r>
      <w:smartTag w:uri="urn:schemas-microsoft-com:office:smarttags" w:element="place">
        <w:smartTag w:uri="urn:schemas-microsoft-com:office:smarttags" w:element="City">
          <w:r w:rsidRPr="00260D39">
            <w:rPr>
              <w:rFonts w:cs="B Zar"/>
              <w:sz w:val="18"/>
              <w:szCs w:val="18"/>
            </w:rPr>
            <w:t>Oxford</w:t>
          </w:r>
        </w:smartTag>
      </w:smartTag>
      <w:r w:rsidRPr="00260D39">
        <w:rPr>
          <w:rFonts w:cs="B Zar"/>
          <w:sz w:val="18"/>
          <w:szCs w:val="18"/>
        </w:rPr>
        <w:t>, 1952</w:t>
      </w:r>
    </w:p>
  </w:footnote>
  <w:footnote w:id="92">
    <w:p w:rsidR="00C8559C" w:rsidRPr="006A4F74" w:rsidP="00260D39">
      <w:pPr>
        <w:pStyle w:val="FootnoteText"/>
        <w:bidi w:val="0"/>
        <w:spacing w:line="240" w:lineRule="exact"/>
        <w:rPr>
          <w:rFonts w:cs="B Zar"/>
        </w:rPr>
      </w:pPr>
      <w:r w:rsidRPr="00260D39">
        <w:rPr>
          <w:rStyle w:val="FootnoteReference"/>
          <w:rFonts w:cs="B Zar"/>
          <w:sz w:val="18"/>
          <w:szCs w:val="18"/>
          <w:vertAlign w:val="baseline"/>
        </w:rPr>
        <w:footnoteRef/>
      </w:r>
      <w:r>
        <w:rPr>
          <w:rFonts w:cs="B Zar"/>
          <w:sz w:val="18"/>
          <w:szCs w:val="18"/>
        </w:rPr>
        <w:t>.</w:t>
      </w:r>
      <w:r w:rsidRPr="00260D39">
        <w:rPr>
          <w:rFonts w:cs="B Zar"/>
          <w:sz w:val="18"/>
          <w:szCs w:val="18"/>
        </w:rPr>
        <w:t xml:space="preserve">  Woolley,C.L: The Sumerians, </w:t>
      </w:r>
      <w:smartTag w:uri="urn:schemas-microsoft-com:office:smarttags" w:element="place">
        <w:smartTag w:uri="urn:schemas-microsoft-com:office:smarttags" w:element="City">
          <w:r w:rsidRPr="00260D39">
            <w:rPr>
              <w:rFonts w:cs="B Zar"/>
              <w:sz w:val="18"/>
              <w:szCs w:val="18"/>
            </w:rPr>
            <w:t>London</w:t>
          </w:r>
        </w:smartTag>
      </w:smartTag>
      <w:r w:rsidRPr="00260D39">
        <w:rPr>
          <w:rFonts w:cs="B Zar"/>
          <w:sz w:val="18"/>
          <w:szCs w:val="18"/>
        </w:rPr>
        <w:t>, 1928, p37</w:t>
      </w:r>
      <w:r w:rsidRPr="006A4F74">
        <w:rPr>
          <w:rFonts w:cs="B Zar"/>
        </w:rPr>
        <w:t xml:space="preserve"> </w:t>
      </w:r>
    </w:p>
  </w:footnote>
  <w:footnote w:id="93">
    <w:p w:rsidR="00C8559C" w:rsidRPr="006A4F74" w:rsidP="00663423">
      <w:pPr>
        <w:pStyle w:val="FootnoteText"/>
        <w:ind w:left="227" w:right="0" w:hanging="227"/>
        <w:jc w:val="both"/>
        <w:rPr>
          <w:rFonts w:cs="B Zar" w:hint="cs"/>
          <w:rtl/>
        </w:rPr>
      </w:pPr>
      <w:r w:rsidRPr="0077152A">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 xml:space="preserve">نخستين بار سلطان مسلمان فيروز تغلق </w:t>
      </w:r>
      <w:r w:rsidRPr="006A4F74">
        <w:rPr>
          <w:rFonts w:cs="B Zar"/>
        </w:rPr>
        <w:t xml:space="preserve"> </w:t>
      </w:r>
      <w:r w:rsidRPr="00E460C1">
        <w:rPr>
          <w:rFonts w:cs="B Zar"/>
          <w:sz w:val="18"/>
          <w:szCs w:val="18"/>
        </w:rPr>
        <w:t>TUGHLAQ</w:t>
      </w:r>
      <w:r w:rsidRPr="006A4F74">
        <w:rPr>
          <w:rFonts w:cs="B Zar"/>
        </w:rPr>
        <w:t xml:space="preserve"> </w:t>
      </w:r>
      <w:r w:rsidRPr="006A4F74">
        <w:rPr>
          <w:rFonts w:cs="B Zar" w:hint="cs"/>
          <w:rtl/>
        </w:rPr>
        <w:t xml:space="preserve"> (1351 ـ 1388) در صدد بر آمد ستون‌ها و كتيبه‌هاي دورة آشوكا (تقريباً پنج قرن قبل از ميلاد) را جمع آوري كند. در آغاز قرن نوزدهم «كميته هند شرقي» كه اداره مستعمره‌هاي انگليسي هند را به عهده داشت، دستور داد مطالعات اكتشافي در سراسر هند صورت گيرد. اولين پژوهشگري كه به اين امر پرداخت، دكتر هملتون </w:t>
      </w:r>
      <w:r w:rsidRPr="00E460C1">
        <w:rPr>
          <w:rFonts w:cs="B Zar"/>
          <w:sz w:val="18"/>
          <w:szCs w:val="18"/>
        </w:rPr>
        <w:t>Dr. Buchanan Hamilton</w:t>
      </w:r>
      <w:r w:rsidRPr="006A4F74">
        <w:rPr>
          <w:rFonts w:cs="B Zar" w:hint="cs"/>
          <w:rtl/>
        </w:rPr>
        <w:t xml:space="preserve"> بوده كه طي مطالعاتش ستون هاي بيشماري از دورة آشوكا و غارهاي ايلورا </w:t>
      </w:r>
      <w:r w:rsidRPr="00E460C1">
        <w:rPr>
          <w:rFonts w:cs="B Zar"/>
          <w:sz w:val="18"/>
          <w:szCs w:val="18"/>
        </w:rPr>
        <w:t>Elora</w:t>
      </w:r>
      <w:r w:rsidRPr="006A4F74">
        <w:rPr>
          <w:rFonts w:cs="B Zar" w:hint="cs"/>
          <w:rtl/>
        </w:rPr>
        <w:t xml:space="preserve"> و اجنتا </w:t>
      </w:r>
      <w:smartTag w:uri="urn:schemas-microsoft-com:office:smarttags" w:element="place">
        <w:r w:rsidRPr="00E460C1">
          <w:rPr>
            <w:rFonts w:cs="B Zar"/>
            <w:sz w:val="18"/>
            <w:szCs w:val="18"/>
          </w:rPr>
          <w:t>Ajanta</w:t>
        </w:r>
      </w:smartTag>
      <w:r w:rsidRPr="006A4F74">
        <w:rPr>
          <w:rFonts w:cs="B Zar" w:hint="cs"/>
          <w:rtl/>
        </w:rPr>
        <w:t xml:space="preserve"> را كشف كرد.</w:t>
      </w:r>
    </w:p>
  </w:footnote>
  <w:footnote w:id="94">
    <w:p w:rsidR="00C8559C" w:rsidRPr="00E460C1" w:rsidP="00663423">
      <w:pPr>
        <w:pStyle w:val="FootnoteText"/>
        <w:bidi w:val="0"/>
        <w:spacing w:line="240" w:lineRule="auto"/>
        <w:jc w:val="left"/>
        <w:rPr>
          <w:sz w:val="18"/>
          <w:szCs w:val="18"/>
        </w:rPr>
      </w:pPr>
      <w:r w:rsidRPr="00E460C1">
        <w:rPr>
          <w:rStyle w:val="FootnoteReference"/>
          <w:sz w:val="18"/>
          <w:szCs w:val="18"/>
          <w:vertAlign w:val="baseline"/>
        </w:rPr>
        <w:footnoteRef/>
      </w:r>
      <w:r w:rsidRPr="00E460C1">
        <w:rPr>
          <w:rFonts w:cs="Times New Roman"/>
          <w:sz w:val="18"/>
          <w:szCs w:val="18"/>
          <w:rtl/>
        </w:rPr>
        <w:t xml:space="preserve"> .</w:t>
      </w:r>
      <w:r w:rsidRPr="00E460C1">
        <w:rPr>
          <w:rFonts w:cs="Times New Roman"/>
          <w:sz w:val="18"/>
          <w:szCs w:val="18"/>
        </w:rPr>
        <w:t xml:space="preserve"> </w:t>
      </w:r>
      <w:r w:rsidRPr="00E460C1">
        <w:rPr>
          <w:rFonts w:cs="B Zar"/>
          <w:sz w:val="18"/>
          <w:szCs w:val="18"/>
        </w:rPr>
        <w:t xml:space="preserve">C.: Sources of Indian History, </w:t>
      </w:r>
      <w:smartTag w:uri="urn:schemas-microsoft-com:office:smarttags" w:element="place">
        <w:smartTag w:uri="urn:schemas-microsoft-com:office:smarttags" w:element="City">
          <w:r w:rsidRPr="00E460C1">
            <w:rPr>
              <w:rFonts w:cs="B Zar"/>
              <w:sz w:val="18"/>
              <w:szCs w:val="18"/>
            </w:rPr>
            <w:t>Bombay</w:t>
          </w:r>
        </w:smartTag>
      </w:smartTag>
      <w:r w:rsidRPr="00E460C1">
        <w:rPr>
          <w:rFonts w:cs="B Zar"/>
          <w:sz w:val="18"/>
          <w:szCs w:val="18"/>
        </w:rPr>
        <w:t>, 1951. p49</w:t>
      </w:r>
    </w:p>
  </w:footnote>
  <w:footnote w:id="95">
    <w:p w:rsidR="00C8559C" w:rsidRPr="004F2901" w:rsidP="00663423">
      <w:pPr>
        <w:pStyle w:val="FootnoteText"/>
        <w:bidi w:val="0"/>
        <w:spacing w:line="240" w:lineRule="auto"/>
        <w:ind w:left="227" w:hanging="227"/>
        <w:rPr>
          <w:sz w:val="18"/>
          <w:szCs w:val="18"/>
        </w:rPr>
      </w:pPr>
      <w:r w:rsidRPr="00E460C1">
        <w:rPr>
          <w:rStyle w:val="FootnoteReference"/>
          <w:rFonts w:cs="Times New Roman"/>
          <w:sz w:val="18"/>
          <w:szCs w:val="18"/>
          <w:vertAlign w:val="baseline"/>
        </w:rPr>
        <w:footnoteRef/>
      </w:r>
      <w:r w:rsidRPr="00E460C1">
        <w:rPr>
          <w:rFonts w:cs="Times New Roman"/>
          <w:sz w:val="18"/>
          <w:szCs w:val="18"/>
          <w:rtl/>
        </w:rPr>
        <w:t>.</w:t>
      </w:r>
      <w:r w:rsidRPr="00E460C1">
        <w:rPr>
          <w:rFonts w:cs="Times New Roman"/>
          <w:sz w:val="18"/>
          <w:szCs w:val="18"/>
        </w:rPr>
        <w:t xml:space="preserve"> </w:t>
      </w:r>
      <w:r w:rsidRPr="00E460C1">
        <w:rPr>
          <w:rFonts w:cs="B Zar"/>
          <w:sz w:val="18"/>
          <w:szCs w:val="18"/>
        </w:rPr>
        <w:t xml:space="preserve">Chatterji, S.K: Race Movements and Pre-Historic Culture in </w:t>
      </w:r>
      <w:smartTag w:uri="urn:schemas-microsoft-com:office:smarttags" w:element="country-region">
        <w:r w:rsidRPr="00E460C1">
          <w:rPr>
            <w:rFonts w:cs="B Zar"/>
            <w:sz w:val="18"/>
            <w:szCs w:val="18"/>
          </w:rPr>
          <w:t>India</w:t>
        </w:r>
      </w:smartTag>
      <w:r w:rsidRPr="00E460C1">
        <w:rPr>
          <w:rFonts w:cs="B Zar"/>
          <w:sz w:val="18"/>
          <w:szCs w:val="18"/>
        </w:rPr>
        <w:t xml:space="preserve">, </w:t>
      </w:r>
      <w:smartTag w:uri="urn:schemas-microsoft-com:office:smarttags" w:element="place">
        <w:smartTag w:uri="urn:schemas-microsoft-com:office:smarttags" w:element="City">
          <w:r w:rsidRPr="00E460C1">
            <w:rPr>
              <w:rFonts w:cs="B Zar"/>
              <w:sz w:val="18"/>
              <w:szCs w:val="18"/>
            </w:rPr>
            <w:t>Bombay</w:t>
          </w:r>
        </w:smartTag>
      </w:smartTag>
      <w:r w:rsidRPr="00E460C1">
        <w:rPr>
          <w:rFonts w:cs="B Zar"/>
          <w:sz w:val="18"/>
          <w:szCs w:val="18"/>
        </w:rPr>
        <w:t>, 1968,</w:t>
      </w:r>
      <w:r w:rsidRPr="004F2901">
        <w:rPr>
          <w:rFonts w:cs="B Zar"/>
          <w:sz w:val="18"/>
          <w:szCs w:val="18"/>
        </w:rPr>
        <w:t xml:space="preserve"> p153</w:t>
      </w:r>
    </w:p>
  </w:footnote>
  <w:footnote w:id="96">
    <w:p w:rsidR="00C8559C" w:rsidRPr="007B797A" w:rsidP="004F2901">
      <w:pPr>
        <w:pStyle w:val="FootnoteText"/>
        <w:bidi w:val="0"/>
        <w:ind w:left="227" w:hanging="227"/>
      </w:pPr>
      <w:r w:rsidRPr="004F2901">
        <w:rPr>
          <w:rStyle w:val="FootnoteReference"/>
          <w:sz w:val="18"/>
          <w:szCs w:val="18"/>
          <w:vertAlign w:val="baseline"/>
        </w:rPr>
        <w:footnoteRef/>
      </w:r>
      <w:r w:rsidRPr="004F2901">
        <w:rPr>
          <w:sz w:val="18"/>
          <w:szCs w:val="18"/>
        </w:rPr>
        <w:t xml:space="preserve">. </w:t>
      </w:r>
      <w:r w:rsidRPr="004F2901">
        <w:rPr>
          <w:rFonts w:cs="B Zar"/>
          <w:spacing w:val="-12"/>
          <w:sz w:val="18"/>
          <w:szCs w:val="18"/>
        </w:rPr>
        <w:t xml:space="preserve">Guha, B.S.: An Outline of the </w:t>
      </w:r>
      <w:r w:rsidRPr="004F2901">
        <w:rPr>
          <w:rFonts w:cs="B Zar"/>
          <w:sz w:val="18"/>
          <w:szCs w:val="18"/>
        </w:rPr>
        <w:t xml:space="preserve"> Racial Etymology of </w:t>
      </w:r>
      <w:smartTag w:uri="urn:schemas-microsoft-com:office:smarttags" w:element="country-region">
        <w:r w:rsidRPr="004F2901">
          <w:rPr>
            <w:rFonts w:cs="B Zar"/>
            <w:sz w:val="18"/>
            <w:szCs w:val="18"/>
          </w:rPr>
          <w:t>India</w:t>
        </w:r>
      </w:smartTag>
      <w:r w:rsidRPr="004F2901">
        <w:rPr>
          <w:rFonts w:cs="B Zar"/>
          <w:sz w:val="18"/>
          <w:szCs w:val="18"/>
        </w:rPr>
        <w:t xml:space="preserve">, </w:t>
      </w:r>
      <w:smartTag w:uri="urn:schemas-microsoft-com:office:smarttags" w:element="place">
        <w:smartTag w:uri="urn:schemas-microsoft-com:office:smarttags" w:element="City">
          <w:r w:rsidRPr="004F2901">
            <w:rPr>
              <w:rFonts w:cs="B Zar"/>
              <w:sz w:val="18"/>
              <w:szCs w:val="18"/>
            </w:rPr>
            <w:t>Calcutta</w:t>
          </w:r>
        </w:smartTag>
      </w:smartTag>
      <w:r w:rsidRPr="004F2901">
        <w:rPr>
          <w:rFonts w:cs="B Zar"/>
          <w:sz w:val="18"/>
          <w:szCs w:val="18"/>
        </w:rPr>
        <w:t>, 1937.17.</w:t>
      </w:r>
    </w:p>
  </w:footnote>
  <w:footnote w:id="97">
    <w:p w:rsidR="00C8559C" w:rsidRPr="006A4F74" w:rsidP="0057678E">
      <w:pPr>
        <w:pStyle w:val="FootnoteText"/>
        <w:ind w:left="227" w:right="0" w:hanging="227"/>
        <w:jc w:val="both"/>
        <w:rPr>
          <w:rFonts w:cs="B Zar" w:hint="cs"/>
          <w:rtl/>
        </w:rPr>
      </w:pPr>
      <w:r w:rsidRPr="00663423">
        <w:rPr>
          <w:rStyle w:val="FootnoteReference"/>
          <w:rFonts w:ascii="IPT.Zar" w:hAnsi="IPT.Zar" w:cs="B Zar"/>
          <w:sz w:val="24"/>
          <w:szCs w:val="24"/>
          <w:vertAlign w:val="baseline"/>
        </w:rPr>
        <w:footnoteRef/>
      </w:r>
      <w:r>
        <w:rPr>
          <w:rFonts w:cs="B Zar" w:hint="cs"/>
          <w:rtl/>
        </w:rPr>
        <w:t xml:space="preserve">  </w:t>
        <w:tab/>
      </w:r>
      <w:r w:rsidRPr="006A4F74">
        <w:rPr>
          <w:rFonts w:cs="B Zar" w:hint="cs"/>
          <w:rtl/>
        </w:rPr>
        <w:t xml:space="preserve"> اسپنسر با توجه به مراحل تكوين اجتماعات انساني، آنان را در چهار دسته تقسيم كرده است، جوامع ساده </w:t>
      </w:r>
      <w:r w:rsidRPr="006A4F74">
        <w:rPr>
          <w:rFonts w:cs="B Zar"/>
        </w:rPr>
        <w:t>(Simple Societies)</w:t>
      </w:r>
      <w:r w:rsidRPr="006A4F74">
        <w:rPr>
          <w:rFonts w:cs="B Zar" w:hint="cs"/>
          <w:rtl/>
        </w:rPr>
        <w:t xml:space="preserve"> جوامع مركب </w:t>
      </w:r>
      <w:r w:rsidRPr="006A4F74">
        <w:rPr>
          <w:rFonts w:cs="B Zar"/>
        </w:rPr>
        <w:t>(Compound Societies)</w:t>
      </w:r>
      <w:r w:rsidRPr="006A4F74">
        <w:rPr>
          <w:rFonts w:cs="B Zar" w:hint="cs"/>
          <w:rtl/>
        </w:rPr>
        <w:t xml:space="preserve">، جوامع دوبار مركب </w:t>
      </w:r>
      <w:r w:rsidRPr="006A4F74">
        <w:rPr>
          <w:rFonts w:cs="B Zar"/>
        </w:rPr>
        <w:t>(Double Compound Societies)</w:t>
      </w:r>
      <w:r w:rsidRPr="006A4F74">
        <w:rPr>
          <w:rFonts w:cs="B Zar" w:hint="cs"/>
          <w:rtl/>
        </w:rPr>
        <w:t xml:space="preserve"> و جوامع سه بار مركب</w:t>
      </w:r>
      <w:r w:rsidRPr="006A4F74">
        <w:rPr>
          <w:rFonts w:cs="B Zar"/>
        </w:rPr>
        <w:t>(Trebly Compound Societies)</w:t>
      </w:r>
      <w:r w:rsidRPr="006A4F74">
        <w:rPr>
          <w:rFonts w:cs="B Zar" w:hint="cs"/>
          <w:rtl/>
        </w:rPr>
        <w:t>. دوركيم نيز ضمن انتقاد از اسپنسر به طرح ريزي نوعي طبقه بندي جوامع ساده</w:t>
      </w:r>
      <w:r w:rsidRPr="006A4F74">
        <w:rPr>
          <w:rFonts w:cs="B Zar"/>
        </w:rPr>
        <w:t xml:space="preserve"> (Horde)</w:t>
      </w:r>
      <w:r w:rsidRPr="006A4F74">
        <w:rPr>
          <w:rFonts w:cs="B Zar" w:hint="cs"/>
          <w:rtl/>
        </w:rPr>
        <w:t xml:space="preserve"> جوامع چند بخشي ساده </w:t>
      </w:r>
      <w:r w:rsidRPr="006A4F74">
        <w:rPr>
          <w:rFonts w:cs="B Zar"/>
        </w:rPr>
        <w:t>(Simple Poly-Segmentary Societies)</w:t>
      </w:r>
      <w:r w:rsidRPr="006A4F74">
        <w:rPr>
          <w:rFonts w:cs="B Zar" w:hint="cs"/>
          <w:rtl/>
        </w:rPr>
        <w:t>،  جوامع مركب ساده</w:t>
      </w:r>
      <w:r w:rsidRPr="006A4F74">
        <w:rPr>
          <w:rFonts w:cs="B Zar"/>
        </w:rPr>
        <w:t>(Double Compound Societies)</w:t>
      </w:r>
      <w:r w:rsidRPr="006A4F74">
        <w:rPr>
          <w:rFonts w:cs="B Zar" w:hint="cs"/>
          <w:rtl/>
        </w:rPr>
        <w:t>. براي اطلاع  بيشتر در مورد اين نظريه ها رجوع شود به جامعه شناسي، از جمله «صور ابتدائي زندگي ديني» و قواعد و روش جامعه شناسي از اميل دوركهيم، ترجمه علي محمد كاردان، دانشگاه تهران، 1343، فصل چهارم و نيز به كتاب زير.</w:t>
      </w:r>
    </w:p>
    <w:p w:rsidR="00C8559C" w:rsidRPr="006A4F74" w:rsidP="0011420A">
      <w:pPr>
        <w:pStyle w:val="FootnoteText"/>
        <w:bidi w:val="0"/>
        <w:rPr>
          <w:rFonts w:cs="B Zar"/>
        </w:rPr>
      </w:pPr>
      <w:r w:rsidRPr="006A4F74">
        <w:rPr>
          <w:rFonts w:cs="B Zar"/>
        </w:rPr>
        <w:t>L.M.Morgan: Ancient Society (1877)</w:t>
      </w:r>
    </w:p>
  </w:footnote>
  <w:footnote w:id="98">
    <w:p w:rsidR="00C8559C" w:rsidRPr="004F2901" w:rsidP="004F2901">
      <w:pPr>
        <w:pStyle w:val="FootnoteText"/>
        <w:bidi w:val="0"/>
        <w:spacing w:line="240" w:lineRule="exact"/>
        <w:ind w:left="227" w:hanging="227"/>
        <w:rPr>
          <w:sz w:val="18"/>
          <w:szCs w:val="18"/>
        </w:rPr>
      </w:pPr>
      <w:r w:rsidRPr="004F2901">
        <w:rPr>
          <w:rStyle w:val="FootnoteReference"/>
          <w:sz w:val="18"/>
          <w:szCs w:val="18"/>
          <w:vertAlign w:val="baseline"/>
        </w:rPr>
        <w:footnoteRef/>
      </w:r>
      <w:r w:rsidRPr="004F2901">
        <w:rPr>
          <w:sz w:val="18"/>
          <w:szCs w:val="18"/>
        </w:rPr>
        <w:t>.</w:t>
      </w:r>
      <w:r w:rsidRPr="004F2901">
        <w:rPr>
          <w:sz w:val="18"/>
          <w:szCs w:val="18"/>
          <w:rtl/>
        </w:rPr>
        <w:t xml:space="preserve"> </w:t>
      </w:r>
      <w:smartTag w:uri="urn:schemas-microsoft-com:office:smarttags" w:element="place">
        <w:smartTag w:uri="urn:schemas-microsoft-com:office:smarttags" w:element="City">
          <w:r w:rsidRPr="004F2901">
            <w:rPr>
              <w:rFonts w:cs="B Zar"/>
              <w:sz w:val="18"/>
              <w:szCs w:val="18"/>
            </w:rPr>
            <w:t>Taylor</w:t>
          </w:r>
        </w:smartTag>
      </w:smartTag>
      <w:r w:rsidRPr="004F2901">
        <w:rPr>
          <w:rFonts w:cs="B Zar"/>
          <w:sz w:val="18"/>
          <w:szCs w:val="18"/>
        </w:rPr>
        <w:t>: Primitive Culture (1871)</w:t>
      </w:r>
      <w:r>
        <w:rPr>
          <w:rFonts w:cs="B Zar"/>
          <w:sz w:val="18"/>
          <w:szCs w:val="18"/>
        </w:rPr>
        <w:t xml:space="preserve">. </w:t>
      </w:r>
      <w:r w:rsidRPr="004F2901">
        <w:rPr>
          <w:rFonts w:cs="B Zar"/>
          <w:sz w:val="18"/>
          <w:szCs w:val="18"/>
        </w:rPr>
        <w:t xml:space="preserve">Malinovsky, B.: A Scientific Theory of Culture, </w:t>
      </w:r>
      <w:smartTag w:uri="urn:schemas-microsoft-com:office:smarttags" w:element="place">
        <w:smartTag w:uri="urn:schemas-microsoft-com:office:smarttags" w:element="State">
          <w:r w:rsidRPr="004F2901">
            <w:rPr>
              <w:rFonts w:cs="B Zar"/>
              <w:sz w:val="18"/>
              <w:szCs w:val="18"/>
            </w:rPr>
            <w:t>New York</w:t>
          </w:r>
        </w:smartTag>
      </w:smartTag>
      <w:r w:rsidRPr="004F2901">
        <w:rPr>
          <w:rFonts w:cs="B Zar"/>
          <w:sz w:val="18"/>
          <w:szCs w:val="18"/>
        </w:rPr>
        <w:t>, 1985, p85</w:t>
      </w:r>
      <w:r>
        <w:rPr>
          <w:rFonts w:cs="B Zar"/>
          <w:sz w:val="18"/>
          <w:szCs w:val="18"/>
        </w:rPr>
        <w:t xml:space="preserve">. </w:t>
      </w:r>
      <w:r w:rsidRPr="004F2901">
        <w:rPr>
          <w:rFonts w:cs="B Zar"/>
          <w:spacing w:val="-12"/>
          <w:sz w:val="18"/>
          <w:szCs w:val="18"/>
        </w:rPr>
        <w:t xml:space="preserve">Guha,B.S.: An Outline of the </w:t>
      </w:r>
      <w:r w:rsidRPr="004F2901">
        <w:rPr>
          <w:rFonts w:cs="B Zar"/>
          <w:sz w:val="18"/>
          <w:szCs w:val="18"/>
        </w:rPr>
        <w:t xml:space="preserve"> Racial Etymology of </w:t>
      </w:r>
      <w:smartTag w:uri="urn:schemas-microsoft-com:office:smarttags" w:element="country-region">
        <w:r w:rsidRPr="004F2901">
          <w:rPr>
            <w:rFonts w:cs="B Zar"/>
            <w:sz w:val="18"/>
            <w:szCs w:val="18"/>
          </w:rPr>
          <w:t>India</w:t>
        </w:r>
      </w:smartTag>
      <w:r w:rsidRPr="004F2901">
        <w:rPr>
          <w:rFonts w:cs="B Zar"/>
          <w:sz w:val="18"/>
          <w:szCs w:val="18"/>
        </w:rPr>
        <w:t xml:space="preserve">, </w:t>
      </w:r>
      <w:smartTag w:uri="urn:schemas-microsoft-com:office:smarttags" w:element="place">
        <w:smartTag w:uri="urn:schemas-microsoft-com:office:smarttags" w:element="City">
          <w:r w:rsidRPr="004F2901">
            <w:rPr>
              <w:rFonts w:cs="B Zar"/>
              <w:sz w:val="18"/>
              <w:szCs w:val="18"/>
            </w:rPr>
            <w:t>Calcutta</w:t>
          </w:r>
        </w:smartTag>
      </w:smartTag>
      <w:r w:rsidRPr="004F2901">
        <w:rPr>
          <w:rFonts w:cs="B Zar"/>
          <w:sz w:val="18"/>
          <w:szCs w:val="18"/>
        </w:rPr>
        <w:t>, 1937, P.89</w:t>
      </w:r>
      <w:r w:rsidRPr="004F2901">
        <w:rPr>
          <w:rFonts w:cs="B Zar" w:hint="cs"/>
          <w:sz w:val="18"/>
          <w:szCs w:val="18"/>
          <w:rtl/>
        </w:rPr>
        <w:tab/>
      </w:r>
    </w:p>
  </w:footnote>
  <w:footnote w:id="99">
    <w:p w:rsidR="00C8559C" w:rsidP="004F2901">
      <w:pPr>
        <w:pStyle w:val="FootnoteText"/>
        <w:bidi w:val="0"/>
        <w:spacing w:line="240" w:lineRule="exact"/>
        <w:ind w:left="227" w:hanging="227"/>
      </w:pPr>
      <w:r w:rsidRPr="004F2901">
        <w:rPr>
          <w:rStyle w:val="FootnoteReference"/>
          <w:sz w:val="18"/>
          <w:szCs w:val="18"/>
          <w:vertAlign w:val="baseline"/>
        </w:rPr>
        <w:footnoteRef/>
      </w:r>
      <w:r w:rsidRPr="004F2901">
        <w:rPr>
          <w:rFonts w:cs="Times New Roman"/>
          <w:sz w:val="18"/>
          <w:szCs w:val="18"/>
        </w:rPr>
        <w:t>.</w:t>
      </w:r>
      <w:r w:rsidRPr="004F2901">
        <w:rPr>
          <w:rFonts w:cs="Times New Roman"/>
          <w:sz w:val="18"/>
          <w:szCs w:val="18"/>
          <w:rtl/>
        </w:rPr>
        <w:t xml:space="preserve"> </w:t>
      </w:r>
      <w:r w:rsidRPr="004F2901">
        <w:rPr>
          <w:rFonts w:cs="B Zar"/>
          <w:sz w:val="18"/>
          <w:szCs w:val="18"/>
        </w:rPr>
        <w:t xml:space="preserve">Chatterji, S.K: Race Movements and Pre-Historic Culture in </w:t>
      </w:r>
      <w:smartTag w:uri="urn:schemas-microsoft-com:office:smarttags" w:element="country-region">
        <w:r w:rsidRPr="004F2901">
          <w:rPr>
            <w:rFonts w:cs="B Zar"/>
            <w:sz w:val="18"/>
            <w:szCs w:val="18"/>
          </w:rPr>
          <w:t>India</w:t>
        </w:r>
      </w:smartTag>
      <w:r w:rsidRPr="004F2901">
        <w:rPr>
          <w:rFonts w:cs="B Zar"/>
          <w:sz w:val="18"/>
          <w:szCs w:val="18"/>
        </w:rPr>
        <w:t>,</w:t>
      </w:r>
      <w:r w:rsidRPr="006A4F74">
        <w:rPr>
          <w:rFonts w:cs="B Zar"/>
        </w:rPr>
        <w:t xml:space="preserve"> </w:t>
      </w:r>
      <w:smartTag w:uri="urn:schemas-microsoft-com:office:smarttags" w:element="place">
        <w:smartTag w:uri="urn:schemas-microsoft-com:office:smarttags" w:element="City">
          <w:r w:rsidRPr="00663423">
            <w:rPr>
              <w:rFonts w:cs="B Zar"/>
              <w:sz w:val="18"/>
              <w:szCs w:val="18"/>
            </w:rPr>
            <w:t>Bombay</w:t>
          </w:r>
        </w:smartTag>
      </w:smartTag>
      <w:r w:rsidRPr="00663423">
        <w:rPr>
          <w:rFonts w:cs="B Zar"/>
          <w:sz w:val="18"/>
          <w:szCs w:val="18"/>
        </w:rPr>
        <w:t>, 1968, p 167</w:t>
      </w:r>
      <w:r w:rsidRPr="006A4F74">
        <w:rPr>
          <w:rFonts w:cs="B Zar" w:hint="cs"/>
          <w:rtl/>
        </w:rPr>
        <w:t xml:space="preserve">   </w:t>
      </w:r>
    </w:p>
  </w:footnote>
  <w:footnote w:id="100">
    <w:p w:rsidR="00C8559C" w:rsidRPr="004F2901" w:rsidP="004F2901">
      <w:pPr>
        <w:pStyle w:val="FootnoteText"/>
        <w:bidi w:val="0"/>
        <w:spacing w:line="240" w:lineRule="exact"/>
        <w:ind w:left="227" w:hanging="227"/>
        <w:rPr>
          <w:rFonts w:cs="B Zar"/>
          <w:sz w:val="18"/>
          <w:szCs w:val="18"/>
        </w:rPr>
      </w:pPr>
      <w:r w:rsidRPr="004F2901">
        <w:rPr>
          <w:rStyle w:val="FootnoteReference"/>
          <w:rFonts w:cs="B Zar"/>
          <w:sz w:val="18"/>
          <w:szCs w:val="18"/>
          <w:vertAlign w:val="baseline"/>
        </w:rPr>
        <w:footnoteRef/>
      </w:r>
      <w:r w:rsidRPr="004F2901">
        <w:rPr>
          <w:rFonts w:ascii="IPT.Yagut" w:hAnsi="IPT.Yagut" w:cs="B Zar" w:hint="cs"/>
          <w:sz w:val="18"/>
          <w:szCs w:val="18"/>
          <w:rtl/>
        </w:rPr>
        <w:t xml:space="preserve"> .</w:t>
      </w:r>
      <w:r>
        <w:rPr>
          <w:rFonts w:cs="B Zar"/>
          <w:sz w:val="18"/>
          <w:szCs w:val="18"/>
        </w:rPr>
        <w:t xml:space="preserve"> </w:t>
      </w:r>
      <w:r w:rsidRPr="004F2901">
        <w:rPr>
          <w:rFonts w:cs="B Zar"/>
          <w:sz w:val="18"/>
          <w:szCs w:val="18"/>
        </w:rPr>
        <w:t xml:space="preserve">B.S.Guha: Racial Affinities of the People of India (In the Census of India. 1931) p.6. </w:t>
      </w:r>
    </w:p>
  </w:footnote>
  <w:footnote w:id="101">
    <w:p w:rsidR="00C8559C" w:rsidRPr="004F2901" w:rsidP="00512E08">
      <w:pPr>
        <w:pStyle w:val="FootnoteText"/>
        <w:bidi w:val="0"/>
        <w:spacing w:line="240" w:lineRule="auto"/>
        <w:ind w:left="227" w:hanging="227"/>
        <w:rPr>
          <w:rFonts w:cs="B Zar"/>
          <w:sz w:val="18"/>
          <w:szCs w:val="18"/>
        </w:rPr>
      </w:pPr>
      <w:r w:rsidRPr="004F2901">
        <w:rPr>
          <w:rStyle w:val="FootnoteReference"/>
          <w:rFonts w:cs="B Zar"/>
          <w:sz w:val="18"/>
          <w:szCs w:val="18"/>
          <w:vertAlign w:val="baseline"/>
        </w:rPr>
        <w:footnoteRef/>
      </w:r>
      <w:r w:rsidRPr="004F2901">
        <w:rPr>
          <w:rFonts w:cs="B Zar"/>
          <w:sz w:val="18"/>
          <w:szCs w:val="18"/>
        </w:rPr>
        <w:t xml:space="preserve"> </w:t>
      </w:r>
      <w:r>
        <w:rPr>
          <w:rFonts w:cs="B Zar"/>
          <w:sz w:val="18"/>
          <w:szCs w:val="18"/>
        </w:rPr>
        <w:t xml:space="preserve">  </w:t>
      </w:r>
      <w:r w:rsidRPr="004F2901">
        <w:rPr>
          <w:rFonts w:cs="B Zar"/>
          <w:sz w:val="18"/>
          <w:szCs w:val="18"/>
        </w:rPr>
        <w:t>S.K.Chatterji, ibid. p</w:t>
      </w:r>
      <w:r>
        <w:rPr>
          <w:rFonts w:cs="B Zar"/>
          <w:sz w:val="18"/>
          <w:szCs w:val="18"/>
        </w:rPr>
        <w:t>.</w:t>
      </w:r>
      <w:r w:rsidRPr="004F2901">
        <w:rPr>
          <w:rFonts w:cs="B Zar"/>
          <w:sz w:val="18"/>
          <w:szCs w:val="18"/>
        </w:rPr>
        <w:t xml:space="preserve"> 152</w:t>
      </w:r>
    </w:p>
  </w:footnote>
  <w:footnote w:id="102">
    <w:p w:rsidR="00C8559C" w:rsidRPr="006A4F74" w:rsidP="00B135B6">
      <w:pPr>
        <w:pStyle w:val="FootnoteText"/>
        <w:bidi w:val="0"/>
        <w:spacing w:line="240" w:lineRule="auto"/>
        <w:ind w:left="227" w:hanging="227"/>
        <w:rPr>
          <w:rFonts w:cs="B Zar"/>
        </w:rPr>
      </w:pPr>
      <w:r w:rsidRPr="004F2901">
        <w:rPr>
          <w:rStyle w:val="FootnoteReference"/>
          <w:rFonts w:cs="B Zar"/>
          <w:sz w:val="18"/>
          <w:szCs w:val="18"/>
          <w:vertAlign w:val="baseline"/>
        </w:rPr>
        <w:footnoteRef/>
      </w:r>
      <w:r w:rsidR="00B135B6">
        <w:rPr>
          <w:rFonts w:ascii="IPT.Lotus" w:hAnsi="IPT.Lotus" w:cs="B Zar" w:hint="cs"/>
          <w:sz w:val="18"/>
          <w:szCs w:val="18"/>
          <w:rtl/>
        </w:rPr>
        <w:t xml:space="preserve">  </w:t>
      </w:r>
      <w:r>
        <w:rPr>
          <w:rFonts w:cs="B Zar"/>
          <w:sz w:val="18"/>
          <w:szCs w:val="18"/>
        </w:rPr>
        <w:t xml:space="preserve"> </w:t>
      </w:r>
      <w:r w:rsidRPr="004F2901">
        <w:rPr>
          <w:rFonts w:cs="B Zar"/>
          <w:sz w:val="18"/>
          <w:szCs w:val="18"/>
        </w:rPr>
        <w:t>S.K.Ghatterji: op. cit , p. 150</w:t>
      </w:r>
    </w:p>
  </w:footnote>
  <w:footnote w:id="103">
    <w:p w:rsidR="00C8559C" w:rsidRPr="004F2901" w:rsidP="00B135B6">
      <w:pPr>
        <w:pStyle w:val="FootnoteText"/>
        <w:bidi w:val="0"/>
        <w:spacing w:line="240" w:lineRule="auto"/>
        <w:ind w:left="227" w:hanging="227"/>
        <w:rPr>
          <w:rFonts w:cs="B Zar"/>
          <w:sz w:val="18"/>
          <w:szCs w:val="18"/>
        </w:rPr>
      </w:pPr>
      <w:r w:rsidRPr="004F2901">
        <w:rPr>
          <w:rStyle w:val="FootnoteReference"/>
          <w:rFonts w:cs="B Zar"/>
          <w:sz w:val="18"/>
          <w:szCs w:val="18"/>
          <w:vertAlign w:val="baseline"/>
        </w:rPr>
        <w:footnoteRef/>
      </w:r>
      <w:r w:rsidR="00B135B6">
        <w:rPr>
          <w:rFonts w:ascii="IPT.Lotus" w:hAnsi="IPT.Lotus" w:cs="B Zar" w:hint="cs"/>
          <w:sz w:val="18"/>
          <w:szCs w:val="18"/>
          <w:rtl/>
        </w:rPr>
        <w:t xml:space="preserve">   </w:t>
      </w:r>
      <w:r w:rsidRPr="004F2901">
        <w:rPr>
          <w:rFonts w:cs="B Zar"/>
          <w:sz w:val="18"/>
          <w:szCs w:val="18"/>
        </w:rPr>
        <w:t xml:space="preserve">P.C.Bagchi: Pre-Aryan and Pre-Dravidian in </w:t>
      </w:r>
      <w:smartTag w:uri="urn:schemas-microsoft-com:office:smarttags" w:element="country-region">
        <w:r w:rsidRPr="004F2901">
          <w:rPr>
            <w:rFonts w:cs="B Zar"/>
            <w:sz w:val="18"/>
            <w:szCs w:val="18"/>
          </w:rPr>
          <w:t>India</w:t>
        </w:r>
      </w:smartTag>
      <w:r w:rsidRPr="004F2901">
        <w:rPr>
          <w:rFonts w:cs="B Zar"/>
          <w:sz w:val="18"/>
          <w:szCs w:val="18"/>
        </w:rPr>
        <w:t xml:space="preserve">, </w:t>
      </w:r>
      <w:smartTag w:uri="urn:schemas-microsoft-com:office:smarttags" w:element="place">
        <w:smartTag w:uri="urn:schemas-microsoft-com:office:smarttags" w:element="PlaceName">
          <w:r w:rsidRPr="004F2901">
            <w:rPr>
              <w:rFonts w:cs="B Zar"/>
              <w:sz w:val="18"/>
              <w:szCs w:val="18"/>
            </w:rPr>
            <w:t>Calcutta</w:t>
          </w:r>
        </w:smartTag>
        <w:r w:rsidRPr="004F2901">
          <w:rPr>
            <w:rFonts w:cs="B Zar"/>
            <w:sz w:val="18"/>
            <w:szCs w:val="18"/>
          </w:rPr>
          <w:t xml:space="preserve"> </w:t>
        </w:r>
        <w:smartTag w:uri="urn:schemas-microsoft-com:office:smarttags" w:element="PlaceType">
          <w:r w:rsidRPr="004F2901">
            <w:rPr>
              <w:rFonts w:cs="B Zar"/>
              <w:sz w:val="18"/>
              <w:szCs w:val="18"/>
            </w:rPr>
            <w:t>University</w:t>
          </w:r>
        </w:smartTag>
      </w:smartTag>
      <w:r w:rsidRPr="004F2901">
        <w:rPr>
          <w:rFonts w:cs="B Zar"/>
          <w:sz w:val="18"/>
          <w:szCs w:val="18"/>
        </w:rPr>
        <w:t>, 1929, p 101</w:t>
      </w:r>
    </w:p>
  </w:footnote>
  <w:footnote w:id="104">
    <w:p w:rsidR="00C8559C" w:rsidRPr="006A4F74" w:rsidP="00B135B6">
      <w:pPr>
        <w:pStyle w:val="FootnoteText"/>
        <w:bidi w:val="0"/>
        <w:spacing w:line="240" w:lineRule="auto"/>
        <w:ind w:left="227" w:hanging="227"/>
        <w:rPr>
          <w:rFonts w:cs="B Zar" w:hint="cs"/>
          <w:rtl/>
        </w:rPr>
      </w:pPr>
      <w:r w:rsidRPr="004F2901">
        <w:rPr>
          <w:rStyle w:val="FootnoteReference"/>
          <w:rFonts w:cs="B Zar"/>
          <w:sz w:val="18"/>
          <w:szCs w:val="18"/>
          <w:vertAlign w:val="baseline"/>
        </w:rPr>
        <w:footnoteRef/>
      </w:r>
      <w:r w:rsidRPr="004F2901">
        <w:rPr>
          <w:rFonts w:ascii="IPT.Lotus" w:hAnsi="IPT.Lotus" w:cs="B Zar" w:hint="cs"/>
          <w:sz w:val="18"/>
          <w:szCs w:val="18"/>
          <w:rtl/>
        </w:rPr>
        <w:t xml:space="preserve">  </w:t>
      </w:r>
      <w:r w:rsidRPr="004F2901">
        <w:rPr>
          <w:rFonts w:cs="B Zar"/>
          <w:sz w:val="18"/>
          <w:szCs w:val="18"/>
        </w:rPr>
        <w:t>Chatterji:  Op.cit: P.51</w:t>
      </w:r>
    </w:p>
  </w:footnote>
  <w:footnote w:id="105">
    <w:p w:rsidR="00C8559C" w:rsidRPr="004F2901" w:rsidP="00512E08">
      <w:pPr>
        <w:pStyle w:val="FootnoteText"/>
        <w:bidi w:val="0"/>
        <w:spacing w:line="240" w:lineRule="auto"/>
        <w:ind w:left="227" w:hanging="227"/>
        <w:rPr>
          <w:rFonts w:cs="B Zar"/>
          <w:sz w:val="18"/>
          <w:szCs w:val="18"/>
        </w:rPr>
      </w:pPr>
      <w:r w:rsidRPr="004F2901">
        <w:rPr>
          <w:rStyle w:val="FootnoteReference"/>
          <w:rFonts w:cs="B Zar"/>
          <w:sz w:val="18"/>
          <w:szCs w:val="18"/>
          <w:vertAlign w:val="baseline"/>
        </w:rPr>
        <w:footnoteRef/>
      </w:r>
      <w:r w:rsidRPr="004F2901">
        <w:rPr>
          <w:rFonts w:cs="B Zar"/>
          <w:sz w:val="18"/>
          <w:szCs w:val="18"/>
        </w:rPr>
        <w:t xml:space="preserve">. </w:t>
      </w:r>
      <w:r>
        <w:rPr>
          <w:rFonts w:cs="B Zar"/>
          <w:sz w:val="18"/>
          <w:szCs w:val="18"/>
        </w:rPr>
        <w:t xml:space="preserve"> </w:t>
      </w:r>
      <w:r w:rsidRPr="004F2901">
        <w:rPr>
          <w:rFonts w:cs="B Zar"/>
          <w:sz w:val="18"/>
          <w:szCs w:val="18"/>
        </w:rPr>
        <w:t>Bagchi:  Op.cit.43</w:t>
      </w:r>
    </w:p>
  </w:footnote>
  <w:footnote w:id="106">
    <w:p w:rsidR="00C8559C" w:rsidRPr="006A4F74" w:rsidP="0057678E">
      <w:pPr>
        <w:pStyle w:val="FootnoteText"/>
        <w:ind w:left="227" w:right="0" w:hanging="227"/>
        <w:jc w:val="both"/>
        <w:rPr>
          <w:rFonts w:cs="B Zar" w:hint="cs"/>
          <w:rtl/>
        </w:rPr>
      </w:pPr>
      <w:r w:rsidRPr="0077152A">
        <w:rPr>
          <w:rStyle w:val="FootnoteReference"/>
          <w:rFonts w:ascii="IPT.Zar" w:hAnsi="IPT.Zar" w:cs="B Zar"/>
          <w:sz w:val="24"/>
          <w:szCs w:val="24"/>
          <w:vertAlign w:val="baseline"/>
        </w:rPr>
        <w:footnoteRef/>
      </w:r>
      <w:r w:rsidRPr="006A4F74">
        <w:rPr>
          <w:rFonts w:cs="B Zar" w:hint="cs"/>
          <w:rtl/>
        </w:rPr>
        <w:t>.</w:t>
      </w:r>
      <w:r>
        <w:rPr>
          <w:rFonts w:cs="B Zar" w:hint="cs"/>
          <w:rtl/>
        </w:rPr>
        <w:t xml:space="preserve"> </w:t>
      </w:r>
      <w:r w:rsidRPr="006A4F74">
        <w:rPr>
          <w:rFonts w:cs="B Zar" w:hint="cs"/>
          <w:rtl/>
        </w:rPr>
        <w:t xml:space="preserve"> براي بحث از مشخصات توتميسم رجوع شود به متون و مآخذ معتبر راجع به جامعه‌شناسي دين از جمله: ماكس وبر: جامعه شماسي دين، جمع آوري از شيوف با مقدمه تالكوت پارسنز،  1953. دوركهيم: صورابتدائي زندگي ديني: لندن 1962 (چاپ هشتم) و نيز كتابهاي اشتارك </w:t>
      </w:r>
      <w:r w:rsidRPr="006A4F74">
        <w:rPr>
          <w:rFonts w:cs="B Zar"/>
        </w:rPr>
        <w:t>stark</w:t>
      </w:r>
      <w:r w:rsidRPr="006A4F74">
        <w:rPr>
          <w:rFonts w:cs="B Zar" w:hint="cs"/>
          <w:rtl/>
        </w:rPr>
        <w:t xml:space="preserve"> پروفسور ويلسون و غيره.</w:t>
      </w:r>
    </w:p>
  </w:footnote>
  <w:footnote w:id="107">
    <w:p w:rsidR="00C8559C" w:rsidRPr="006A4F74" w:rsidP="0057678E">
      <w:pPr>
        <w:pStyle w:val="FootnoteText"/>
        <w:ind w:left="0" w:right="0"/>
        <w:jc w:val="both"/>
        <w:rPr>
          <w:rFonts w:cs="B Zar" w:hint="cs"/>
          <w:rtl/>
        </w:rPr>
      </w:pPr>
      <w:r w:rsidRPr="0077152A">
        <w:rPr>
          <w:rStyle w:val="FootnoteReference"/>
          <w:rFonts w:ascii="IPT.Zar" w:hAnsi="IPT.Zar" w:cs="B Zar"/>
          <w:sz w:val="24"/>
          <w:szCs w:val="24"/>
          <w:vertAlign w:val="baseline"/>
        </w:rPr>
        <w:footnoteRef/>
      </w:r>
      <w:r w:rsidRPr="006A4F74">
        <w:rPr>
          <w:rFonts w:cs="B Zar" w:hint="cs"/>
          <w:rtl/>
        </w:rPr>
        <w:t>.</w:t>
      </w:r>
      <w:r>
        <w:rPr>
          <w:rFonts w:cs="B Zar" w:hint="cs"/>
          <w:rtl/>
        </w:rPr>
        <w:t xml:space="preserve"> </w:t>
      </w:r>
      <w:r w:rsidRPr="006A4F74">
        <w:rPr>
          <w:rFonts w:cs="B Zar" w:hint="cs"/>
          <w:rtl/>
        </w:rPr>
        <w:t xml:space="preserve"> پيشين، ص 153</w:t>
      </w:r>
    </w:p>
  </w:footnote>
  <w:footnote w:id="108">
    <w:p w:rsidR="00C8559C" w:rsidRPr="006A4F74" w:rsidP="00B135B6">
      <w:pPr>
        <w:pStyle w:val="FootnoteText"/>
        <w:bidi w:val="0"/>
        <w:spacing w:line="240" w:lineRule="auto"/>
        <w:rPr>
          <w:rFonts w:cs="B Zar"/>
          <w:sz w:val="18"/>
          <w:szCs w:val="18"/>
        </w:rPr>
      </w:pPr>
      <w:r w:rsidRPr="006A4F74">
        <w:rPr>
          <w:rStyle w:val="FootnoteReference"/>
          <w:rFonts w:cs="Times New Roman"/>
          <w:sz w:val="18"/>
          <w:szCs w:val="18"/>
          <w:vertAlign w:val="baseline"/>
        </w:rPr>
        <w:footnoteRef/>
      </w:r>
      <w:r>
        <w:rPr>
          <w:rFonts w:ascii="IPT.Lotus" w:hAnsi="IPT.Lotus" w:cs="B Zar"/>
          <w:sz w:val="18"/>
          <w:szCs w:val="18"/>
        </w:rPr>
        <w:sym w:font="IPT.Lotus" w:char="F020"/>
      </w:r>
      <w:r w:rsidRPr="006A4F74">
        <w:rPr>
          <w:rFonts w:cs="B Zar"/>
          <w:sz w:val="18"/>
          <w:szCs w:val="18"/>
        </w:rPr>
        <w:t>Chatterji, Op.cit.154</w:t>
      </w:r>
    </w:p>
  </w:footnote>
  <w:footnote w:id="109">
    <w:p w:rsidR="00C8559C" w:rsidRPr="0077152A" w:rsidP="00512E08">
      <w:pPr>
        <w:pStyle w:val="FootnoteText"/>
        <w:bidi w:val="0"/>
        <w:spacing w:line="240" w:lineRule="auto"/>
        <w:rPr>
          <w:sz w:val="18"/>
          <w:szCs w:val="18"/>
        </w:rPr>
      </w:pPr>
      <w:r w:rsidRPr="0077152A">
        <w:rPr>
          <w:rStyle w:val="FootnoteReference"/>
          <w:sz w:val="18"/>
          <w:szCs w:val="18"/>
          <w:vertAlign w:val="baseline"/>
        </w:rPr>
        <w:footnoteRef/>
      </w:r>
      <w:r w:rsidRPr="0077152A">
        <w:rPr>
          <w:sz w:val="18"/>
          <w:szCs w:val="18"/>
        </w:rPr>
        <w:t xml:space="preserve">. </w:t>
      </w:r>
      <w:r w:rsidRPr="0077152A">
        <w:rPr>
          <w:rFonts w:cs="B Zar"/>
          <w:sz w:val="18"/>
          <w:szCs w:val="18"/>
        </w:rPr>
        <w:t xml:space="preserve"> 22.Malenzi</w:t>
      </w:r>
    </w:p>
  </w:footnote>
  <w:footnote w:id="110">
    <w:p w:rsidR="00C8559C" w:rsidRPr="004F2901" w:rsidP="004F2901">
      <w:pPr>
        <w:pStyle w:val="FootnoteText"/>
        <w:bidi w:val="0"/>
        <w:spacing w:line="240" w:lineRule="exact"/>
        <w:ind w:left="227" w:hanging="227"/>
        <w:rPr>
          <w:sz w:val="18"/>
          <w:szCs w:val="18"/>
        </w:rPr>
      </w:pPr>
      <w:r w:rsidRPr="0077152A">
        <w:rPr>
          <w:rStyle w:val="FootnoteReference"/>
          <w:sz w:val="18"/>
          <w:szCs w:val="18"/>
          <w:vertAlign w:val="baseline"/>
        </w:rPr>
        <w:footnoteRef/>
      </w:r>
      <w:r w:rsidRPr="0077152A">
        <w:rPr>
          <w:sz w:val="18"/>
          <w:szCs w:val="18"/>
        </w:rPr>
        <w:t>.</w:t>
      </w:r>
      <w:r w:rsidRPr="0077152A">
        <w:rPr>
          <w:sz w:val="18"/>
          <w:szCs w:val="18"/>
          <w:rtl/>
        </w:rPr>
        <w:t xml:space="preserve"> </w:t>
      </w:r>
      <w:r w:rsidRPr="0077152A">
        <w:rPr>
          <w:rFonts w:cs="B Zar"/>
          <w:sz w:val="18"/>
          <w:szCs w:val="18"/>
        </w:rPr>
        <w:t>Dravidians</w:t>
      </w:r>
    </w:p>
  </w:footnote>
  <w:footnote w:id="111">
    <w:p w:rsidR="00C8559C" w:rsidRPr="006A4F74" w:rsidP="00B135B6">
      <w:pPr>
        <w:pStyle w:val="FootnoteText"/>
        <w:bidi w:val="0"/>
        <w:spacing w:line="240" w:lineRule="exact"/>
        <w:ind w:left="227" w:hanging="227"/>
        <w:rPr>
          <w:rFonts w:cs="B Zar"/>
        </w:rPr>
      </w:pPr>
      <w:r w:rsidRPr="004F2901">
        <w:rPr>
          <w:rStyle w:val="FootnoteReference"/>
          <w:rFonts w:cs="Times New Roman"/>
          <w:sz w:val="18"/>
          <w:szCs w:val="18"/>
          <w:vertAlign w:val="baseline"/>
        </w:rPr>
        <w:footnoteRef/>
      </w:r>
      <w:r w:rsidR="00B135B6">
        <w:rPr>
          <w:rFonts w:cs="B Zar" w:hint="cs"/>
          <w:sz w:val="18"/>
          <w:szCs w:val="18"/>
          <w:rtl/>
        </w:rPr>
        <w:t xml:space="preserve"> </w:t>
      </w:r>
      <w:r w:rsidRPr="004F2901">
        <w:rPr>
          <w:rFonts w:cs="B Zar"/>
          <w:sz w:val="18"/>
          <w:szCs w:val="18"/>
        </w:rPr>
        <w:t>Chatterji: Op.cit, 168</w:t>
      </w:r>
    </w:p>
  </w:footnote>
  <w:footnote w:id="112">
    <w:p w:rsidR="00C8559C" w:rsidRPr="006A4F74" w:rsidP="0057678E">
      <w:pPr>
        <w:pStyle w:val="FootnoteText"/>
        <w:ind w:left="227" w:right="0" w:hanging="227"/>
        <w:jc w:val="both"/>
        <w:rPr>
          <w:rFonts w:cs="B Zar" w:hint="cs"/>
          <w:rtl/>
        </w:rPr>
      </w:pPr>
      <w:r w:rsidRPr="0077152A">
        <w:rPr>
          <w:rStyle w:val="FootnoteReference"/>
          <w:rFonts w:ascii="IPT.Zar" w:hAnsi="IPT.Zar" w:cs="B Zar"/>
          <w:sz w:val="24"/>
          <w:szCs w:val="24"/>
          <w:vertAlign w:val="baseline"/>
        </w:rPr>
        <w:footnoteRef/>
      </w:r>
      <w:r w:rsidRPr="006A4F74">
        <w:rPr>
          <w:rFonts w:cs="B Zar" w:hint="cs"/>
          <w:rtl/>
        </w:rPr>
        <w:t>.</w:t>
      </w:r>
      <w:r>
        <w:rPr>
          <w:rFonts w:cs="B Zar" w:hint="cs"/>
          <w:rtl/>
        </w:rPr>
        <w:t xml:space="preserve"> </w:t>
      </w:r>
      <w:r w:rsidRPr="006A4F74">
        <w:rPr>
          <w:rFonts w:cs="B Zar" w:hint="cs"/>
          <w:rtl/>
        </w:rPr>
        <w:t xml:space="preserve"> جامعه شناسان بزرگ به تفصيل به بررسي اين مرحله از تكامل اجتماعي بشري پرداخته‌اند. از جمله رجوع شود به مآخذ زير:</w:t>
      </w:r>
    </w:p>
    <w:p w:rsidR="00C8559C" w:rsidRPr="00BF78A3" w:rsidP="00BF78A3">
      <w:pPr>
        <w:pStyle w:val="FootnoteText"/>
        <w:bidi w:val="0"/>
        <w:spacing w:line="240" w:lineRule="exact"/>
        <w:rPr>
          <w:rFonts w:cs="B Zar"/>
          <w:sz w:val="18"/>
          <w:szCs w:val="18"/>
        </w:rPr>
      </w:pPr>
      <w:r w:rsidRPr="00BF78A3">
        <w:rPr>
          <w:rFonts w:cs="B Zar"/>
          <w:sz w:val="18"/>
          <w:szCs w:val="18"/>
        </w:rPr>
        <w:t xml:space="preserve">Spencer, H.: Principles of Sociology, </w:t>
      </w:r>
      <w:smartTag w:uri="urn:schemas-microsoft-com:office:smarttags" w:element="place">
        <w:smartTag w:uri="urn:schemas-microsoft-com:office:smarttags" w:element="City">
          <w:r w:rsidRPr="00BF78A3">
            <w:rPr>
              <w:rFonts w:cs="B Zar"/>
              <w:sz w:val="18"/>
              <w:szCs w:val="18"/>
            </w:rPr>
            <w:t>New Delhi</w:t>
          </w:r>
        </w:smartTag>
      </w:smartTag>
      <w:r w:rsidRPr="00BF78A3">
        <w:rPr>
          <w:rFonts w:cs="B Zar"/>
          <w:sz w:val="18"/>
          <w:szCs w:val="18"/>
        </w:rPr>
        <w:t xml:space="preserve"> 1994, Vol.I, Part II.</w:t>
      </w:r>
    </w:p>
    <w:p w:rsidR="00C8559C" w:rsidRPr="00BF78A3" w:rsidP="00BF78A3">
      <w:pPr>
        <w:pStyle w:val="FootnoteText"/>
        <w:bidi w:val="0"/>
        <w:spacing w:line="240" w:lineRule="exact"/>
        <w:rPr>
          <w:rFonts w:cs="B Zar"/>
          <w:sz w:val="18"/>
          <w:szCs w:val="18"/>
        </w:rPr>
      </w:pPr>
      <w:r w:rsidRPr="00BF78A3">
        <w:rPr>
          <w:rFonts w:cs="B Zar"/>
          <w:sz w:val="18"/>
          <w:szCs w:val="18"/>
        </w:rPr>
        <w:t>E.Durkheim: The Division of Labour in Society, Ch.IV.</w:t>
      </w:r>
    </w:p>
    <w:p w:rsidR="00C8559C" w:rsidRPr="00BF78A3" w:rsidP="00BF78A3">
      <w:pPr>
        <w:pStyle w:val="FootnoteText"/>
        <w:bidi w:val="0"/>
        <w:spacing w:line="240" w:lineRule="exact"/>
        <w:rPr>
          <w:rFonts w:cs="B Zar"/>
          <w:sz w:val="18"/>
          <w:szCs w:val="18"/>
        </w:rPr>
      </w:pPr>
      <w:r w:rsidRPr="00BF78A3">
        <w:rPr>
          <w:rFonts w:cs="B Zar"/>
          <w:sz w:val="18"/>
          <w:szCs w:val="18"/>
        </w:rPr>
        <w:t xml:space="preserve">Levy Strauss: “Social Structures” &amp; “Anthropology Today”, </w:t>
      </w:r>
    </w:p>
    <w:p w:rsidR="00C8559C" w:rsidRPr="00BF78A3" w:rsidP="00BF78A3">
      <w:pPr>
        <w:pStyle w:val="FootnoteText"/>
        <w:bidi w:val="0"/>
        <w:spacing w:line="240" w:lineRule="exact"/>
        <w:rPr>
          <w:rFonts w:cs="B Zar"/>
          <w:sz w:val="18"/>
          <w:szCs w:val="18"/>
        </w:rPr>
      </w:pPr>
      <w:r w:rsidRPr="00BF78A3">
        <w:rPr>
          <w:rFonts w:cs="B Zar"/>
          <w:sz w:val="18"/>
          <w:szCs w:val="18"/>
        </w:rPr>
        <w:t>Max Weber: General Economic History, pp.321 ff,</w:t>
      </w:r>
    </w:p>
    <w:p w:rsidR="00C8559C" w:rsidRPr="00BF78A3" w:rsidP="00BF78A3">
      <w:pPr>
        <w:pStyle w:val="FootnoteText"/>
        <w:bidi w:val="0"/>
        <w:spacing w:line="240" w:lineRule="exact"/>
        <w:rPr>
          <w:rFonts w:cs="B Zar"/>
          <w:sz w:val="18"/>
          <w:szCs w:val="18"/>
        </w:rPr>
      </w:pPr>
      <w:r w:rsidRPr="00BF78A3">
        <w:rPr>
          <w:rFonts w:cs="B Zar"/>
          <w:sz w:val="18"/>
          <w:szCs w:val="18"/>
        </w:rPr>
        <w:t>L.H.Morgan: Ancient Society, 1877.</w:t>
      </w:r>
    </w:p>
    <w:p w:rsidR="00C8559C" w:rsidRPr="006A4F74">
      <w:pPr>
        <w:pStyle w:val="FootnoteText"/>
        <w:ind w:left="0" w:right="0"/>
        <w:jc w:val="both"/>
        <w:rPr>
          <w:rFonts w:cs="B Zar" w:hint="cs"/>
          <w:rtl/>
        </w:rPr>
      </w:pPr>
      <w:r w:rsidRPr="006A4F74">
        <w:rPr>
          <w:rFonts w:cs="B Zar" w:hint="cs"/>
          <w:rtl/>
        </w:rPr>
        <w:t>البته نخستين كسي كه به بررسي مشخصات تمدن شهري پرداخته، ابن خلدون است.</w:t>
      </w:r>
    </w:p>
  </w:footnote>
  <w:footnote w:id="113">
    <w:p w:rsidR="00C8559C" w:rsidRPr="00BF78A3" w:rsidP="0021672C">
      <w:pPr>
        <w:pStyle w:val="FootnoteText"/>
        <w:bidi w:val="0"/>
        <w:rPr>
          <w:sz w:val="18"/>
          <w:szCs w:val="18"/>
        </w:rPr>
      </w:pPr>
      <w:r w:rsidRPr="00BF78A3">
        <w:rPr>
          <w:rStyle w:val="FootnoteReference"/>
          <w:sz w:val="18"/>
          <w:szCs w:val="18"/>
          <w:vertAlign w:val="baseline"/>
        </w:rPr>
        <w:footnoteRef/>
      </w:r>
      <w:r w:rsidRPr="00BF78A3">
        <w:rPr>
          <w:sz w:val="18"/>
          <w:szCs w:val="18"/>
          <w:rtl/>
        </w:rPr>
        <w:t xml:space="preserve"> </w:t>
      </w:r>
      <w:r w:rsidRPr="00BF78A3">
        <w:rPr>
          <w:rFonts w:cs="Times New Roman" w:hint="cs"/>
          <w:sz w:val="18"/>
          <w:szCs w:val="18"/>
          <w:rtl/>
        </w:rPr>
        <w:t>.</w:t>
      </w:r>
      <w:r w:rsidRPr="00BF78A3">
        <w:rPr>
          <w:rFonts w:cs="B Zar"/>
          <w:sz w:val="18"/>
          <w:szCs w:val="18"/>
        </w:rPr>
        <w:t>Adam Falkenstein: The Pre-History and Proto History of Western Asia P.42-43 .</w:t>
      </w:r>
    </w:p>
  </w:footnote>
  <w:footnote w:id="114">
    <w:p w:rsidR="00C8559C" w:rsidRPr="00BF78A3" w:rsidP="00BF78A3">
      <w:pPr>
        <w:pStyle w:val="FootnoteText"/>
        <w:bidi w:val="0"/>
        <w:spacing w:line="240" w:lineRule="exact"/>
        <w:ind w:left="227" w:hanging="227"/>
        <w:rPr>
          <w:sz w:val="18"/>
          <w:szCs w:val="18"/>
        </w:rPr>
      </w:pPr>
      <w:r w:rsidRPr="00BF78A3">
        <w:rPr>
          <w:rStyle w:val="FootnoteReference"/>
          <w:sz w:val="18"/>
          <w:szCs w:val="18"/>
          <w:vertAlign w:val="baseline"/>
        </w:rPr>
        <w:footnoteRef/>
      </w:r>
      <w:r w:rsidRPr="00BF78A3">
        <w:rPr>
          <w:sz w:val="18"/>
          <w:szCs w:val="18"/>
        </w:rPr>
        <w:t>.</w:t>
      </w:r>
      <w:r w:rsidRPr="00BF78A3">
        <w:rPr>
          <w:sz w:val="18"/>
          <w:szCs w:val="18"/>
          <w:rtl/>
        </w:rPr>
        <w:t xml:space="preserve"> </w:t>
      </w:r>
      <w:r w:rsidRPr="00BF78A3">
        <w:rPr>
          <w:rFonts w:cs="B Zar"/>
          <w:sz w:val="18"/>
          <w:szCs w:val="18"/>
        </w:rPr>
        <w:t xml:space="preserve">Dietz Otto Edzard, "The Third Dynasty" in the book, The </w:t>
      </w:r>
      <w:smartTag w:uri="urn:schemas-microsoft-com:office:smarttags" w:element="place">
        <w:r w:rsidRPr="00BF78A3">
          <w:rPr>
            <w:rFonts w:cs="B Zar"/>
            <w:sz w:val="18"/>
            <w:szCs w:val="18"/>
          </w:rPr>
          <w:t>Near East</w:t>
        </w:r>
      </w:smartTag>
      <w:r w:rsidRPr="00BF78A3">
        <w:rPr>
          <w:rFonts w:cs="B Zar"/>
          <w:sz w:val="18"/>
          <w:szCs w:val="18"/>
        </w:rPr>
        <w:t>: Early Civilizations, ed.Jean Bottero, Etc.,</w:t>
      </w:r>
      <w:r>
        <w:rPr>
          <w:rFonts w:cs="B Zar"/>
          <w:sz w:val="18"/>
          <w:szCs w:val="18"/>
        </w:rPr>
        <w:t xml:space="preserve"> </w:t>
      </w:r>
      <w:r w:rsidRPr="00BF78A3">
        <w:rPr>
          <w:rFonts w:cs="B Zar"/>
          <w:sz w:val="18"/>
          <w:szCs w:val="18"/>
        </w:rPr>
        <w:t>1967, pp.246</w:t>
      </w:r>
    </w:p>
  </w:footnote>
  <w:footnote w:id="115">
    <w:p w:rsidR="00C8559C" w:rsidRPr="00BF78A3" w:rsidP="00BF78A3">
      <w:pPr>
        <w:pStyle w:val="FootnoteText"/>
        <w:bidi w:val="0"/>
        <w:ind w:left="227" w:hanging="227"/>
        <w:rPr>
          <w:rFonts w:cs="B Zar"/>
          <w:sz w:val="18"/>
          <w:szCs w:val="18"/>
          <w:rtl/>
        </w:rPr>
      </w:pPr>
      <w:r w:rsidRPr="00BF78A3">
        <w:rPr>
          <w:rStyle w:val="FootnoteReference"/>
          <w:rFonts w:cs="Times New Roman"/>
          <w:sz w:val="18"/>
          <w:szCs w:val="18"/>
          <w:vertAlign w:val="baseline"/>
        </w:rPr>
        <w:footnoteRef/>
      </w:r>
      <w:r w:rsidRPr="00BF78A3">
        <w:rPr>
          <w:rFonts w:cs="Times New Roman"/>
          <w:sz w:val="18"/>
          <w:szCs w:val="18"/>
        </w:rPr>
        <w:t>.</w:t>
      </w:r>
      <w:r>
        <w:rPr>
          <w:rFonts w:cs="Times New Roman"/>
          <w:sz w:val="18"/>
          <w:szCs w:val="18"/>
        </w:rPr>
        <w:t xml:space="preserve"> </w:t>
      </w:r>
      <w:r w:rsidRPr="00BF78A3">
        <w:rPr>
          <w:rFonts w:cs="B Zar"/>
          <w:sz w:val="18"/>
          <w:szCs w:val="18"/>
        </w:rPr>
        <w:t>A.D.Pushkar: T Indus Valley Civillzation, p.185</w:t>
      </w:r>
    </w:p>
  </w:footnote>
  <w:footnote w:id="116">
    <w:p w:rsidR="00C8559C" w:rsidRPr="006A4F74" w:rsidP="00BF78A3">
      <w:pPr>
        <w:pStyle w:val="FootnoteText"/>
        <w:ind w:left="227" w:right="0"/>
        <w:jc w:val="both"/>
        <w:rPr>
          <w:rFonts w:cs="B Zar" w:hint="cs"/>
          <w:rtl/>
        </w:rPr>
      </w:pPr>
      <w:r w:rsidRPr="006A4F74">
        <w:rPr>
          <w:rFonts w:cs="B Zar" w:hint="cs"/>
          <w:rtl/>
        </w:rPr>
        <w:t>«بايد در نظر داشت از نظر ما اعتقاد به روح در جامعه بشري زائيدة رويا نيست بلكه از تعاليم پيامبران و از فطرت اصيل آدمي ناشي شده است ولي ممكن است برخي اجتماعات بسيار ابتدائي كه از تعاليم پيامبران بيروني (نبي) و دروني (فطرت و غقل) بهره‌اي نداشتند از طريق حدس و گمان و حيراني ناشي از رويا به سوي انيميسم رفته‌اند.»</w:t>
      </w:r>
    </w:p>
    <w:p w:rsidR="00C8559C" w:rsidRPr="006A4F74" w:rsidP="009F1464">
      <w:pPr>
        <w:pStyle w:val="FootnoteText"/>
        <w:ind w:left="227" w:right="0" w:hanging="227"/>
        <w:jc w:val="both"/>
        <w:rPr>
          <w:rFonts w:cs="B Zar" w:hint="cs"/>
          <w:rtl/>
        </w:rPr>
      </w:pPr>
      <w:r w:rsidRPr="0077152A">
        <w:rPr>
          <w:rStyle w:val="FootnoteReference"/>
          <w:rFonts w:ascii="IPT.Zar" w:hAnsi="IPT.Zar" w:cs="B Zar"/>
          <w:sz w:val="24"/>
          <w:szCs w:val="24"/>
          <w:vertAlign w:val="baseline"/>
        </w:rPr>
        <w:footnoteRef/>
      </w:r>
      <w:r w:rsidRPr="006A4F74">
        <w:rPr>
          <w:rFonts w:cs="B Zar" w:hint="cs"/>
          <w:rtl/>
        </w:rPr>
        <w:t>.</w:t>
      </w:r>
      <w:r>
        <w:rPr>
          <w:rFonts w:cs="B Zar" w:hint="cs"/>
          <w:rtl/>
        </w:rPr>
        <w:t xml:space="preserve"> </w:t>
      </w:r>
      <w:r w:rsidRPr="006A4F74">
        <w:rPr>
          <w:rFonts w:cs="B Zar" w:hint="cs"/>
          <w:rtl/>
        </w:rPr>
        <w:t xml:space="preserve"> ادوارد تيلور </w:t>
      </w:r>
      <w:r w:rsidRPr="006A4F74">
        <w:rPr>
          <w:rFonts w:cs="B Zar"/>
        </w:rPr>
        <w:t>Edward Taylor</w:t>
      </w:r>
      <w:r w:rsidRPr="006A4F74">
        <w:rPr>
          <w:rFonts w:cs="B Zar" w:hint="cs"/>
          <w:rtl/>
        </w:rPr>
        <w:t xml:space="preserve"> نخستين بار اين كلمه را به كار برد، سپس فرويد نيز در تحليلهاي خود انيميسم را صورت ابتدائي آئين ديني دانسته است. دربارة انيميسم بيشتر رجوع شود به:</w:t>
      </w:r>
    </w:p>
    <w:p w:rsidR="00C8559C" w:rsidRPr="006A4F74" w:rsidP="009F1464">
      <w:pPr>
        <w:pStyle w:val="FootnoteText"/>
        <w:ind w:left="227" w:right="0" w:hanging="227"/>
        <w:jc w:val="both"/>
        <w:rPr>
          <w:rFonts w:ascii="IPT.Lotus" w:hAnsi="IPT.Lotus" w:cs="B Zar" w:hint="cs"/>
          <w:rtl/>
        </w:rPr>
      </w:pPr>
      <w:r w:rsidRPr="00BF78A3">
        <w:rPr>
          <w:rFonts w:cs="B Zar"/>
          <w:sz w:val="18"/>
          <w:szCs w:val="18"/>
        </w:rPr>
        <w:t>Max Weber: Religionssozilogie, Introd by T Parsonss</w:t>
      </w:r>
      <w:r>
        <w:rPr>
          <w:rFonts w:cs="B Zar"/>
          <w:sz w:val="18"/>
          <w:szCs w:val="18"/>
        </w:rPr>
        <w:t xml:space="preserve">     </w:t>
      </w:r>
      <w:r w:rsidRPr="006A4F74">
        <w:rPr>
          <w:rFonts w:ascii="IPT.Lotus" w:hAnsi="IPT.Lotus" w:cs="B Zar" w:hint="cs"/>
          <w:rtl/>
        </w:rPr>
        <w:t>و بهتر دوركهيم صور ابتدائي زندگي ديني، ص 17</w:t>
      </w:r>
    </w:p>
  </w:footnote>
  <w:footnote w:id="117">
    <w:p w:rsidR="00C8559C" w:rsidRPr="006A4F74" w:rsidP="0057678E">
      <w:pPr>
        <w:pStyle w:val="FootnoteText"/>
        <w:ind w:left="227" w:right="0" w:hanging="227"/>
        <w:jc w:val="both"/>
        <w:rPr>
          <w:rFonts w:cs="B Zar" w:hint="cs"/>
          <w:rtl/>
        </w:rPr>
      </w:pPr>
      <w:r w:rsidRPr="0077152A">
        <w:rPr>
          <w:rStyle w:val="FootnoteReference"/>
          <w:rFonts w:ascii="IPT.Zar" w:hAnsi="IPT.Zar" w:cs="B Zar"/>
          <w:sz w:val="24"/>
          <w:szCs w:val="24"/>
          <w:vertAlign w:val="baseline"/>
        </w:rPr>
        <w:footnoteRef/>
      </w:r>
      <w:r w:rsidRPr="006A4F74">
        <w:rPr>
          <w:rFonts w:cs="B Zar" w:hint="cs"/>
          <w:rtl/>
        </w:rPr>
        <w:t>.</w:t>
      </w:r>
      <w:r>
        <w:rPr>
          <w:rFonts w:cs="B Zar" w:hint="cs"/>
          <w:rtl/>
        </w:rPr>
        <w:t xml:space="preserve"> </w:t>
      </w:r>
      <w:r w:rsidRPr="006A4F74">
        <w:rPr>
          <w:rFonts w:cs="B Zar" w:hint="cs"/>
          <w:rtl/>
        </w:rPr>
        <w:t xml:space="preserve"> ماكس وبر: مأخذ پيشين، ص 82</w:t>
      </w:r>
    </w:p>
  </w:footnote>
  <w:footnote w:id="118">
    <w:p w:rsidR="00C8559C" w:rsidRPr="006A4F74" w:rsidP="00B135B6">
      <w:pPr>
        <w:pStyle w:val="FootnoteText"/>
        <w:ind w:left="0" w:right="0"/>
        <w:jc w:val="both"/>
        <w:rPr>
          <w:rFonts w:cs="B Zar" w:hint="cs"/>
          <w:rtl/>
        </w:rPr>
      </w:pPr>
      <w:r w:rsidRPr="0057678E">
        <w:rPr>
          <w:rFonts w:ascii="IPT.Zar" w:hAnsi="IPT.Zar" w:cs="B Zar"/>
          <w:sz w:val="24"/>
          <w:szCs w:val="24"/>
        </w:rPr>
        <w:sym w:font="IPT.Zar" w:char="F020"/>
      </w:r>
      <w:r w:rsidRPr="0057678E">
        <w:rPr>
          <w:rStyle w:val="FootnoteReference"/>
          <w:rFonts w:ascii="IPT.Zar" w:hAnsi="IPT.Zar" w:cs="B Zar"/>
          <w:sz w:val="24"/>
          <w:szCs w:val="24"/>
          <w:vertAlign w:val="baseline"/>
        </w:rPr>
        <w:footnoteRef/>
      </w:r>
      <w:r w:rsidRPr="006A4F74">
        <w:rPr>
          <w:rFonts w:cs="B Zar" w:hint="cs"/>
          <w:rtl/>
        </w:rPr>
        <w:t>دربارة شيوع جادو در جامعه دراويدي هند رجوع شود به :</w:t>
      </w:r>
    </w:p>
    <w:p w:rsidR="00C8559C" w:rsidRPr="00BF78A3" w:rsidP="004F2C94">
      <w:pPr>
        <w:pStyle w:val="FootnoteText"/>
        <w:bidi w:val="0"/>
        <w:rPr>
          <w:rFonts w:cs="B Zar"/>
          <w:sz w:val="18"/>
          <w:szCs w:val="18"/>
        </w:rPr>
      </w:pPr>
      <w:r w:rsidRPr="00BF78A3">
        <w:rPr>
          <w:rFonts w:cs="B Zar"/>
          <w:sz w:val="18"/>
          <w:szCs w:val="18"/>
        </w:rPr>
        <w:t xml:space="preserve">Pusulkar, A.D. The Indus Valley Civilization, </w:t>
      </w:r>
      <w:smartTag w:uri="urn:schemas-microsoft-com:office:smarttags" w:element="place">
        <w:smartTag w:uri="urn:schemas-microsoft-com:office:smarttags" w:element="City">
          <w:r w:rsidRPr="00BF78A3">
            <w:rPr>
              <w:rFonts w:cs="B Zar"/>
              <w:sz w:val="18"/>
              <w:szCs w:val="18"/>
            </w:rPr>
            <w:t>Calcutta</w:t>
          </w:r>
        </w:smartTag>
      </w:smartTag>
      <w:r w:rsidRPr="00BF78A3">
        <w:rPr>
          <w:rFonts w:cs="B Zar"/>
          <w:sz w:val="18"/>
          <w:szCs w:val="18"/>
        </w:rPr>
        <w:t>, 1957 p.193</w:t>
      </w:r>
    </w:p>
  </w:footnote>
  <w:footnote w:id="119">
    <w:p w:rsidR="00C8559C" w:rsidRPr="00BF78A3">
      <w:pPr>
        <w:pStyle w:val="FootnoteText"/>
        <w:bidi w:val="0"/>
        <w:rPr>
          <w:rFonts w:cs="B Zar"/>
          <w:sz w:val="18"/>
          <w:szCs w:val="18"/>
        </w:rPr>
      </w:pPr>
      <w:r w:rsidRPr="00BF78A3">
        <w:rPr>
          <w:rStyle w:val="FootnoteReference"/>
          <w:rFonts w:cs="Times New Roman"/>
          <w:sz w:val="18"/>
          <w:szCs w:val="18"/>
          <w:vertAlign w:val="baseline"/>
        </w:rPr>
        <w:footnoteRef/>
      </w:r>
      <w:r w:rsidRPr="00BF78A3">
        <w:rPr>
          <w:rFonts w:cs="Times New Roman"/>
          <w:sz w:val="18"/>
          <w:szCs w:val="18"/>
        </w:rPr>
        <w:t>.</w:t>
      </w:r>
      <w:r w:rsidRPr="00BF78A3">
        <w:rPr>
          <w:rFonts w:cs="B Zar"/>
          <w:sz w:val="18"/>
          <w:szCs w:val="18"/>
        </w:rPr>
        <w:t xml:space="preserve"> Pusalkar: op.cit, 184</w:t>
      </w:r>
    </w:p>
  </w:footnote>
  <w:footnote w:id="120">
    <w:p w:rsidR="00C8559C" w:rsidRPr="00C000AC" w:rsidP="00BF78A3">
      <w:pPr>
        <w:pStyle w:val="FootnoteText"/>
        <w:bidi w:val="0"/>
        <w:spacing w:line="240" w:lineRule="exact"/>
        <w:rPr>
          <w:sz w:val="18"/>
          <w:szCs w:val="18"/>
        </w:rPr>
      </w:pPr>
      <w:r w:rsidRPr="00C000AC">
        <w:rPr>
          <w:rStyle w:val="FootnoteReference"/>
          <w:sz w:val="18"/>
          <w:szCs w:val="18"/>
          <w:vertAlign w:val="baseline"/>
        </w:rPr>
        <w:footnoteRef/>
      </w:r>
      <w:r w:rsidRPr="00C000AC">
        <w:rPr>
          <w:sz w:val="18"/>
          <w:szCs w:val="18"/>
        </w:rPr>
        <w:t>.</w:t>
      </w:r>
      <w:r w:rsidRPr="00C000AC">
        <w:rPr>
          <w:rFonts w:cs="Times New Roman"/>
          <w:sz w:val="18"/>
          <w:szCs w:val="18"/>
          <w:rtl/>
        </w:rPr>
        <w:t xml:space="preserve"> </w:t>
      </w:r>
      <w:r w:rsidRPr="00C000AC">
        <w:rPr>
          <w:rFonts w:cs="Times New Roman"/>
          <w:sz w:val="18"/>
          <w:szCs w:val="18"/>
        </w:rPr>
        <w:t xml:space="preserve">Vercoutter, Jean: </w:t>
      </w:r>
      <w:smartTag w:uri="urn:schemas-microsoft-com:office:smarttags" w:element="country-region">
        <w:r w:rsidRPr="00C000AC">
          <w:rPr>
            <w:rFonts w:cs="Times New Roman"/>
            <w:sz w:val="18"/>
            <w:szCs w:val="18"/>
          </w:rPr>
          <w:t>Egypt</w:t>
        </w:r>
      </w:smartTag>
      <w:r w:rsidRPr="00C000AC">
        <w:rPr>
          <w:rFonts w:cs="Times New Roman"/>
          <w:sz w:val="18"/>
          <w:szCs w:val="18"/>
        </w:rPr>
        <w:t xml:space="preserve"> Under the Old Kingdom, </w:t>
      </w:r>
      <w:smartTag w:uri="urn:schemas-microsoft-com:office:smarttags" w:element="place">
        <w:smartTag w:uri="urn:schemas-microsoft-com:office:smarttags" w:element="City">
          <w:r w:rsidRPr="00C000AC">
            <w:rPr>
              <w:rFonts w:cs="Times New Roman"/>
              <w:sz w:val="18"/>
              <w:szCs w:val="18"/>
            </w:rPr>
            <w:t>Cambridge</w:t>
          </w:r>
        </w:smartTag>
      </w:smartTag>
      <w:r w:rsidRPr="00C000AC">
        <w:rPr>
          <w:rFonts w:cs="Times New Roman"/>
          <w:sz w:val="18"/>
          <w:szCs w:val="18"/>
        </w:rPr>
        <w:t>, 1972, pp.275</w:t>
      </w:r>
    </w:p>
  </w:footnote>
  <w:footnote w:id="121">
    <w:p w:rsidR="00C8559C" w:rsidRPr="006A4F74" w:rsidP="00BF78A3">
      <w:pPr>
        <w:pStyle w:val="FootnoteText"/>
        <w:bidi w:val="0"/>
        <w:spacing w:line="240" w:lineRule="exact"/>
        <w:rPr>
          <w:rFonts w:cs="B Zar"/>
          <w:rtl/>
        </w:rPr>
      </w:pPr>
      <w:r w:rsidRPr="00BF78A3">
        <w:rPr>
          <w:rStyle w:val="FootnoteReference"/>
          <w:rFonts w:cs="Times New Roman"/>
          <w:sz w:val="18"/>
          <w:szCs w:val="18"/>
          <w:vertAlign w:val="baseline"/>
        </w:rPr>
        <w:footnoteRef/>
      </w:r>
      <w:r w:rsidRPr="00BF78A3">
        <w:rPr>
          <w:rFonts w:cs="Times New Roman"/>
          <w:sz w:val="18"/>
          <w:szCs w:val="18"/>
          <w:rtl/>
        </w:rPr>
        <w:t xml:space="preserve">. </w:t>
      </w:r>
      <w:r>
        <w:rPr>
          <w:rFonts w:cs="Times New Roman"/>
          <w:sz w:val="18"/>
          <w:szCs w:val="18"/>
        </w:rPr>
        <w:t xml:space="preserve"> </w:t>
      </w:r>
      <w:r w:rsidRPr="00BF78A3">
        <w:rPr>
          <w:rFonts w:cs="Times New Roman"/>
          <w:sz w:val="18"/>
          <w:szCs w:val="18"/>
        </w:rPr>
        <w:t xml:space="preserve">Vercoutter, Jean: Archaic </w:t>
      </w:r>
      <w:smartTag w:uri="urn:schemas-microsoft-com:office:smarttags" w:element="country-region">
        <w:r w:rsidRPr="00BF78A3">
          <w:rPr>
            <w:rFonts w:cs="Times New Roman"/>
            <w:sz w:val="18"/>
            <w:szCs w:val="18"/>
          </w:rPr>
          <w:t>Egypt</w:t>
        </w:r>
      </w:smartTag>
      <w:r w:rsidRPr="00BF78A3">
        <w:rPr>
          <w:rFonts w:cs="Times New Roman"/>
          <w:sz w:val="18"/>
          <w:szCs w:val="18"/>
        </w:rPr>
        <w:t xml:space="preserve"> in the Early Civilizations, </w:t>
      </w:r>
      <w:smartTag w:uri="urn:schemas-microsoft-com:office:smarttags" w:element="place">
        <w:smartTag w:uri="urn:schemas-microsoft-com:office:smarttags" w:element="City">
          <w:r w:rsidRPr="00BF78A3">
            <w:rPr>
              <w:rFonts w:cs="Times New Roman"/>
              <w:sz w:val="18"/>
              <w:szCs w:val="18"/>
            </w:rPr>
            <w:t>Cambridge</w:t>
          </w:r>
        </w:smartTag>
      </w:smartTag>
      <w:r w:rsidRPr="00BF78A3">
        <w:rPr>
          <w:rFonts w:cs="Times New Roman"/>
          <w:sz w:val="18"/>
          <w:szCs w:val="18"/>
        </w:rPr>
        <w:t>, 1954. p313</w:t>
      </w:r>
    </w:p>
  </w:footnote>
  <w:footnote w:id="122">
    <w:p w:rsidR="00C8559C" w:rsidRPr="006A4F74" w:rsidP="0057678E">
      <w:pPr>
        <w:pStyle w:val="FootnoteText"/>
        <w:ind w:left="0" w:right="0"/>
        <w:jc w:val="both"/>
        <w:rPr>
          <w:rFonts w:ascii="IPT.Lotus" w:hAnsi="IPT.Lotus" w:cs="B Zar" w:hint="cs"/>
          <w:rtl/>
        </w:rPr>
      </w:pPr>
      <w:r w:rsidRPr="00C000AC">
        <w:rPr>
          <w:rStyle w:val="FootnoteReference"/>
          <w:rFonts w:ascii="IPT.Zar" w:hAnsi="IPT.Zar" w:cs="B Zar"/>
          <w:sz w:val="24"/>
          <w:szCs w:val="24"/>
          <w:vertAlign w:val="baseline"/>
        </w:rPr>
        <w:footnoteRef/>
      </w:r>
      <w:r w:rsidRPr="006A4F74">
        <w:rPr>
          <w:rFonts w:ascii="IPT.Lotus" w:hAnsi="IPT.Lotus" w:cs="B Zar" w:hint="cs"/>
          <w:rtl/>
        </w:rPr>
        <w:t>.</w:t>
      </w:r>
      <w:r>
        <w:rPr>
          <w:rFonts w:ascii="IPT.Lotus" w:hAnsi="IPT.Lotus" w:cs="B Zar" w:hint="cs"/>
          <w:rtl/>
        </w:rPr>
        <w:t xml:space="preserve"> </w:t>
      </w:r>
      <w:r w:rsidRPr="006A4F74">
        <w:rPr>
          <w:rFonts w:ascii="IPT.Lotus" w:hAnsi="IPT.Lotus" w:cs="B Zar" w:hint="cs"/>
          <w:rtl/>
        </w:rPr>
        <w:t xml:space="preserve"> رجوع شود به: ريگ ودا 10 : 476 </w:t>
      </w:r>
    </w:p>
  </w:footnote>
  <w:footnote w:id="123">
    <w:p w:rsidR="00C8559C" w:rsidRPr="006A4F74" w:rsidP="0057678E">
      <w:pPr>
        <w:pStyle w:val="FootnoteText"/>
        <w:ind w:left="227" w:right="0" w:hanging="227"/>
        <w:jc w:val="both"/>
        <w:rPr>
          <w:rFonts w:cs="B Zar" w:hint="cs"/>
          <w:rtl/>
        </w:rPr>
      </w:pPr>
      <w:r w:rsidRPr="0057678E">
        <w:rPr>
          <w:rStyle w:val="FootnoteReference"/>
          <w:rFonts w:ascii="IPT.Zar" w:hAnsi="IPT.Zar" w:cs="B Zar"/>
          <w:sz w:val="24"/>
          <w:szCs w:val="24"/>
          <w:vertAlign w:val="baseline"/>
        </w:rPr>
        <w:footnoteRef/>
      </w:r>
      <w:r w:rsidRPr="006A4F74">
        <w:rPr>
          <w:rFonts w:cs="B Zar" w:hint="cs"/>
          <w:rtl/>
        </w:rPr>
        <w:t>.</w:t>
      </w:r>
      <w:r>
        <w:rPr>
          <w:rFonts w:cs="B Zar" w:hint="cs"/>
          <w:rtl/>
        </w:rPr>
        <w:t xml:space="preserve"> </w:t>
      </w:r>
      <w:r w:rsidRPr="006A4F74">
        <w:rPr>
          <w:rFonts w:cs="B Zar" w:hint="cs"/>
          <w:rtl/>
        </w:rPr>
        <w:t xml:space="preserve"> 3 و 4 رجوع شود به: قرآن كريم</w:t>
      </w:r>
    </w:p>
  </w:footnote>
  <w:footnote w:id="124">
    <w:p w:rsidR="00C8559C" w:rsidRPr="006A4F74" w:rsidP="0057678E">
      <w:pPr>
        <w:pStyle w:val="FootnoteText"/>
        <w:ind w:left="227" w:right="0" w:hanging="227"/>
        <w:jc w:val="both"/>
        <w:rPr>
          <w:rFonts w:cs="B Zar" w:hint="cs"/>
          <w:rtl/>
        </w:rPr>
      </w:pPr>
      <w:r w:rsidRPr="0057678E">
        <w:rPr>
          <w:rStyle w:val="FootnoteReference"/>
          <w:rFonts w:ascii="IPT.Zar" w:hAnsi="IPT.Zar" w:cs="B Zar"/>
          <w:sz w:val="24"/>
          <w:szCs w:val="24"/>
          <w:vertAlign w:val="baseline"/>
        </w:rPr>
        <w:footnoteRef/>
      </w:r>
      <w:r w:rsidRPr="0057678E">
        <w:rPr>
          <w:rFonts w:ascii="IPT.Zar" w:hAnsi="IPT.Zar" w:cs="B Zar"/>
          <w:sz w:val="24"/>
          <w:szCs w:val="24"/>
          <w:rtl/>
        </w:rPr>
        <w:t xml:space="preserve">. </w:t>
      </w:r>
      <w:r w:rsidRPr="006A4F74">
        <w:rPr>
          <w:rFonts w:cs="B Zar" w:hint="cs"/>
          <w:rtl/>
        </w:rPr>
        <w:t xml:space="preserve"> رجوع شود به مآخذ زير:</w:t>
      </w:r>
    </w:p>
    <w:p w:rsidR="00C8559C" w:rsidRPr="00BF78A3" w:rsidP="0011420A">
      <w:pPr>
        <w:pStyle w:val="FootnoteText"/>
        <w:bidi w:val="0"/>
        <w:rPr>
          <w:rFonts w:cs="B Zar"/>
          <w:sz w:val="18"/>
          <w:szCs w:val="18"/>
        </w:rPr>
      </w:pPr>
      <w:r w:rsidRPr="00BF78A3">
        <w:rPr>
          <w:rFonts w:cs="B Zar"/>
          <w:sz w:val="18"/>
          <w:szCs w:val="18"/>
        </w:rPr>
        <w:t>Max Weber: Religions Socziologie, p.52</w:t>
      </w:r>
    </w:p>
    <w:p w:rsidR="00C8559C" w:rsidRPr="00BF78A3" w:rsidP="00BF78A3">
      <w:pPr>
        <w:pStyle w:val="FootnoteText"/>
        <w:bidi w:val="0"/>
        <w:spacing w:line="240" w:lineRule="exact"/>
        <w:rPr>
          <w:rFonts w:cs="B Zar"/>
          <w:sz w:val="18"/>
          <w:szCs w:val="18"/>
        </w:rPr>
      </w:pPr>
      <w:r w:rsidRPr="00BF78A3">
        <w:rPr>
          <w:rFonts w:cs="B Zar"/>
          <w:sz w:val="18"/>
          <w:szCs w:val="18"/>
        </w:rPr>
        <w:t>Pusalkar, Op.cit: The Religion of Dravidians, p. 190-91</w:t>
      </w:r>
    </w:p>
  </w:footnote>
  <w:footnote w:id="125">
    <w:p w:rsidR="00C8559C" w:rsidRPr="00BF78A3" w:rsidP="00BF78A3">
      <w:pPr>
        <w:pStyle w:val="FootnoteText"/>
        <w:bidi w:val="0"/>
        <w:spacing w:line="240" w:lineRule="exact"/>
        <w:rPr>
          <w:sz w:val="18"/>
          <w:szCs w:val="18"/>
        </w:rPr>
      </w:pPr>
      <w:r w:rsidRPr="00BF78A3">
        <w:rPr>
          <w:rStyle w:val="FootnoteReference"/>
          <w:sz w:val="18"/>
          <w:szCs w:val="18"/>
          <w:vertAlign w:val="baseline"/>
        </w:rPr>
        <w:footnoteRef/>
      </w:r>
      <w:r w:rsidRPr="00BF78A3">
        <w:rPr>
          <w:sz w:val="18"/>
          <w:szCs w:val="18"/>
        </w:rPr>
        <w:t>.</w:t>
      </w:r>
      <w:r w:rsidRPr="00BF78A3">
        <w:rPr>
          <w:sz w:val="18"/>
          <w:szCs w:val="18"/>
          <w:rtl/>
        </w:rPr>
        <w:t xml:space="preserve"> </w:t>
      </w:r>
      <w:r w:rsidRPr="00BF78A3">
        <w:rPr>
          <w:rFonts w:cs="B Zar"/>
          <w:sz w:val="18"/>
          <w:szCs w:val="18"/>
        </w:rPr>
        <w:t>Diyavush Pita</w:t>
      </w:r>
    </w:p>
  </w:footnote>
  <w:footnote w:id="126">
    <w:p w:rsidR="00C8559C" w:rsidRPr="00BF78A3" w:rsidP="00BF78A3">
      <w:pPr>
        <w:pStyle w:val="FootnoteText"/>
        <w:bidi w:val="0"/>
        <w:spacing w:line="240" w:lineRule="exact"/>
        <w:rPr>
          <w:rFonts w:hint="cs"/>
          <w:sz w:val="18"/>
          <w:szCs w:val="18"/>
        </w:rPr>
      </w:pPr>
      <w:r w:rsidRPr="00BF78A3">
        <w:rPr>
          <w:rStyle w:val="FootnoteReference"/>
          <w:sz w:val="18"/>
          <w:szCs w:val="18"/>
          <w:vertAlign w:val="baseline"/>
        </w:rPr>
        <w:footnoteRef/>
      </w:r>
      <w:r w:rsidRPr="00BF78A3">
        <w:rPr>
          <w:sz w:val="18"/>
          <w:szCs w:val="18"/>
        </w:rPr>
        <w:t xml:space="preserve">. </w:t>
      </w:r>
      <w:r w:rsidRPr="00BF78A3">
        <w:rPr>
          <w:rFonts w:cs="B Zar"/>
          <w:sz w:val="18"/>
          <w:szCs w:val="18"/>
        </w:rPr>
        <w:t xml:space="preserve"> Pirthavi</w:t>
      </w:r>
    </w:p>
  </w:footnote>
  <w:footnote w:id="127">
    <w:p w:rsidR="00C8559C" w:rsidRPr="00BF78A3" w:rsidP="00BF78A3">
      <w:pPr>
        <w:pStyle w:val="FootnoteText"/>
        <w:bidi w:val="0"/>
        <w:spacing w:line="240" w:lineRule="exact"/>
      </w:pPr>
      <w:r w:rsidRPr="00BF78A3">
        <w:rPr>
          <w:rStyle w:val="FootnoteReference"/>
          <w:sz w:val="18"/>
          <w:szCs w:val="18"/>
          <w:vertAlign w:val="baseline"/>
        </w:rPr>
        <w:footnoteRef/>
      </w:r>
      <w:r w:rsidRPr="00BF78A3">
        <w:rPr>
          <w:sz w:val="18"/>
          <w:szCs w:val="18"/>
        </w:rPr>
        <w:t>.</w:t>
      </w:r>
      <w:r w:rsidRPr="00BF78A3">
        <w:rPr>
          <w:sz w:val="18"/>
          <w:szCs w:val="18"/>
          <w:rtl/>
        </w:rPr>
        <w:t xml:space="preserve"> </w:t>
      </w:r>
      <w:r w:rsidRPr="00BF78A3">
        <w:rPr>
          <w:rFonts w:cs="B Zar"/>
          <w:sz w:val="18"/>
          <w:szCs w:val="18"/>
        </w:rPr>
        <w:t>Varuna</w:t>
      </w:r>
    </w:p>
  </w:footnote>
  <w:footnote w:id="128">
    <w:p w:rsidR="00C8559C" w:rsidRPr="00BE2C8F" w:rsidP="00BE2C8F">
      <w:pPr>
        <w:pStyle w:val="FootnoteText"/>
        <w:bidi w:val="0"/>
        <w:spacing w:line="240" w:lineRule="auto"/>
        <w:rPr>
          <w:sz w:val="18"/>
          <w:szCs w:val="18"/>
        </w:rPr>
      </w:pPr>
      <w:r w:rsidRPr="00BE2C8F">
        <w:rPr>
          <w:rStyle w:val="FootnoteReference"/>
          <w:sz w:val="18"/>
          <w:szCs w:val="18"/>
          <w:vertAlign w:val="baseline"/>
        </w:rPr>
        <w:footnoteRef/>
      </w:r>
      <w:r w:rsidRPr="00BE2C8F">
        <w:rPr>
          <w:sz w:val="18"/>
          <w:szCs w:val="18"/>
        </w:rPr>
        <w:t xml:space="preserve">. </w:t>
      </w:r>
      <w:r w:rsidRPr="00BE2C8F">
        <w:rPr>
          <w:sz w:val="18"/>
          <w:szCs w:val="18"/>
          <w:rtl/>
        </w:rPr>
        <w:t xml:space="preserve"> </w:t>
      </w:r>
      <w:r w:rsidRPr="00BE2C8F">
        <w:rPr>
          <w:rFonts w:cs="B Zar"/>
          <w:sz w:val="18"/>
          <w:szCs w:val="18"/>
        </w:rPr>
        <w:t>Agni</w:t>
      </w:r>
    </w:p>
  </w:footnote>
  <w:footnote w:id="129">
    <w:p w:rsidR="00C8559C" w:rsidRPr="00750F53" w:rsidP="00BF6E4D">
      <w:pPr>
        <w:pStyle w:val="FootnoteText"/>
        <w:bidi w:val="0"/>
        <w:spacing w:line="240" w:lineRule="exact"/>
        <w:ind w:left="227" w:hanging="227"/>
        <w:rPr>
          <w:sz w:val="18"/>
          <w:szCs w:val="18"/>
        </w:rPr>
      </w:pPr>
      <w:r w:rsidRPr="00750F53">
        <w:rPr>
          <w:rStyle w:val="FootnoteReference"/>
          <w:sz w:val="18"/>
          <w:szCs w:val="18"/>
          <w:vertAlign w:val="baseline"/>
        </w:rPr>
        <w:footnoteRef/>
      </w:r>
      <w:r w:rsidRPr="00750F53">
        <w:rPr>
          <w:sz w:val="18"/>
          <w:szCs w:val="18"/>
        </w:rPr>
        <w:t>.</w:t>
      </w:r>
      <w:r w:rsidRPr="00750F53">
        <w:rPr>
          <w:rFonts w:cs="B Zar"/>
          <w:sz w:val="18"/>
          <w:szCs w:val="18"/>
        </w:rPr>
        <w:t xml:space="preserve"> Heras, H: Religion of the Mohenjdaro People, </w:t>
      </w:r>
      <w:smartTag w:uri="urn:schemas-microsoft-com:office:smarttags" w:element="City">
        <w:r w:rsidRPr="00750F53">
          <w:rPr>
            <w:rFonts w:cs="B Zar"/>
            <w:sz w:val="18"/>
            <w:szCs w:val="18"/>
          </w:rPr>
          <w:t>Bombay</w:t>
        </w:r>
      </w:smartTag>
      <w:r w:rsidRPr="00750F53">
        <w:rPr>
          <w:rFonts w:cs="B Zar"/>
          <w:sz w:val="18"/>
          <w:szCs w:val="18"/>
        </w:rPr>
        <w:t xml:space="preserve">, 1994, Anthropological Society, </w:t>
      </w:r>
      <w:smartTag w:uri="urn:schemas-microsoft-com:office:smarttags" w:element="place">
        <w:smartTag w:uri="urn:schemas-microsoft-com:office:smarttags" w:element="City">
          <w:r w:rsidRPr="00750F53">
            <w:rPr>
              <w:rFonts w:cs="B Zar"/>
              <w:sz w:val="18"/>
              <w:szCs w:val="18"/>
            </w:rPr>
            <w:t>Bombay</w:t>
          </w:r>
        </w:smartTag>
      </w:smartTag>
      <w:r w:rsidRPr="00750F53">
        <w:rPr>
          <w:rFonts w:cs="B Zar"/>
          <w:sz w:val="18"/>
          <w:szCs w:val="18"/>
        </w:rPr>
        <w:t>, JVB, Vol.p.34</w:t>
      </w:r>
    </w:p>
  </w:footnote>
  <w:footnote w:id="130">
    <w:p w:rsidR="00C8559C" w:rsidRPr="00750F53" w:rsidP="00BE2C8F">
      <w:pPr>
        <w:pStyle w:val="FootnoteText"/>
        <w:bidi w:val="0"/>
        <w:spacing w:line="240" w:lineRule="auto"/>
        <w:ind w:left="227" w:hanging="227"/>
        <w:rPr>
          <w:rFonts w:cs="Times New Roman"/>
          <w:sz w:val="18"/>
          <w:szCs w:val="18"/>
        </w:rPr>
      </w:pPr>
      <w:r w:rsidRPr="00750F53">
        <w:rPr>
          <w:rStyle w:val="FootnoteReference"/>
          <w:rFonts w:cs="Times New Roman"/>
          <w:sz w:val="18"/>
          <w:szCs w:val="18"/>
          <w:vertAlign w:val="baseline"/>
        </w:rPr>
        <w:footnoteRef/>
      </w:r>
      <w:r>
        <w:rPr>
          <w:rFonts w:cs="Times New Roman"/>
          <w:sz w:val="18"/>
          <w:szCs w:val="18"/>
          <w:lang w:bidi="fa-IR"/>
        </w:rPr>
        <w:t>.</w:t>
      </w:r>
      <w:r>
        <w:rPr>
          <w:rFonts w:cs="Times New Roman" w:hint="cs"/>
          <w:sz w:val="18"/>
          <w:szCs w:val="18"/>
          <w:rtl/>
        </w:rPr>
        <w:t xml:space="preserve"> </w:t>
      </w:r>
      <w:r w:rsidRPr="00750F53">
        <w:rPr>
          <w:rFonts w:cs="Times New Roman"/>
          <w:sz w:val="18"/>
          <w:szCs w:val="18"/>
          <w:rtl/>
        </w:rPr>
        <w:t xml:space="preserve"> </w:t>
      </w:r>
      <w:r w:rsidRPr="00750F53">
        <w:rPr>
          <w:rFonts w:cs="Times New Roman"/>
          <w:sz w:val="18"/>
          <w:szCs w:val="18"/>
        </w:rPr>
        <w:t>Chatterji: Op. cit, p.194</w:t>
      </w:r>
    </w:p>
  </w:footnote>
  <w:footnote w:id="131">
    <w:p w:rsidR="00C8559C" w:rsidRPr="005B1E80" w:rsidP="00BE2C8F">
      <w:pPr>
        <w:pStyle w:val="FootnoteText"/>
        <w:bidi w:val="0"/>
        <w:spacing w:line="240" w:lineRule="auto"/>
        <w:ind w:left="227" w:hanging="227"/>
        <w:rPr>
          <w:sz w:val="18"/>
          <w:szCs w:val="18"/>
        </w:rPr>
      </w:pPr>
      <w:r w:rsidRPr="005B1E80">
        <w:rPr>
          <w:rStyle w:val="FootnoteReference"/>
          <w:sz w:val="18"/>
          <w:szCs w:val="18"/>
          <w:vertAlign w:val="baseline"/>
        </w:rPr>
        <w:footnoteRef/>
      </w:r>
      <w:r w:rsidRPr="005B1E80">
        <w:rPr>
          <w:sz w:val="18"/>
          <w:szCs w:val="18"/>
        </w:rPr>
        <w:t xml:space="preserve">. </w:t>
      </w:r>
      <w:r w:rsidRPr="005B1E80">
        <w:rPr>
          <w:rFonts w:cs="Times New Roman"/>
          <w:sz w:val="18"/>
          <w:szCs w:val="18"/>
        </w:rPr>
        <w:t xml:space="preserve"> Shastri,</w:t>
      </w:r>
      <w:r w:rsidRPr="005B1E80">
        <w:rPr>
          <w:rFonts w:cs="Times New Roman"/>
          <w:sz w:val="18"/>
          <w:szCs w:val="18"/>
          <w:rtl/>
        </w:rPr>
        <w:t xml:space="preserve"> </w:t>
      </w:r>
      <w:r w:rsidRPr="005B1E80">
        <w:rPr>
          <w:rFonts w:cs="Times New Roman"/>
          <w:sz w:val="18"/>
          <w:szCs w:val="18"/>
        </w:rPr>
        <w:t xml:space="preserve">S.: Proto-Indic Religion, </w:t>
      </w:r>
      <w:smartTag w:uri="urn:schemas-microsoft-com:office:smarttags" w:element="place">
        <w:smartTag w:uri="urn:schemas-microsoft-com:office:smarttags" w:element="City">
          <w:r w:rsidRPr="005B1E80">
            <w:rPr>
              <w:rFonts w:cs="Times New Roman"/>
              <w:sz w:val="18"/>
              <w:szCs w:val="18"/>
            </w:rPr>
            <w:t>Bangalore</w:t>
          </w:r>
        </w:smartTag>
      </w:smartTag>
      <w:r w:rsidRPr="005B1E80">
        <w:rPr>
          <w:rFonts w:cs="Times New Roman"/>
          <w:sz w:val="18"/>
          <w:szCs w:val="18"/>
        </w:rPr>
        <w:t>, 1942, p.109</w:t>
      </w:r>
    </w:p>
  </w:footnote>
  <w:footnote w:id="132">
    <w:p w:rsidR="00C8559C" w:rsidRPr="0082477E" w:rsidP="0082477E">
      <w:pPr>
        <w:pStyle w:val="FootnoteText"/>
        <w:bidi w:val="0"/>
        <w:rPr>
          <w:sz w:val="18"/>
          <w:szCs w:val="18"/>
        </w:rPr>
      </w:pPr>
      <w:r w:rsidRPr="0082477E">
        <w:rPr>
          <w:rStyle w:val="FootnoteReference"/>
          <w:sz w:val="18"/>
          <w:szCs w:val="18"/>
          <w:vertAlign w:val="baseline"/>
        </w:rPr>
        <w:footnoteRef/>
      </w:r>
      <w:r w:rsidRPr="0082477E">
        <w:rPr>
          <w:sz w:val="18"/>
          <w:szCs w:val="18"/>
        </w:rPr>
        <w:t xml:space="preserve">. </w:t>
      </w:r>
      <w:r w:rsidRPr="0082477E">
        <w:rPr>
          <w:sz w:val="18"/>
          <w:szCs w:val="18"/>
          <w:rtl/>
        </w:rPr>
        <w:t xml:space="preserve"> </w:t>
      </w:r>
      <w:r w:rsidRPr="0082477E">
        <w:rPr>
          <w:rFonts w:cs="Times New Roman"/>
          <w:sz w:val="18"/>
          <w:szCs w:val="18"/>
        </w:rPr>
        <w:t>Shastri,</w:t>
      </w:r>
      <w:r w:rsidRPr="0082477E">
        <w:rPr>
          <w:rFonts w:cs="Times New Roman"/>
          <w:sz w:val="18"/>
          <w:szCs w:val="18"/>
          <w:rtl/>
        </w:rPr>
        <w:t xml:space="preserve"> </w:t>
      </w:r>
      <w:r w:rsidRPr="0082477E">
        <w:rPr>
          <w:rFonts w:cs="Times New Roman"/>
          <w:sz w:val="18"/>
          <w:szCs w:val="18"/>
        </w:rPr>
        <w:t>op. cit. 115</w:t>
      </w:r>
    </w:p>
  </w:footnote>
  <w:footnote w:id="133">
    <w:p w:rsidR="00C8559C" w:rsidRPr="006A4F74" w:rsidP="0057678E">
      <w:pPr>
        <w:pStyle w:val="FootnoteText"/>
        <w:ind w:left="0" w:right="0"/>
        <w:jc w:val="both"/>
        <w:rPr>
          <w:rFonts w:cs="B Zar" w:hint="cs"/>
          <w:rtl/>
        </w:rPr>
      </w:pPr>
      <w:r w:rsidRPr="005B1E80">
        <w:rPr>
          <w:rStyle w:val="FootnoteReference"/>
          <w:rFonts w:ascii="IPT.Zar" w:hAnsi="IPT.Zar" w:cs="B Zar"/>
          <w:sz w:val="24"/>
          <w:szCs w:val="24"/>
          <w:vertAlign w:val="baseline"/>
        </w:rPr>
        <w:footnoteRef/>
      </w:r>
      <w:r>
        <w:rPr>
          <w:rFonts w:cs="B Zar" w:hint="cs"/>
          <w:rtl/>
        </w:rPr>
        <w:t xml:space="preserve">  </w:t>
      </w:r>
      <w:r w:rsidRPr="006A4F74">
        <w:rPr>
          <w:rFonts w:cs="B Zar" w:hint="cs"/>
          <w:rtl/>
        </w:rPr>
        <w:t>گيتا : 9 / 26</w:t>
      </w:r>
    </w:p>
  </w:footnote>
  <w:footnote w:id="134">
    <w:p w:rsidR="00C8559C" w:rsidRPr="0082477E" w:rsidP="0082477E">
      <w:pPr>
        <w:pStyle w:val="FootnoteText"/>
        <w:bidi w:val="0"/>
        <w:rPr>
          <w:sz w:val="18"/>
          <w:szCs w:val="18"/>
        </w:rPr>
      </w:pPr>
      <w:r w:rsidRPr="0082477E">
        <w:rPr>
          <w:rStyle w:val="FootnoteReference"/>
          <w:sz w:val="18"/>
          <w:szCs w:val="18"/>
          <w:vertAlign w:val="baseline"/>
        </w:rPr>
        <w:footnoteRef/>
      </w:r>
      <w:r w:rsidRPr="0082477E">
        <w:rPr>
          <w:sz w:val="18"/>
          <w:szCs w:val="18"/>
        </w:rPr>
        <w:t xml:space="preserve">. </w:t>
      </w:r>
      <w:r>
        <w:rPr>
          <w:rFonts w:cs="B Zar" w:hint="cs"/>
          <w:sz w:val="18"/>
          <w:szCs w:val="18"/>
          <w:rtl/>
        </w:rPr>
        <w:t xml:space="preserve"> </w:t>
      </w:r>
      <w:r w:rsidRPr="0082477E">
        <w:rPr>
          <w:rFonts w:cs="B Zar"/>
          <w:sz w:val="18"/>
          <w:szCs w:val="18"/>
        </w:rPr>
        <w:t>Chatterji: Op.cit., p.203</w:t>
      </w:r>
    </w:p>
  </w:footnote>
  <w:footnote w:id="135">
    <w:p w:rsidR="00C8559C" w:rsidRPr="006A4F74" w:rsidP="0057678E">
      <w:pPr>
        <w:pStyle w:val="FootnoteText"/>
        <w:ind w:left="227" w:right="0" w:hanging="227"/>
        <w:jc w:val="both"/>
        <w:rPr>
          <w:rFonts w:ascii="IPT.Lotus" w:hAnsi="IPT.Lotus" w:cs="B Zar" w:hint="cs"/>
          <w:rtl/>
        </w:rPr>
      </w:pPr>
      <w:r w:rsidRPr="005B1E80">
        <w:rPr>
          <w:rStyle w:val="FootnoteReference"/>
          <w:rFonts w:ascii="IPT.Zar" w:hAnsi="IPT.Zar" w:cs="B Zar"/>
          <w:sz w:val="24"/>
          <w:szCs w:val="24"/>
          <w:vertAlign w:val="baseline"/>
        </w:rPr>
        <w:footnoteRef/>
      </w:r>
      <w:r>
        <w:rPr>
          <w:rFonts w:ascii="IPT.Lotus" w:hAnsi="IPT.Lotus" w:cs="B Zar" w:hint="cs"/>
          <w:sz w:val="24"/>
          <w:szCs w:val="24"/>
          <w:rtl/>
        </w:rPr>
        <w:t xml:space="preserve"> </w:t>
      </w:r>
      <w:r w:rsidRPr="006A4F74">
        <w:rPr>
          <w:rFonts w:ascii="IPT.Lotus" w:hAnsi="IPT.Lotus" w:cs="B Zar" w:hint="cs"/>
          <w:sz w:val="24"/>
          <w:szCs w:val="24"/>
          <w:rtl/>
        </w:rPr>
        <w:t xml:space="preserve"> </w:t>
      </w:r>
      <w:r w:rsidRPr="006A4F74">
        <w:rPr>
          <w:rFonts w:cs="B Zar" w:hint="cs"/>
          <w:rtl/>
        </w:rPr>
        <w:t>در آئين شنتو «شاه پرستي» چارچوب كلي را تشكيل مي‌دهد، ولي يك فرد در عين اينكه وابسته</w:t>
      </w:r>
      <w:r w:rsidRPr="006A4F74">
        <w:rPr>
          <w:rFonts w:ascii="IPT.Lotus" w:hAnsi="IPT.Lotus" w:cs="B Zar" w:hint="cs"/>
          <w:rtl/>
        </w:rPr>
        <w:t xml:space="preserve"> به دين شنتو است، مي تواند بودائي، مسيحي، يا هندو باشد.</w:t>
      </w:r>
    </w:p>
  </w:footnote>
  <w:footnote w:id="136">
    <w:p w:rsidR="00C8559C" w:rsidRPr="002F31AA" w:rsidP="002F31AA">
      <w:pPr>
        <w:pStyle w:val="FootnoteText"/>
        <w:bidi w:val="0"/>
        <w:spacing w:line="240" w:lineRule="exact"/>
        <w:rPr>
          <w:sz w:val="18"/>
          <w:szCs w:val="18"/>
        </w:rPr>
      </w:pPr>
      <w:r w:rsidRPr="002F31AA">
        <w:rPr>
          <w:rStyle w:val="FootnoteReference"/>
          <w:sz w:val="18"/>
          <w:szCs w:val="18"/>
          <w:vertAlign w:val="baseline"/>
        </w:rPr>
        <w:footnoteRef/>
      </w:r>
      <w:r w:rsidRPr="002F31AA">
        <w:rPr>
          <w:sz w:val="18"/>
          <w:szCs w:val="18"/>
        </w:rPr>
        <w:t xml:space="preserve">. </w:t>
      </w:r>
      <w:r w:rsidRPr="002F31AA">
        <w:rPr>
          <w:rFonts w:cs="Times New Roman"/>
          <w:sz w:val="18"/>
          <w:szCs w:val="18"/>
          <w:rtl/>
        </w:rPr>
        <w:t xml:space="preserve"> </w:t>
      </w:r>
      <w:r w:rsidRPr="002F31AA">
        <w:rPr>
          <w:rFonts w:cs="Times New Roman"/>
          <w:sz w:val="18"/>
          <w:szCs w:val="18"/>
        </w:rPr>
        <w:t xml:space="preserve">Childe, V.G.: The Aryans, </w:t>
      </w:r>
      <w:smartTag w:uri="urn:schemas-microsoft-com:office:smarttags" w:element="place">
        <w:smartTag w:uri="urn:schemas-microsoft-com:office:smarttags" w:element="State">
          <w:r w:rsidRPr="002F31AA">
            <w:rPr>
              <w:rFonts w:cs="Times New Roman"/>
              <w:sz w:val="18"/>
              <w:szCs w:val="18"/>
            </w:rPr>
            <w:t>New York</w:t>
          </w:r>
        </w:smartTag>
      </w:smartTag>
      <w:r w:rsidRPr="002F31AA">
        <w:rPr>
          <w:rFonts w:cs="Times New Roman"/>
          <w:sz w:val="18"/>
          <w:szCs w:val="18"/>
        </w:rPr>
        <w:t>, 1926, P.166ff.</w:t>
      </w:r>
    </w:p>
  </w:footnote>
  <w:footnote w:id="137">
    <w:p w:rsidR="00C8559C" w:rsidRPr="002F31AA" w:rsidP="002F31AA">
      <w:pPr>
        <w:pStyle w:val="FootnoteText"/>
        <w:bidi w:val="0"/>
        <w:spacing w:line="240" w:lineRule="exact"/>
        <w:rPr>
          <w:sz w:val="18"/>
          <w:szCs w:val="18"/>
        </w:rPr>
      </w:pPr>
      <w:r w:rsidRPr="002F31AA">
        <w:rPr>
          <w:rStyle w:val="FootnoteReference"/>
          <w:sz w:val="18"/>
          <w:szCs w:val="18"/>
          <w:vertAlign w:val="baseline"/>
        </w:rPr>
        <w:footnoteRef/>
      </w:r>
      <w:r w:rsidRPr="002F31AA">
        <w:rPr>
          <w:sz w:val="18"/>
          <w:szCs w:val="18"/>
        </w:rPr>
        <w:t xml:space="preserve">. </w:t>
      </w:r>
      <w:r w:rsidRPr="002F31AA">
        <w:rPr>
          <w:rFonts w:cs="Times New Roman"/>
          <w:sz w:val="18"/>
          <w:szCs w:val="18"/>
          <w:rtl/>
        </w:rPr>
        <w:t xml:space="preserve"> </w:t>
      </w:r>
      <w:r w:rsidRPr="002F31AA">
        <w:rPr>
          <w:rFonts w:cs="B Zar"/>
          <w:sz w:val="18"/>
          <w:szCs w:val="18"/>
        </w:rPr>
        <w:t xml:space="preserve">Ghosh, B.K.: The Aryan Problem, </w:t>
      </w:r>
      <w:smartTag w:uri="urn:schemas-microsoft-com:office:smarttags" w:element="place">
        <w:smartTag w:uri="urn:schemas-microsoft-com:office:smarttags" w:element="City">
          <w:r w:rsidRPr="002F31AA">
            <w:rPr>
              <w:rFonts w:cs="B Zar"/>
              <w:sz w:val="18"/>
              <w:szCs w:val="18"/>
            </w:rPr>
            <w:t>Bombay</w:t>
          </w:r>
        </w:smartTag>
      </w:smartTag>
      <w:r w:rsidRPr="002F31AA">
        <w:rPr>
          <w:rFonts w:cs="B Zar"/>
          <w:sz w:val="18"/>
          <w:szCs w:val="18"/>
        </w:rPr>
        <w:t>, 1962 p.206</w:t>
      </w:r>
    </w:p>
  </w:footnote>
  <w:footnote w:id="138">
    <w:p w:rsidR="00C8559C" w:rsidRPr="006A4F74" w:rsidP="0057678E">
      <w:pPr>
        <w:pStyle w:val="FootnoteText"/>
        <w:ind w:left="227" w:right="0" w:hanging="227"/>
        <w:jc w:val="both"/>
        <w:rPr>
          <w:rFonts w:cs="B Zar" w:hint="cs"/>
          <w:rtl/>
        </w:rPr>
      </w:pPr>
      <w:r w:rsidRPr="005B1E80">
        <w:rPr>
          <w:rStyle w:val="FootnoteReference"/>
          <w:rFonts w:ascii="IPT.Zar" w:hAnsi="IPT.Zar" w:cs="B Zar"/>
          <w:sz w:val="24"/>
          <w:szCs w:val="24"/>
          <w:vertAlign w:val="baseline"/>
        </w:rPr>
        <w:footnoteRef/>
      </w:r>
      <w:r w:rsidRPr="006A4F74">
        <w:rPr>
          <w:rFonts w:cs="B Zar" w:hint="cs"/>
          <w:rtl/>
        </w:rPr>
        <w:t>.</w:t>
      </w:r>
      <w:r>
        <w:rPr>
          <w:rFonts w:cs="B Zar" w:hint="cs"/>
          <w:rtl/>
        </w:rPr>
        <w:t xml:space="preserve"> </w:t>
      </w:r>
      <w:r w:rsidRPr="006A4F74">
        <w:rPr>
          <w:rFonts w:cs="B Zar" w:hint="cs"/>
          <w:rtl/>
        </w:rPr>
        <w:t xml:space="preserve"> قديم ترين آثار آريائي هاي خارج از هند كه در آن اسمي از خدايان ميترا، ورُن و ايندرا ديده شده است، كتيبه‌هائي است كه در </w:t>
      </w:r>
      <w:r w:rsidRPr="00641725">
        <w:rPr>
          <w:rFonts w:cs="B Zar"/>
          <w:sz w:val="18"/>
          <w:szCs w:val="18"/>
        </w:rPr>
        <w:t xml:space="preserve">Boghuz Koi </w:t>
      </w:r>
      <w:r w:rsidRPr="00641725">
        <w:rPr>
          <w:rFonts w:cs="B Zar" w:hint="cs"/>
          <w:sz w:val="18"/>
          <w:szCs w:val="18"/>
          <w:rtl/>
        </w:rPr>
        <w:t xml:space="preserve"> </w:t>
      </w:r>
      <w:r w:rsidRPr="006A4F74">
        <w:rPr>
          <w:rFonts w:cs="B Zar" w:hint="cs"/>
          <w:rtl/>
        </w:rPr>
        <w:t>در مناطق مرزي ايران كشف گرديده است كه قدمت آن كمتر از 2000 سال ق. م است.</w:t>
      </w:r>
    </w:p>
  </w:footnote>
  <w:footnote w:id="139">
    <w:p w:rsidR="00C8559C" w:rsidRPr="006A4F74" w:rsidP="0057678E">
      <w:pPr>
        <w:pStyle w:val="FootnoteText"/>
        <w:ind w:left="0" w:right="0"/>
        <w:jc w:val="both"/>
        <w:rPr>
          <w:rFonts w:cs="B Zar" w:hint="cs"/>
          <w:rtl/>
        </w:rPr>
      </w:pPr>
      <w:r w:rsidRPr="005B1E80">
        <w:rPr>
          <w:rStyle w:val="FootnoteReference"/>
          <w:rFonts w:ascii="IPT.Zar" w:hAnsi="IPT.Zar" w:cs="B Zar"/>
          <w:sz w:val="24"/>
          <w:szCs w:val="24"/>
          <w:vertAlign w:val="baseline"/>
        </w:rPr>
        <w:footnoteRef/>
      </w:r>
      <w:r>
        <w:rPr>
          <w:rFonts w:cs="B Zar" w:hint="cs"/>
          <w:rtl/>
        </w:rPr>
        <w:t xml:space="preserve"> </w:t>
      </w:r>
      <w:r w:rsidRPr="006A4F74">
        <w:rPr>
          <w:rFonts w:cs="B Zar" w:hint="cs"/>
          <w:rtl/>
        </w:rPr>
        <w:t xml:space="preserve"> براي پيگيري اين مبحث ر.ش. به:</w:t>
      </w:r>
    </w:p>
    <w:p w:rsidR="00C8559C" w:rsidRPr="0064714B" w:rsidP="0064714B">
      <w:pPr>
        <w:pStyle w:val="FootnoteText"/>
        <w:bidi w:val="0"/>
        <w:spacing w:line="240" w:lineRule="exact"/>
        <w:rPr>
          <w:rFonts w:cs="B Zar"/>
          <w:sz w:val="18"/>
          <w:szCs w:val="18"/>
        </w:rPr>
      </w:pPr>
      <w:r w:rsidRPr="0064714B">
        <w:rPr>
          <w:rFonts w:cs="B Zar"/>
          <w:sz w:val="18"/>
          <w:szCs w:val="18"/>
        </w:rPr>
        <w:t xml:space="preserve">V.G.Childe: The Aryans, </w:t>
      </w:r>
      <w:smartTag w:uri="urn:schemas-microsoft-com:office:smarttags" w:element="place">
        <w:smartTag w:uri="urn:schemas-microsoft-com:office:smarttags" w:element="State">
          <w:r w:rsidRPr="0064714B">
            <w:rPr>
              <w:rFonts w:cs="B Zar"/>
              <w:sz w:val="18"/>
              <w:szCs w:val="18"/>
            </w:rPr>
            <w:t>New York</w:t>
          </w:r>
        </w:smartTag>
      </w:smartTag>
      <w:r w:rsidRPr="0064714B">
        <w:rPr>
          <w:rFonts w:cs="B Zar"/>
          <w:sz w:val="18"/>
          <w:szCs w:val="18"/>
        </w:rPr>
        <w:t>, 1926.</w:t>
      </w:r>
    </w:p>
    <w:p w:rsidR="00C8559C" w:rsidRPr="006A4F74" w:rsidP="0064714B">
      <w:pPr>
        <w:pStyle w:val="FootnoteText"/>
        <w:bidi w:val="0"/>
        <w:spacing w:line="240" w:lineRule="exact"/>
        <w:rPr>
          <w:rFonts w:cs="B Zar"/>
        </w:rPr>
      </w:pPr>
      <w:r w:rsidRPr="0064714B">
        <w:rPr>
          <w:rFonts w:cs="B Zar"/>
          <w:sz w:val="18"/>
          <w:szCs w:val="18"/>
        </w:rPr>
        <w:t xml:space="preserve">B.G.Tilak: The Origin of the Aryans, </w:t>
      </w:r>
      <w:smartTag w:uri="urn:schemas-microsoft-com:office:smarttags" w:element="place">
        <w:smartTag w:uri="urn:schemas-microsoft-com:office:smarttags" w:element="City">
          <w:r w:rsidRPr="0064714B">
            <w:rPr>
              <w:rFonts w:cs="B Zar"/>
              <w:sz w:val="18"/>
              <w:szCs w:val="18"/>
            </w:rPr>
            <w:t>London</w:t>
          </w:r>
        </w:smartTag>
      </w:smartTag>
      <w:r w:rsidRPr="0064714B">
        <w:rPr>
          <w:rFonts w:cs="B Zar"/>
          <w:sz w:val="18"/>
          <w:szCs w:val="18"/>
        </w:rPr>
        <w:t>. 1889.</w:t>
      </w:r>
    </w:p>
  </w:footnote>
  <w:footnote w:id="140">
    <w:p w:rsidR="00C8559C" w:rsidRPr="0064714B" w:rsidP="00641725">
      <w:pPr>
        <w:pStyle w:val="FootnoteText"/>
        <w:bidi w:val="0"/>
        <w:spacing w:line="240" w:lineRule="auto"/>
        <w:ind w:left="227" w:hanging="227"/>
        <w:rPr>
          <w:sz w:val="18"/>
          <w:szCs w:val="18"/>
        </w:rPr>
      </w:pPr>
      <w:r w:rsidRPr="0064714B">
        <w:rPr>
          <w:rStyle w:val="FootnoteReference"/>
          <w:sz w:val="18"/>
          <w:szCs w:val="18"/>
          <w:vertAlign w:val="baseline"/>
        </w:rPr>
        <w:footnoteRef/>
      </w:r>
      <w:r w:rsidRPr="0064714B">
        <w:rPr>
          <w:sz w:val="18"/>
          <w:szCs w:val="18"/>
        </w:rPr>
        <w:t>.</w:t>
      </w:r>
      <w:r w:rsidRPr="0064714B">
        <w:rPr>
          <w:sz w:val="18"/>
          <w:szCs w:val="18"/>
          <w:rtl/>
        </w:rPr>
        <w:t xml:space="preserve"> </w:t>
      </w:r>
      <w:r w:rsidRPr="0064714B">
        <w:rPr>
          <w:rFonts w:cs="B Zar"/>
          <w:sz w:val="18"/>
          <w:szCs w:val="18"/>
        </w:rPr>
        <w:t>K.Ghosh: The Aryan Problem, p.208 Edward Meyer: Geschichte des Altertime, 3rd Edn. Vol. P.468</w:t>
      </w:r>
    </w:p>
  </w:footnote>
  <w:footnote w:id="141">
    <w:p w:rsidR="00C8559C" w:rsidRPr="0064714B" w:rsidP="005B1E80">
      <w:pPr>
        <w:pStyle w:val="FootnoteText"/>
        <w:bidi w:val="0"/>
        <w:spacing w:line="240" w:lineRule="auto"/>
        <w:ind w:left="227" w:hanging="227"/>
        <w:rPr>
          <w:rFonts w:ascii="IPT.Lotus" w:hAnsi="IPT.Lotus" w:cs="B Zar" w:hint="cs"/>
          <w:sz w:val="18"/>
          <w:szCs w:val="18"/>
          <w:rtl/>
        </w:rPr>
      </w:pPr>
      <w:r w:rsidRPr="0064714B">
        <w:rPr>
          <w:rStyle w:val="FootnoteReference"/>
          <w:sz w:val="18"/>
          <w:szCs w:val="18"/>
          <w:vertAlign w:val="baseline"/>
        </w:rPr>
        <w:footnoteRef/>
      </w:r>
      <w:r w:rsidRPr="0064714B">
        <w:rPr>
          <w:sz w:val="18"/>
          <w:szCs w:val="18"/>
        </w:rPr>
        <w:t>.</w:t>
      </w:r>
      <w:r w:rsidRPr="0064714B">
        <w:rPr>
          <w:sz w:val="18"/>
          <w:szCs w:val="18"/>
          <w:rtl/>
        </w:rPr>
        <w:t xml:space="preserve"> </w:t>
      </w:r>
      <w:r w:rsidRPr="0064714B">
        <w:rPr>
          <w:rFonts w:cs="B Zar"/>
          <w:sz w:val="18"/>
          <w:szCs w:val="18"/>
        </w:rPr>
        <w:t xml:space="preserve">Radhakrishnan, Dr S:  The Indian Philosophy, </w:t>
      </w:r>
      <w:smartTag w:uri="urn:schemas-microsoft-com:office:smarttags" w:element="place">
        <w:smartTag w:uri="urn:schemas-microsoft-com:office:smarttags" w:element="City">
          <w:r w:rsidRPr="0064714B">
            <w:rPr>
              <w:rFonts w:cs="B Zar"/>
              <w:sz w:val="18"/>
              <w:szCs w:val="18"/>
            </w:rPr>
            <w:t>New Delhi</w:t>
          </w:r>
        </w:smartTag>
      </w:smartTag>
      <w:r w:rsidRPr="0064714B">
        <w:rPr>
          <w:rFonts w:cs="B Zar"/>
          <w:sz w:val="18"/>
          <w:szCs w:val="18"/>
        </w:rPr>
        <w:t xml:space="preserve">, 1989, p51 </w:t>
      </w:r>
    </w:p>
    <w:p w:rsidR="00C8559C" w:rsidRPr="0064714B" w:rsidP="005B1E80">
      <w:pPr>
        <w:pStyle w:val="FootnoteText"/>
        <w:bidi w:val="0"/>
        <w:spacing w:line="240" w:lineRule="auto"/>
        <w:ind w:left="227"/>
      </w:pPr>
      <w:r w:rsidRPr="0064714B">
        <w:rPr>
          <w:rFonts w:cs="B Zar"/>
          <w:sz w:val="18"/>
          <w:szCs w:val="18"/>
        </w:rPr>
        <w:t xml:space="preserve">Dayananda Sarswati, Swami: Rig Veda Bhasiya, p 22, Arya Parastandi Sabha, </w:t>
      </w:r>
      <w:smartTag w:uri="urn:schemas-microsoft-com:office:smarttags" w:element="place">
        <w:smartTag w:uri="urn:schemas-microsoft-com:office:smarttags" w:element="City">
          <w:r w:rsidRPr="0064714B">
            <w:rPr>
              <w:rFonts w:cs="B Zar"/>
              <w:sz w:val="18"/>
              <w:szCs w:val="18"/>
            </w:rPr>
            <w:t>New Delhi</w:t>
          </w:r>
        </w:smartTag>
      </w:smartTag>
      <w:r w:rsidRPr="0064714B">
        <w:rPr>
          <w:rFonts w:cs="B Zar"/>
          <w:sz w:val="18"/>
          <w:szCs w:val="18"/>
        </w:rPr>
        <w:t>, 1978</w:t>
      </w:r>
      <w:r w:rsidRPr="0064714B">
        <w:rPr>
          <w:rFonts w:ascii="IPT.Lotus" w:hAnsi="IPT.Lotus" w:cs="B Zar" w:hint="cs"/>
          <w:sz w:val="18"/>
          <w:szCs w:val="18"/>
          <w:rtl/>
        </w:rPr>
        <w:t>.</w:t>
      </w:r>
    </w:p>
  </w:footnote>
  <w:footnote w:id="142">
    <w:p w:rsidR="00C8559C" w:rsidRPr="0064714B" w:rsidP="0064714B">
      <w:pPr>
        <w:pStyle w:val="FootnoteText"/>
        <w:bidi w:val="0"/>
        <w:spacing w:line="240" w:lineRule="exact"/>
        <w:ind w:left="227" w:hanging="227"/>
        <w:rPr>
          <w:sz w:val="18"/>
          <w:szCs w:val="18"/>
        </w:rPr>
      </w:pPr>
      <w:r w:rsidRPr="0064714B">
        <w:rPr>
          <w:rStyle w:val="FootnoteReference"/>
          <w:sz w:val="18"/>
          <w:szCs w:val="18"/>
          <w:vertAlign w:val="baseline"/>
        </w:rPr>
        <w:footnoteRef/>
      </w:r>
      <w:r w:rsidRPr="0064714B">
        <w:rPr>
          <w:sz w:val="18"/>
          <w:szCs w:val="18"/>
        </w:rPr>
        <w:t>.</w:t>
      </w:r>
      <w:r>
        <w:rPr>
          <w:rFonts w:cs="B Zar" w:hint="cs"/>
          <w:sz w:val="18"/>
          <w:szCs w:val="18"/>
          <w:rtl/>
        </w:rPr>
        <w:t xml:space="preserve"> </w:t>
      </w:r>
      <w:r w:rsidRPr="0064714B">
        <w:rPr>
          <w:rFonts w:cs="B Zar"/>
          <w:sz w:val="18"/>
          <w:szCs w:val="18"/>
        </w:rPr>
        <w:t xml:space="preserve">Das Gupta, S:  History of the Indian Philosophy, Cambridge University Press, </w:t>
      </w:r>
      <w:smartTag w:uri="urn:schemas-microsoft-com:office:smarttags" w:element="place">
        <w:smartTag w:uri="urn:schemas-microsoft-com:office:smarttags" w:element="City">
          <w:r w:rsidRPr="0064714B">
            <w:rPr>
              <w:rFonts w:cs="B Zar"/>
              <w:sz w:val="18"/>
              <w:szCs w:val="18"/>
            </w:rPr>
            <w:t>London</w:t>
          </w:r>
        </w:smartTag>
      </w:smartTag>
      <w:r w:rsidRPr="0064714B">
        <w:rPr>
          <w:rFonts w:cs="B Zar"/>
          <w:sz w:val="18"/>
          <w:szCs w:val="18"/>
        </w:rPr>
        <w:t>, 1969, p12</w:t>
      </w:r>
    </w:p>
  </w:footnote>
  <w:footnote w:id="143">
    <w:p w:rsidR="00C8559C" w:rsidRPr="00E14D78" w:rsidP="00E14D78">
      <w:pPr>
        <w:pStyle w:val="FootnoteText"/>
        <w:bidi w:val="0"/>
        <w:rPr>
          <w:rFonts w:cs="Times New Roman"/>
          <w:sz w:val="18"/>
          <w:szCs w:val="18"/>
        </w:rPr>
      </w:pPr>
      <w:r w:rsidRPr="00E14D78">
        <w:rPr>
          <w:rStyle w:val="FootnoteReference"/>
          <w:rFonts w:cs="Times New Roman"/>
          <w:sz w:val="18"/>
          <w:szCs w:val="18"/>
          <w:vertAlign w:val="baseline"/>
        </w:rPr>
        <w:footnoteRef/>
      </w:r>
      <w:r w:rsidRPr="00E14D78">
        <w:rPr>
          <w:rFonts w:cs="Times New Roman"/>
          <w:sz w:val="18"/>
          <w:szCs w:val="18"/>
        </w:rPr>
        <w:t xml:space="preserve">. </w:t>
      </w:r>
      <w:r w:rsidRPr="00E14D78">
        <w:rPr>
          <w:rFonts w:cs="Times New Roman"/>
          <w:sz w:val="18"/>
          <w:szCs w:val="18"/>
          <w:rtl/>
        </w:rPr>
        <w:t xml:space="preserve"> </w:t>
      </w:r>
      <w:r w:rsidRPr="00E14D78">
        <w:rPr>
          <w:rFonts w:cs="Times New Roman"/>
          <w:sz w:val="18"/>
          <w:szCs w:val="18"/>
        </w:rPr>
        <w:t xml:space="preserve">Radhakrishnan, Dr S:  The Indian Philosophy, </w:t>
      </w:r>
      <w:smartTag w:uri="urn:schemas-microsoft-com:office:smarttags" w:element="place">
        <w:smartTag w:uri="urn:schemas-microsoft-com:office:smarttags" w:element="City">
          <w:r w:rsidRPr="00E14D78">
            <w:rPr>
              <w:rFonts w:cs="Times New Roman"/>
              <w:sz w:val="18"/>
              <w:szCs w:val="18"/>
            </w:rPr>
            <w:t>New Delhi</w:t>
          </w:r>
        </w:smartTag>
      </w:smartTag>
      <w:r w:rsidRPr="00E14D78">
        <w:rPr>
          <w:rFonts w:cs="Times New Roman"/>
          <w:sz w:val="18"/>
          <w:szCs w:val="18"/>
        </w:rPr>
        <w:t>, 1989, p68</w:t>
      </w:r>
      <w:r w:rsidRPr="00E14D78">
        <w:rPr>
          <w:rFonts w:cs="Times New Roman"/>
          <w:sz w:val="18"/>
          <w:szCs w:val="18"/>
          <w:rtl/>
        </w:rPr>
        <w:t>.</w:t>
      </w:r>
    </w:p>
  </w:footnote>
  <w:footnote w:id="144">
    <w:p w:rsidR="00C8559C" w:rsidRPr="00254BD0" w:rsidP="00D50DCD">
      <w:pPr>
        <w:pStyle w:val="FootnoteText"/>
        <w:bidi w:val="0"/>
        <w:spacing w:line="240" w:lineRule="auto"/>
        <w:ind w:left="227" w:hanging="227"/>
        <w:rPr>
          <w:sz w:val="18"/>
          <w:szCs w:val="18"/>
        </w:rPr>
      </w:pPr>
      <w:r w:rsidRPr="00254BD0">
        <w:rPr>
          <w:rStyle w:val="FootnoteReference"/>
          <w:sz w:val="18"/>
          <w:szCs w:val="18"/>
          <w:vertAlign w:val="baseline"/>
        </w:rPr>
        <w:footnoteRef/>
      </w:r>
      <w:r w:rsidRPr="00254BD0">
        <w:rPr>
          <w:sz w:val="18"/>
          <w:szCs w:val="18"/>
        </w:rPr>
        <w:t>.</w:t>
      </w:r>
      <w:r w:rsidRPr="00254BD0">
        <w:rPr>
          <w:sz w:val="18"/>
          <w:szCs w:val="18"/>
          <w:rtl/>
        </w:rPr>
        <w:t xml:space="preserve"> </w:t>
      </w:r>
      <w:r w:rsidRPr="00254BD0">
        <w:rPr>
          <w:rFonts w:cs="B Zar"/>
          <w:sz w:val="18"/>
          <w:szCs w:val="18"/>
        </w:rPr>
        <w:t xml:space="preserve">Das Gupta, S:  History of the Indian Philosophy, Cambridge University Press, </w:t>
      </w:r>
      <w:smartTag w:uri="urn:schemas-microsoft-com:office:smarttags" w:element="place">
        <w:smartTag w:uri="urn:schemas-microsoft-com:office:smarttags" w:element="City">
          <w:r w:rsidRPr="00254BD0">
            <w:rPr>
              <w:rFonts w:cs="B Zar"/>
              <w:sz w:val="18"/>
              <w:szCs w:val="18"/>
            </w:rPr>
            <w:t>London</w:t>
          </w:r>
        </w:smartTag>
      </w:smartTag>
      <w:r w:rsidRPr="00254BD0">
        <w:rPr>
          <w:rFonts w:cs="B Zar"/>
          <w:sz w:val="18"/>
          <w:szCs w:val="18"/>
        </w:rPr>
        <w:t>, 1969, p12</w:t>
      </w:r>
    </w:p>
  </w:footnote>
  <w:footnote w:id="145">
    <w:p w:rsidR="00C8559C" w:rsidRPr="003C5D76" w:rsidP="0011420A">
      <w:pPr>
        <w:pStyle w:val="FootnoteText"/>
        <w:bidi w:val="0"/>
        <w:spacing w:line="240" w:lineRule="auto"/>
        <w:rPr>
          <w:rFonts w:cs="B Zar" w:hint="cs"/>
          <w:sz w:val="18"/>
          <w:szCs w:val="18"/>
        </w:rPr>
      </w:pPr>
      <w:r w:rsidRPr="003C5D76">
        <w:rPr>
          <w:rStyle w:val="FootnoteReference"/>
          <w:rFonts w:cs="B Zar"/>
          <w:sz w:val="18"/>
          <w:szCs w:val="18"/>
          <w:vertAlign w:val="baseline"/>
        </w:rPr>
        <w:footnoteRef/>
      </w:r>
      <w:r>
        <w:rPr>
          <w:rFonts w:cs="B Zar"/>
          <w:sz w:val="18"/>
          <w:szCs w:val="18"/>
        </w:rPr>
        <w:t xml:space="preserve">. </w:t>
      </w:r>
      <w:r w:rsidRPr="003C5D76">
        <w:rPr>
          <w:rFonts w:cs="B Zar"/>
          <w:sz w:val="18"/>
          <w:szCs w:val="18"/>
        </w:rPr>
        <w:t xml:space="preserve"> Keith, A.B.: Religion and Philosophy of the Veda</w:t>
      </w:r>
      <w:r w:rsidRPr="003C5D76">
        <w:rPr>
          <w:rFonts w:cs="B Zar" w:hint="cs"/>
          <w:sz w:val="18"/>
          <w:szCs w:val="18"/>
          <w:rtl/>
        </w:rPr>
        <w:t xml:space="preserve">        </w:t>
      </w:r>
    </w:p>
  </w:footnote>
  <w:footnote w:id="146">
    <w:p w:rsidR="00C8559C" w:rsidRPr="006A4F74" w:rsidP="0057678E">
      <w:pPr>
        <w:pStyle w:val="FootnoteText"/>
        <w:spacing w:line="240" w:lineRule="auto"/>
        <w:ind w:left="227" w:right="0" w:hanging="227"/>
        <w:jc w:val="both"/>
        <w:rPr>
          <w:rFonts w:cs="B Zar"/>
        </w:rPr>
      </w:pPr>
      <w:r w:rsidRPr="0057678E">
        <w:rPr>
          <w:rStyle w:val="FootnoteReference"/>
          <w:rFonts w:ascii="IPT.Zar" w:hAnsi="IPT.Zar" w:cs="B Zar"/>
          <w:sz w:val="24"/>
          <w:szCs w:val="24"/>
          <w:vertAlign w:val="baseline"/>
        </w:rPr>
        <w:footnoteRef/>
      </w:r>
      <w:r w:rsidRPr="0057678E">
        <w:rPr>
          <w:rFonts w:ascii="IPT.Zar" w:hAnsi="IPT.Zar" w:cs="B Zar"/>
          <w:sz w:val="24"/>
          <w:szCs w:val="24"/>
          <w:rtl/>
        </w:rPr>
        <w:t>.</w:t>
      </w:r>
      <w:r w:rsidRPr="006A4F74">
        <w:rPr>
          <w:rFonts w:cs="B Zar" w:hint="cs"/>
          <w:rtl/>
        </w:rPr>
        <w:t xml:space="preserve"> </w:t>
      </w:r>
      <w:r>
        <w:rPr>
          <w:rFonts w:cs="B Zar" w:hint="cs"/>
          <w:rtl/>
        </w:rPr>
        <w:t xml:space="preserve"> </w:t>
      </w:r>
      <w:r w:rsidRPr="006A4F74">
        <w:rPr>
          <w:rFonts w:cs="B Zar" w:hint="cs"/>
          <w:rtl/>
        </w:rPr>
        <w:t>در قرن بيستم برخي علماي هندو كه در رأس آنان راجارام كوهان راي و سوامي</w:t>
      </w:r>
      <w:r w:rsidRPr="006A4F74">
        <w:rPr>
          <w:rFonts w:cs="B Zar"/>
        </w:rPr>
        <w:t></w:t>
      </w:r>
      <w:r w:rsidRPr="006A4F74">
        <w:rPr>
          <w:rFonts w:cs="B Zar" w:hint="cs"/>
          <w:rtl/>
        </w:rPr>
        <w:t>ودياناندسارسواتي بنيانگذار جنبش «آريا ساماج» قرار داشتند، به شدت كوشيدند تا تمام مفاهيم و اصطلاحات دين هندو را به گونه‌اي تفسير كنند كه از آن يك دين توحيدي تمام عيار نظير اسلام درست كنند. اينان «ريشي» را نوعي رسول و نبي قوم آريا تلقي كردند و ودا را نيز كتاب آسماني و وحي مُنزَل دانستند. ولي اين تفسير متأثر از اسلام است كه عليرغم اسلام ستيزي، اين جنبش با تفسير سنتي هندوها نيز تطبيق نمي‌كند.</w:t>
      </w:r>
    </w:p>
  </w:footnote>
  <w:footnote w:id="147">
    <w:p w:rsidR="00C8559C" w:rsidRPr="00AB7C33" w:rsidP="00AB7C33">
      <w:pPr>
        <w:pStyle w:val="FootnoteText"/>
        <w:bidi w:val="0"/>
        <w:spacing w:line="240" w:lineRule="exact"/>
        <w:ind w:left="227" w:hanging="227"/>
        <w:rPr>
          <w:sz w:val="18"/>
          <w:szCs w:val="18"/>
        </w:rPr>
      </w:pPr>
      <w:r w:rsidRPr="00AB7C33">
        <w:rPr>
          <w:rStyle w:val="FootnoteReference"/>
          <w:sz w:val="18"/>
          <w:szCs w:val="18"/>
          <w:vertAlign w:val="baseline"/>
        </w:rPr>
        <w:footnoteRef/>
      </w:r>
      <w:r w:rsidRPr="00AB7C33">
        <w:rPr>
          <w:sz w:val="18"/>
          <w:szCs w:val="18"/>
        </w:rPr>
        <w:t xml:space="preserve">. </w:t>
      </w:r>
      <w:r>
        <w:rPr>
          <w:sz w:val="18"/>
          <w:szCs w:val="18"/>
        </w:rPr>
        <w:tab/>
      </w:r>
      <w:r w:rsidRPr="00AB7C33">
        <w:rPr>
          <w:rFonts w:cs="B Zar"/>
          <w:sz w:val="18"/>
          <w:szCs w:val="18"/>
        </w:rPr>
        <w:t>Sri Auribindo: The Secret of the Vedas, Auribindo Ashram, Pondichery, 1990, p.49</w:t>
      </w:r>
    </w:p>
  </w:footnote>
  <w:footnote w:id="148">
    <w:p w:rsidR="00C8559C" w:rsidRPr="00AB7C33" w:rsidP="00AB7C33">
      <w:pPr>
        <w:pStyle w:val="FootnoteText"/>
        <w:bidi w:val="0"/>
        <w:spacing w:line="240" w:lineRule="exact"/>
        <w:ind w:left="227" w:hanging="227"/>
      </w:pPr>
      <w:r w:rsidRPr="00AB7C33">
        <w:rPr>
          <w:rStyle w:val="FootnoteReference"/>
          <w:sz w:val="18"/>
          <w:szCs w:val="18"/>
          <w:vertAlign w:val="baseline"/>
        </w:rPr>
        <w:footnoteRef/>
      </w:r>
      <w:r w:rsidRPr="00AB7C33">
        <w:rPr>
          <w:sz w:val="18"/>
          <w:szCs w:val="18"/>
        </w:rPr>
        <w:t>.</w:t>
      </w:r>
      <w:r>
        <w:rPr>
          <w:rFonts w:cs="B Zar"/>
          <w:sz w:val="18"/>
          <w:szCs w:val="18"/>
        </w:rPr>
        <w:t xml:space="preserve"> </w:t>
        <w:tab/>
      </w:r>
      <w:r w:rsidRPr="00AB7C33">
        <w:rPr>
          <w:rFonts w:cs="B Zar"/>
          <w:sz w:val="18"/>
          <w:szCs w:val="18"/>
        </w:rPr>
        <w:t>Das Gupta, S:  History of the Indian Philosophy, Vol.1,  p10</w:t>
      </w:r>
    </w:p>
  </w:footnote>
  <w:footnote w:id="149">
    <w:p w:rsidR="00C8559C" w:rsidRPr="006A4F74" w:rsidP="0057678E">
      <w:pPr>
        <w:pStyle w:val="FootnoteText"/>
        <w:spacing w:line="240" w:lineRule="auto"/>
        <w:ind w:left="227" w:right="0" w:hanging="227"/>
        <w:jc w:val="both"/>
        <w:rPr>
          <w:rFonts w:cs="B Zar" w:hint="cs"/>
          <w:rtl/>
        </w:rPr>
      </w:pPr>
      <w:r w:rsidRPr="005B1E80">
        <w:rPr>
          <w:rStyle w:val="FootnoteReference"/>
          <w:rFonts w:ascii="IPT.Zar" w:hAnsi="IPT.Zar" w:cs="B Zar"/>
          <w:sz w:val="24"/>
          <w:szCs w:val="24"/>
          <w:vertAlign w:val="baseline"/>
        </w:rPr>
        <w:footnoteRef/>
      </w:r>
      <w:r w:rsidRPr="006A4F74">
        <w:rPr>
          <w:rFonts w:cs="B Zar" w:hint="cs"/>
          <w:rtl/>
        </w:rPr>
        <w:t>.</w:t>
      </w:r>
      <w:r>
        <w:rPr>
          <w:rFonts w:cs="B Zar" w:hint="cs"/>
          <w:rtl/>
        </w:rPr>
        <w:t xml:space="preserve"> </w:t>
      </w:r>
      <w:r w:rsidRPr="006A4F74">
        <w:rPr>
          <w:rFonts w:cs="B Zar" w:hint="cs"/>
          <w:rtl/>
        </w:rPr>
        <w:t xml:space="preserve"> </w:t>
      </w:r>
      <w:r>
        <w:rPr>
          <w:rFonts w:cs="B Zar" w:hint="cs"/>
          <w:rtl/>
        </w:rPr>
        <w:tab/>
      </w:r>
      <w:r w:rsidRPr="006A4F74">
        <w:rPr>
          <w:rFonts w:cs="B Zar" w:hint="cs"/>
          <w:rtl/>
        </w:rPr>
        <w:t>م صدرا: الشواهدالربوبيه، ترجمه و تفسير دكتر جواد مصلح، ص 3، چاپ سروش تهران، 1336</w:t>
      </w:r>
    </w:p>
  </w:footnote>
  <w:footnote w:id="150">
    <w:p w:rsidR="00C8559C" w:rsidRPr="006A4F74" w:rsidP="0057678E">
      <w:pPr>
        <w:pStyle w:val="FootnoteText"/>
        <w:spacing w:line="240" w:lineRule="auto"/>
        <w:ind w:left="227" w:right="0" w:hanging="227"/>
        <w:jc w:val="both"/>
        <w:rPr>
          <w:rFonts w:cs="B Zar" w:hint="cs"/>
          <w:rtl/>
        </w:rPr>
      </w:pPr>
      <w:r w:rsidRPr="005B1E80">
        <w:rPr>
          <w:rStyle w:val="FootnoteReference"/>
          <w:rFonts w:ascii="IPT.Zar" w:hAnsi="IPT.Zar" w:cs="B Zar"/>
          <w:sz w:val="24"/>
          <w:szCs w:val="24"/>
          <w:vertAlign w:val="baseline"/>
        </w:rPr>
        <w:footnoteRef/>
      </w:r>
      <w:r w:rsidRPr="006A4F74">
        <w:rPr>
          <w:rFonts w:cs="B Zar" w:hint="cs"/>
          <w:rtl/>
        </w:rPr>
        <w:t>.</w:t>
      </w:r>
      <w:r>
        <w:rPr>
          <w:rFonts w:cs="B Zar" w:hint="cs"/>
          <w:rtl/>
        </w:rPr>
        <w:t xml:space="preserve"> </w:t>
      </w:r>
      <w:r w:rsidRPr="006A4F74">
        <w:rPr>
          <w:rFonts w:cs="B Zar" w:hint="cs"/>
          <w:rtl/>
        </w:rPr>
        <w:t xml:space="preserve"> </w:t>
      </w:r>
      <w:r>
        <w:rPr>
          <w:rFonts w:cs="B Zar" w:hint="cs"/>
          <w:rtl/>
        </w:rPr>
        <w:tab/>
      </w:r>
      <w:r w:rsidRPr="006A4F74">
        <w:rPr>
          <w:rFonts w:cs="B Zar" w:hint="cs"/>
          <w:rtl/>
        </w:rPr>
        <w:t>همان مأخذ، ص 4 ـ 5</w:t>
      </w:r>
    </w:p>
  </w:footnote>
  <w:footnote w:id="151">
    <w:p w:rsidR="00C8559C" w:rsidRPr="006A4F74" w:rsidP="0057678E">
      <w:pPr>
        <w:pStyle w:val="FootnoteText"/>
        <w:spacing w:line="240" w:lineRule="auto"/>
        <w:ind w:left="227" w:right="0" w:hanging="227"/>
        <w:jc w:val="both"/>
        <w:rPr>
          <w:rFonts w:cs="B Zar" w:hint="cs"/>
          <w:rtl/>
        </w:rPr>
      </w:pPr>
      <w:r w:rsidRPr="005B1E80">
        <w:rPr>
          <w:rStyle w:val="FootnoteReference"/>
          <w:rFonts w:ascii="IPT.Zar" w:hAnsi="IPT.Zar" w:cs="B Zar"/>
          <w:sz w:val="24"/>
          <w:szCs w:val="24"/>
          <w:vertAlign w:val="baseline"/>
        </w:rPr>
        <w:footnoteRef/>
      </w:r>
      <w:r w:rsidRPr="006A4F74">
        <w:rPr>
          <w:rFonts w:cs="B Zar" w:hint="cs"/>
          <w:rtl/>
        </w:rPr>
        <w:t>.</w:t>
      </w:r>
      <w:r>
        <w:rPr>
          <w:rFonts w:cs="B Zar" w:hint="cs"/>
          <w:rtl/>
        </w:rPr>
        <w:tab/>
      </w:r>
      <w:r w:rsidRPr="006A4F74">
        <w:rPr>
          <w:rFonts w:cs="B Zar" w:hint="cs"/>
          <w:rtl/>
        </w:rPr>
        <w:t>ملا صدرا: «كتاب المشاعر»، ويرايش هنري كوربن، كتابخانه طهوري، 1363، ص 2 -4</w:t>
      </w:r>
    </w:p>
  </w:footnote>
  <w:footnote w:id="152">
    <w:p w:rsidR="00C8559C" w:rsidRPr="006A4F74" w:rsidP="0057678E">
      <w:pPr>
        <w:pStyle w:val="FootnoteText"/>
        <w:spacing w:line="240" w:lineRule="auto"/>
        <w:ind w:left="227" w:right="0" w:hanging="227"/>
        <w:jc w:val="both"/>
        <w:rPr>
          <w:rFonts w:cs="B Zar" w:hint="cs"/>
          <w:rtl/>
        </w:rPr>
      </w:pPr>
      <w:r w:rsidRPr="005B1E80">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شهاب الدين سهروردي: «حكمه الاشراق»، ترجمه و شرح دكتر سيد جعفر سجادي، انتشارات دانشگاه تهران، 1366، چاپ پنجم، ص 16</w:t>
      </w:r>
    </w:p>
  </w:footnote>
  <w:footnote w:id="153">
    <w:p w:rsidR="00C8559C" w:rsidRPr="006A4F74" w:rsidP="0057678E">
      <w:pPr>
        <w:pStyle w:val="FootnoteText"/>
        <w:spacing w:line="240" w:lineRule="auto"/>
        <w:ind w:left="0" w:right="0"/>
        <w:jc w:val="both"/>
        <w:rPr>
          <w:rFonts w:cs="B Zar" w:hint="cs"/>
          <w:rtl/>
        </w:rPr>
      </w:pPr>
      <w:r w:rsidRPr="0057678E">
        <w:rPr>
          <w:rStyle w:val="FootnoteReference"/>
          <w:rFonts w:ascii="IPT.Zar" w:hAnsi="IPT.Zar" w:cs="B Zar"/>
          <w:sz w:val="24"/>
          <w:szCs w:val="24"/>
          <w:vertAlign w:val="baseline"/>
        </w:rPr>
        <w:footnoteRef/>
      </w:r>
      <w:r w:rsidRPr="0057678E">
        <w:rPr>
          <w:rFonts w:ascii="IPT.Zar" w:hAnsi="IPT.Zar" w:cs="B Zar"/>
          <w:sz w:val="24"/>
          <w:szCs w:val="24"/>
          <w:rtl/>
        </w:rPr>
        <w:t>.</w:t>
      </w:r>
      <w:r>
        <w:rPr>
          <w:rFonts w:cs="B Zar" w:hint="cs"/>
          <w:rtl/>
        </w:rPr>
        <w:t xml:space="preserve">  </w:t>
      </w:r>
      <w:r w:rsidRPr="006A4F74">
        <w:rPr>
          <w:rFonts w:cs="B Zar" w:hint="cs"/>
          <w:rtl/>
        </w:rPr>
        <w:t xml:space="preserve"> همان مأخذ: ص 21 ـ 22</w:t>
      </w:r>
    </w:p>
  </w:footnote>
  <w:footnote w:id="154">
    <w:p w:rsidR="00C8559C" w:rsidRPr="00AB7C33" w:rsidP="00AB7C33">
      <w:pPr>
        <w:pStyle w:val="FootnoteText"/>
        <w:bidi w:val="0"/>
        <w:spacing w:line="240" w:lineRule="exact"/>
        <w:rPr>
          <w:sz w:val="18"/>
          <w:szCs w:val="18"/>
        </w:rPr>
      </w:pPr>
      <w:r w:rsidRPr="00AB7C33">
        <w:rPr>
          <w:rStyle w:val="FootnoteReference"/>
          <w:sz w:val="18"/>
          <w:szCs w:val="18"/>
          <w:vertAlign w:val="baseline"/>
        </w:rPr>
        <w:footnoteRef/>
      </w:r>
      <w:r w:rsidRPr="00AB7C33">
        <w:rPr>
          <w:sz w:val="18"/>
          <w:szCs w:val="18"/>
        </w:rPr>
        <w:t xml:space="preserve">. </w:t>
      </w:r>
      <w:r w:rsidRPr="00AB7C33">
        <w:rPr>
          <w:sz w:val="18"/>
          <w:szCs w:val="18"/>
          <w:rtl/>
        </w:rPr>
        <w:t xml:space="preserve"> </w:t>
      </w:r>
      <w:r w:rsidRPr="00AB7C33">
        <w:rPr>
          <w:rFonts w:cs="B Zar"/>
          <w:sz w:val="18"/>
          <w:szCs w:val="18"/>
        </w:rPr>
        <w:t xml:space="preserve">Radhakrishnan, Dr S:  The Indian Philosophy, </w:t>
      </w:r>
      <w:smartTag w:uri="urn:schemas-microsoft-com:office:smarttags" w:element="place">
        <w:smartTag w:uri="urn:schemas-microsoft-com:office:smarttags" w:element="City">
          <w:r w:rsidRPr="00AB7C33">
            <w:rPr>
              <w:rFonts w:cs="B Zar"/>
              <w:sz w:val="18"/>
              <w:szCs w:val="18"/>
            </w:rPr>
            <w:t>New Delhi</w:t>
          </w:r>
        </w:smartTag>
      </w:smartTag>
      <w:r w:rsidRPr="00AB7C33">
        <w:rPr>
          <w:rFonts w:cs="B Zar"/>
          <w:sz w:val="18"/>
          <w:szCs w:val="18"/>
        </w:rPr>
        <w:t>, 1989, vol, p.68</w:t>
      </w:r>
    </w:p>
  </w:footnote>
  <w:footnote w:id="155">
    <w:p w:rsidR="00C8559C" w:rsidRPr="00AB7C33" w:rsidP="00AB7C33">
      <w:pPr>
        <w:pStyle w:val="FootnoteText"/>
        <w:bidi w:val="0"/>
        <w:spacing w:line="240" w:lineRule="exact"/>
        <w:rPr>
          <w:rFonts w:hint="cs"/>
        </w:rPr>
      </w:pPr>
      <w:r w:rsidRPr="00AB7C33">
        <w:rPr>
          <w:rStyle w:val="FootnoteReference"/>
          <w:sz w:val="18"/>
          <w:szCs w:val="18"/>
          <w:vertAlign w:val="baseline"/>
        </w:rPr>
        <w:footnoteRef/>
      </w:r>
      <w:r w:rsidRPr="00AB7C33">
        <w:rPr>
          <w:sz w:val="18"/>
          <w:szCs w:val="18"/>
        </w:rPr>
        <w:t xml:space="preserve">. </w:t>
      </w:r>
      <w:r w:rsidRPr="00AB7C33">
        <w:rPr>
          <w:sz w:val="18"/>
          <w:szCs w:val="18"/>
          <w:rtl/>
        </w:rPr>
        <w:t xml:space="preserve"> </w:t>
      </w:r>
      <w:r w:rsidRPr="00AB7C33">
        <w:rPr>
          <w:rFonts w:cs="B Zar"/>
          <w:sz w:val="18"/>
          <w:szCs w:val="18"/>
        </w:rPr>
        <w:t>Das Gupta, S:  History of the Indian Philosophy, Vol.1,  p14</w:t>
      </w:r>
    </w:p>
  </w:footnote>
  <w:footnote w:id="156">
    <w:p w:rsidR="00C8559C" w:rsidRPr="006A4F74" w:rsidP="009423FB">
      <w:pPr>
        <w:pStyle w:val="FootnoteText"/>
        <w:spacing w:line="240" w:lineRule="auto"/>
        <w:ind w:left="227" w:right="0" w:hanging="227"/>
        <w:jc w:val="left"/>
        <w:rPr>
          <w:rFonts w:cs="B Zar" w:hint="cs"/>
          <w:rtl/>
        </w:rPr>
      </w:pPr>
      <w:r w:rsidRPr="002031AC">
        <w:rPr>
          <w:rStyle w:val="FootnoteReference"/>
          <w:rFonts w:ascii="IPT.Zar" w:hAnsi="IPT.Zar" w:cs="B Zar"/>
          <w:sz w:val="24"/>
          <w:vertAlign w:val="baseline"/>
        </w:rPr>
        <w:footnoteRef/>
      </w:r>
      <w:r w:rsidRPr="006A4F74">
        <w:rPr>
          <w:rFonts w:cs="B Zar" w:hint="cs"/>
          <w:rtl/>
        </w:rPr>
        <w:t xml:space="preserve">. </w:t>
      </w:r>
      <w:r>
        <w:rPr>
          <w:rFonts w:cs="B Zar" w:hint="cs"/>
          <w:rtl/>
        </w:rPr>
        <w:t xml:space="preserve">  </w:t>
      </w:r>
      <w:r w:rsidRPr="006A4F74">
        <w:rPr>
          <w:rFonts w:cs="B Zar" w:hint="cs"/>
          <w:rtl/>
        </w:rPr>
        <w:t>شارح اصلي اين نظر عارف و انديشمند بزرگ قرن حاضر سري آربيندو بوده، ر.ك:</w:t>
      </w:r>
    </w:p>
    <w:p w:rsidR="00C8559C" w:rsidRPr="00AB7C33" w:rsidP="0011420A">
      <w:pPr>
        <w:pStyle w:val="FootnoteText"/>
        <w:bidi w:val="0"/>
        <w:spacing w:line="240" w:lineRule="auto"/>
        <w:rPr>
          <w:rFonts w:cs="B Zar"/>
          <w:sz w:val="18"/>
          <w:szCs w:val="18"/>
          <w:rtl/>
        </w:rPr>
      </w:pPr>
      <w:r>
        <w:rPr>
          <w:rFonts w:cs="B Zar"/>
          <w:spacing w:val="-10"/>
          <w:sz w:val="18"/>
          <w:szCs w:val="18"/>
        </w:rPr>
        <w:t xml:space="preserve">        </w:t>
      </w:r>
      <w:r w:rsidRPr="00AB7C33">
        <w:rPr>
          <w:rFonts w:cs="B Zar"/>
          <w:spacing w:val="-10"/>
          <w:sz w:val="18"/>
          <w:szCs w:val="18"/>
        </w:rPr>
        <w:t xml:space="preserve">Sri Auribindo: The Secret of the Vedas, Sri Auribindo Ashram, Pondichery, 1990, </w:t>
      </w:r>
      <w:r w:rsidRPr="00AB7C33">
        <w:rPr>
          <w:rFonts w:cs="B Zar"/>
          <w:sz w:val="18"/>
          <w:szCs w:val="18"/>
        </w:rPr>
        <w:t>p12</w:t>
      </w:r>
    </w:p>
  </w:footnote>
  <w:footnote w:id="157">
    <w:p w:rsidR="00C8559C" w:rsidRPr="006A4F74" w:rsidP="0057678E">
      <w:pPr>
        <w:pStyle w:val="FootnoteText"/>
        <w:spacing w:line="240" w:lineRule="auto"/>
        <w:ind w:left="227" w:right="0" w:hanging="227"/>
        <w:jc w:val="both"/>
        <w:rPr>
          <w:rFonts w:cs="B Zar"/>
        </w:rPr>
      </w:pPr>
      <w:r w:rsidRPr="002031AC">
        <w:rPr>
          <w:rStyle w:val="FootnoteReference"/>
          <w:rFonts w:ascii="IPT.Zar" w:hAnsi="IPT.Zar" w:cs="B Zar"/>
          <w:sz w:val="24"/>
          <w:vertAlign w:val="baseline"/>
        </w:rPr>
        <w:footnoteRef/>
      </w:r>
      <w:r w:rsidRPr="006A4F74">
        <w:rPr>
          <w:rFonts w:cs="B Zar" w:hint="cs"/>
          <w:rtl/>
        </w:rPr>
        <w:t xml:space="preserve">. </w:t>
      </w:r>
      <w:r>
        <w:rPr>
          <w:rFonts w:cs="B Zar" w:hint="cs"/>
          <w:rtl/>
        </w:rPr>
        <w:t xml:space="preserve"> </w:t>
      </w:r>
      <w:r w:rsidRPr="006A4F74">
        <w:rPr>
          <w:rFonts w:cs="B Zar" w:hint="cs"/>
          <w:rtl/>
        </w:rPr>
        <w:t>پرجمدار اين نظريه سوامي دياناند سارسواتي، يكي از بانفوذترين علماي هندو در قرن حاضر كه نهضت بنيادگراي «آريا ساماج» را تاسيس كرد، مي‌باشد. ر.</w:t>
      </w:r>
      <w:r w:rsidRPr="006A4F74">
        <w:rPr>
          <w:rFonts w:cs="B Zar" w:hint="cs"/>
          <w:rtl/>
          <w:lang w:bidi="fa-IR"/>
        </w:rPr>
        <w:t>ك</w:t>
      </w:r>
      <w:r w:rsidRPr="006A4F74">
        <w:rPr>
          <w:rFonts w:cs="B Zar" w:hint="cs"/>
          <w:rtl/>
        </w:rPr>
        <w:t xml:space="preserve"> به: «ريگ ودابهاسيه»، آريا پرستتدي سبها، دهلي، 1978</w:t>
      </w:r>
    </w:p>
  </w:footnote>
  <w:footnote w:id="158">
    <w:p w:rsidR="00C8559C" w:rsidRPr="006A4F74" w:rsidP="0057678E">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 xml:space="preserve">. </w:t>
      </w:r>
      <w:r>
        <w:rPr>
          <w:rFonts w:cs="B Zar" w:hint="cs"/>
          <w:rtl/>
        </w:rPr>
        <w:t xml:space="preserve"> </w:t>
      </w:r>
      <w:r w:rsidRPr="006A4F74">
        <w:rPr>
          <w:rFonts w:cs="B Zar" w:hint="cs"/>
          <w:rtl/>
        </w:rPr>
        <w:t>آغازگر اين نظريه در دوره جديد نيز دياناند سارسواتي  بوده. اين روش رائج ترين نحوه تفسير ودا در حال حاضر است و كتابهاي بيشماري برحسب اين نگرش منتشر شده‌اند؛ از جمله:</w:t>
      </w:r>
    </w:p>
    <w:p w:rsidR="00C8559C" w:rsidRPr="00AB7C33" w:rsidP="0011420A">
      <w:pPr>
        <w:pStyle w:val="FootnoteText"/>
        <w:bidi w:val="0"/>
        <w:spacing w:line="240" w:lineRule="auto"/>
        <w:rPr>
          <w:rFonts w:cs="B Zar"/>
          <w:sz w:val="18"/>
          <w:szCs w:val="18"/>
        </w:rPr>
      </w:pPr>
      <w:r w:rsidRPr="00AB7C33">
        <w:rPr>
          <w:rFonts w:cs="B Zar"/>
          <w:sz w:val="18"/>
          <w:szCs w:val="18"/>
        </w:rPr>
        <w:t xml:space="preserve">Dr.B.R.Yadava: Vedic Cosmology, Vijnana Prakashan, </w:t>
      </w:r>
      <w:smartTag w:uri="urn:schemas-microsoft-com:office:smarttags" w:element="place">
        <w:smartTag w:uri="urn:schemas-microsoft-com:office:smarttags" w:element="City">
          <w:r w:rsidRPr="00AB7C33">
            <w:rPr>
              <w:rFonts w:cs="B Zar"/>
              <w:sz w:val="18"/>
              <w:szCs w:val="18"/>
            </w:rPr>
            <w:t>Aligarh</w:t>
          </w:r>
        </w:smartTag>
      </w:smartTag>
      <w:r w:rsidRPr="00AB7C33">
        <w:rPr>
          <w:rFonts w:cs="B Zar"/>
          <w:sz w:val="18"/>
          <w:szCs w:val="18"/>
        </w:rPr>
        <w:t>, 1987</w:t>
      </w:r>
    </w:p>
    <w:p w:rsidR="00C8559C" w:rsidRPr="002031AC" w:rsidP="0011420A">
      <w:pPr>
        <w:pStyle w:val="FootnoteText"/>
        <w:bidi w:val="0"/>
        <w:spacing w:line="240" w:lineRule="auto"/>
        <w:rPr>
          <w:rFonts w:ascii="IPT.Zar" w:hAnsi="IPT.Zar" w:cs="B Zar"/>
          <w:sz w:val="24"/>
        </w:rPr>
      </w:pPr>
      <w:r w:rsidRPr="00AB7C33">
        <w:rPr>
          <w:rFonts w:cs="B Zar"/>
          <w:sz w:val="18"/>
          <w:szCs w:val="18"/>
        </w:rPr>
        <w:t xml:space="preserve">Dr. J.K.Trikha: Rig Veda: A Scientific Analysis, </w:t>
      </w:r>
      <w:smartTag w:uri="urn:schemas-microsoft-com:office:smarttags" w:element="place">
        <w:smartTag w:uri="urn:schemas-microsoft-com:office:smarttags" w:element="City">
          <w:r w:rsidRPr="00AB7C33">
            <w:rPr>
              <w:rFonts w:cs="B Zar"/>
              <w:sz w:val="18"/>
              <w:szCs w:val="18"/>
            </w:rPr>
            <w:t>Delhi</w:t>
          </w:r>
        </w:smartTag>
      </w:smartTag>
      <w:r w:rsidRPr="00AB7C33">
        <w:rPr>
          <w:rFonts w:cs="B Zar"/>
          <w:sz w:val="18"/>
          <w:szCs w:val="18"/>
        </w:rPr>
        <w:t>, 1981</w:t>
      </w:r>
    </w:p>
  </w:footnote>
  <w:footnote w:id="159">
    <w:p w:rsidR="00C8559C" w:rsidRPr="006A4F74" w:rsidP="0057678E">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 xml:space="preserve">. </w:t>
      </w:r>
      <w:r>
        <w:rPr>
          <w:rFonts w:cs="B Zar" w:hint="cs"/>
          <w:rtl/>
        </w:rPr>
        <w:t xml:space="preserve">  </w:t>
      </w:r>
      <w:r w:rsidRPr="006A4F74">
        <w:rPr>
          <w:rFonts w:cs="B Zar" w:hint="cs"/>
          <w:rtl/>
        </w:rPr>
        <w:t>شهاب الدين سهروردي : حكمه الاشراق، ص 16</w:t>
      </w:r>
    </w:p>
  </w:footnote>
  <w:footnote w:id="160">
    <w:p w:rsidR="00C8559C" w:rsidRPr="00F6786C" w:rsidP="00F6786C">
      <w:pPr>
        <w:pStyle w:val="FootnoteText"/>
        <w:bidi w:val="0"/>
        <w:rPr>
          <w:sz w:val="18"/>
          <w:szCs w:val="18"/>
        </w:rPr>
      </w:pPr>
      <w:r w:rsidRPr="00F6786C">
        <w:rPr>
          <w:rStyle w:val="FootnoteReference"/>
          <w:sz w:val="18"/>
          <w:szCs w:val="18"/>
          <w:vertAlign w:val="baseline"/>
        </w:rPr>
        <w:footnoteRef/>
      </w:r>
      <w:r w:rsidRPr="00F6786C">
        <w:rPr>
          <w:sz w:val="18"/>
          <w:szCs w:val="18"/>
        </w:rPr>
        <w:t xml:space="preserve">. </w:t>
      </w:r>
      <w:r w:rsidRPr="00F6786C">
        <w:rPr>
          <w:rFonts w:cs="Times New Roman"/>
          <w:sz w:val="18"/>
          <w:szCs w:val="18"/>
          <w:rtl/>
        </w:rPr>
        <w:t xml:space="preserve"> </w:t>
      </w:r>
      <w:r w:rsidRPr="00F6786C">
        <w:rPr>
          <w:rFonts w:cs="B Zar"/>
          <w:sz w:val="18"/>
          <w:szCs w:val="18"/>
        </w:rPr>
        <w:t xml:space="preserve">Max Muller: What We Learn From </w:t>
      </w:r>
      <w:smartTag w:uri="urn:schemas-microsoft-com:office:smarttags" w:element="country-region">
        <w:r w:rsidRPr="00F6786C">
          <w:rPr>
            <w:rFonts w:cs="B Zar"/>
            <w:sz w:val="18"/>
            <w:szCs w:val="18"/>
          </w:rPr>
          <w:t>India</w:t>
        </w:r>
      </w:smartTag>
      <w:r w:rsidRPr="00F6786C">
        <w:rPr>
          <w:rFonts w:cs="B Zar"/>
          <w:sz w:val="18"/>
          <w:szCs w:val="18"/>
        </w:rPr>
        <w:t xml:space="preserve">, </w:t>
      </w:r>
      <w:smartTag w:uri="urn:schemas-microsoft-com:office:smarttags" w:element="place">
        <w:smartTag w:uri="urn:schemas-microsoft-com:office:smarttags" w:element="City">
          <w:r w:rsidRPr="00F6786C">
            <w:rPr>
              <w:rFonts w:cs="B Zar"/>
              <w:sz w:val="18"/>
              <w:szCs w:val="18"/>
            </w:rPr>
            <w:t>New Delhi</w:t>
          </w:r>
        </w:smartTag>
      </w:smartTag>
      <w:r w:rsidRPr="00F6786C">
        <w:rPr>
          <w:rFonts w:cs="B Zar"/>
          <w:sz w:val="18"/>
          <w:szCs w:val="18"/>
        </w:rPr>
        <w:t>, 1962. p 21</w:t>
      </w:r>
    </w:p>
  </w:footnote>
  <w:footnote w:id="161">
    <w:p w:rsidR="00C8559C" w:rsidRPr="006A4F74" w:rsidP="0057678E">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 xml:space="preserve">. </w:t>
      </w:r>
      <w:r>
        <w:rPr>
          <w:rFonts w:cs="B Zar" w:hint="cs"/>
          <w:rtl/>
        </w:rPr>
        <w:tab/>
      </w:r>
      <w:r w:rsidRPr="006A4F74">
        <w:rPr>
          <w:rFonts w:cs="B Zar" w:hint="cs"/>
          <w:rtl/>
        </w:rPr>
        <w:t>همان مآخد، ص 48</w:t>
      </w:r>
    </w:p>
  </w:footnote>
  <w:footnote w:id="162">
    <w:p w:rsidR="00C8559C" w:rsidRPr="00F6786C" w:rsidP="00F6786C">
      <w:pPr>
        <w:pStyle w:val="FootnoteText"/>
        <w:bidi w:val="0"/>
        <w:rPr>
          <w:sz w:val="18"/>
          <w:szCs w:val="18"/>
        </w:rPr>
      </w:pPr>
      <w:r w:rsidRPr="00F6786C">
        <w:rPr>
          <w:rStyle w:val="FootnoteReference"/>
          <w:sz w:val="18"/>
          <w:szCs w:val="18"/>
          <w:vertAlign w:val="baseline"/>
        </w:rPr>
        <w:footnoteRef/>
      </w:r>
      <w:r w:rsidRPr="00F6786C">
        <w:rPr>
          <w:sz w:val="18"/>
          <w:szCs w:val="18"/>
        </w:rPr>
        <w:t xml:space="preserve">. </w:t>
      </w:r>
      <w:r w:rsidRPr="00F6786C">
        <w:rPr>
          <w:sz w:val="18"/>
          <w:szCs w:val="18"/>
          <w:rtl/>
        </w:rPr>
        <w:t xml:space="preserve"> </w:t>
      </w:r>
      <w:smartTag w:uri="urn:schemas-microsoft-com:office:smarttags" w:element="place">
        <w:smartTag w:uri="urn:schemas-microsoft-com:office:smarttags" w:element="City">
          <w:r w:rsidRPr="00F6786C">
            <w:rPr>
              <w:rFonts w:cs="B Zar"/>
              <w:sz w:val="18"/>
              <w:szCs w:val="18"/>
            </w:rPr>
            <w:t>Wilson</w:t>
          </w:r>
        </w:smartTag>
      </w:smartTag>
      <w:r w:rsidRPr="00F6786C">
        <w:rPr>
          <w:rFonts w:cs="B Zar"/>
          <w:sz w:val="18"/>
          <w:szCs w:val="18"/>
        </w:rPr>
        <w:t>: Journal of Royal Asiatic Society, Vol 13, 1852, p.206</w:t>
      </w:r>
    </w:p>
  </w:footnote>
  <w:footnote w:id="163">
    <w:p w:rsidR="00C8559C" w:rsidRPr="00F6786C" w:rsidP="005F1878">
      <w:pPr>
        <w:pStyle w:val="FootnoteText"/>
        <w:bidi w:val="0"/>
        <w:spacing w:line="240" w:lineRule="auto"/>
        <w:rPr>
          <w:sz w:val="18"/>
          <w:szCs w:val="18"/>
        </w:rPr>
      </w:pPr>
      <w:r w:rsidRPr="00F6786C">
        <w:rPr>
          <w:rStyle w:val="FootnoteReference"/>
          <w:sz w:val="18"/>
          <w:szCs w:val="18"/>
          <w:vertAlign w:val="baseline"/>
        </w:rPr>
        <w:footnoteRef/>
      </w:r>
      <w:r w:rsidRPr="00F6786C">
        <w:rPr>
          <w:sz w:val="18"/>
          <w:szCs w:val="18"/>
        </w:rPr>
        <w:t xml:space="preserve">. </w:t>
      </w:r>
      <w:r w:rsidRPr="00F6786C">
        <w:rPr>
          <w:sz w:val="18"/>
          <w:szCs w:val="18"/>
          <w:rtl/>
        </w:rPr>
        <w:t xml:space="preserve"> </w:t>
      </w:r>
      <w:r w:rsidRPr="00F6786C">
        <w:rPr>
          <w:rFonts w:cs="B Zar"/>
          <w:sz w:val="18"/>
          <w:szCs w:val="18"/>
        </w:rPr>
        <w:t xml:space="preserve">Radhakrishnan, Dr S:  The Indian Philosophy, </w:t>
      </w:r>
      <w:smartTag w:uri="urn:schemas-microsoft-com:office:smarttags" w:element="place">
        <w:smartTag w:uri="urn:schemas-microsoft-com:office:smarttags" w:element="City">
          <w:r w:rsidRPr="00F6786C">
            <w:rPr>
              <w:rFonts w:cs="B Zar"/>
              <w:sz w:val="18"/>
              <w:szCs w:val="18"/>
            </w:rPr>
            <w:t>New Delhi</w:t>
          </w:r>
        </w:smartTag>
      </w:smartTag>
      <w:r w:rsidRPr="00F6786C">
        <w:rPr>
          <w:rFonts w:cs="B Zar"/>
          <w:sz w:val="18"/>
          <w:szCs w:val="18"/>
        </w:rPr>
        <w:t>, 1989,vol.1,p 66</w:t>
      </w:r>
    </w:p>
  </w:footnote>
  <w:footnote w:id="164">
    <w:p w:rsidR="00C8559C" w:rsidRPr="00F6786C" w:rsidP="005F1878">
      <w:pPr>
        <w:pStyle w:val="FootnoteText"/>
        <w:bidi w:val="0"/>
        <w:spacing w:line="240" w:lineRule="auto"/>
      </w:pPr>
      <w:r w:rsidRPr="00F6786C">
        <w:rPr>
          <w:rStyle w:val="FootnoteReference"/>
          <w:sz w:val="18"/>
          <w:szCs w:val="18"/>
          <w:vertAlign w:val="baseline"/>
        </w:rPr>
        <w:footnoteRef/>
      </w:r>
      <w:r w:rsidRPr="00F6786C">
        <w:rPr>
          <w:sz w:val="18"/>
          <w:szCs w:val="18"/>
        </w:rPr>
        <w:t xml:space="preserve">. </w:t>
      </w:r>
      <w:r w:rsidRPr="00F6786C">
        <w:rPr>
          <w:sz w:val="18"/>
          <w:szCs w:val="18"/>
          <w:rtl/>
        </w:rPr>
        <w:t xml:space="preserve"> </w:t>
      </w:r>
      <w:r w:rsidRPr="00F6786C">
        <w:rPr>
          <w:rFonts w:cs="B Zar"/>
          <w:sz w:val="18"/>
          <w:szCs w:val="18"/>
        </w:rPr>
        <w:t>Das Gupta, S: History of the Indian Philososphy, Vol.1, p 11.</w:t>
      </w:r>
    </w:p>
  </w:footnote>
  <w:footnote w:id="165">
    <w:p w:rsidR="00C8559C" w:rsidRPr="006A4F74" w:rsidP="00415FDA">
      <w:pPr>
        <w:pStyle w:val="FootnoteText"/>
        <w:spacing w:line="240" w:lineRule="auto"/>
        <w:ind w:left="0" w:right="0"/>
        <w:jc w:val="both"/>
        <w:rPr>
          <w:rFonts w:cs="B Zar" w:hint="cs"/>
          <w:rtl/>
        </w:rPr>
      </w:pPr>
      <w:r w:rsidRPr="00415FDA">
        <w:rPr>
          <w:rStyle w:val="FootnoteReference"/>
          <w:rFonts w:ascii="IPT.Zar" w:hAnsi="IPT.Zar" w:cs="B Zar"/>
          <w:sz w:val="24"/>
          <w:szCs w:val="24"/>
          <w:vertAlign w:val="baseline"/>
        </w:rPr>
        <w:footnoteRef/>
      </w:r>
      <w:r w:rsidRPr="00415FDA">
        <w:rPr>
          <w:rFonts w:ascii="IPT.Zar" w:hAnsi="IPT.Zar" w:cs="B Zar"/>
          <w:sz w:val="24"/>
          <w:szCs w:val="24"/>
          <w:rtl/>
        </w:rPr>
        <w:t>.</w:t>
      </w:r>
      <w:r w:rsidRPr="006A4F74">
        <w:rPr>
          <w:rFonts w:cs="B Zar" w:hint="cs"/>
          <w:rtl/>
        </w:rPr>
        <w:t xml:space="preserve"> اوپانيشاد برهدارن ياكا: 4: 5: 12</w:t>
      </w:r>
    </w:p>
  </w:footnote>
  <w:footnote w:id="166">
    <w:p w:rsidR="00C8559C" w:rsidRPr="006A4F74" w:rsidP="00415FDA">
      <w:pPr>
        <w:pStyle w:val="FootnoteText"/>
        <w:spacing w:line="240" w:lineRule="auto"/>
        <w:ind w:left="227" w:right="0" w:hanging="227"/>
        <w:jc w:val="both"/>
        <w:rPr>
          <w:rFonts w:cs="B Zar"/>
        </w:rPr>
      </w:pPr>
      <w:r w:rsidRPr="002031AC">
        <w:rPr>
          <w:rStyle w:val="FootnoteReference"/>
          <w:rFonts w:ascii="IPT.Zar" w:hAnsi="IPT.Zar" w:cs="B Zar"/>
          <w:sz w:val="24"/>
          <w:vertAlign w:val="baseline"/>
        </w:rPr>
        <w:footnoteRef/>
      </w:r>
      <w:r w:rsidRPr="006A4F74">
        <w:rPr>
          <w:rFonts w:cs="B Zar" w:hint="cs"/>
          <w:rtl/>
        </w:rPr>
        <w:t xml:space="preserve">. </w:t>
      </w:r>
      <w:r>
        <w:rPr>
          <w:rFonts w:cs="B Zar" w:hint="cs"/>
          <w:rtl/>
        </w:rPr>
        <w:tab/>
      </w:r>
      <w:r w:rsidRPr="006A4F74">
        <w:rPr>
          <w:rFonts w:cs="B Zar" w:hint="cs"/>
          <w:rtl/>
        </w:rPr>
        <w:t>گيتا: 3: 4: 18</w:t>
      </w:r>
    </w:p>
  </w:footnote>
  <w:footnote w:id="167">
    <w:p w:rsidR="00C8559C" w:rsidRPr="006A4F74" w:rsidP="00415FDA">
      <w:pPr>
        <w:pStyle w:val="FootnoteText"/>
        <w:spacing w:line="240" w:lineRule="auto"/>
        <w:ind w:left="227" w:right="0" w:hanging="227"/>
        <w:jc w:val="both"/>
        <w:rPr>
          <w:rFonts w:cs="B Zar"/>
        </w:rPr>
      </w:pPr>
      <w:r w:rsidRPr="00415FDA">
        <w:rPr>
          <w:rStyle w:val="FootnoteReference"/>
          <w:rFonts w:ascii="IPT.Zar" w:hAnsi="IPT.Zar" w:cs="B Zar"/>
          <w:sz w:val="24"/>
          <w:szCs w:val="24"/>
          <w:vertAlign w:val="baseline"/>
        </w:rPr>
        <w:footnoteRef/>
      </w:r>
      <w:r w:rsidRPr="00415FDA">
        <w:rPr>
          <w:rFonts w:ascii="IPT.Zar" w:hAnsi="IPT.Zar" w:cs="B Zar"/>
          <w:sz w:val="24"/>
          <w:szCs w:val="24"/>
          <w:rtl/>
        </w:rPr>
        <w:t>.</w:t>
      </w:r>
      <w:r w:rsidRPr="006A4F74">
        <w:rPr>
          <w:rFonts w:cs="B Zar" w:hint="cs"/>
          <w:rtl/>
        </w:rPr>
        <w:t xml:space="preserve"> </w:t>
      </w:r>
      <w:r>
        <w:rPr>
          <w:rFonts w:cs="B Zar" w:hint="cs"/>
          <w:rtl/>
        </w:rPr>
        <w:tab/>
      </w:r>
      <w:r w:rsidRPr="006A4F74">
        <w:rPr>
          <w:rFonts w:cs="B Zar" w:hint="cs"/>
          <w:rtl/>
        </w:rPr>
        <w:t>مهابهاراتا: 12: 232 : 24</w:t>
      </w:r>
    </w:p>
  </w:footnote>
  <w:footnote w:id="168">
    <w:p w:rsidR="00C8559C" w:rsidRPr="00B83449" w:rsidP="00B83449">
      <w:pPr>
        <w:pStyle w:val="FootnoteText"/>
        <w:bidi w:val="0"/>
        <w:rPr>
          <w:sz w:val="18"/>
          <w:szCs w:val="18"/>
        </w:rPr>
      </w:pPr>
      <w:r w:rsidRPr="00B83449">
        <w:rPr>
          <w:rStyle w:val="FootnoteReference"/>
          <w:sz w:val="18"/>
          <w:szCs w:val="18"/>
          <w:vertAlign w:val="baseline"/>
        </w:rPr>
        <w:footnoteRef/>
      </w:r>
      <w:r w:rsidRPr="00B83449">
        <w:rPr>
          <w:sz w:val="18"/>
          <w:szCs w:val="18"/>
        </w:rPr>
        <w:t>.</w:t>
      </w:r>
      <w:r>
        <w:rPr>
          <w:sz w:val="18"/>
          <w:szCs w:val="18"/>
        </w:rPr>
        <w:t xml:space="preserve"> </w:t>
      </w:r>
      <w:r w:rsidRPr="00C24ABC">
        <w:rPr>
          <w:rFonts w:cs="Times New Roman"/>
          <w:sz w:val="18"/>
          <w:szCs w:val="18"/>
        </w:rPr>
        <w:t>Das Gupta, S: History of the Indian Philosophy, Vol.1, p 10</w:t>
      </w:r>
    </w:p>
  </w:footnote>
  <w:footnote w:id="169">
    <w:p w:rsidR="00C8559C" w:rsidRPr="006A4F74" w:rsidP="00415FDA">
      <w:pPr>
        <w:pStyle w:val="FootnoteText"/>
        <w:spacing w:line="240" w:lineRule="auto"/>
        <w:ind w:left="227" w:right="0" w:hanging="227"/>
        <w:jc w:val="both"/>
        <w:rPr>
          <w:rFonts w:cs="B Zar"/>
        </w:rPr>
      </w:pPr>
      <w:r w:rsidRPr="002031AC">
        <w:rPr>
          <w:rStyle w:val="FootnoteReference"/>
          <w:rFonts w:ascii="IPT.Zar" w:hAnsi="IPT.Zar" w:cs="B Zar"/>
          <w:sz w:val="24"/>
          <w:vertAlign w:val="baseline"/>
        </w:rPr>
        <w:footnoteRef/>
      </w:r>
      <w:r w:rsidRPr="006A4F74">
        <w:rPr>
          <w:rFonts w:cs="B Zar" w:hint="cs"/>
          <w:rtl/>
        </w:rPr>
        <w:t xml:space="preserve">. </w:t>
      </w:r>
      <w:r>
        <w:rPr>
          <w:rFonts w:cs="B Zar" w:hint="cs"/>
          <w:rtl/>
        </w:rPr>
        <w:tab/>
      </w:r>
      <w:r w:rsidRPr="006A4F74">
        <w:rPr>
          <w:rFonts w:cs="B Zar" w:hint="cs"/>
          <w:rtl/>
        </w:rPr>
        <w:t>همان، ج 1، ص 10</w:t>
      </w:r>
    </w:p>
  </w:footnote>
  <w:footnote w:id="170">
    <w:p w:rsidR="00C8559C" w:rsidRPr="006A4F74" w:rsidP="00210EF9">
      <w:pPr>
        <w:pStyle w:val="FootnoteText"/>
        <w:spacing w:line="240" w:lineRule="auto"/>
        <w:ind w:left="227" w:right="0" w:hanging="227"/>
        <w:jc w:val="both"/>
        <w:rPr>
          <w:rFonts w:cs="B Zar" w:hint="cs"/>
          <w:rtl/>
        </w:rPr>
      </w:pPr>
      <w:r w:rsidRPr="00415FDA">
        <w:rPr>
          <w:rStyle w:val="FootnoteReference"/>
          <w:rFonts w:ascii="IPT.Zar" w:hAnsi="IPT.Zar" w:cs="B Zar"/>
          <w:sz w:val="24"/>
          <w:szCs w:val="24"/>
          <w:vertAlign w:val="baseline"/>
        </w:rPr>
        <w:footnoteRef/>
      </w:r>
      <w:r w:rsidRPr="00415FDA">
        <w:rPr>
          <w:rFonts w:ascii="IPT.Zar" w:hAnsi="IPT.Zar" w:cs="B Zar"/>
          <w:sz w:val="24"/>
          <w:szCs w:val="24"/>
          <w:rtl/>
        </w:rPr>
        <w:t>.</w:t>
      </w:r>
      <w:r>
        <w:rPr>
          <w:rFonts w:cs="B Zar" w:hint="cs"/>
          <w:rtl/>
        </w:rPr>
        <w:t xml:space="preserve"> </w:t>
      </w:r>
      <w:r w:rsidRPr="006A4F74">
        <w:rPr>
          <w:rFonts w:cs="B Zar" w:hint="cs"/>
          <w:rtl/>
        </w:rPr>
        <w:t xml:space="preserve"> همان ، ص 11</w:t>
      </w:r>
    </w:p>
  </w:footnote>
  <w:footnote w:id="171">
    <w:p w:rsidR="00C8559C" w:rsidRPr="006A4F74" w:rsidP="00415FDA">
      <w:pPr>
        <w:pStyle w:val="FootnoteText"/>
        <w:spacing w:line="240" w:lineRule="auto"/>
        <w:ind w:left="227" w:right="0" w:hanging="227"/>
        <w:jc w:val="both"/>
        <w:rPr>
          <w:rFonts w:cs="B Zar" w:hint="cs"/>
          <w:rtl/>
        </w:rPr>
      </w:pPr>
      <w:r w:rsidRPr="00415FDA">
        <w:rPr>
          <w:rStyle w:val="FootnoteReference"/>
          <w:rFonts w:ascii="IPT.Zar" w:hAnsi="IPT.Zar" w:cs="B Zar"/>
          <w:sz w:val="24"/>
          <w:szCs w:val="24"/>
          <w:vertAlign w:val="baseline"/>
        </w:rPr>
        <w:footnoteRef/>
      </w:r>
      <w:r w:rsidRPr="00415FDA">
        <w:rPr>
          <w:rFonts w:ascii="IPT.Zar" w:hAnsi="IPT.Zar" w:cs="B Zar"/>
          <w:sz w:val="24"/>
          <w:szCs w:val="24"/>
          <w:rtl/>
        </w:rPr>
        <w:t>.</w:t>
      </w:r>
      <w:r>
        <w:rPr>
          <w:rFonts w:cs="B Zar" w:hint="cs"/>
          <w:rtl/>
        </w:rPr>
        <w:t xml:space="preserve"> </w:t>
        <w:tab/>
      </w:r>
      <w:r w:rsidRPr="006A4F74">
        <w:rPr>
          <w:rFonts w:cs="B Zar" w:hint="cs"/>
          <w:rtl/>
        </w:rPr>
        <w:t xml:space="preserve"> همان، ج پ، ص 11</w:t>
      </w:r>
    </w:p>
  </w:footnote>
  <w:footnote w:id="172">
    <w:p w:rsidR="00C8559C" w:rsidRPr="006A4F74" w:rsidP="00415FDA">
      <w:pPr>
        <w:pStyle w:val="FootnoteText"/>
        <w:spacing w:line="240" w:lineRule="auto"/>
        <w:ind w:left="0" w:right="0"/>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r>
      <w:r w:rsidRPr="006A4F74">
        <w:rPr>
          <w:rFonts w:cs="B Zar" w:hint="cs"/>
          <w:rtl/>
        </w:rPr>
        <w:t xml:space="preserve"> بهگوت گيتا</w:t>
      </w:r>
    </w:p>
  </w:footnote>
  <w:footnote w:id="173">
    <w:p w:rsidR="00C8559C" w:rsidRPr="00C24ABC" w:rsidP="00F35F0B">
      <w:pPr>
        <w:pStyle w:val="FootnoteText"/>
        <w:bidi w:val="0"/>
        <w:spacing w:line="240" w:lineRule="auto"/>
        <w:rPr>
          <w:rFonts w:hint="cs"/>
          <w:sz w:val="18"/>
          <w:szCs w:val="18"/>
        </w:rPr>
      </w:pPr>
      <w:r w:rsidRPr="00C24ABC">
        <w:rPr>
          <w:rStyle w:val="FootnoteReference"/>
          <w:sz w:val="18"/>
          <w:szCs w:val="18"/>
          <w:vertAlign w:val="baseline"/>
        </w:rPr>
        <w:footnoteRef/>
      </w:r>
      <w:r w:rsidRPr="00C24ABC">
        <w:rPr>
          <w:sz w:val="18"/>
          <w:szCs w:val="18"/>
        </w:rPr>
        <w:t xml:space="preserve">. </w:t>
      </w:r>
      <w:r w:rsidRPr="00C24ABC">
        <w:rPr>
          <w:sz w:val="18"/>
          <w:szCs w:val="18"/>
          <w:rtl/>
        </w:rPr>
        <w:t xml:space="preserve"> </w:t>
      </w:r>
      <w:r w:rsidRPr="00C24ABC">
        <w:rPr>
          <w:rFonts w:cs="Times New Roman"/>
          <w:sz w:val="18"/>
          <w:szCs w:val="18"/>
        </w:rPr>
        <w:t>Das Gupta, S: History of the Indian Philosophy, Vol.1, p 11.</w:t>
      </w:r>
    </w:p>
  </w:footnote>
  <w:footnote w:id="174">
    <w:p w:rsidR="00C8559C" w:rsidRPr="006A4F74" w:rsidP="00415FDA">
      <w:pPr>
        <w:pStyle w:val="FootnoteText"/>
        <w:spacing w:line="240" w:lineRule="auto"/>
        <w:ind w:left="0" w:right="0"/>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r>
      <w:r w:rsidRPr="006A4F74">
        <w:rPr>
          <w:rFonts w:cs="B Zar" w:hint="cs"/>
          <w:rtl/>
        </w:rPr>
        <w:t xml:space="preserve"> رش</w:t>
      </w:r>
    </w:p>
    <w:p w:rsidR="00C8559C" w:rsidRPr="00C24ABC" w:rsidP="00F35F0B">
      <w:pPr>
        <w:pStyle w:val="FootnoteText"/>
        <w:bidi w:val="0"/>
        <w:spacing w:line="240" w:lineRule="auto"/>
        <w:rPr>
          <w:rFonts w:cs="B Zar"/>
          <w:sz w:val="18"/>
          <w:szCs w:val="18"/>
        </w:rPr>
      </w:pPr>
      <w:r>
        <w:rPr>
          <w:rFonts w:cs="B Zar"/>
          <w:sz w:val="18"/>
          <w:szCs w:val="18"/>
        </w:rPr>
        <w:t xml:space="preserve">      </w:t>
      </w:r>
      <w:r w:rsidRPr="00C24ABC">
        <w:rPr>
          <w:rFonts w:cs="B Zar"/>
          <w:sz w:val="18"/>
          <w:szCs w:val="18"/>
        </w:rPr>
        <w:t xml:space="preserve">Zenaid A.Razogin: History of Vedic </w:t>
      </w:r>
      <w:smartTag w:uri="urn:schemas-microsoft-com:office:smarttags" w:element="country-region">
        <w:r w:rsidRPr="00C24ABC">
          <w:rPr>
            <w:rFonts w:cs="B Zar"/>
            <w:sz w:val="18"/>
            <w:szCs w:val="18"/>
          </w:rPr>
          <w:t>India</w:t>
        </w:r>
      </w:smartTag>
      <w:r w:rsidRPr="00C24ABC">
        <w:rPr>
          <w:rFonts w:cs="B Zar"/>
          <w:sz w:val="18"/>
          <w:szCs w:val="18"/>
        </w:rPr>
        <w:t xml:space="preserve">, Mittal Publication, </w:t>
      </w:r>
      <w:smartTag w:uri="urn:schemas-microsoft-com:office:smarttags" w:element="place">
        <w:smartTag w:uri="urn:schemas-microsoft-com:office:smarttags" w:element="City">
          <w:r w:rsidRPr="00C24ABC">
            <w:rPr>
              <w:rFonts w:cs="B Zar"/>
              <w:sz w:val="18"/>
              <w:szCs w:val="18"/>
            </w:rPr>
            <w:t>Delhi</w:t>
          </w:r>
        </w:smartTag>
      </w:smartTag>
      <w:r w:rsidRPr="00C24ABC">
        <w:rPr>
          <w:rFonts w:cs="B Zar"/>
          <w:sz w:val="18"/>
          <w:szCs w:val="18"/>
        </w:rPr>
        <w:t>, 1984</w:t>
      </w:r>
    </w:p>
  </w:footnote>
  <w:footnote w:id="175">
    <w:p w:rsidR="00C8559C" w:rsidRPr="006A4F74" w:rsidP="00415FDA">
      <w:pPr>
        <w:pStyle w:val="FootnoteText"/>
        <w:spacing w:line="240" w:lineRule="auto"/>
        <w:ind w:left="0" w:right="0"/>
        <w:jc w:val="both"/>
        <w:rPr>
          <w:rFonts w:cs="B Zar" w:hint="cs"/>
          <w:rtl/>
        </w:rPr>
      </w:pPr>
      <w:r w:rsidRPr="00415FDA">
        <w:rPr>
          <w:rStyle w:val="FootnoteReference"/>
          <w:rFonts w:ascii="IPT.Zar" w:hAnsi="IPT.Zar" w:cs="B Zar"/>
          <w:sz w:val="24"/>
          <w:szCs w:val="24"/>
          <w:vertAlign w:val="baseline"/>
        </w:rPr>
        <w:footnoteRef/>
      </w:r>
      <w:r w:rsidRPr="00415FDA">
        <w:rPr>
          <w:rFonts w:ascii="IPT.Zar" w:hAnsi="IPT.Zar" w:cs="B Zar"/>
          <w:sz w:val="24"/>
          <w:szCs w:val="24"/>
          <w:rtl/>
        </w:rPr>
        <w:t>.</w:t>
      </w:r>
      <w:r w:rsidRPr="006A4F74">
        <w:rPr>
          <w:rFonts w:cs="B Zar" w:hint="cs"/>
          <w:rtl/>
        </w:rPr>
        <w:t xml:space="preserve"> ريگ ودا: 1: 85: 5، 1: 64: 14، 5: 54: 15 و 6: 10: 7</w:t>
      </w:r>
    </w:p>
  </w:footnote>
  <w:footnote w:id="176">
    <w:p w:rsidR="00C8559C" w:rsidRPr="00415FDA" w:rsidP="00C24ABC">
      <w:pPr>
        <w:pStyle w:val="FootnoteText"/>
        <w:bidi w:val="0"/>
        <w:rPr>
          <w:rFonts w:hint="cs"/>
          <w:sz w:val="18"/>
          <w:szCs w:val="18"/>
        </w:rPr>
      </w:pPr>
      <w:r w:rsidRPr="00415FDA">
        <w:rPr>
          <w:rStyle w:val="FootnoteReference"/>
          <w:sz w:val="18"/>
          <w:szCs w:val="18"/>
          <w:vertAlign w:val="baseline"/>
        </w:rPr>
        <w:footnoteRef/>
      </w:r>
      <w:r w:rsidRPr="00415FDA">
        <w:rPr>
          <w:sz w:val="18"/>
          <w:szCs w:val="18"/>
        </w:rPr>
        <w:t xml:space="preserve">. </w:t>
      </w:r>
      <w:r w:rsidRPr="00415FDA">
        <w:rPr>
          <w:rFonts w:cs="Times New Roman"/>
          <w:sz w:val="18"/>
          <w:szCs w:val="18"/>
          <w:rtl/>
        </w:rPr>
        <w:t xml:space="preserve"> </w:t>
      </w:r>
      <w:r w:rsidRPr="00415FDA">
        <w:rPr>
          <w:rFonts w:cs="Times New Roman"/>
          <w:sz w:val="18"/>
          <w:szCs w:val="18"/>
        </w:rPr>
        <w:t xml:space="preserve">Tilak, B.G.: The Arctic Home in the Vedas, </w:t>
      </w:r>
      <w:smartTag w:uri="urn:schemas-microsoft-com:office:smarttags" w:element="place">
        <w:smartTag w:uri="urn:schemas-microsoft-com:office:smarttags" w:element="City">
          <w:r w:rsidRPr="00415FDA">
            <w:rPr>
              <w:rFonts w:cs="Times New Roman"/>
              <w:sz w:val="18"/>
              <w:szCs w:val="18"/>
            </w:rPr>
            <w:t>Bombay</w:t>
          </w:r>
        </w:smartTag>
      </w:smartTag>
      <w:r w:rsidRPr="00415FDA">
        <w:rPr>
          <w:rFonts w:cs="Times New Roman"/>
          <w:sz w:val="18"/>
          <w:szCs w:val="18"/>
        </w:rPr>
        <w:t>, 1927</w:t>
      </w:r>
    </w:p>
  </w:footnote>
  <w:footnote w:id="177">
    <w:p w:rsidR="00C8559C" w:rsidRPr="00DE4174" w:rsidP="00DE4174">
      <w:pPr>
        <w:pStyle w:val="FootnoteText"/>
        <w:bidi w:val="0"/>
        <w:spacing w:line="240" w:lineRule="exact"/>
        <w:ind w:left="227" w:hanging="227"/>
        <w:rPr>
          <w:sz w:val="18"/>
          <w:szCs w:val="18"/>
        </w:rPr>
      </w:pPr>
      <w:r w:rsidRPr="00DE4174">
        <w:rPr>
          <w:rStyle w:val="FootnoteReference"/>
          <w:sz w:val="18"/>
          <w:szCs w:val="18"/>
          <w:vertAlign w:val="baseline"/>
        </w:rPr>
        <w:footnoteRef/>
      </w:r>
      <w:r w:rsidRPr="00DE4174">
        <w:rPr>
          <w:sz w:val="18"/>
          <w:szCs w:val="18"/>
        </w:rPr>
        <w:t xml:space="preserve">. </w:t>
      </w:r>
      <w:r w:rsidRPr="00DE4174">
        <w:rPr>
          <w:rFonts w:cs="Times New Roman"/>
          <w:sz w:val="18"/>
          <w:szCs w:val="18"/>
          <w:rtl/>
        </w:rPr>
        <w:t xml:space="preserve"> </w:t>
      </w:r>
      <w:r w:rsidRPr="00DE4174">
        <w:rPr>
          <w:rFonts w:cs="B Zar"/>
          <w:sz w:val="18"/>
          <w:szCs w:val="18"/>
        </w:rPr>
        <w:t xml:space="preserve">Mujumdar,  A.Kumar: Early Hindu India,Cosmo Publishers, </w:t>
      </w:r>
      <w:smartTag w:uri="urn:schemas-microsoft-com:office:smarttags" w:element="place">
        <w:smartTag w:uri="urn:schemas-microsoft-com:office:smarttags" w:element="City">
          <w:r w:rsidRPr="00DE4174">
            <w:rPr>
              <w:rFonts w:cs="B Zar"/>
              <w:sz w:val="18"/>
              <w:szCs w:val="18"/>
            </w:rPr>
            <w:t>Delhi</w:t>
          </w:r>
        </w:smartTag>
      </w:smartTag>
      <w:r w:rsidRPr="00DE4174">
        <w:rPr>
          <w:rFonts w:cs="B Zar"/>
          <w:sz w:val="18"/>
          <w:szCs w:val="18"/>
        </w:rPr>
        <w:t>, 1981, p 91 onwards</w:t>
      </w:r>
    </w:p>
  </w:footnote>
  <w:footnote w:id="178">
    <w:p w:rsidR="00C8559C" w:rsidRPr="006A4F74" w:rsidP="00415FDA">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r>
      <w:r w:rsidRPr="006A4F74">
        <w:rPr>
          <w:rFonts w:cs="B Zar" w:hint="cs"/>
          <w:rtl/>
        </w:rPr>
        <w:t xml:space="preserve"> </w:t>
      </w:r>
      <w:r>
        <w:rPr>
          <w:rFonts w:cs="B Zar" w:hint="cs"/>
          <w:rtl/>
        </w:rPr>
        <w:tab/>
      </w:r>
      <w:r w:rsidRPr="006A4F74">
        <w:rPr>
          <w:rFonts w:cs="B Zar" w:hint="cs"/>
          <w:rtl/>
        </w:rPr>
        <w:t>ريگ ودا: 9 : 112</w:t>
      </w:r>
    </w:p>
  </w:footnote>
  <w:footnote w:id="179">
    <w:p w:rsidR="00C8559C" w:rsidRPr="006A4F74" w:rsidP="00415FDA">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tab/>
      </w:r>
      <w:r w:rsidRPr="006A4F74">
        <w:rPr>
          <w:rFonts w:cs="B Zar" w:hint="cs"/>
          <w:rtl/>
        </w:rPr>
        <w:t xml:space="preserve"> همان مأخذ: 8: 91</w:t>
      </w:r>
    </w:p>
  </w:footnote>
  <w:footnote w:id="180">
    <w:p w:rsidR="00C8559C" w:rsidRPr="001817C5" w:rsidP="001817C5">
      <w:pPr>
        <w:pStyle w:val="FootnoteText"/>
        <w:bidi w:val="0"/>
        <w:spacing w:line="240" w:lineRule="exact"/>
        <w:rPr>
          <w:sz w:val="18"/>
          <w:szCs w:val="18"/>
        </w:rPr>
      </w:pPr>
      <w:r w:rsidRPr="001817C5">
        <w:rPr>
          <w:rStyle w:val="FootnoteReference"/>
          <w:sz w:val="18"/>
          <w:szCs w:val="18"/>
          <w:vertAlign w:val="baseline"/>
        </w:rPr>
        <w:footnoteRef/>
      </w:r>
      <w:r w:rsidRPr="001817C5">
        <w:rPr>
          <w:sz w:val="18"/>
          <w:szCs w:val="18"/>
        </w:rPr>
        <w:t xml:space="preserve">. </w:t>
      </w:r>
      <w:r w:rsidRPr="001817C5">
        <w:rPr>
          <w:rFonts w:cs="Times New Roman"/>
          <w:sz w:val="18"/>
          <w:szCs w:val="18"/>
          <w:rtl/>
        </w:rPr>
        <w:t xml:space="preserve"> </w:t>
      </w:r>
      <w:r w:rsidRPr="001817C5">
        <w:rPr>
          <w:rFonts w:cs="Times New Roman"/>
          <w:sz w:val="18"/>
          <w:szCs w:val="18"/>
        </w:rPr>
        <w:t xml:space="preserve">Mujumdar,  A.Kumar: Early Hindu </w:t>
      </w:r>
      <w:smartTag w:uri="urn:schemas-microsoft-com:office:smarttags" w:element="place">
        <w:smartTag w:uri="urn:schemas-microsoft-com:office:smarttags" w:element="country-region">
          <w:r w:rsidRPr="001817C5">
            <w:rPr>
              <w:rFonts w:cs="Times New Roman"/>
              <w:sz w:val="18"/>
              <w:szCs w:val="18"/>
            </w:rPr>
            <w:t>India</w:t>
          </w:r>
        </w:smartTag>
      </w:smartTag>
      <w:r w:rsidRPr="001817C5">
        <w:rPr>
          <w:rFonts w:cs="Times New Roman"/>
          <w:sz w:val="18"/>
          <w:szCs w:val="18"/>
        </w:rPr>
        <w:t>, P 269</w:t>
      </w:r>
    </w:p>
  </w:footnote>
  <w:footnote w:id="181">
    <w:p w:rsidR="00C8559C" w:rsidRPr="001817C5" w:rsidP="001817C5">
      <w:pPr>
        <w:pStyle w:val="FootnoteText"/>
        <w:bidi w:val="0"/>
        <w:spacing w:line="240" w:lineRule="exact"/>
        <w:rPr>
          <w:sz w:val="18"/>
          <w:szCs w:val="18"/>
        </w:rPr>
      </w:pPr>
      <w:r w:rsidRPr="001817C5">
        <w:rPr>
          <w:rStyle w:val="FootnoteReference"/>
          <w:sz w:val="18"/>
          <w:szCs w:val="18"/>
          <w:vertAlign w:val="baseline"/>
        </w:rPr>
        <w:footnoteRef/>
      </w:r>
      <w:r w:rsidRPr="001817C5">
        <w:rPr>
          <w:sz w:val="18"/>
          <w:szCs w:val="18"/>
        </w:rPr>
        <w:t xml:space="preserve">. </w:t>
      </w:r>
      <w:r w:rsidRPr="001817C5">
        <w:rPr>
          <w:rFonts w:cs="Times New Roman"/>
          <w:sz w:val="18"/>
          <w:szCs w:val="18"/>
          <w:rtl/>
        </w:rPr>
        <w:t xml:space="preserve"> </w:t>
      </w:r>
      <w:r w:rsidRPr="001817C5">
        <w:rPr>
          <w:rFonts w:cs="Times New Roman"/>
          <w:sz w:val="18"/>
          <w:szCs w:val="18"/>
        </w:rPr>
        <w:t xml:space="preserve">Razogin, Zenaid A.: History of Vedic </w:t>
      </w:r>
      <w:smartTag w:uri="urn:schemas-microsoft-com:office:smarttags" w:element="place">
        <w:smartTag w:uri="urn:schemas-microsoft-com:office:smarttags" w:element="country-region">
          <w:r w:rsidRPr="001817C5">
            <w:rPr>
              <w:rFonts w:cs="Times New Roman"/>
              <w:sz w:val="18"/>
              <w:szCs w:val="18"/>
            </w:rPr>
            <w:t>India</w:t>
          </w:r>
        </w:smartTag>
      </w:smartTag>
      <w:r w:rsidRPr="001817C5">
        <w:rPr>
          <w:rFonts w:cs="Times New Roman"/>
          <w:sz w:val="18"/>
          <w:szCs w:val="18"/>
        </w:rPr>
        <w:t>, P 144</w:t>
      </w:r>
    </w:p>
  </w:footnote>
  <w:footnote w:id="182">
    <w:p w:rsidR="00C8559C" w:rsidRPr="00580039" w:rsidP="001817C5">
      <w:pPr>
        <w:pStyle w:val="FootnoteText"/>
        <w:bidi w:val="0"/>
        <w:spacing w:line="240" w:lineRule="exact"/>
      </w:pPr>
      <w:r w:rsidRPr="001817C5">
        <w:rPr>
          <w:rStyle w:val="FootnoteReference"/>
          <w:sz w:val="18"/>
          <w:szCs w:val="18"/>
          <w:vertAlign w:val="baseline"/>
        </w:rPr>
        <w:footnoteRef/>
      </w:r>
      <w:r w:rsidRPr="001817C5">
        <w:rPr>
          <w:sz w:val="18"/>
          <w:szCs w:val="18"/>
        </w:rPr>
        <w:t xml:space="preserve">. </w:t>
      </w:r>
      <w:r w:rsidRPr="001817C5">
        <w:rPr>
          <w:rFonts w:cs="Times New Roman"/>
          <w:sz w:val="18"/>
          <w:szCs w:val="18"/>
          <w:rtl/>
        </w:rPr>
        <w:t xml:space="preserve"> </w:t>
      </w:r>
      <w:r w:rsidRPr="001817C5">
        <w:rPr>
          <w:rFonts w:cs="Times New Roman"/>
          <w:sz w:val="18"/>
          <w:szCs w:val="18"/>
        </w:rPr>
        <w:t xml:space="preserve">Mujumdar,  A.Kumar: Early Hindu </w:t>
      </w:r>
      <w:smartTag w:uri="urn:schemas-microsoft-com:office:smarttags" w:element="place">
        <w:smartTag w:uri="urn:schemas-microsoft-com:office:smarttags" w:element="country-region">
          <w:r w:rsidRPr="001817C5">
            <w:rPr>
              <w:rFonts w:cs="Times New Roman"/>
              <w:sz w:val="18"/>
              <w:szCs w:val="18"/>
            </w:rPr>
            <w:t>India</w:t>
          </w:r>
        </w:smartTag>
      </w:smartTag>
      <w:r w:rsidRPr="001817C5">
        <w:rPr>
          <w:rFonts w:cs="Times New Roman"/>
          <w:sz w:val="18"/>
          <w:szCs w:val="18"/>
        </w:rPr>
        <w:t>, P 44-45</w:t>
      </w:r>
    </w:p>
  </w:footnote>
  <w:footnote w:id="183">
    <w:p w:rsidR="00C8559C" w:rsidRPr="006A4F74" w:rsidP="00415FDA">
      <w:pPr>
        <w:pStyle w:val="FootnoteText"/>
        <w:spacing w:line="240" w:lineRule="auto"/>
        <w:ind w:left="0" w:right="0"/>
        <w:jc w:val="both"/>
        <w:rPr>
          <w:rFonts w:cs="B Zar" w:hint="cs"/>
          <w:rtl/>
        </w:rPr>
      </w:pPr>
      <w:r w:rsidRPr="00415FDA">
        <w:rPr>
          <w:rStyle w:val="FootnoteReference"/>
          <w:rFonts w:ascii="IPT.Zar" w:hAnsi="IPT.Zar" w:cs="B Zar"/>
          <w:sz w:val="24"/>
          <w:szCs w:val="24"/>
          <w:vertAlign w:val="baseline"/>
        </w:rPr>
        <w:footnoteRef/>
      </w:r>
      <w:r w:rsidRPr="00415FDA">
        <w:rPr>
          <w:rFonts w:ascii="IPT.Zar" w:hAnsi="IPT.Zar" w:cs="B Zar"/>
          <w:sz w:val="24"/>
          <w:szCs w:val="24"/>
          <w:rtl/>
        </w:rPr>
        <w:t>.</w:t>
      </w:r>
      <w:r>
        <w:rPr>
          <w:rFonts w:cs="B Zar" w:hint="cs"/>
          <w:rtl/>
        </w:rPr>
        <w:t xml:space="preserve"> </w:t>
      </w:r>
      <w:r w:rsidRPr="006A4F74">
        <w:rPr>
          <w:rFonts w:cs="B Zar" w:hint="cs"/>
          <w:rtl/>
        </w:rPr>
        <w:t xml:space="preserve"> </w:t>
      </w:r>
      <w:r>
        <w:rPr>
          <w:rFonts w:cs="B Zar" w:hint="cs"/>
          <w:rtl/>
        </w:rPr>
        <w:t xml:space="preserve"> </w:t>
      </w:r>
      <w:r w:rsidRPr="006A4F74">
        <w:rPr>
          <w:rFonts w:cs="B Zar" w:hint="cs"/>
          <w:rtl/>
        </w:rPr>
        <w:t>رامايان، كتاب رام سند، بند 36</w:t>
      </w:r>
    </w:p>
  </w:footnote>
  <w:footnote w:id="184">
    <w:p w:rsidR="00C8559C" w:rsidRPr="001817C5" w:rsidP="001817C5">
      <w:pPr>
        <w:pStyle w:val="FootnoteText"/>
        <w:bidi w:val="0"/>
        <w:rPr>
          <w:rFonts w:hint="cs"/>
          <w:sz w:val="18"/>
          <w:szCs w:val="18"/>
        </w:rPr>
      </w:pPr>
      <w:r w:rsidRPr="001817C5">
        <w:rPr>
          <w:rStyle w:val="FootnoteReference"/>
          <w:sz w:val="18"/>
          <w:szCs w:val="18"/>
          <w:vertAlign w:val="baseline"/>
        </w:rPr>
        <w:footnoteRef/>
      </w:r>
      <w:r w:rsidRPr="001817C5">
        <w:rPr>
          <w:sz w:val="18"/>
          <w:szCs w:val="18"/>
        </w:rPr>
        <w:t xml:space="preserve">. </w:t>
      </w:r>
      <w:r w:rsidRPr="001817C5">
        <w:rPr>
          <w:rFonts w:cs="Times New Roman"/>
          <w:sz w:val="18"/>
          <w:szCs w:val="18"/>
          <w:rtl/>
        </w:rPr>
        <w:t xml:space="preserve"> </w:t>
      </w:r>
      <w:r w:rsidRPr="001817C5">
        <w:rPr>
          <w:rFonts w:cs="B Zar"/>
          <w:sz w:val="18"/>
          <w:szCs w:val="18"/>
        </w:rPr>
        <w:t xml:space="preserve">Mujumdar,  A.Kumar: Early Hindu </w:t>
      </w:r>
      <w:smartTag w:uri="urn:schemas-microsoft-com:office:smarttags" w:element="place">
        <w:smartTag w:uri="urn:schemas-microsoft-com:office:smarttags" w:element="country-region">
          <w:r w:rsidRPr="001817C5">
            <w:rPr>
              <w:rFonts w:cs="B Zar"/>
              <w:sz w:val="18"/>
              <w:szCs w:val="18"/>
            </w:rPr>
            <w:t>India</w:t>
          </w:r>
        </w:smartTag>
      </w:smartTag>
      <w:r w:rsidRPr="001817C5">
        <w:rPr>
          <w:rFonts w:cs="B Zar"/>
          <w:sz w:val="18"/>
          <w:szCs w:val="18"/>
        </w:rPr>
        <w:t>, P46-50,</w:t>
      </w:r>
    </w:p>
  </w:footnote>
  <w:footnote w:id="185">
    <w:p w:rsidR="00C8559C" w:rsidRPr="004B308A" w:rsidP="004B308A">
      <w:pPr>
        <w:pStyle w:val="FootnoteText"/>
        <w:bidi w:val="0"/>
        <w:spacing w:line="240" w:lineRule="exact"/>
        <w:rPr>
          <w:rFonts w:hint="cs"/>
          <w:sz w:val="18"/>
          <w:szCs w:val="18"/>
        </w:rPr>
      </w:pPr>
      <w:r w:rsidRPr="004B308A">
        <w:rPr>
          <w:rStyle w:val="FootnoteReference"/>
          <w:sz w:val="18"/>
          <w:szCs w:val="18"/>
          <w:vertAlign w:val="baseline"/>
        </w:rPr>
        <w:footnoteRef/>
      </w:r>
      <w:r w:rsidRPr="004B308A">
        <w:rPr>
          <w:sz w:val="18"/>
          <w:szCs w:val="18"/>
        </w:rPr>
        <w:t xml:space="preserve">. </w:t>
      </w:r>
      <w:r w:rsidRPr="004B308A">
        <w:rPr>
          <w:rFonts w:cs="Times New Roman"/>
          <w:sz w:val="18"/>
          <w:szCs w:val="18"/>
          <w:rtl/>
        </w:rPr>
        <w:t xml:space="preserve"> </w:t>
      </w:r>
      <w:r w:rsidRPr="004B308A">
        <w:rPr>
          <w:rFonts w:cs="Times New Roman"/>
          <w:sz w:val="18"/>
          <w:szCs w:val="18"/>
        </w:rPr>
        <w:t xml:space="preserve">Radhakrishnan, Dr S:  The Indian Philosophy, </w:t>
      </w:r>
      <w:smartTag w:uri="urn:schemas-microsoft-com:office:smarttags" w:element="place">
        <w:smartTag w:uri="urn:schemas-microsoft-com:office:smarttags" w:element="City">
          <w:r w:rsidRPr="004B308A">
            <w:rPr>
              <w:rFonts w:cs="Times New Roman"/>
              <w:sz w:val="18"/>
              <w:szCs w:val="18"/>
            </w:rPr>
            <w:t>New Delhi</w:t>
          </w:r>
        </w:smartTag>
      </w:smartTag>
      <w:r w:rsidRPr="004B308A">
        <w:rPr>
          <w:rFonts w:cs="Times New Roman"/>
          <w:sz w:val="18"/>
          <w:szCs w:val="18"/>
        </w:rPr>
        <w:t>, 1989  , p76</w:t>
      </w:r>
    </w:p>
  </w:footnote>
  <w:footnote w:id="186">
    <w:p w:rsidR="00C8559C" w:rsidRPr="00AC3629" w:rsidP="00AC3629">
      <w:pPr>
        <w:pStyle w:val="FootnoteText"/>
        <w:bidi w:val="0"/>
        <w:spacing w:line="260" w:lineRule="exact"/>
        <w:rPr>
          <w:sz w:val="18"/>
          <w:szCs w:val="18"/>
        </w:rPr>
      </w:pPr>
      <w:r w:rsidRPr="00AC3629">
        <w:rPr>
          <w:rStyle w:val="FootnoteReference"/>
          <w:sz w:val="18"/>
          <w:szCs w:val="18"/>
          <w:vertAlign w:val="baseline"/>
        </w:rPr>
        <w:footnoteRef/>
      </w:r>
      <w:r w:rsidRPr="00AC3629">
        <w:rPr>
          <w:sz w:val="18"/>
          <w:szCs w:val="18"/>
        </w:rPr>
        <w:t xml:space="preserve">. </w:t>
      </w:r>
      <w:r w:rsidRPr="00AC3629">
        <w:rPr>
          <w:sz w:val="18"/>
          <w:szCs w:val="18"/>
          <w:rtl/>
        </w:rPr>
        <w:t xml:space="preserve"> </w:t>
      </w:r>
      <w:r w:rsidRPr="00AC3629">
        <w:rPr>
          <w:rFonts w:cs="Times New Roman"/>
          <w:sz w:val="18"/>
          <w:szCs w:val="18"/>
        </w:rPr>
        <w:t xml:space="preserve">Mujumdar,  A.Kumar: Early Hindu </w:t>
      </w:r>
      <w:smartTag w:uri="urn:schemas-microsoft-com:office:smarttags" w:element="place">
        <w:smartTag w:uri="urn:schemas-microsoft-com:office:smarttags" w:element="country-region">
          <w:r w:rsidRPr="00AC3629">
            <w:rPr>
              <w:rFonts w:cs="Times New Roman"/>
              <w:sz w:val="18"/>
              <w:szCs w:val="18"/>
            </w:rPr>
            <w:t>India</w:t>
          </w:r>
        </w:smartTag>
      </w:smartTag>
      <w:r w:rsidRPr="00AC3629">
        <w:rPr>
          <w:rFonts w:cs="Times New Roman"/>
          <w:sz w:val="18"/>
          <w:szCs w:val="18"/>
        </w:rPr>
        <w:t>, P 265</w:t>
      </w:r>
    </w:p>
  </w:footnote>
  <w:footnote w:id="187">
    <w:p w:rsidR="00C8559C" w:rsidRPr="006A4F74" w:rsidP="00415FDA">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 xml:space="preserve">. </w:t>
      </w:r>
      <w:r>
        <w:rPr>
          <w:rFonts w:cs="B Zar" w:hint="cs"/>
          <w:rtl/>
        </w:rPr>
        <w:t xml:space="preserve"> </w:t>
      </w:r>
      <w:r w:rsidRPr="006A4F74">
        <w:rPr>
          <w:rFonts w:cs="B Zar" w:hint="cs"/>
          <w:rtl/>
        </w:rPr>
        <w:t>شهيد مرتضي مطهري: مقدمه اي بر جهان بيني اسلامي (رساله جهان بيني)، ص 64، دفتر انتشارات اسلامي، قم ، زمستان 1362</w:t>
      </w:r>
    </w:p>
  </w:footnote>
  <w:footnote w:id="188">
    <w:p w:rsidR="00C8559C" w:rsidRPr="006A4F74" w:rsidP="00236015">
      <w:pPr>
        <w:pStyle w:val="FootnoteText"/>
        <w:spacing w:line="240" w:lineRule="auto"/>
        <w:ind w:left="0" w:right="0"/>
        <w:jc w:val="both"/>
        <w:rPr>
          <w:rFonts w:cs="B Zar" w:hint="cs"/>
          <w:rtl/>
        </w:rPr>
      </w:pPr>
      <w:r w:rsidRPr="002031AC">
        <w:rPr>
          <w:rFonts w:ascii="IPT.Zar" w:hAnsi="IPT.Zar" w:cs="B Zar"/>
          <w:sz w:val="24"/>
        </w:rPr>
        <w:sym w:font="IPT.Zar" w:char="F020"/>
      </w:r>
      <w:r>
        <w:rPr>
          <w:rFonts w:cs="B Zar"/>
        </w:rPr>
        <w:t xml:space="preserve">  .</w:t>
      </w:r>
      <w:r w:rsidRPr="002031AC">
        <w:rPr>
          <w:rStyle w:val="FootnoteReference"/>
          <w:rFonts w:ascii="IPT.Zar" w:hAnsi="IPT.Zar" w:cs="B Zar"/>
          <w:sz w:val="24"/>
          <w:vertAlign w:val="baseline"/>
        </w:rPr>
        <w:footnoteRef/>
      </w:r>
      <w:r w:rsidRPr="006A4F74">
        <w:rPr>
          <w:rFonts w:cs="B Zar" w:hint="cs"/>
          <w:rtl/>
        </w:rPr>
        <w:t>ريگ ودا: كتاب اول، سرود24</w:t>
      </w:r>
    </w:p>
  </w:footnote>
  <w:footnote w:id="189">
    <w:p w:rsidR="00C8559C" w:rsidRPr="006A4F74" w:rsidP="00236015">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 xml:space="preserve">. </w:t>
      </w:r>
      <w:r>
        <w:rPr>
          <w:rFonts w:cs="B Zar" w:hint="cs"/>
          <w:rtl/>
        </w:rPr>
        <w:t xml:space="preserve"> </w:t>
      </w:r>
      <w:r w:rsidRPr="006A4F74">
        <w:rPr>
          <w:rFonts w:cs="B Zar" w:hint="cs"/>
          <w:rtl/>
        </w:rPr>
        <w:t>چاندوگيا اوپانيشاد: 1 : 1: 5</w:t>
      </w:r>
    </w:p>
  </w:footnote>
  <w:footnote w:id="190">
    <w:p w:rsidR="00C8559C" w:rsidRPr="006A4F74" w:rsidP="00236015">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r>
      <w:r w:rsidRPr="006A4F74">
        <w:rPr>
          <w:rFonts w:cs="B Zar" w:hint="cs"/>
          <w:rtl/>
        </w:rPr>
        <w:t xml:space="preserve"> همان، 1: 3: 4</w:t>
      </w:r>
    </w:p>
  </w:footnote>
  <w:footnote w:id="191">
    <w:p w:rsidR="00C8559C" w:rsidRPr="006A4F74" w:rsidP="00236015">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r>
      <w:r w:rsidRPr="006A4F74">
        <w:rPr>
          <w:rFonts w:cs="B Zar" w:hint="cs"/>
          <w:rtl/>
        </w:rPr>
        <w:t xml:space="preserve"> همان، 1: 1: 9</w:t>
      </w:r>
    </w:p>
  </w:footnote>
  <w:footnote w:id="192">
    <w:p w:rsidR="00C8559C" w:rsidRPr="006A4F74" w:rsidP="00236015">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r>
      <w:r w:rsidRPr="006A4F74">
        <w:rPr>
          <w:rFonts w:cs="B Zar" w:hint="cs"/>
          <w:rtl/>
        </w:rPr>
        <w:t xml:space="preserve"> ايسا اوپانيشاد: 17 ـ 18</w:t>
      </w:r>
    </w:p>
  </w:footnote>
  <w:footnote w:id="193">
    <w:p w:rsidR="00C8559C" w:rsidRPr="006A4F74" w:rsidP="00236015">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 xml:space="preserve">. </w:t>
      </w:r>
      <w:r>
        <w:rPr>
          <w:rFonts w:cs="B Zar" w:hint="cs"/>
          <w:rtl/>
        </w:rPr>
        <w:t xml:space="preserve"> </w:t>
      </w:r>
      <w:r w:rsidRPr="006A4F74">
        <w:rPr>
          <w:rFonts w:cs="B Zar" w:hint="cs"/>
          <w:rtl/>
        </w:rPr>
        <w:t>كاتها اوپانيشاد: 4: 13</w:t>
      </w:r>
    </w:p>
  </w:footnote>
  <w:footnote w:id="194">
    <w:p w:rsidR="00C8559C" w:rsidRPr="006A4F74" w:rsidP="00236015">
      <w:pPr>
        <w:pStyle w:val="FootnoteText"/>
        <w:spacing w:line="240" w:lineRule="auto"/>
        <w:ind w:left="0" w:right="0"/>
        <w:jc w:val="both"/>
        <w:rPr>
          <w:rFonts w:cs="B Zar" w:hint="cs"/>
          <w:rtl/>
        </w:rPr>
      </w:pPr>
      <w:r w:rsidRPr="00236015">
        <w:rPr>
          <w:rStyle w:val="FootnoteReference"/>
          <w:rFonts w:ascii="IPT.Zar" w:hAnsi="IPT.Zar" w:cs="B Zar"/>
          <w:sz w:val="24"/>
          <w:szCs w:val="24"/>
          <w:vertAlign w:val="baseline"/>
        </w:rPr>
        <w:footnoteRef/>
      </w:r>
      <w:r w:rsidRPr="00236015">
        <w:rPr>
          <w:rFonts w:cs="B Zar" w:hint="cs"/>
          <w:rtl/>
        </w:rPr>
        <w:t>.</w:t>
      </w:r>
      <w:r>
        <w:rPr>
          <w:rFonts w:cs="B Zar" w:hint="cs"/>
          <w:rtl/>
        </w:rPr>
        <w:t xml:space="preserve"> </w:t>
      </w:r>
      <w:r w:rsidRPr="006A4F74">
        <w:rPr>
          <w:rFonts w:cs="B Zar" w:hint="cs"/>
          <w:rtl/>
        </w:rPr>
        <w:t xml:space="preserve"> مانداكا اوپانيشاد: قسمت 1 و 2</w:t>
      </w:r>
    </w:p>
  </w:footnote>
  <w:footnote w:id="195">
    <w:p w:rsidR="00C8559C" w:rsidRPr="006A4F74" w:rsidP="00236015">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 xml:space="preserve">. </w:t>
      </w:r>
      <w:r>
        <w:rPr>
          <w:rFonts w:cs="B Zar" w:hint="cs"/>
          <w:rtl/>
        </w:rPr>
        <w:t xml:space="preserve">  </w:t>
      </w:r>
      <w:r w:rsidRPr="006A4F74">
        <w:rPr>
          <w:rFonts w:cs="B Zar" w:hint="cs"/>
          <w:rtl/>
        </w:rPr>
        <w:t>همچنان كه فرهنگ روائي و قصصي تفسير كتاب مقدس در اسلام نيز وجود داشته، روش عرفاني نيز به طور فراوان در تفسير قرآن حكيم به كار گرفته شده است؛ از جمله تفاسير عرفاني، تفسير خواجه عبدالله انصاري است كه دانشگاه تهران در چندين مجلد آنرا منتشر كرده است و تفسير ملا صدرا جنبه عرفاني و فلسفي را به طور توام دارد.</w:t>
      </w:r>
    </w:p>
  </w:footnote>
  <w:footnote w:id="196">
    <w:p w:rsidR="00C8559C" w:rsidRPr="004B1940" w:rsidP="004B1940">
      <w:pPr>
        <w:pStyle w:val="FootnoteText"/>
        <w:bidi w:val="0"/>
        <w:spacing w:line="240" w:lineRule="exact"/>
        <w:rPr>
          <w:sz w:val="18"/>
          <w:szCs w:val="18"/>
        </w:rPr>
      </w:pPr>
      <w:r w:rsidRPr="004B1940">
        <w:rPr>
          <w:rStyle w:val="FootnoteReference"/>
          <w:sz w:val="18"/>
          <w:szCs w:val="18"/>
          <w:vertAlign w:val="baseline"/>
        </w:rPr>
        <w:footnoteRef/>
      </w:r>
      <w:r w:rsidRPr="004B1940">
        <w:rPr>
          <w:sz w:val="18"/>
          <w:szCs w:val="18"/>
        </w:rPr>
        <w:t xml:space="preserve">. </w:t>
      </w:r>
      <w:r w:rsidRPr="004B1940">
        <w:rPr>
          <w:sz w:val="18"/>
          <w:szCs w:val="18"/>
          <w:rtl/>
        </w:rPr>
        <w:t xml:space="preserve"> </w:t>
      </w:r>
      <w:r w:rsidRPr="004B1940">
        <w:rPr>
          <w:rFonts w:cs="Times New Roman"/>
          <w:sz w:val="18"/>
          <w:szCs w:val="18"/>
        </w:rPr>
        <w:t xml:space="preserve">Radhakrishnan, Dr S:  The Indian Philosophy, </w:t>
      </w:r>
      <w:smartTag w:uri="urn:schemas-microsoft-com:office:smarttags" w:element="place">
        <w:smartTag w:uri="urn:schemas-microsoft-com:office:smarttags" w:element="City">
          <w:r w:rsidRPr="004B1940">
            <w:rPr>
              <w:rFonts w:cs="Times New Roman"/>
              <w:sz w:val="18"/>
              <w:szCs w:val="18"/>
            </w:rPr>
            <w:t>New Delhi</w:t>
          </w:r>
        </w:smartTag>
      </w:smartTag>
      <w:r w:rsidRPr="004B1940">
        <w:rPr>
          <w:rFonts w:cs="Times New Roman"/>
          <w:sz w:val="18"/>
          <w:szCs w:val="18"/>
        </w:rPr>
        <w:t>, 1989,</w:t>
      </w:r>
      <w:r>
        <w:rPr>
          <w:rFonts w:cs="Times New Roman"/>
          <w:sz w:val="18"/>
          <w:szCs w:val="18"/>
        </w:rPr>
        <w:t xml:space="preserve"> </w:t>
      </w:r>
      <w:r w:rsidRPr="004B1940">
        <w:rPr>
          <w:rFonts w:cs="Times New Roman"/>
          <w:sz w:val="18"/>
          <w:szCs w:val="18"/>
        </w:rPr>
        <w:t>vol.1,</w:t>
      </w:r>
      <w:r>
        <w:rPr>
          <w:rFonts w:cs="Times New Roman"/>
          <w:sz w:val="18"/>
          <w:szCs w:val="18"/>
        </w:rPr>
        <w:t xml:space="preserve"> </w:t>
      </w:r>
      <w:r w:rsidRPr="004B1940">
        <w:rPr>
          <w:rFonts w:cs="Times New Roman"/>
          <w:sz w:val="18"/>
          <w:szCs w:val="18"/>
        </w:rPr>
        <w:t>p.91</w:t>
      </w:r>
    </w:p>
  </w:footnote>
  <w:footnote w:id="197">
    <w:p w:rsidR="00C8559C" w:rsidRPr="004B1940" w:rsidP="004B1940">
      <w:pPr>
        <w:pStyle w:val="FootnoteText"/>
        <w:bidi w:val="0"/>
        <w:spacing w:line="240" w:lineRule="exact"/>
        <w:rPr>
          <w:rFonts w:hint="cs"/>
        </w:rPr>
      </w:pPr>
      <w:r w:rsidRPr="004B1940">
        <w:rPr>
          <w:rStyle w:val="FootnoteReference"/>
          <w:sz w:val="18"/>
          <w:szCs w:val="18"/>
          <w:vertAlign w:val="baseline"/>
        </w:rPr>
        <w:footnoteRef/>
      </w:r>
      <w:r w:rsidRPr="004B1940">
        <w:rPr>
          <w:sz w:val="18"/>
          <w:szCs w:val="18"/>
        </w:rPr>
        <w:t xml:space="preserve">. </w:t>
      </w:r>
      <w:r w:rsidRPr="004B1940">
        <w:rPr>
          <w:sz w:val="18"/>
          <w:szCs w:val="18"/>
          <w:rtl/>
        </w:rPr>
        <w:t xml:space="preserve"> </w:t>
      </w:r>
      <w:smartTag w:uri="urn:schemas-microsoft-com:office:smarttags" w:element="City">
        <w:r w:rsidRPr="004B1940">
          <w:rPr>
            <w:rFonts w:cs="Times New Roman"/>
            <w:sz w:val="18"/>
            <w:szCs w:val="18"/>
          </w:rPr>
          <w:t>Bloomfield</w:t>
        </w:r>
      </w:smartTag>
      <w:r w:rsidRPr="004B1940">
        <w:rPr>
          <w:rFonts w:cs="Times New Roman"/>
          <w:sz w:val="18"/>
          <w:szCs w:val="18"/>
        </w:rPr>
        <w:t xml:space="preserve">: The Vedic Religion, Motilal Banarsidas, </w:t>
      </w:r>
      <w:smartTag w:uri="urn:schemas-microsoft-com:office:smarttags" w:element="place">
        <w:smartTag w:uri="urn:schemas-microsoft-com:office:smarttags" w:element="City">
          <w:r w:rsidRPr="004B1940">
            <w:rPr>
              <w:rFonts w:cs="Times New Roman"/>
              <w:sz w:val="18"/>
              <w:szCs w:val="18"/>
            </w:rPr>
            <w:t>Delhi</w:t>
          </w:r>
        </w:smartTag>
      </w:smartTag>
      <w:r w:rsidRPr="004B1940">
        <w:rPr>
          <w:rFonts w:cs="Times New Roman"/>
          <w:sz w:val="18"/>
          <w:szCs w:val="18"/>
        </w:rPr>
        <w:t>, 1979,P.  199</w:t>
      </w:r>
    </w:p>
  </w:footnote>
  <w:footnote w:id="198">
    <w:p w:rsidR="00C8559C" w:rsidRPr="006A4F74" w:rsidP="00236015">
      <w:pPr>
        <w:pStyle w:val="FootnoteText"/>
        <w:spacing w:line="240" w:lineRule="auto"/>
        <w:ind w:left="0" w:right="0"/>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r>
      <w:r w:rsidRPr="006A4F74">
        <w:rPr>
          <w:rFonts w:cs="B Zar" w:hint="cs"/>
          <w:rtl/>
        </w:rPr>
        <w:t xml:space="preserve"> داراشكوه: مجمع البحرين،</w:t>
      </w:r>
      <w:r w:rsidRPr="002031AC">
        <w:rPr>
          <w:rFonts w:ascii="IPT.Zar" w:hAnsi="IPT.Zar" w:cs="B Zar"/>
          <w:sz w:val="24"/>
        </w:rPr>
        <w:sym w:font="IPT.Zar" w:char="F020"/>
      </w:r>
      <w:r w:rsidRPr="002031AC">
        <w:rPr>
          <w:rFonts w:ascii="IPT.Zar" w:hAnsi="IPT.Zar" w:cs="B Zar"/>
          <w:sz w:val="24"/>
        </w:rPr>
        <w:sym w:font="IPT.Zar" w:char="F020"/>
      </w:r>
      <w:r w:rsidRPr="006A4F74">
        <w:rPr>
          <w:rFonts w:cs="B Zar" w:hint="cs"/>
          <w:rtl/>
        </w:rPr>
        <w:t>نولكشور پريس، لكهنؤ. 1325</w:t>
      </w:r>
    </w:p>
  </w:footnote>
  <w:footnote w:id="199">
    <w:p w:rsidR="00C8559C" w:rsidRPr="004B1940" w:rsidP="004B1940">
      <w:pPr>
        <w:pStyle w:val="FootnoteText"/>
        <w:bidi w:val="0"/>
        <w:rPr>
          <w:sz w:val="18"/>
          <w:szCs w:val="18"/>
        </w:rPr>
      </w:pPr>
      <w:r w:rsidRPr="004B1940">
        <w:rPr>
          <w:rStyle w:val="FootnoteReference"/>
          <w:sz w:val="18"/>
          <w:szCs w:val="18"/>
          <w:vertAlign w:val="baseline"/>
        </w:rPr>
        <w:footnoteRef/>
      </w:r>
      <w:r w:rsidRPr="004B1940">
        <w:rPr>
          <w:sz w:val="18"/>
          <w:szCs w:val="18"/>
        </w:rPr>
        <w:t xml:space="preserve">. </w:t>
      </w:r>
      <w:r w:rsidRPr="004B1940">
        <w:rPr>
          <w:rFonts w:cs="Times New Roman"/>
          <w:sz w:val="18"/>
          <w:szCs w:val="18"/>
          <w:rtl/>
        </w:rPr>
        <w:t xml:space="preserve"> </w:t>
      </w:r>
      <w:r w:rsidRPr="004B1940">
        <w:rPr>
          <w:rFonts w:cs="B Zar"/>
          <w:sz w:val="18"/>
          <w:szCs w:val="18"/>
        </w:rPr>
        <w:t xml:space="preserve">Sri Auribindo: The Secret of the Vedas, , Pondichery, 1990, p 36     </w:t>
      </w:r>
    </w:p>
  </w:footnote>
  <w:footnote w:id="200">
    <w:p w:rsidR="00C8559C" w:rsidRPr="006A4F74" w:rsidP="00236015">
      <w:pPr>
        <w:pStyle w:val="FootnoteText"/>
        <w:spacing w:line="240" w:lineRule="auto"/>
        <w:ind w:left="0" w:right="0"/>
        <w:jc w:val="both"/>
        <w:rPr>
          <w:rFonts w:cs="B Zar" w:hint="cs"/>
          <w:rtl/>
        </w:rPr>
      </w:pPr>
      <w:r w:rsidRPr="002031AC">
        <w:rPr>
          <w:rStyle w:val="FootnoteReference"/>
          <w:rFonts w:ascii="IPT.Zar" w:hAnsi="IPT.Zar" w:cs="B Zar"/>
          <w:sz w:val="24"/>
          <w:vertAlign w:val="baseline"/>
        </w:rPr>
        <w:footnoteRef/>
      </w:r>
      <w:r w:rsidRPr="006A4F74">
        <w:rPr>
          <w:rFonts w:cs="B Zar" w:hint="cs"/>
          <w:rtl/>
        </w:rPr>
        <w:t>. همان مأخذ: چاپ 1972 و چاپ آخر 1990، ص 6</w:t>
      </w:r>
    </w:p>
  </w:footnote>
  <w:footnote w:id="201">
    <w:p w:rsidR="00C8559C" w:rsidRPr="009C6230" w:rsidP="004B1940">
      <w:pPr>
        <w:pStyle w:val="FootnoteText"/>
        <w:bidi w:val="0"/>
        <w:spacing w:line="240" w:lineRule="exact"/>
        <w:ind w:left="227" w:hanging="227"/>
        <w:rPr>
          <w:sz w:val="18"/>
          <w:szCs w:val="18"/>
        </w:rPr>
      </w:pPr>
      <w:r w:rsidRPr="009C6230">
        <w:rPr>
          <w:rStyle w:val="FootnoteReference"/>
          <w:sz w:val="18"/>
          <w:szCs w:val="18"/>
          <w:vertAlign w:val="baseline"/>
        </w:rPr>
        <w:footnoteRef/>
      </w:r>
      <w:r w:rsidRPr="009C6230">
        <w:rPr>
          <w:sz w:val="18"/>
          <w:szCs w:val="18"/>
        </w:rPr>
        <w:t>.</w:t>
      </w:r>
      <w:r w:rsidRPr="009C6230">
        <w:rPr>
          <w:rFonts w:cs="B Zar"/>
          <w:sz w:val="18"/>
          <w:szCs w:val="18"/>
          <w:rtl/>
        </w:rPr>
        <w:t xml:space="preserve"> </w:t>
      </w:r>
      <w:r w:rsidRPr="009C6230">
        <w:rPr>
          <w:rFonts w:cs="B Zar"/>
          <w:sz w:val="18"/>
          <w:szCs w:val="18"/>
        </w:rPr>
        <w:t xml:space="preserve">Dayananda Sarswati, Swami: Rig Veda Bhasiya, Arya Parastandi Sabha, </w:t>
      </w:r>
      <w:smartTag w:uri="urn:schemas-microsoft-com:office:smarttags" w:element="place">
        <w:smartTag w:uri="urn:schemas-microsoft-com:office:smarttags" w:element="City">
          <w:r w:rsidRPr="009C6230">
            <w:rPr>
              <w:rFonts w:cs="B Zar"/>
              <w:sz w:val="18"/>
              <w:szCs w:val="18"/>
            </w:rPr>
            <w:t>New Delhi</w:t>
          </w:r>
        </w:smartTag>
      </w:smartTag>
      <w:r w:rsidRPr="009C6230">
        <w:rPr>
          <w:rFonts w:cs="B Zar"/>
          <w:sz w:val="18"/>
          <w:szCs w:val="18"/>
        </w:rPr>
        <w:t>, 1978</w:t>
      </w:r>
    </w:p>
  </w:footnote>
  <w:footnote w:id="202">
    <w:p w:rsidR="00C8559C" w:rsidRPr="006A4F74" w:rsidP="00236015">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r>
      <w:r w:rsidRPr="006A4F74">
        <w:rPr>
          <w:rFonts w:cs="B Zar" w:hint="cs"/>
          <w:rtl/>
        </w:rPr>
        <w:t xml:space="preserve"> </w:t>
      </w:r>
      <w:r>
        <w:rPr>
          <w:rFonts w:cs="B Zar" w:hint="cs"/>
          <w:rtl/>
        </w:rPr>
        <w:tab/>
      </w:r>
      <w:r w:rsidRPr="006A4F74">
        <w:rPr>
          <w:rFonts w:cs="B Zar" w:hint="cs"/>
          <w:rtl/>
        </w:rPr>
        <w:t>همان مأخذ، ج 1، ص 1</w:t>
      </w:r>
    </w:p>
  </w:footnote>
  <w:footnote w:id="203">
    <w:p w:rsidR="00C8559C" w:rsidRPr="006A4F74" w:rsidP="00236015">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r>
      <w:r w:rsidRPr="006A4F74">
        <w:rPr>
          <w:rFonts w:cs="B Zar" w:hint="cs"/>
          <w:rtl/>
        </w:rPr>
        <w:t xml:space="preserve"> </w:t>
      </w:r>
      <w:r>
        <w:rPr>
          <w:rFonts w:cs="B Zar" w:hint="cs"/>
          <w:rtl/>
        </w:rPr>
        <w:tab/>
      </w:r>
      <w:r w:rsidRPr="006A4F74">
        <w:rPr>
          <w:rFonts w:cs="B Zar" w:hint="cs"/>
          <w:rtl/>
        </w:rPr>
        <w:t>همان مأخذ: ج 1، ص 21 ـ 22</w:t>
      </w:r>
    </w:p>
  </w:footnote>
  <w:footnote w:id="204">
    <w:p w:rsidR="00C8559C" w:rsidRPr="006A4F74" w:rsidP="00236015">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tab/>
      </w:r>
      <w:r w:rsidRPr="006A4F74">
        <w:rPr>
          <w:rFonts w:cs="B Zar" w:hint="cs"/>
          <w:rtl/>
        </w:rPr>
        <w:t xml:space="preserve"> همان مأخذ: ج 1، ص 34</w:t>
      </w:r>
    </w:p>
  </w:footnote>
  <w:footnote w:id="205">
    <w:p w:rsidR="00C8559C" w:rsidRPr="006A4F74" w:rsidP="00236015">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tab/>
      </w:r>
      <w:r w:rsidRPr="006A4F74">
        <w:rPr>
          <w:rFonts w:cs="B Zar" w:hint="cs"/>
          <w:rtl/>
        </w:rPr>
        <w:t xml:space="preserve"> همان مأخذ: ج 1، ص 51</w:t>
      </w:r>
    </w:p>
  </w:footnote>
  <w:footnote w:id="206">
    <w:p w:rsidR="00C8559C" w:rsidRPr="006A4F74" w:rsidP="00236015">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tab/>
      </w:r>
      <w:r w:rsidRPr="006A4F74">
        <w:rPr>
          <w:rFonts w:cs="B Zar" w:hint="cs"/>
          <w:rtl/>
        </w:rPr>
        <w:t xml:space="preserve"> همان مأخد: ج 1، ص 50</w:t>
      </w:r>
    </w:p>
  </w:footnote>
  <w:footnote w:id="207">
    <w:p w:rsidR="00C8559C" w:rsidRPr="006A4F74" w:rsidP="00236015">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tab/>
      </w:r>
      <w:r w:rsidRPr="006A4F74">
        <w:rPr>
          <w:rFonts w:cs="B Zar" w:hint="cs"/>
          <w:rtl/>
        </w:rPr>
        <w:t xml:space="preserve"> همان مأخد: ج 1، 62</w:t>
      </w:r>
    </w:p>
  </w:footnote>
  <w:footnote w:id="208">
    <w:p w:rsidR="00C8559C" w:rsidRPr="00877782" w:rsidP="00877782">
      <w:pPr>
        <w:pStyle w:val="FootnoteText"/>
        <w:bidi w:val="0"/>
        <w:rPr>
          <w:sz w:val="18"/>
          <w:szCs w:val="18"/>
        </w:rPr>
      </w:pPr>
      <w:r w:rsidRPr="00877782">
        <w:rPr>
          <w:rStyle w:val="FootnoteReference"/>
          <w:sz w:val="18"/>
          <w:szCs w:val="18"/>
          <w:vertAlign w:val="baseline"/>
        </w:rPr>
        <w:footnoteRef/>
      </w:r>
      <w:r w:rsidRPr="00877782">
        <w:rPr>
          <w:sz w:val="18"/>
          <w:szCs w:val="18"/>
        </w:rPr>
        <w:t xml:space="preserve">. </w:t>
      </w:r>
      <w:r w:rsidRPr="00877782">
        <w:rPr>
          <w:rFonts w:cs="B Zar"/>
          <w:sz w:val="18"/>
          <w:szCs w:val="18"/>
        </w:rPr>
        <w:t xml:space="preserve">Radhakrishnan, Dr S:  The Indian Philosophy, </w:t>
      </w:r>
      <w:smartTag w:uri="urn:schemas-microsoft-com:office:smarttags" w:element="place">
        <w:smartTag w:uri="urn:schemas-microsoft-com:office:smarttags" w:element="City">
          <w:r w:rsidRPr="00877782">
            <w:rPr>
              <w:rFonts w:cs="B Zar"/>
              <w:sz w:val="18"/>
              <w:szCs w:val="18"/>
            </w:rPr>
            <w:t>New Delhi</w:t>
          </w:r>
        </w:smartTag>
      </w:smartTag>
      <w:r w:rsidRPr="00877782">
        <w:rPr>
          <w:rFonts w:cs="B Zar"/>
          <w:sz w:val="18"/>
          <w:szCs w:val="18"/>
        </w:rPr>
        <w:t>, 1989  , p70</w:t>
      </w:r>
    </w:p>
  </w:footnote>
  <w:footnote w:id="209">
    <w:p w:rsidR="00C8559C" w:rsidRPr="00C31FD8" w:rsidP="00B53304">
      <w:pPr>
        <w:pStyle w:val="FootnoteText"/>
        <w:tabs>
          <w:tab w:val="left" w:pos="180"/>
        </w:tabs>
        <w:bidi w:val="0"/>
        <w:spacing w:line="240" w:lineRule="exact"/>
        <w:ind w:left="227" w:hanging="227"/>
        <w:rPr>
          <w:sz w:val="18"/>
          <w:szCs w:val="18"/>
        </w:rPr>
      </w:pPr>
      <w:r w:rsidRPr="00C31FD8">
        <w:rPr>
          <w:rStyle w:val="FootnoteReference"/>
          <w:sz w:val="18"/>
          <w:szCs w:val="18"/>
          <w:vertAlign w:val="baseline"/>
        </w:rPr>
        <w:footnoteRef/>
      </w:r>
      <w:r>
        <w:rPr>
          <w:sz w:val="18"/>
          <w:szCs w:val="18"/>
        </w:rPr>
        <w:t>.</w:t>
        <w:tab/>
      </w:r>
      <w:r w:rsidRPr="00C31FD8">
        <w:rPr>
          <w:rFonts w:cs="Times New Roman"/>
          <w:sz w:val="18"/>
          <w:szCs w:val="18"/>
          <w:rtl/>
        </w:rPr>
        <w:t xml:space="preserve"> </w:t>
      </w:r>
      <w:r w:rsidRPr="00C31FD8">
        <w:rPr>
          <w:rFonts w:cs="B Zar"/>
          <w:sz w:val="18"/>
          <w:szCs w:val="18"/>
        </w:rPr>
        <w:t xml:space="preserve">Dr.J.K.Trikha: Rig Veda: A Scientific &amp; Intellectual Analysis, Somaya Publication, </w:t>
      </w:r>
      <w:smartTag w:uri="urn:schemas-microsoft-com:office:smarttags" w:element="place">
        <w:smartTag w:uri="urn:schemas-microsoft-com:office:smarttags" w:element="City">
          <w:r w:rsidRPr="00C31FD8">
            <w:rPr>
              <w:rFonts w:cs="B Zar"/>
              <w:sz w:val="18"/>
              <w:szCs w:val="18"/>
            </w:rPr>
            <w:t>Delhi</w:t>
          </w:r>
        </w:smartTag>
      </w:smartTag>
      <w:r w:rsidRPr="00C31FD8">
        <w:rPr>
          <w:rFonts w:cs="B Zar"/>
          <w:sz w:val="18"/>
          <w:szCs w:val="18"/>
        </w:rPr>
        <w:t>, 1981</w:t>
      </w:r>
    </w:p>
  </w:footnote>
  <w:footnote w:id="210">
    <w:p w:rsidR="00C8559C" w:rsidRPr="006A4F74" w:rsidP="0011420A">
      <w:pPr>
        <w:pStyle w:val="FootnoteText"/>
        <w:spacing w:line="240" w:lineRule="auto"/>
        <w:ind w:left="0" w:right="0"/>
        <w:jc w:val="both"/>
        <w:rPr>
          <w:rFonts w:cs="B Zar" w:hint="cs"/>
          <w:rtl/>
        </w:rPr>
      </w:pPr>
      <w:r w:rsidRPr="002031AC">
        <w:rPr>
          <w:rStyle w:val="FootnoteReference"/>
          <w:rFonts w:ascii="IPT.Zar" w:hAnsi="IPT.Zar" w:cs="B Zar"/>
          <w:sz w:val="24"/>
          <w:vertAlign w:val="baseline"/>
        </w:rPr>
        <w:footnoteRef/>
      </w:r>
      <w:r w:rsidRPr="006A4F74">
        <w:rPr>
          <w:rFonts w:cs="B Zar" w:hint="cs"/>
          <w:rtl/>
        </w:rPr>
        <w:t>.</w:t>
      </w:r>
      <w:r>
        <w:rPr>
          <w:rFonts w:cs="B Zar" w:hint="cs"/>
          <w:rtl/>
        </w:rPr>
        <w:t xml:space="preserve">  </w:t>
      </w:r>
      <w:r w:rsidRPr="006A4F74">
        <w:rPr>
          <w:rFonts w:cs="B Zar" w:hint="cs"/>
          <w:rtl/>
        </w:rPr>
        <w:t xml:space="preserve"> پيشين، ص 3</w:t>
      </w:r>
    </w:p>
  </w:footnote>
  <w:footnote w:id="211">
    <w:p w:rsidR="00C8559C" w:rsidRPr="006A4F74" w:rsidP="00236015">
      <w:pPr>
        <w:pStyle w:val="FootnoteText"/>
        <w:spacing w:line="240" w:lineRule="auto"/>
        <w:ind w:left="0" w:right="0"/>
        <w:jc w:val="both"/>
        <w:rPr>
          <w:rFonts w:cs="B Zar" w:hint="cs"/>
          <w:rtl/>
        </w:rPr>
      </w:pPr>
      <w:r w:rsidRPr="002031AC">
        <w:rPr>
          <w:rStyle w:val="FootnoteReference"/>
          <w:rFonts w:ascii="IPT.Zar" w:hAnsi="IPT.Zar" w:cs="B Zar"/>
          <w:sz w:val="24"/>
          <w:vertAlign w:val="baseline"/>
        </w:rPr>
        <w:footnoteRef/>
      </w:r>
      <w:r w:rsidRPr="006A4F74">
        <w:rPr>
          <w:rFonts w:cs="B Zar" w:hint="cs"/>
          <w:rtl/>
        </w:rPr>
        <w:t xml:space="preserve">. </w:t>
      </w:r>
      <w:r>
        <w:rPr>
          <w:rFonts w:cs="B Zar" w:hint="cs"/>
          <w:rtl/>
        </w:rPr>
        <w:t xml:space="preserve">  </w:t>
      </w:r>
      <w:r w:rsidRPr="006A4F74">
        <w:rPr>
          <w:rFonts w:cs="B Zar" w:hint="cs"/>
          <w:rtl/>
        </w:rPr>
        <w:t>همان مأخذ: ص 5 ـ 6</w:t>
      </w:r>
    </w:p>
  </w:footnote>
  <w:footnote w:id="212">
    <w:p w:rsidR="00C8559C" w:rsidRPr="00236015" w:rsidP="00272C79">
      <w:pPr>
        <w:pStyle w:val="FootnoteText"/>
        <w:bidi w:val="0"/>
        <w:rPr>
          <w:rFonts w:hint="cs"/>
          <w:sz w:val="18"/>
          <w:szCs w:val="18"/>
        </w:rPr>
      </w:pPr>
      <w:r w:rsidRPr="00236015">
        <w:rPr>
          <w:rStyle w:val="FootnoteReference"/>
          <w:sz w:val="18"/>
          <w:szCs w:val="18"/>
          <w:vertAlign w:val="baseline"/>
        </w:rPr>
        <w:footnoteRef/>
      </w:r>
      <w:r w:rsidRPr="00236015">
        <w:rPr>
          <w:sz w:val="18"/>
          <w:szCs w:val="18"/>
        </w:rPr>
        <w:t xml:space="preserve">. </w:t>
      </w:r>
      <w:r w:rsidRPr="00236015">
        <w:rPr>
          <w:rFonts w:cs="B Zar"/>
          <w:sz w:val="18"/>
          <w:szCs w:val="18"/>
        </w:rPr>
        <w:t xml:space="preserve"> Dr. B.R.Yadava: Vedic Cosmogony, Viznana Prakashan, </w:t>
      </w:r>
      <w:smartTag w:uri="urn:schemas-microsoft-com:office:smarttags" w:element="place">
        <w:smartTag w:uri="urn:schemas-microsoft-com:office:smarttags" w:element="City">
          <w:r w:rsidRPr="00236015">
            <w:rPr>
              <w:rFonts w:cs="B Zar"/>
              <w:sz w:val="18"/>
              <w:szCs w:val="18"/>
            </w:rPr>
            <w:t>Aligarh</w:t>
          </w:r>
        </w:smartTag>
      </w:smartTag>
      <w:r w:rsidRPr="00236015">
        <w:rPr>
          <w:rFonts w:cs="B Zar"/>
          <w:sz w:val="18"/>
          <w:szCs w:val="18"/>
        </w:rPr>
        <w:t>, 1987</w:t>
      </w:r>
    </w:p>
  </w:footnote>
  <w:footnote w:id="213">
    <w:p w:rsidR="00C8559C" w:rsidRPr="006A4F74" w:rsidP="00236015">
      <w:pPr>
        <w:pStyle w:val="FootnoteText"/>
        <w:spacing w:line="240" w:lineRule="auto"/>
        <w:ind w:left="227" w:right="0" w:hanging="227"/>
        <w:jc w:val="both"/>
        <w:rPr>
          <w:rFonts w:cs="B Zar" w:hint="cs"/>
          <w:rtl/>
        </w:rPr>
      </w:pPr>
      <w:r w:rsidRPr="002031AC">
        <w:rPr>
          <w:rStyle w:val="FootnoteReference"/>
          <w:rFonts w:ascii="IPT.Zar" w:hAnsi="IPT.Zar" w:cs="B Zar"/>
          <w:sz w:val="24"/>
          <w:vertAlign w:val="baseline"/>
        </w:rPr>
        <w:footnoteRef/>
      </w:r>
      <w:r w:rsidRPr="006A4F74">
        <w:rPr>
          <w:rFonts w:cs="B Zar" w:hint="cs"/>
          <w:rtl/>
        </w:rPr>
        <w:t xml:space="preserve">. </w:t>
      </w:r>
      <w:r>
        <w:rPr>
          <w:rFonts w:cs="B Zar" w:hint="cs"/>
          <w:rtl/>
        </w:rPr>
        <w:t xml:space="preserve"> </w:t>
      </w:r>
      <w:r w:rsidRPr="006A4F74">
        <w:rPr>
          <w:rFonts w:cs="B Zar" w:hint="cs"/>
          <w:rtl/>
        </w:rPr>
        <w:t>متاسفانه در جهان اسلام نيز برخي مفسران اين روش را در تفسير قرآن كريم پيش گرفتند. آغازگر اين عمل سرسيد احمد خان، به عنوان مثال معجزات انبيا را انكار مي كند و آنان را به گونه هاي مختلف توجيه مي‌نمايد و فرشتگان را استعاره‌اي از قوانين حاكم بر جهان مي‌داند. البته در دوره اخير اين روش در جهان اسلام مردود شناخته شده است و تنها برخي اهل منبر از آن استفاده مي‌كنند.</w:t>
      </w:r>
    </w:p>
  </w:footnote>
  <w:footnote w:id="214">
    <w:p w:rsidR="00C8559C" w:rsidRPr="000224DC" w:rsidP="000224DC">
      <w:pPr>
        <w:pStyle w:val="FootnoteText"/>
        <w:bidi w:val="0"/>
        <w:spacing w:line="240" w:lineRule="exact"/>
        <w:ind w:left="227" w:hanging="227"/>
        <w:rPr>
          <w:rFonts w:cs="B Zar"/>
          <w:sz w:val="18"/>
          <w:szCs w:val="18"/>
        </w:rPr>
      </w:pPr>
      <w:r w:rsidRPr="000224DC">
        <w:rPr>
          <w:rStyle w:val="FootnoteReference"/>
          <w:rFonts w:cs="B Zar"/>
          <w:sz w:val="18"/>
          <w:szCs w:val="18"/>
          <w:vertAlign w:val="baseline"/>
        </w:rPr>
        <w:footnoteRef/>
      </w:r>
      <w:r w:rsidRPr="000224DC">
        <w:rPr>
          <w:rFonts w:cs="B Zar"/>
          <w:sz w:val="18"/>
          <w:szCs w:val="18"/>
        </w:rPr>
        <w:t xml:space="preserve"> </w:t>
      </w:r>
      <w:r>
        <w:rPr>
          <w:rFonts w:cs="B Zar"/>
          <w:sz w:val="18"/>
          <w:szCs w:val="18"/>
        </w:rPr>
        <w:t xml:space="preserve"> </w:t>
      </w:r>
      <w:r w:rsidRPr="000224DC">
        <w:rPr>
          <w:rFonts w:cs="B Zar"/>
          <w:sz w:val="18"/>
          <w:szCs w:val="18"/>
        </w:rPr>
        <w:t xml:space="preserve">Das Gupta, S:  Histoy of the Indian Philososphy, Cambridge University Press, </w:t>
      </w:r>
      <w:smartTag w:uri="urn:schemas-microsoft-com:office:smarttags" w:element="place">
        <w:smartTag w:uri="urn:schemas-microsoft-com:office:smarttags" w:element="City">
          <w:r w:rsidRPr="000224DC">
            <w:rPr>
              <w:rFonts w:cs="B Zar"/>
              <w:sz w:val="18"/>
              <w:szCs w:val="18"/>
            </w:rPr>
            <w:t>London</w:t>
          </w:r>
        </w:smartTag>
      </w:smartTag>
      <w:r w:rsidRPr="000224DC">
        <w:rPr>
          <w:rFonts w:cs="B Zar"/>
          <w:sz w:val="18"/>
          <w:szCs w:val="18"/>
        </w:rPr>
        <w:t>, 1969, v1,</w:t>
      </w:r>
      <w:r w:rsidRPr="000224DC">
        <w:rPr>
          <w:rFonts w:cs="B Zar" w:hint="cs"/>
          <w:sz w:val="18"/>
          <w:szCs w:val="18"/>
          <w:rtl/>
        </w:rPr>
        <w:t xml:space="preserve"> </w:t>
      </w:r>
      <w:r w:rsidRPr="000224DC">
        <w:rPr>
          <w:rFonts w:cs="B Zar"/>
          <w:sz w:val="18"/>
          <w:szCs w:val="18"/>
        </w:rPr>
        <w:t>p</w:t>
      </w:r>
      <w:r>
        <w:rPr>
          <w:rFonts w:cs="B Zar"/>
          <w:sz w:val="18"/>
          <w:szCs w:val="18"/>
        </w:rPr>
        <w:t xml:space="preserve"> </w:t>
      </w:r>
      <w:r w:rsidRPr="000224DC">
        <w:rPr>
          <w:rFonts w:cs="B Zar"/>
          <w:sz w:val="18"/>
          <w:szCs w:val="18"/>
        </w:rPr>
        <w:t>45</w:t>
      </w:r>
    </w:p>
  </w:footnote>
  <w:footnote w:id="215">
    <w:p w:rsidR="00C8559C" w:rsidRPr="000224DC" w:rsidP="000224DC">
      <w:pPr>
        <w:pStyle w:val="FootnoteText"/>
        <w:bidi w:val="0"/>
        <w:rPr>
          <w:sz w:val="18"/>
          <w:szCs w:val="18"/>
        </w:rPr>
      </w:pPr>
      <w:r w:rsidRPr="000224DC">
        <w:rPr>
          <w:rStyle w:val="FootnoteReference"/>
          <w:sz w:val="18"/>
          <w:szCs w:val="18"/>
          <w:vertAlign w:val="baseline"/>
        </w:rPr>
        <w:footnoteRef/>
      </w:r>
      <w:r w:rsidRPr="000224DC">
        <w:rPr>
          <w:sz w:val="18"/>
          <w:szCs w:val="18"/>
        </w:rPr>
        <w:t xml:space="preserve">. </w:t>
      </w:r>
      <w:r w:rsidRPr="000224DC">
        <w:rPr>
          <w:sz w:val="18"/>
          <w:szCs w:val="18"/>
          <w:rtl/>
        </w:rPr>
        <w:t xml:space="preserve"> </w:t>
      </w:r>
      <w:r w:rsidRPr="000224DC">
        <w:rPr>
          <w:rFonts w:cs="B Zar"/>
          <w:sz w:val="18"/>
          <w:szCs w:val="18"/>
        </w:rPr>
        <w:t xml:space="preserve">Radhakshnan, Dr S:  The Indian Philosophy, </w:t>
      </w:r>
      <w:smartTag w:uri="urn:schemas-microsoft-com:office:smarttags" w:element="place">
        <w:smartTag w:uri="urn:schemas-microsoft-com:office:smarttags" w:element="City">
          <w:r w:rsidRPr="000224DC">
            <w:rPr>
              <w:rFonts w:cs="B Zar"/>
              <w:sz w:val="18"/>
              <w:szCs w:val="18"/>
            </w:rPr>
            <w:t>New Delhi</w:t>
          </w:r>
        </w:smartTag>
      </w:smartTag>
      <w:r w:rsidRPr="000224DC">
        <w:rPr>
          <w:rFonts w:cs="B Zar"/>
          <w:sz w:val="18"/>
          <w:szCs w:val="18"/>
        </w:rPr>
        <w:t>, 1989,  p 69</w:t>
      </w:r>
    </w:p>
  </w:footnote>
  <w:footnote w:id="216">
    <w:p w:rsidR="00C8559C" w:rsidRPr="00236015" w:rsidP="00236015">
      <w:pPr>
        <w:pStyle w:val="FootnoteText"/>
        <w:ind w:left="0" w:right="0"/>
        <w:jc w:val="both"/>
        <w:rPr>
          <w:rFonts w:cs="B Zar" w:hint="cs"/>
          <w:rtl/>
        </w:rPr>
      </w:pPr>
      <w:r w:rsidRPr="00236015">
        <w:rPr>
          <w:rStyle w:val="FootnoteReference"/>
          <w:rFonts w:ascii="IPT.Zar" w:hAnsi="IPT.Zar" w:cs="B Zar"/>
          <w:sz w:val="24"/>
          <w:szCs w:val="24"/>
          <w:vertAlign w:val="baseline"/>
        </w:rPr>
        <w:footnoteRef/>
      </w:r>
      <w:r w:rsidRPr="00236015">
        <w:rPr>
          <w:rFonts w:cs="B Zar" w:hint="cs"/>
          <w:rtl/>
        </w:rPr>
        <w:t xml:space="preserve">. </w:t>
      </w:r>
      <w:r>
        <w:rPr>
          <w:rFonts w:cs="B Zar" w:hint="cs"/>
          <w:rtl/>
        </w:rPr>
        <w:t xml:space="preserve"> </w:t>
      </w:r>
      <w:r w:rsidRPr="00236015">
        <w:rPr>
          <w:rFonts w:cs="B Zar" w:hint="cs"/>
          <w:rtl/>
        </w:rPr>
        <w:t xml:space="preserve"> همان، ج 1، ص 72</w:t>
      </w:r>
    </w:p>
  </w:footnote>
  <w:footnote w:id="217">
    <w:p w:rsidR="00C8559C" w:rsidRPr="000224DC" w:rsidP="000224DC">
      <w:pPr>
        <w:pStyle w:val="FootnoteText"/>
        <w:bidi w:val="0"/>
        <w:rPr>
          <w:sz w:val="18"/>
          <w:szCs w:val="18"/>
        </w:rPr>
      </w:pPr>
      <w:r w:rsidRPr="000224DC">
        <w:rPr>
          <w:rStyle w:val="FootnoteReference"/>
          <w:sz w:val="18"/>
          <w:szCs w:val="18"/>
          <w:vertAlign w:val="baseline"/>
        </w:rPr>
        <w:footnoteRef/>
      </w:r>
      <w:r w:rsidRPr="000224DC">
        <w:rPr>
          <w:sz w:val="18"/>
          <w:szCs w:val="18"/>
        </w:rPr>
        <w:t xml:space="preserve">. </w:t>
      </w:r>
      <w:r w:rsidRPr="000224DC">
        <w:rPr>
          <w:rFonts w:cs="B Zar"/>
          <w:sz w:val="18"/>
          <w:szCs w:val="18"/>
        </w:rPr>
        <w:t xml:space="preserve">Weber, Max: The Religions of India, </w:t>
      </w:r>
      <w:smartTag w:uri="urn:schemas-microsoft-com:office:smarttags" w:element="place">
        <w:smartTag w:uri="urn:schemas-microsoft-com:office:smarttags" w:element="City">
          <w:r w:rsidRPr="000224DC">
            <w:rPr>
              <w:rFonts w:cs="B Zar"/>
              <w:sz w:val="18"/>
              <w:szCs w:val="18"/>
            </w:rPr>
            <w:t>London</w:t>
          </w:r>
        </w:smartTag>
      </w:smartTag>
      <w:r w:rsidRPr="000224DC">
        <w:rPr>
          <w:rFonts w:cs="B Zar"/>
          <w:sz w:val="18"/>
          <w:szCs w:val="18"/>
        </w:rPr>
        <w:t>, 1954, p32</w:t>
      </w:r>
    </w:p>
  </w:footnote>
  <w:footnote w:id="218">
    <w:p w:rsidR="00C8559C" w:rsidRPr="00567371" w:rsidP="00C51D34">
      <w:pPr>
        <w:pStyle w:val="FootnoteText"/>
        <w:bidi w:val="0"/>
        <w:spacing w:line="220" w:lineRule="exact"/>
        <w:ind w:left="227" w:hanging="227"/>
        <w:rPr>
          <w:rFonts w:cs="B Zar"/>
          <w:sz w:val="18"/>
          <w:szCs w:val="18"/>
          <w:rtl/>
        </w:rPr>
      </w:pPr>
      <w:r w:rsidRPr="00567371">
        <w:rPr>
          <w:rStyle w:val="FootnoteReference"/>
          <w:rFonts w:cs="B Zar"/>
          <w:sz w:val="18"/>
          <w:szCs w:val="18"/>
          <w:vertAlign w:val="baseline"/>
        </w:rPr>
        <w:footnoteRef/>
      </w:r>
      <w:r>
        <w:rPr>
          <w:rFonts w:cs="B Zar"/>
          <w:sz w:val="18"/>
          <w:szCs w:val="18"/>
        </w:rPr>
        <w:t>.</w:t>
      </w:r>
      <w:r w:rsidRPr="00567371">
        <w:rPr>
          <w:rFonts w:cs="B Zar"/>
          <w:sz w:val="18"/>
          <w:szCs w:val="18"/>
        </w:rPr>
        <w:t xml:space="preserve"> </w:t>
      </w:r>
      <w:r>
        <w:rPr>
          <w:rFonts w:cs="B Zar"/>
          <w:sz w:val="18"/>
          <w:szCs w:val="18"/>
        </w:rPr>
        <w:t xml:space="preserve"> </w:t>
      </w:r>
      <w:r w:rsidRPr="00567371">
        <w:rPr>
          <w:rFonts w:cs="B Zar"/>
          <w:sz w:val="18"/>
          <w:szCs w:val="18"/>
        </w:rPr>
        <w:t>Hanotheism</w:t>
      </w:r>
    </w:p>
  </w:footnote>
  <w:footnote w:id="219">
    <w:p w:rsidR="00C8559C" w:rsidRPr="006A4F74" w:rsidP="00AC34C4">
      <w:pPr>
        <w:pStyle w:val="FootnoteText"/>
        <w:bidi w:val="0"/>
        <w:spacing w:line="220" w:lineRule="exact"/>
        <w:ind w:left="227" w:hanging="227"/>
        <w:rPr>
          <w:rFonts w:cs="B Zar"/>
          <w:sz w:val="22"/>
          <w:szCs w:val="22"/>
        </w:rPr>
      </w:pPr>
      <w:r w:rsidRPr="00567371">
        <w:rPr>
          <w:rStyle w:val="FootnoteReference"/>
          <w:rFonts w:cs="B Zar"/>
          <w:sz w:val="18"/>
          <w:szCs w:val="18"/>
          <w:vertAlign w:val="baseline"/>
        </w:rPr>
        <w:footnoteRef/>
      </w:r>
      <w:r>
        <w:rPr>
          <w:rFonts w:cs="B Zar"/>
          <w:sz w:val="18"/>
          <w:szCs w:val="18"/>
        </w:rPr>
        <w:t>.</w:t>
      </w:r>
      <w:r w:rsidRPr="00567371">
        <w:rPr>
          <w:rFonts w:cs="B Zar"/>
          <w:sz w:val="18"/>
          <w:szCs w:val="18"/>
        </w:rPr>
        <w:t xml:space="preserve"> Dayananda Sarswati, Swami: Rig Veda Bhasiya, Arya Parastandi Sabha, </w:t>
      </w:r>
      <w:smartTag w:uri="urn:schemas-microsoft-com:office:smarttags" w:element="place">
        <w:smartTag w:uri="urn:schemas-microsoft-com:office:smarttags" w:element="City">
          <w:r w:rsidRPr="00567371">
            <w:rPr>
              <w:rFonts w:cs="B Zar"/>
              <w:sz w:val="18"/>
              <w:szCs w:val="18"/>
            </w:rPr>
            <w:t>New Delhi</w:t>
          </w:r>
        </w:smartTag>
      </w:smartTag>
      <w:r w:rsidRPr="00567371">
        <w:rPr>
          <w:rFonts w:cs="B Zar"/>
          <w:sz w:val="18"/>
          <w:szCs w:val="18"/>
        </w:rPr>
        <w:t>, 1978,</w:t>
      </w:r>
      <w:r w:rsidRPr="006A4F74">
        <w:rPr>
          <w:rFonts w:cs="B Zar"/>
          <w:sz w:val="22"/>
          <w:szCs w:val="22"/>
        </w:rPr>
        <w:t xml:space="preserve"> </w:t>
      </w:r>
    </w:p>
  </w:footnote>
  <w:footnote w:id="220">
    <w:p w:rsidR="00C8559C" w:rsidRPr="00520C46" w:rsidP="002B25DC">
      <w:pPr>
        <w:pStyle w:val="FootnoteText"/>
        <w:bidi w:val="0"/>
        <w:spacing w:line="240" w:lineRule="exact"/>
        <w:rPr>
          <w:sz w:val="18"/>
          <w:szCs w:val="18"/>
        </w:rPr>
      </w:pPr>
      <w:r w:rsidRPr="00520C46">
        <w:rPr>
          <w:rStyle w:val="FootnoteReference"/>
          <w:sz w:val="18"/>
          <w:szCs w:val="18"/>
          <w:vertAlign w:val="baseline"/>
        </w:rPr>
        <w:footnoteRef/>
      </w:r>
      <w:r w:rsidRPr="00520C46">
        <w:rPr>
          <w:sz w:val="18"/>
          <w:szCs w:val="18"/>
        </w:rPr>
        <w:t xml:space="preserve">. </w:t>
      </w:r>
      <w:r w:rsidRPr="00520C46">
        <w:rPr>
          <w:rFonts w:cs="Times New Roman"/>
          <w:sz w:val="18"/>
          <w:szCs w:val="18"/>
          <w:rtl/>
        </w:rPr>
        <w:t xml:space="preserve"> </w:t>
      </w:r>
      <w:r w:rsidRPr="00520C46">
        <w:rPr>
          <w:rFonts w:cs="B Zar"/>
          <w:sz w:val="18"/>
          <w:szCs w:val="18"/>
        </w:rPr>
        <w:t>Mahabharata, Vidya Bhavan, Poone, 1926</w:t>
      </w:r>
    </w:p>
  </w:footnote>
  <w:footnote w:id="221">
    <w:p w:rsidR="00C8559C" w:rsidRPr="00EC6502" w:rsidP="00EC6502">
      <w:pPr>
        <w:pStyle w:val="FootnoteText"/>
        <w:bidi w:val="0"/>
        <w:spacing w:line="240" w:lineRule="exact"/>
        <w:rPr>
          <w:sz w:val="18"/>
          <w:szCs w:val="18"/>
        </w:rPr>
      </w:pPr>
      <w:r w:rsidRPr="00EC6502">
        <w:rPr>
          <w:rStyle w:val="FootnoteReference"/>
          <w:sz w:val="18"/>
          <w:szCs w:val="18"/>
          <w:vertAlign w:val="baseline"/>
        </w:rPr>
        <w:footnoteRef/>
      </w:r>
      <w:r w:rsidRPr="00EC6502">
        <w:rPr>
          <w:sz w:val="18"/>
          <w:szCs w:val="18"/>
        </w:rPr>
        <w:t xml:space="preserve">. </w:t>
      </w:r>
      <w:r w:rsidRPr="00EC6502">
        <w:rPr>
          <w:rFonts w:cs="Times New Roman"/>
          <w:sz w:val="18"/>
          <w:szCs w:val="18"/>
          <w:rtl/>
        </w:rPr>
        <w:t xml:space="preserve"> </w:t>
      </w:r>
      <w:r w:rsidRPr="00EC6502">
        <w:rPr>
          <w:rFonts w:cs="B Zar"/>
          <w:sz w:val="18"/>
          <w:szCs w:val="18"/>
        </w:rPr>
        <w:t xml:space="preserve">Bhagvata Gita, </w:t>
      </w:r>
      <w:smartTag w:uri="urn:schemas-microsoft-com:office:smarttags" w:element="place">
        <w:smartTag w:uri="urn:schemas-microsoft-com:office:smarttags" w:element="City">
          <w:r w:rsidRPr="00EC6502">
            <w:rPr>
              <w:rFonts w:cs="B Zar"/>
              <w:sz w:val="18"/>
              <w:szCs w:val="18"/>
            </w:rPr>
            <w:t>New Delhi</w:t>
          </w:r>
        </w:smartTag>
      </w:smartTag>
      <w:r w:rsidRPr="00EC6502">
        <w:rPr>
          <w:rFonts w:cs="B Zar"/>
          <w:sz w:val="18"/>
          <w:szCs w:val="18"/>
        </w:rPr>
        <w:t>, 1980, Ch2, 42</w:t>
      </w:r>
    </w:p>
  </w:footnote>
  <w:footnote w:id="222">
    <w:p w:rsidR="00C8559C" w:rsidRPr="00236015" w:rsidP="00236015">
      <w:pPr>
        <w:pStyle w:val="FootnoteText"/>
        <w:ind w:left="227" w:right="0" w:hanging="227"/>
        <w:jc w:val="both"/>
        <w:rPr>
          <w:rFonts w:cs="B Zar" w:hint="cs"/>
          <w:rtl/>
        </w:rPr>
      </w:pPr>
      <w:r w:rsidRPr="00236015">
        <w:rPr>
          <w:rStyle w:val="FootnoteReference"/>
          <w:rFonts w:ascii="IPT.Lotus" w:hAnsi="IPT.Lotus" w:cs="B Zar"/>
          <w:vertAlign w:val="baseline"/>
        </w:rPr>
        <w:footnoteRef/>
      </w:r>
      <w:r w:rsidRPr="00236015">
        <w:rPr>
          <w:rFonts w:cs="B Zar" w:hint="cs"/>
          <w:rtl/>
        </w:rPr>
        <w:t xml:space="preserve">. </w:t>
      </w:r>
      <w:r>
        <w:rPr>
          <w:rFonts w:cs="B Zar" w:hint="cs"/>
          <w:rtl/>
        </w:rPr>
        <w:tab/>
      </w:r>
      <w:r w:rsidRPr="00236015">
        <w:rPr>
          <w:rFonts w:cs="B Zar" w:hint="cs"/>
          <w:rtl/>
        </w:rPr>
        <w:t xml:space="preserve"> همان مأخذ: فصل 20-45-46</w:t>
      </w:r>
    </w:p>
  </w:footnote>
  <w:footnote w:id="223">
    <w:p w:rsidR="00C8559C" w:rsidRPr="006A4F74" w:rsidP="00236015">
      <w:pPr>
        <w:pStyle w:val="FootnoteText"/>
        <w:ind w:left="227" w:right="0" w:hanging="227"/>
        <w:jc w:val="both"/>
        <w:rPr>
          <w:rFonts w:cs="B Zar" w:hint="cs"/>
          <w:sz w:val="22"/>
          <w:szCs w:val="22"/>
          <w:rtl/>
        </w:rPr>
      </w:pPr>
      <w:r w:rsidRPr="00236015">
        <w:rPr>
          <w:rStyle w:val="FootnoteReference"/>
          <w:rFonts w:ascii="IPT.Lotus" w:hAnsi="IPT.Lotus" w:cs="B Zar"/>
          <w:vertAlign w:val="baseline"/>
        </w:rPr>
        <w:footnoteRef/>
      </w:r>
      <w:r w:rsidRPr="00236015">
        <w:rPr>
          <w:rFonts w:cs="B Zar" w:hint="cs"/>
          <w:rtl/>
        </w:rPr>
        <w:t xml:space="preserve">. </w:t>
      </w:r>
      <w:r>
        <w:rPr>
          <w:rFonts w:cs="B Zar" w:hint="cs"/>
          <w:rtl/>
        </w:rPr>
        <w:tab/>
      </w:r>
      <w:r w:rsidRPr="00236015">
        <w:rPr>
          <w:rFonts w:cs="B Zar" w:hint="cs"/>
          <w:rtl/>
        </w:rPr>
        <w:t xml:space="preserve"> همان مآخذ: فصل 3: 8 تا 18، فصل 4: 31 ـ 34، فصل 9: 20 </w:t>
      </w:r>
      <w:r w:rsidRPr="00236015">
        <w:rPr>
          <w:rtl/>
        </w:rPr>
        <w:t>–</w:t>
      </w:r>
      <w:r w:rsidRPr="00236015">
        <w:rPr>
          <w:rFonts w:cs="B Zar" w:hint="cs"/>
          <w:rtl/>
        </w:rPr>
        <w:t xml:space="preserve"> 25، فصل 10: 25، فصل 18: 3 ـ 6.</w:t>
      </w:r>
    </w:p>
  </w:footnote>
  <w:footnote w:id="224">
    <w:p w:rsidR="00C8559C" w:rsidRPr="00EC6502" w:rsidP="00EC6502">
      <w:pPr>
        <w:pStyle w:val="FootnoteText"/>
        <w:bidi w:val="0"/>
        <w:spacing w:line="240" w:lineRule="exact"/>
        <w:ind w:left="227" w:hanging="227"/>
        <w:rPr>
          <w:sz w:val="18"/>
          <w:szCs w:val="18"/>
        </w:rPr>
      </w:pPr>
      <w:r w:rsidRPr="00EC6502">
        <w:rPr>
          <w:rStyle w:val="FootnoteReference"/>
          <w:sz w:val="18"/>
          <w:szCs w:val="18"/>
          <w:vertAlign w:val="baseline"/>
        </w:rPr>
        <w:footnoteRef/>
      </w:r>
      <w:r w:rsidRPr="00EC6502">
        <w:rPr>
          <w:sz w:val="18"/>
          <w:szCs w:val="18"/>
        </w:rPr>
        <w:t xml:space="preserve">. </w:t>
      </w:r>
      <w:r w:rsidRPr="00EC6502">
        <w:rPr>
          <w:rFonts w:cs="Times New Roman"/>
          <w:sz w:val="18"/>
          <w:szCs w:val="18"/>
          <w:rtl/>
        </w:rPr>
        <w:t xml:space="preserve"> </w:t>
      </w:r>
      <w:r w:rsidRPr="00EC6502">
        <w:rPr>
          <w:rFonts w:cs="B Zar"/>
          <w:sz w:val="18"/>
          <w:szCs w:val="18"/>
        </w:rPr>
        <w:t xml:space="preserve">Durkheim, Emile: The Elementary Forms of Religious Life, English Translation, </w:t>
      </w:r>
      <w:smartTag w:uri="urn:schemas-microsoft-com:office:smarttags" w:element="place">
        <w:smartTag w:uri="urn:schemas-microsoft-com:office:smarttags" w:element="City">
          <w:r w:rsidRPr="00EC6502">
            <w:rPr>
              <w:rFonts w:cs="B Zar"/>
              <w:sz w:val="18"/>
              <w:szCs w:val="18"/>
            </w:rPr>
            <w:t>London</w:t>
          </w:r>
        </w:smartTag>
      </w:smartTag>
      <w:r w:rsidRPr="00EC6502">
        <w:rPr>
          <w:rFonts w:cs="B Zar"/>
          <w:sz w:val="18"/>
          <w:szCs w:val="18"/>
        </w:rPr>
        <w:t>, 1947. p 39</w:t>
      </w:r>
    </w:p>
  </w:footnote>
  <w:footnote w:id="225">
    <w:p w:rsidR="00C8559C" w:rsidRPr="00236015" w:rsidP="00236015">
      <w:pPr>
        <w:pStyle w:val="FootnoteText"/>
        <w:ind w:left="227" w:right="0" w:hanging="227"/>
        <w:jc w:val="both"/>
        <w:rPr>
          <w:rFonts w:cs="B Zar" w:hint="cs"/>
          <w:rtl/>
        </w:rPr>
      </w:pPr>
      <w:r w:rsidRPr="00236015">
        <w:rPr>
          <w:rStyle w:val="FootnoteReference"/>
          <w:rFonts w:ascii="IPT.Zar" w:hAnsi="IPT.Zar" w:cs="B Zar"/>
          <w:sz w:val="24"/>
          <w:szCs w:val="24"/>
          <w:vertAlign w:val="baseline"/>
        </w:rPr>
        <w:footnoteRef/>
      </w:r>
      <w:r w:rsidRPr="006A4F74">
        <w:rPr>
          <w:rFonts w:cs="B Zar" w:hint="cs"/>
          <w:sz w:val="22"/>
          <w:szCs w:val="22"/>
          <w:rtl/>
        </w:rPr>
        <w:t>.</w:t>
      </w:r>
      <w:r>
        <w:rPr>
          <w:rFonts w:cs="B Zar" w:hint="cs"/>
          <w:sz w:val="22"/>
          <w:szCs w:val="22"/>
          <w:rtl/>
        </w:rPr>
        <w:t xml:space="preserve"> </w:t>
      </w:r>
      <w:r w:rsidRPr="006A4F74">
        <w:rPr>
          <w:rFonts w:cs="B Zar" w:hint="cs"/>
          <w:sz w:val="22"/>
          <w:szCs w:val="22"/>
          <w:rtl/>
        </w:rPr>
        <w:t xml:space="preserve"> </w:t>
      </w:r>
      <w:r w:rsidRPr="00236015">
        <w:rPr>
          <w:rFonts w:cs="B Zar" w:hint="cs"/>
          <w:rtl/>
        </w:rPr>
        <w:t>مرتضي مطهري: مقدمه اي بر جهان بيني اسلامي: انسان و ايمان، ص 12، دفتر انتشارات اسلامي قم، 1362ك</w:t>
      </w:r>
    </w:p>
    <w:p w:rsidR="00C8559C" w:rsidRPr="006A4F74" w:rsidP="00A12349">
      <w:pPr>
        <w:pStyle w:val="FootnoteText"/>
        <w:ind w:left="227" w:right="0" w:hanging="227"/>
        <w:jc w:val="both"/>
        <w:rPr>
          <w:rFonts w:cs="B Zar" w:hint="cs"/>
          <w:sz w:val="22"/>
          <w:szCs w:val="22"/>
          <w:rtl/>
        </w:rPr>
      </w:pPr>
      <w:r w:rsidRPr="00236015">
        <w:rPr>
          <w:rFonts w:cs="B Zar" w:hint="cs"/>
          <w:rtl/>
        </w:rPr>
        <w:t xml:space="preserve">  </w:t>
        <w:tab/>
        <w:t>البته استاد مطهري اين تعبيرات را براي تبيين تفاوت آگاهي حيوان و انسان به كار برده است و تفاوت گذاري مشابه ميان طفل و آدم بالغ از ما است</w:t>
      </w:r>
    </w:p>
  </w:footnote>
  <w:footnote w:id="226">
    <w:p w:rsidR="00C8559C" w:rsidRPr="00EA3D29" w:rsidP="0011420A">
      <w:pPr>
        <w:ind w:left="0" w:right="0"/>
        <w:jc w:val="both"/>
        <w:rPr>
          <w:rFonts w:ascii="IPT.Lotus" w:hAnsi="IPT.Lotus" w:cs="B Zar"/>
          <w:sz w:val="20"/>
          <w:szCs w:val="20"/>
          <w:rtl/>
        </w:rPr>
      </w:pPr>
      <w:r w:rsidRPr="00EA3D29">
        <w:rPr>
          <w:rStyle w:val="FootnoteReference"/>
          <w:rFonts w:ascii="IPT.Zar" w:hAnsi="IPT.Zar" w:cs="B Zar"/>
          <w:szCs w:val="24"/>
          <w:vertAlign w:val="baseline"/>
        </w:rPr>
        <w:footnoteRef/>
      </w:r>
      <w:r w:rsidRPr="00EA3D29">
        <w:rPr>
          <w:rFonts w:ascii="IPT.Lotus" w:hAnsi="IPT.Lotus" w:cs="B Zar"/>
          <w:sz w:val="20"/>
          <w:szCs w:val="20"/>
          <w:vertAlign w:val="superscript"/>
          <w:rtl/>
        </w:rPr>
        <w:t xml:space="preserve"> </w:t>
      </w:r>
      <w:r w:rsidRPr="00EA3D29">
        <w:rPr>
          <w:rFonts w:ascii="IPT.Lotus" w:hAnsi="IPT.Lotus" w:cs="B Zar"/>
          <w:sz w:val="20"/>
          <w:szCs w:val="20"/>
          <w:rtl/>
          <w:lang w:bidi="fa-IR"/>
        </w:rPr>
        <w:t xml:space="preserve">. </w:t>
      </w:r>
      <w:r w:rsidRPr="00EA3D29">
        <w:rPr>
          <w:rFonts w:ascii="IPT.Lotus" w:hAnsi="IPT.Lotus" w:cs="B Zar"/>
          <w:sz w:val="20"/>
          <w:szCs w:val="20"/>
          <w:rtl/>
        </w:rPr>
        <w:t>«فلمّا جن عليه الليل رأ كوكبا، قال هذا ربي»</w:t>
      </w:r>
    </w:p>
  </w:footnote>
  <w:footnote w:id="227">
    <w:p w:rsidR="00C8559C" w:rsidRPr="00EA3D29" w:rsidP="0011420A">
      <w:pPr>
        <w:ind w:left="0" w:right="0"/>
        <w:jc w:val="both"/>
        <w:rPr>
          <w:rFonts w:ascii="IPT.Lotus" w:hAnsi="IPT.Lotus" w:cs="B Zar"/>
          <w:sz w:val="20"/>
          <w:szCs w:val="20"/>
          <w:rtl/>
        </w:rPr>
      </w:pPr>
      <w:r w:rsidRPr="00EA3D29">
        <w:rPr>
          <w:rStyle w:val="FootnoteReference"/>
          <w:rFonts w:ascii="IPT.Lotus" w:hAnsi="IPT.Lotus" w:cs="B Zar"/>
          <w:sz w:val="20"/>
          <w:szCs w:val="20"/>
          <w:vertAlign w:val="baseline"/>
        </w:rPr>
        <w:footnoteRef/>
      </w:r>
      <w:r w:rsidRPr="00EA3D29">
        <w:rPr>
          <w:rFonts w:ascii="IPT.Lotus" w:hAnsi="IPT.Lotus" w:cs="B Zar"/>
          <w:sz w:val="20"/>
          <w:szCs w:val="20"/>
          <w:rtl/>
        </w:rPr>
        <w:t xml:space="preserve"> </w:t>
      </w:r>
      <w:r w:rsidRPr="00EA3D29">
        <w:rPr>
          <w:rFonts w:ascii="IPT.Lotus" w:hAnsi="IPT.Lotus" w:cs="B Zar"/>
          <w:sz w:val="20"/>
          <w:szCs w:val="20"/>
          <w:rtl/>
          <w:lang w:bidi="fa-IR"/>
        </w:rPr>
        <w:t xml:space="preserve">.  </w:t>
      </w:r>
      <w:r w:rsidRPr="00EA3D29">
        <w:rPr>
          <w:rFonts w:ascii="IPT.Lotus" w:hAnsi="IPT.Lotus" w:cs="B Zar"/>
          <w:sz w:val="20"/>
          <w:szCs w:val="20"/>
          <w:rtl/>
        </w:rPr>
        <w:t>«فلما رأ‌القمر بازغا قال هذا ربي»</w:t>
      </w:r>
    </w:p>
  </w:footnote>
  <w:footnote w:id="228">
    <w:p w:rsidR="00C8559C" w:rsidRPr="00EA3D29" w:rsidP="0011420A">
      <w:pPr>
        <w:ind w:left="0" w:right="0"/>
        <w:jc w:val="both"/>
        <w:rPr>
          <w:rFonts w:ascii="IPT.Lotus" w:hAnsi="IPT.Lotus" w:cs="B Zar"/>
          <w:sz w:val="20"/>
          <w:szCs w:val="20"/>
          <w:rtl/>
        </w:rPr>
      </w:pPr>
      <w:r w:rsidRPr="00EA3D29">
        <w:rPr>
          <w:rStyle w:val="FootnoteReference"/>
          <w:rFonts w:ascii="IPT.Lotus" w:hAnsi="IPT.Lotus" w:cs="B Zar"/>
          <w:sz w:val="20"/>
          <w:szCs w:val="20"/>
          <w:vertAlign w:val="baseline"/>
        </w:rPr>
        <w:footnoteRef/>
      </w:r>
      <w:r w:rsidRPr="00EA3D29">
        <w:rPr>
          <w:rFonts w:ascii="IPT.Lotus" w:hAnsi="IPT.Lotus" w:cs="B Zar"/>
          <w:sz w:val="20"/>
          <w:szCs w:val="20"/>
          <w:rtl/>
        </w:rPr>
        <w:t xml:space="preserve"> </w:t>
      </w:r>
      <w:r w:rsidRPr="00EA3D29">
        <w:rPr>
          <w:rFonts w:ascii="IPT.Lotus" w:hAnsi="IPT.Lotus" w:cs="B Zar"/>
          <w:sz w:val="20"/>
          <w:szCs w:val="20"/>
          <w:rtl/>
          <w:lang w:bidi="fa-IR"/>
        </w:rPr>
        <w:t xml:space="preserve">.  </w:t>
      </w:r>
      <w:r w:rsidRPr="00EA3D29">
        <w:rPr>
          <w:rFonts w:ascii="IPT.Lotus" w:hAnsi="IPT.Lotus" w:cs="B Zar"/>
          <w:sz w:val="20"/>
          <w:szCs w:val="20"/>
          <w:rtl/>
        </w:rPr>
        <w:t>«فلمّا رأ‌الشمس بازغه قال هذا ربّي هذا اكبر»</w:t>
      </w:r>
    </w:p>
  </w:footnote>
  <w:footnote w:id="229">
    <w:p w:rsidR="00C8559C" w:rsidRPr="006A4F74">
      <w:pPr>
        <w:pStyle w:val="FootnoteText"/>
        <w:ind w:left="0" w:right="0"/>
        <w:jc w:val="both"/>
        <w:rPr>
          <w:rFonts w:cs="B Zar" w:hint="cs"/>
          <w:sz w:val="22"/>
          <w:szCs w:val="22"/>
          <w:rtl/>
        </w:rPr>
      </w:pPr>
      <w:r w:rsidRPr="00EA3D29">
        <w:rPr>
          <w:rStyle w:val="FootnoteReference"/>
          <w:rFonts w:ascii="IPT.Lotus" w:hAnsi="IPT.Lotus" w:cs="B Zar"/>
          <w:vertAlign w:val="baseline"/>
        </w:rPr>
        <w:footnoteRef/>
      </w:r>
      <w:r w:rsidRPr="00EA3D29">
        <w:rPr>
          <w:rFonts w:ascii="IPT.Lotus" w:hAnsi="IPT.Lotus" w:cs="B Zar"/>
          <w:rtl/>
        </w:rPr>
        <w:t>.  سوره انعام، آيه 76 -78</w:t>
      </w:r>
    </w:p>
  </w:footnote>
  <w:footnote w:id="230">
    <w:p w:rsidR="00C8559C" w:rsidRPr="00AC34C4" w:rsidP="0087336B">
      <w:pPr>
        <w:pStyle w:val="FootnoteText"/>
        <w:bidi w:val="0"/>
        <w:spacing w:line="240" w:lineRule="exact"/>
        <w:rPr>
          <w:sz w:val="18"/>
          <w:szCs w:val="18"/>
        </w:rPr>
      </w:pPr>
      <w:r w:rsidRPr="00AC34C4">
        <w:rPr>
          <w:rStyle w:val="FootnoteReference"/>
          <w:sz w:val="18"/>
          <w:szCs w:val="18"/>
          <w:vertAlign w:val="baseline"/>
        </w:rPr>
        <w:footnoteRef/>
      </w:r>
      <w:r w:rsidRPr="00AC34C4">
        <w:rPr>
          <w:sz w:val="18"/>
          <w:szCs w:val="18"/>
        </w:rPr>
        <w:t xml:space="preserve">. </w:t>
      </w:r>
      <w:r w:rsidRPr="00AC34C4">
        <w:rPr>
          <w:sz w:val="18"/>
          <w:szCs w:val="18"/>
          <w:rtl/>
        </w:rPr>
        <w:t xml:space="preserve"> </w:t>
      </w:r>
      <w:r w:rsidRPr="00AC34C4">
        <w:rPr>
          <w:rFonts w:cs="B Zar"/>
          <w:sz w:val="18"/>
          <w:szCs w:val="18"/>
        </w:rPr>
        <w:t xml:space="preserve">Max Muller: Lecture, On the Origin and Growth of Religion, </w:t>
      </w:r>
      <w:smartTag w:uri="urn:schemas-microsoft-com:office:smarttags" w:element="place">
        <w:smartTag w:uri="urn:schemas-microsoft-com:office:smarttags" w:element="City">
          <w:r w:rsidRPr="00AC34C4">
            <w:rPr>
              <w:rFonts w:cs="B Zar"/>
              <w:sz w:val="18"/>
              <w:szCs w:val="18"/>
            </w:rPr>
            <w:t>London</w:t>
          </w:r>
        </w:smartTag>
      </w:smartTag>
      <w:r w:rsidRPr="00AC34C4">
        <w:rPr>
          <w:rFonts w:cs="B Zar"/>
          <w:sz w:val="18"/>
          <w:szCs w:val="18"/>
        </w:rPr>
        <w:t>, 1878</w:t>
      </w:r>
    </w:p>
  </w:footnote>
  <w:footnote w:id="231">
    <w:p w:rsidR="00C8559C" w:rsidRPr="00AC34C4" w:rsidP="00AC34C4">
      <w:pPr>
        <w:pStyle w:val="FootnoteText"/>
        <w:bidi w:val="0"/>
        <w:spacing w:line="240" w:lineRule="auto"/>
        <w:rPr>
          <w:sz w:val="18"/>
          <w:szCs w:val="18"/>
        </w:rPr>
      </w:pPr>
      <w:r w:rsidRPr="00AC34C4">
        <w:rPr>
          <w:rStyle w:val="FootnoteReference"/>
          <w:sz w:val="18"/>
          <w:szCs w:val="18"/>
          <w:vertAlign w:val="baseline"/>
        </w:rPr>
        <w:footnoteRef/>
      </w:r>
      <w:r w:rsidRPr="00AC34C4">
        <w:rPr>
          <w:sz w:val="18"/>
          <w:szCs w:val="18"/>
        </w:rPr>
        <w:t xml:space="preserve">. </w:t>
      </w:r>
      <w:r w:rsidRPr="00AC34C4">
        <w:rPr>
          <w:sz w:val="18"/>
          <w:szCs w:val="18"/>
          <w:rtl/>
        </w:rPr>
        <w:t xml:space="preserve"> </w:t>
      </w:r>
      <w:r w:rsidRPr="00AC34C4">
        <w:rPr>
          <w:rFonts w:cs="B Zar"/>
          <w:sz w:val="18"/>
          <w:szCs w:val="18"/>
        </w:rPr>
        <w:t>E.H.Mann: Jai, Xii, 1883, 158, Andaman</w:t>
      </w:r>
    </w:p>
  </w:footnote>
  <w:footnote w:id="232">
    <w:p w:rsidR="00C8559C" w:rsidRPr="00AC34C4" w:rsidP="00AC34C4">
      <w:pPr>
        <w:pStyle w:val="FootnoteText"/>
        <w:bidi w:val="0"/>
        <w:spacing w:line="240" w:lineRule="auto"/>
        <w:rPr>
          <w:rFonts w:hint="cs"/>
          <w:sz w:val="18"/>
          <w:szCs w:val="18"/>
        </w:rPr>
      </w:pPr>
      <w:r w:rsidRPr="00AC34C4">
        <w:rPr>
          <w:rStyle w:val="FootnoteReference"/>
          <w:sz w:val="18"/>
          <w:szCs w:val="18"/>
          <w:vertAlign w:val="baseline"/>
        </w:rPr>
        <w:footnoteRef/>
      </w:r>
      <w:r w:rsidRPr="00AC34C4">
        <w:rPr>
          <w:sz w:val="18"/>
          <w:szCs w:val="18"/>
        </w:rPr>
        <w:t xml:space="preserve">. </w:t>
      </w:r>
      <w:r w:rsidRPr="00AC34C4">
        <w:rPr>
          <w:sz w:val="18"/>
          <w:szCs w:val="18"/>
          <w:rtl/>
        </w:rPr>
        <w:t xml:space="preserve"> </w:t>
      </w:r>
      <w:r w:rsidRPr="00AC34C4">
        <w:rPr>
          <w:rFonts w:cs="B Zar"/>
          <w:sz w:val="18"/>
          <w:szCs w:val="18"/>
        </w:rPr>
        <w:t>J.A.,Macc Louch: Encyclopedia of Religions, Vol. 9, p.202.ff</w:t>
      </w:r>
    </w:p>
  </w:footnote>
  <w:footnote w:id="233">
    <w:p w:rsidR="00C8559C" w:rsidRPr="00AC34C4" w:rsidP="00AC34C4">
      <w:pPr>
        <w:pStyle w:val="FootnoteText"/>
        <w:bidi w:val="0"/>
        <w:spacing w:line="240" w:lineRule="auto"/>
        <w:rPr>
          <w:sz w:val="18"/>
          <w:szCs w:val="18"/>
        </w:rPr>
      </w:pPr>
      <w:r w:rsidRPr="00AC34C4">
        <w:rPr>
          <w:rStyle w:val="FootnoteReference"/>
          <w:sz w:val="18"/>
          <w:szCs w:val="18"/>
          <w:vertAlign w:val="baseline"/>
        </w:rPr>
        <w:footnoteRef/>
      </w:r>
      <w:r w:rsidRPr="00AC34C4">
        <w:rPr>
          <w:sz w:val="18"/>
          <w:szCs w:val="18"/>
        </w:rPr>
        <w:t xml:space="preserve">. </w:t>
      </w:r>
      <w:r w:rsidRPr="00AC34C4">
        <w:rPr>
          <w:sz w:val="18"/>
          <w:szCs w:val="18"/>
          <w:rtl/>
        </w:rPr>
        <w:t xml:space="preserve"> </w:t>
      </w:r>
      <w:r w:rsidRPr="00AC34C4">
        <w:rPr>
          <w:rFonts w:cs="B Zar"/>
          <w:sz w:val="18"/>
          <w:szCs w:val="18"/>
        </w:rPr>
        <w:t xml:space="preserve">A.Manzies: History of Religions, </w:t>
      </w:r>
      <w:smartTag w:uri="urn:schemas-microsoft-com:office:smarttags" w:element="place">
        <w:smartTag w:uri="urn:schemas-microsoft-com:office:smarttags" w:element="City">
          <w:r w:rsidRPr="00AC34C4">
            <w:rPr>
              <w:rFonts w:cs="B Zar"/>
              <w:sz w:val="18"/>
              <w:szCs w:val="18"/>
            </w:rPr>
            <w:t>London</w:t>
          </w:r>
        </w:smartTag>
      </w:smartTag>
      <w:r w:rsidRPr="00AC34C4">
        <w:rPr>
          <w:rFonts w:cs="B Zar"/>
          <w:sz w:val="18"/>
          <w:szCs w:val="18"/>
        </w:rPr>
        <w:t>, 1911, p.47</w:t>
      </w:r>
    </w:p>
  </w:footnote>
  <w:footnote w:id="234">
    <w:p w:rsidR="00C8559C" w:rsidRPr="00AC34C4" w:rsidP="00AC34C4">
      <w:pPr>
        <w:pStyle w:val="FootnoteText"/>
        <w:bidi w:val="0"/>
        <w:spacing w:line="240" w:lineRule="auto"/>
        <w:rPr>
          <w:rFonts w:hint="cs"/>
          <w:sz w:val="18"/>
          <w:szCs w:val="18"/>
        </w:rPr>
      </w:pPr>
      <w:r w:rsidRPr="00AC34C4">
        <w:rPr>
          <w:rStyle w:val="FootnoteReference"/>
          <w:sz w:val="18"/>
          <w:szCs w:val="18"/>
          <w:vertAlign w:val="baseline"/>
        </w:rPr>
        <w:footnoteRef/>
      </w:r>
      <w:r w:rsidRPr="00AC34C4">
        <w:rPr>
          <w:sz w:val="18"/>
          <w:szCs w:val="18"/>
        </w:rPr>
        <w:t xml:space="preserve">. </w:t>
      </w:r>
      <w:r w:rsidRPr="00AC34C4">
        <w:rPr>
          <w:sz w:val="18"/>
          <w:szCs w:val="18"/>
          <w:rtl/>
        </w:rPr>
        <w:t xml:space="preserve"> </w:t>
      </w:r>
      <w:r w:rsidRPr="00AC34C4">
        <w:rPr>
          <w:rFonts w:cs="B Zar"/>
          <w:sz w:val="18"/>
          <w:szCs w:val="18"/>
        </w:rPr>
        <w:t>James Baikie: Encyclopedia. Of Religion, Vol.9, 217 ff</w:t>
      </w:r>
    </w:p>
  </w:footnote>
  <w:footnote w:id="235">
    <w:p w:rsidR="00C8559C" w:rsidRPr="00AC34C4" w:rsidP="00AC34C4">
      <w:pPr>
        <w:pStyle w:val="FootnoteText"/>
        <w:bidi w:val="0"/>
        <w:spacing w:line="240" w:lineRule="auto"/>
        <w:ind w:left="227" w:hanging="227"/>
        <w:rPr>
          <w:sz w:val="18"/>
          <w:szCs w:val="18"/>
        </w:rPr>
      </w:pPr>
      <w:r w:rsidRPr="00AC34C4">
        <w:rPr>
          <w:rStyle w:val="FootnoteReference"/>
          <w:sz w:val="18"/>
          <w:szCs w:val="18"/>
          <w:vertAlign w:val="baseline"/>
        </w:rPr>
        <w:footnoteRef/>
      </w:r>
      <w:r w:rsidRPr="00AC34C4">
        <w:rPr>
          <w:sz w:val="18"/>
          <w:szCs w:val="18"/>
        </w:rPr>
        <w:t xml:space="preserve">. </w:t>
      </w:r>
      <w:r w:rsidRPr="00AC34C4">
        <w:rPr>
          <w:rFonts w:cs="B Zar"/>
          <w:sz w:val="18"/>
          <w:szCs w:val="18"/>
        </w:rPr>
        <w:t xml:space="preserve">Breasted, B.: Development of Religion and Thought in the Ancient </w:t>
      </w:r>
      <w:smartTag w:uri="urn:schemas-microsoft-com:office:smarttags" w:element="place">
        <w:smartTag w:uri="urn:schemas-microsoft-com:office:smarttags" w:element="country-region">
          <w:r w:rsidRPr="00AC34C4">
            <w:rPr>
              <w:rFonts w:cs="B Zar"/>
              <w:sz w:val="18"/>
              <w:szCs w:val="18"/>
            </w:rPr>
            <w:t>Egypt</w:t>
          </w:r>
        </w:smartTag>
      </w:smartTag>
      <w:r w:rsidRPr="00AC34C4">
        <w:rPr>
          <w:rFonts w:cs="B Zar"/>
          <w:sz w:val="18"/>
          <w:szCs w:val="18"/>
        </w:rPr>
        <w:t xml:space="preserve">. </w:t>
      </w:r>
      <w:smartTag w:uri="urn:schemas-microsoft-com:office:smarttags" w:element="place">
        <w:r w:rsidRPr="00AC34C4">
          <w:rPr>
            <w:rFonts w:cs="B Zar"/>
            <w:sz w:val="18"/>
            <w:szCs w:val="18"/>
          </w:rPr>
          <w:t>Princeton</w:t>
        </w:r>
      </w:smartTag>
      <w:r w:rsidRPr="00AC34C4">
        <w:rPr>
          <w:rFonts w:cs="B Zar"/>
          <w:sz w:val="18"/>
          <w:szCs w:val="18"/>
        </w:rPr>
        <w:t>, 1968, p 47</w:t>
      </w:r>
    </w:p>
  </w:footnote>
  <w:footnote w:id="236">
    <w:p w:rsidR="00C8559C" w:rsidRPr="006A4F74">
      <w:pPr>
        <w:pStyle w:val="FootnoteText"/>
        <w:ind w:left="0" w:right="0"/>
        <w:jc w:val="both"/>
        <w:rPr>
          <w:rFonts w:cs="B Zar" w:hint="cs"/>
          <w:sz w:val="22"/>
          <w:szCs w:val="22"/>
          <w:rtl/>
        </w:rPr>
      </w:pPr>
      <w:r w:rsidRPr="006A4F74">
        <w:rPr>
          <w:rStyle w:val="FootnoteReference"/>
          <w:rFonts w:ascii="IPT.Lotus" w:hAnsi="IPT.Lotus" w:cs="B Zar"/>
          <w:sz w:val="22"/>
          <w:szCs w:val="22"/>
          <w:vertAlign w:val="baseline"/>
        </w:rPr>
        <w:footnoteRef/>
      </w:r>
      <w:r w:rsidRPr="006A4F74">
        <w:rPr>
          <w:rFonts w:cs="B Zar"/>
          <w:sz w:val="22"/>
          <w:szCs w:val="22"/>
        </w:rPr>
        <w:t xml:space="preserve"> </w:t>
      </w:r>
      <w:r w:rsidRPr="006A4F74">
        <w:rPr>
          <w:rFonts w:cs="B Zar" w:hint="cs"/>
          <w:sz w:val="22"/>
          <w:szCs w:val="22"/>
          <w:rtl/>
        </w:rPr>
        <w:t>. مآخذ عمده ديگر راجع به انديشه ديني مصر باستان عبارت اند از:</w:t>
      </w:r>
    </w:p>
    <w:p w:rsidR="00C8559C" w:rsidRPr="00FC3713" w:rsidP="00FC3713">
      <w:pPr>
        <w:pStyle w:val="FootnoteText"/>
        <w:bidi w:val="0"/>
        <w:spacing w:line="240" w:lineRule="exact"/>
        <w:rPr>
          <w:rFonts w:cs="B Zar"/>
          <w:sz w:val="18"/>
          <w:szCs w:val="18"/>
        </w:rPr>
      </w:pPr>
      <w:r w:rsidRPr="00FC3713">
        <w:rPr>
          <w:rFonts w:cs="B Zar"/>
          <w:sz w:val="18"/>
          <w:szCs w:val="18"/>
        </w:rPr>
        <w:t>-</w:t>
      </w:r>
      <w:r>
        <w:rPr>
          <w:rFonts w:cs="B Zar"/>
          <w:sz w:val="18"/>
          <w:szCs w:val="18"/>
        </w:rPr>
        <w:t xml:space="preserve"> </w:t>
      </w:r>
      <w:r w:rsidRPr="00FC3713">
        <w:rPr>
          <w:rFonts w:cs="B Zar"/>
          <w:sz w:val="18"/>
          <w:szCs w:val="18"/>
        </w:rPr>
        <w:t>A.Wiedman: Religion of the Ancient Egyptians, Landon, 1907</w:t>
      </w:r>
    </w:p>
    <w:p w:rsidR="00C8559C" w:rsidRPr="00FC3713" w:rsidP="00FC3713">
      <w:pPr>
        <w:pStyle w:val="FootnoteText"/>
        <w:bidi w:val="0"/>
        <w:spacing w:line="240" w:lineRule="exact"/>
        <w:rPr>
          <w:rFonts w:cs="B Zar"/>
          <w:sz w:val="18"/>
          <w:szCs w:val="18"/>
        </w:rPr>
      </w:pPr>
      <w:r w:rsidRPr="00FC3713">
        <w:rPr>
          <w:rFonts w:cs="B Zar"/>
          <w:sz w:val="18"/>
          <w:szCs w:val="18"/>
        </w:rPr>
        <w:t>-</w:t>
      </w:r>
      <w:r>
        <w:rPr>
          <w:rFonts w:cs="B Zar"/>
          <w:sz w:val="18"/>
          <w:szCs w:val="18"/>
        </w:rPr>
        <w:t xml:space="preserve"> </w:t>
      </w:r>
      <w:r w:rsidRPr="00FC3713">
        <w:rPr>
          <w:rFonts w:cs="B Zar"/>
          <w:sz w:val="18"/>
          <w:szCs w:val="18"/>
        </w:rPr>
        <w:t xml:space="preserve">A.Eman: A Hand-Book of Egyptian Religion, </w:t>
      </w:r>
      <w:smartTag w:uri="urn:schemas-microsoft-com:office:smarttags" w:element="place">
        <w:smartTag w:uri="urn:schemas-microsoft-com:office:smarttags" w:element="City">
          <w:r w:rsidRPr="00FC3713">
            <w:rPr>
              <w:rFonts w:cs="B Zar"/>
              <w:sz w:val="18"/>
              <w:szCs w:val="18"/>
            </w:rPr>
            <w:t>London</w:t>
          </w:r>
        </w:smartTag>
      </w:smartTag>
      <w:r w:rsidRPr="00FC3713">
        <w:rPr>
          <w:rFonts w:cs="B Zar"/>
          <w:sz w:val="18"/>
          <w:szCs w:val="18"/>
        </w:rPr>
        <w:t>, 1907</w:t>
      </w:r>
    </w:p>
    <w:p w:rsidR="00C8559C" w:rsidRPr="00FC3713" w:rsidP="00FC3713">
      <w:pPr>
        <w:pStyle w:val="FootnoteText"/>
        <w:bidi w:val="0"/>
        <w:spacing w:line="240" w:lineRule="exact"/>
        <w:rPr>
          <w:rFonts w:cs="B Zar"/>
          <w:sz w:val="18"/>
          <w:szCs w:val="18"/>
        </w:rPr>
      </w:pPr>
      <w:r w:rsidRPr="00FC3713">
        <w:rPr>
          <w:rFonts w:cs="B Zar"/>
          <w:sz w:val="18"/>
          <w:szCs w:val="18"/>
        </w:rPr>
        <w:t>-</w:t>
      </w:r>
      <w:r>
        <w:rPr>
          <w:rFonts w:cs="B Zar"/>
          <w:sz w:val="18"/>
          <w:szCs w:val="18"/>
        </w:rPr>
        <w:t xml:space="preserve"> </w:t>
      </w:r>
      <w:r w:rsidRPr="00FC3713">
        <w:rPr>
          <w:rFonts w:cs="B Zar"/>
          <w:sz w:val="18"/>
          <w:szCs w:val="18"/>
        </w:rPr>
        <w:t xml:space="preserve">Steindorf, G.: Religion of the Ancient Egyptians, </w:t>
      </w:r>
      <w:smartTag w:uri="urn:schemas-microsoft-com:office:smarttags" w:element="place">
        <w:smartTag w:uri="urn:schemas-microsoft-com:office:smarttags" w:element="City">
          <w:r w:rsidRPr="00FC3713">
            <w:rPr>
              <w:rFonts w:cs="B Zar"/>
              <w:sz w:val="18"/>
              <w:szCs w:val="18"/>
            </w:rPr>
            <w:t>Cambridge</w:t>
          </w:r>
        </w:smartTag>
      </w:smartTag>
      <w:r w:rsidRPr="00FC3713">
        <w:rPr>
          <w:rFonts w:cs="B Zar"/>
          <w:sz w:val="18"/>
          <w:szCs w:val="18"/>
        </w:rPr>
        <w:t>, 1963</w:t>
      </w:r>
    </w:p>
    <w:p w:rsidR="00C8559C" w:rsidRPr="006A4F74" w:rsidP="00FC3713">
      <w:pPr>
        <w:pStyle w:val="FootnoteText"/>
        <w:bidi w:val="0"/>
        <w:spacing w:line="240" w:lineRule="exact"/>
        <w:rPr>
          <w:rFonts w:cs="B Zar"/>
          <w:sz w:val="22"/>
          <w:szCs w:val="22"/>
          <w:rtl/>
        </w:rPr>
      </w:pPr>
      <w:r w:rsidRPr="00FC3713">
        <w:rPr>
          <w:rFonts w:cs="B Zar"/>
          <w:sz w:val="18"/>
          <w:szCs w:val="18"/>
        </w:rPr>
        <w:t>-</w:t>
      </w:r>
      <w:r>
        <w:rPr>
          <w:rFonts w:cs="B Zar"/>
          <w:sz w:val="18"/>
          <w:szCs w:val="18"/>
        </w:rPr>
        <w:t xml:space="preserve"> </w:t>
      </w:r>
      <w:r w:rsidRPr="00FC3713">
        <w:rPr>
          <w:rFonts w:cs="B Zar"/>
          <w:sz w:val="18"/>
          <w:szCs w:val="18"/>
        </w:rPr>
        <w:t xml:space="preserve">P.Le P.Renauf: Lectures, On the Origin and Growth of Religion, </w:t>
      </w:r>
      <w:smartTag w:uri="urn:schemas-microsoft-com:office:smarttags" w:element="place">
        <w:smartTag w:uri="urn:schemas-microsoft-com:office:smarttags" w:element="City">
          <w:r w:rsidRPr="00FC3713">
            <w:rPr>
              <w:rFonts w:cs="B Zar"/>
              <w:sz w:val="18"/>
              <w:szCs w:val="18"/>
            </w:rPr>
            <w:t>London</w:t>
          </w:r>
        </w:smartTag>
      </w:smartTag>
      <w:r w:rsidRPr="00FC3713">
        <w:rPr>
          <w:rFonts w:cs="B Zar"/>
          <w:sz w:val="18"/>
          <w:szCs w:val="18"/>
        </w:rPr>
        <w:t>, 1907.</w:t>
      </w:r>
    </w:p>
  </w:footnote>
  <w:footnote w:id="237">
    <w:p w:rsidR="00C8559C" w:rsidRPr="00B453ED" w:rsidP="00FC3713">
      <w:pPr>
        <w:pStyle w:val="FootnoteText"/>
        <w:bidi w:val="0"/>
        <w:rPr>
          <w:rFonts w:hint="cs"/>
          <w:sz w:val="18"/>
          <w:szCs w:val="18"/>
        </w:rPr>
      </w:pPr>
      <w:r w:rsidRPr="00B453ED">
        <w:rPr>
          <w:rStyle w:val="FootnoteReference"/>
          <w:sz w:val="18"/>
          <w:szCs w:val="18"/>
          <w:vertAlign w:val="baseline"/>
        </w:rPr>
        <w:footnoteRef/>
      </w:r>
      <w:r w:rsidRPr="00B453ED">
        <w:rPr>
          <w:sz w:val="18"/>
          <w:szCs w:val="18"/>
        </w:rPr>
        <w:t xml:space="preserve">. </w:t>
      </w:r>
      <w:r w:rsidRPr="00B453ED">
        <w:rPr>
          <w:sz w:val="18"/>
          <w:szCs w:val="18"/>
          <w:rtl/>
        </w:rPr>
        <w:t xml:space="preserve"> </w:t>
      </w:r>
      <w:r w:rsidRPr="00B453ED">
        <w:rPr>
          <w:rFonts w:cs="B Zar"/>
          <w:sz w:val="18"/>
          <w:szCs w:val="18"/>
        </w:rPr>
        <w:t>L.R.Farnell: Encycl. of Religion, Vol.9, p.22</w:t>
      </w:r>
    </w:p>
  </w:footnote>
  <w:footnote w:id="238">
    <w:p w:rsidR="00C8559C" w:rsidRPr="00AC34C4" w:rsidP="008E2CFD">
      <w:pPr>
        <w:pStyle w:val="FootnoteText"/>
        <w:bidi w:val="0"/>
        <w:rPr>
          <w:rFonts w:hint="cs"/>
          <w:sz w:val="18"/>
          <w:szCs w:val="18"/>
        </w:rPr>
      </w:pPr>
      <w:r w:rsidRPr="00AC34C4">
        <w:rPr>
          <w:rStyle w:val="FootnoteReference"/>
          <w:sz w:val="18"/>
          <w:szCs w:val="18"/>
          <w:vertAlign w:val="baseline"/>
        </w:rPr>
        <w:footnoteRef/>
      </w:r>
      <w:r w:rsidRPr="00AC34C4">
        <w:rPr>
          <w:sz w:val="18"/>
          <w:szCs w:val="18"/>
        </w:rPr>
        <w:t xml:space="preserve">. </w:t>
      </w:r>
      <w:r w:rsidRPr="00AC34C4">
        <w:rPr>
          <w:rFonts w:cs="Times New Roman"/>
          <w:sz w:val="18"/>
          <w:szCs w:val="18"/>
          <w:rtl/>
        </w:rPr>
        <w:t xml:space="preserve"> </w:t>
      </w:r>
      <w:r w:rsidRPr="00AC34C4">
        <w:rPr>
          <w:rFonts w:cs="B Zar"/>
          <w:sz w:val="18"/>
          <w:szCs w:val="18"/>
        </w:rPr>
        <w:t>R.Revon: Encycl. of Religions, vol. 9, p. 234</w:t>
      </w:r>
    </w:p>
  </w:footnote>
  <w:footnote w:id="239">
    <w:p w:rsidR="00C8559C" w:rsidRPr="00E87560" w:rsidP="00E87560">
      <w:pPr>
        <w:pStyle w:val="FootnoteText"/>
        <w:bidi w:val="0"/>
        <w:rPr>
          <w:rFonts w:hint="cs"/>
          <w:sz w:val="18"/>
          <w:szCs w:val="18"/>
        </w:rPr>
      </w:pPr>
      <w:r w:rsidRPr="00E87560">
        <w:rPr>
          <w:rStyle w:val="FootnoteReference"/>
          <w:sz w:val="18"/>
          <w:szCs w:val="18"/>
          <w:vertAlign w:val="baseline"/>
        </w:rPr>
        <w:footnoteRef/>
      </w:r>
      <w:r w:rsidRPr="00E87560">
        <w:rPr>
          <w:sz w:val="18"/>
          <w:szCs w:val="18"/>
        </w:rPr>
        <w:t xml:space="preserve">. </w:t>
      </w:r>
      <w:r w:rsidRPr="00E87560">
        <w:rPr>
          <w:rFonts w:cs="Times New Roman"/>
          <w:sz w:val="18"/>
          <w:szCs w:val="18"/>
          <w:rtl/>
        </w:rPr>
        <w:t xml:space="preserve"> </w:t>
      </w:r>
      <w:r w:rsidRPr="00E87560">
        <w:rPr>
          <w:rFonts w:cs="B Zar"/>
          <w:sz w:val="18"/>
          <w:szCs w:val="18"/>
        </w:rPr>
        <w:t xml:space="preserve">Radhakshnan, Dr S:  The Indian Philosophy, </w:t>
      </w:r>
      <w:smartTag w:uri="urn:schemas-microsoft-com:office:smarttags" w:element="place">
        <w:smartTag w:uri="urn:schemas-microsoft-com:office:smarttags" w:element="City">
          <w:r w:rsidRPr="00E87560">
            <w:rPr>
              <w:rFonts w:cs="B Zar"/>
              <w:sz w:val="18"/>
              <w:szCs w:val="18"/>
            </w:rPr>
            <w:t>New Delhi</w:t>
          </w:r>
        </w:smartTag>
      </w:smartTag>
      <w:r w:rsidRPr="00E87560">
        <w:rPr>
          <w:rFonts w:cs="B Zar"/>
          <w:sz w:val="18"/>
          <w:szCs w:val="18"/>
        </w:rPr>
        <w:t>, 1989</w:t>
      </w:r>
      <w:r>
        <w:rPr>
          <w:rFonts w:cs="B Zar"/>
          <w:sz w:val="18"/>
          <w:szCs w:val="18"/>
        </w:rPr>
        <w:t xml:space="preserve"> </w:t>
      </w:r>
      <w:r w:rsidRPr="00E87560">
        <w:rPr>
          <w:rFonts w:cs="B Zar"/>
          <w:sz w:val="18"/>
          <w:szCs w:val="18"/>
        </w:rPr>
        <w:t>v1.p-69-70</w:t>
      </w:r>
    </w:p>
  </w:footnote>
  <w:footnote w:id="240">
    <w:p w:rsidR="00C8559C" w:rsidRPr="006A4F74">
      <w:pPr>
        <w:pStyle w:val="FootnoteText"/>
        <w:ind w:left="0" w:right="0"/>
        <w:jc w:val="both"/>
        <w:rPr>
          <w:rFonts w:cs="B Zar" w:hint="cs"/>
          <w:sz w:val="22"/>
          <w:szCs w:val="22"/>
        </w:rPr>
      </w:pPr>
      <w:r w:rsidRPr="006A4F74">
        <w:rPr>
          <w:rStyle w:val="FootnoteReference"/>
          <w:rFonts w:ascii="IPT.Lotus" w:hAnsi="IPT.Lotus" w:cs="B Zar"/>
          <w:sz w:val="22"/>
          <w:szCs w:val="22"/>
          <w:vertAlign w:val="baseline"/>
        </w:rPr>
        <w:footnoteRef/>
      </w:r>
      <w:r w:rsidRPr="006A4F74">
        <w:rPr>
          <w:rFonts w:cs="B Zar"/>
          <w:sz w:val="22"/>
          <w:szCs w:val="22"/>
        </w:rPr>
        <w:t xml:space="preserve"> </w:t>
      </w:r>
      <w:r w:rsidRPr="006A4F74">
        <w:rPr>
          <w:rFonts w:cs="B Zar" w:hint="cs"/>
          <w:sz w:val="22"/>
          <w:szCs w:val="22"/>
          <w:rtl/>
        </w:rPr>
        <w:t xml:space="preserve">. </w:t>
      </w:r>
      <w:r>
        <w:rPr>
          <w:rFonts w:cs="B Zar" w:hint="cs"/>
          <w:sz w:val="22"/>
          <w:szCs w:val="22"/>
          <w:rtl/>
        </w:rPr>
        <w:t xml:space="preserve"> </w:t>
      </w:r>
      <w:r w:rsidRPr="006A4F74">
        <w:rPr>
          <w:rFonts w:cs="B Zar" w:hint="cs"/>
          <w:sz w:val="22"/>
          <w:szCs w:val="22"/>
          <w:rtl/>
        </w:rPr>
        <w:t>رجوع شود به:</w:t>
      </w:r>
    </w:p>
    <w:p w:rsidR="00C8559C" w:rsidRPr="00E87560" w:rsidP="008637CF">
      <w:pPr>
        <w:pStyle w:val="FootnoteText"/>
        <w:bidi w:val="0"/>
        <w:spacing w:line="240" w:lineRule="exact"/>
        <w:rPr>
          <w:rFonts w:cs="B Zar"/>
          <w:sz w:val="18"/>
          <w:szCs w:val="18"/>
        </w:rPr>
      </w:pPr>
      <w:r w:rsidRPr="00E87560">
        <w:rPr>
          <w:rFonts w:cs="B Zar"/>
          <w:sz w:val="18"/>
          <w:szCs w:val="18"/>
        </w:rPr>
        <w:t>-</w:t>
      </w:r>
      <w:r w:rsidRPr="00E87560">
        <w:rPr>
          <w:rFonts w:ascii="IPT.Lotus" w:hAnsi="IPT.Lotus" w:cs="B Zar"/>
          <w:sz w:val="18"/>
          <w:szCs w:val="18"/>
        </w:rPr>
        <w:sym w:font="IPT.Lotus" w:char="F020"/>
      </w:r>
      <w:r>
        <w:rPr>
          <w:rFonts w:cs="B Zar"/>
          <w:sz w:val="18"/>
          <w:szCs w:val="18"/>
        </w:rPr>
        <w:t xml:space="preserve"> </w:t>
      </w:r>
      <w:r w:rsidRPr="00E87560">
        <w:rPr>
          <w:rFonts w:cs="B Zar"/>
          <w:sz w:val="18"/>
          <w:szCs w:val="18"/>
        </w:rPr>
        <w:t xml:space="preserve">A.Lang: Myth, Ritual and Religion, 1906, </w:t>
      </w:r>
      <w:smartTag w:uri="urn:schemas-microsoft-com:office:smarttags" w:element="place">
        <w:smartTag w:uri="urn:schemas-microsoft-com:office:smarttags" w:element="City">
          <w:r w:rsidRPr="00E87560">
            <w:rPr>
              <w:rFonts w:cs="B Zar"/>
              <w:sz w:val="18"/>
              <w:szCs w:val="18"/>
            </w:rPr>
            <w:t>London</w:t>
          </w:r>
        </w:smartTag>
      </w:smartTag>
      <w:r w:rsidRPr="00E87560">
        <w:rPr>
          <w:rFonts w:cs="B Zar"/>
          <w:sz w:val="18"/>
          <w:szCs w:val="18"/>
        </w:rPr>
        <w:t>.</w:t>
      </w:r>
    </w:p>
  </w:footnote>
  <w:footnote w:id="241">
    <w:p w:rsidR="00C8559C" w:rsidRPr="00AC34C4" w:rsidP="008637CF">
      <w:pPr>
        <w:pStyle w:val="FootnoteText"/>
        <w:bidi w:val="0"/>
        <w:spacing w:line="240" w:lineRule="exact"/>
        <w:rPr>
          <w:sz w:val="18"/>
          <w:szCs w:val="18"/>
        </w:rPr>
      </w:pPr>
      <w:r w:rsidRPr="00AC34C4">
        <w:rPr>
          <w:rStyle w:val="FootnoteReference"/>
          <w:sz w:val="18"/>
          <w:szCs w:val="18"/>
          <w:vertAlign w:val="baseline"/>
        </w:rPr>
        <w:footnoteRef/>
      </w:r>
      <w:r w:rsidRPr="00AC34C4">
        <w:rPr>
          <w:sz w:val="18"/>
          <w:szCs w:val="18"/>
        </w:rPr>
        <w:t xml:space="preserve">. </w:t>
      </w:r>
      <w:r w:rsidRPr="00AC34C4">
        <w:rPr>
          <w:rFonts w:cs="Times New Roman"/>
          <w:sz w:val="18"/>
          <w:szCs w:val="18"/>
          <w:rtl/>
        </w:rPr>
        <w:t xml:space="preserve"> </w:t>
      </w:r>
      <w:r w:rsidRPr="00AC34C4">
        <w:rPr>
          <w:rFonts w:cs="B Zar"/>
          <w:sz w:val="18"/>
          <w:szCs w:val="18"/>
        </w:rPr>
        <w:t>Maccloach: Encycl. of Religion, Vol. 9, p. 204</w:t>
      </w:r>
    </w:p>
  </w:footnote>
  <w:footnote w:id="242">
    <w:p w:rsidR="00C8559C" w:rsidRPr="008025F0" w:rsidP="0011420A">
      <w:pPr>
        <w:pStyle w:val="FootnoteText"/>
        <w:ind w:left="0" w:right="0"/>
        <w:jc w:val="both"/>
        <w:rPr>
          <w:rFonts w:cs="B Zar" w:hint="cs"/>
          <w:rtl/>
        </w:rPr>
      </w:pPr>
      <w:r w:rsidRPr="008025F0">
        <w:rPr>
          <w:rStyle w:val="FootnoteReference"/>
          <w:rFonts w:ascii="IPT.Zar" w:hAnsi="IPT.Zar" w:cs="B Zar"/>
          <w:sz w:val="24"/>
          <w:szCs w:val="24"/>
          <w:vertAlign w:val="baseline"/>
        </w:rPr>
        <w:footnoteRef/>
      </w:r>
      <w:r w:rsidRPr="008025F0">
        <w:rPr>
          <w:rFonts w:cs="B Zar"/>
        </w:rPr>
        <w:t xml:space="preserve"> </w:t>
      </w:r>
      <w:r w:rsidRPr="008025F0">
        <w:rPr>
          <w:rFonts w:cs="B Zar" w:hint="cs"/>
          <w:rtl/>
        </w:rPr>
        <w:t>.  اس. رادا كريشنان: همان ج 1، ص 69-70</w:t>
      </w:r>
    </w:p>
  </w:footnote>
  <w:footnote w:id="243">
    <w:p w:rsidR="00C8559C" w:rsidRPr="008025F0" w:rsidP="008025F0">
      <w:pPr>
        <w:pStyle w:val="FootnoteText"/>
        <w:ind w:left="0" w:right="0"/>
        <w:jc w:val="both"/>
        <w:rPr>
          <w:rFonts w:cs="B Zar" w:hint="cs"/>
          <w:rtl/>
        </w:rPr>
      </w:pPr>
      <w:r w:rsidRPr="008025F0">
        <w:rPr>
          <w:rStyle w:val="FootnoteReference"/>
          <w:rFonts w:ascii="IPT.Zar" w:hAnsi="IPT.Zar" w:cs="B Zar"/>
          <w:sz w:val="24"/>
          <w:szCs w:val="24"/>
          <w:vertAlign w:val="baseline"/>
        </w:rPr>
        <w:footnoteRef/>
      </w:r>
      <w:r w:rsidRPr="008025F0">
        <w:rPr>
          <w:rFonts w:cs="B Zar" w:hint="cs"/>
          <w:rtl/>
        </w:rPr>
        <w:t>.  اتهارو ودا: 12 : 1 : 12</w:t>
      </w:r>
    </w:p>
  </w:footnote>
  <w:footnote w:id="244">
    <w:p w:rsidR="00C8559C" w:rsidRPr="00C261D6" w:rsidP="008025F0">
      <w:pPr>
        <w:pStyle w:val="FootnoteText"/>
        <w:ind w:left="0" w:right="0"/>
        <w:jc w:val="both"/>
        <w:rPr>
          <w:rFonts w:ascii="IPT.Zar" w:hAnsi="IPT.Zar" w:cs="B Zar"/>
        </w:rPr>
      </w:pPr>
      <w:r w:rsidRPr="008025F0">
        <w:rPr>
          <w:rStyle w:val="FootnoteReference"/>
          <w:rFonts w:ascii="IPT.Zar" w:hAnsi="IPT.Zar" w:cs="B Zar"/>
          <w:sz w:val="24"/>
          <w:szCs w:val="24"/>
          <w:vertAlign w:val="baseline"/>
        </w:rPr>
        <w:footnoteRef/>
      </w:r>
      <w:r w:rsidRPr="008025F0">
        <w:rPr>
          <w:rFonts w:ascii="IPT.Zar" w:hAnsi="IPT.Zar" w:cs="B Zar" w:hint="cs"/>
          <w:rtl/>
        </w:rPr>
        <w:t xml:space="preserve">. </w:t>
      </w:r>
      <w:r>
        <w:rPr>
          <w:rFonts w:cs="B Zar" w:hint="cs"/>
          <w:rtl/>
        </w:rPr>
        <w:t xml:space="preserve"> </w:t>
      </w:r>
      <w:r w:rsidRPr="008025F0">
        <w:rPr>
          <w:rFonts w:cs="B Zar" w:hint="cs"/>
          <w:rtl/>
        </w:rPr>
        <w:t>مك لوچ: پيشين ج 9، ص 204</w:t>
      </w:r>
    </w:p>
  </w:footnote>
  <w:footnote w:id="245">
    <w:p w:rsidR="00C8559C" w:rsidRPr="00AC34C4" w:rsidP="003904B8">
      <w:pPr>
        <w:pStyle w:val="FootnoteText"/>
        <w:bidi w:val="0"/>
        <w:spacing w:line="240" w:lineRule="exact"/>
        <w:rPr>
          <w:sz w:val="18"/>
          <w:szCs w:val="18"/>
        </w:rPr>
      </w:pPr>
      <w:r w:rsidRPr="00AC34C4">
        <w:rPr>
          <w:rStyle w:val="FootnoteReference"/>
          <w:sz w:val="18"/>
          <w:szCs w:val="18"/>
          <w:vertAlign w:val="baseline"/>
        </w:rPr>
        <w:footnoteRef/>
      </w:r>
      <w:r w:rsidRPr="00AC34C4">
        <w:rPr>
          <w:sz w:val="18"/>
          <w:szCs w:val="18"/>
        </w:rPr>
        <w:t xml:space="preserve">. </w:t>
      </w:r>
      <w:r w:rsidRPr="00AC34C4">
        <w:rPr>
          <w:rFonts w:cs="Times New Roman"/>
          <w:sz w:val="18"/>
          <w:szCs w:val="18"/>
          <w:rtl/>
        </w:rPr>
        <w:t xml:space="preserve"> </w:t>
      </w:r>
      <w:r w:rsidRPr="00AC34C4">
        <w:rPr>
          <w:rFonts w:cs="B Zar"/>
          <w:sz w:val="18"/>
          <w:szCs w:val="18"/>
        </w:rPr>
        <w:t>James Baikie:Encyclopaedia of Religion, Vol.9, 220</w:t>
      </w:r>
    </w:p>
  </w:footnote>
  <w:footnote w:id="246">
    <w:p w:rsidR="00C8559C" w:rsidRPr="003904B8" w:rsidP="003904B8">
      <w:pPr>
        <w:pStyle w:val="FootnoteText"/>
        <w:bidi w:val="0"/>
        <w:spacing w:line="240" w:lineRule="exact"/>
        <w:rPr>
          <w:rFonts w:hint="cs"/>
        </w:rPr>
      </w:pPr>
      <w:r w:rsidRPr="00AC34C4">
        <w:rPr>
          <w:rStyle w:val="FootnoteReference"/>
          <w:sz w:val="18"/>
          <w:szCs w:val="18"/>
          <w:vertAlign w:val="baseline"/>
        </w:rPr>
        <w:footnoteRef/>
      </w:r>
      <w:r w:rsidRPr="00AC34C4">
        <w:rPr>
          <w:sz w:val="18"/>
          <w:szCs w:val="18"/>
        </w:rPr>
        <w:t xml:space="preserve">. </w:t>
      </w:r>
      <w:r w:rsidRPr="00AC34C4">
        <w:rPr>
          <w:rFonts w:cs="Times New Roman"/>
          <w:sz w:val="18"/>
          <w:szCs w:val="18"/>
          <w:rtl/>
        </w:rPr>
        <w:t xml:space="preserve"> </w:t>
      </w:r>
      <w:r w:rsidRPr="00AC34C4">
        <w:rPr>
          <w:rFonts w:cs="B Zar"/>
          <w:sz w:val="18"/>
          <w:szCs w:val="18"/>
        </w:rPr>
        <w:t>L.R.Farnell: Encycl. of Religion, Vol. 9, p.225</w:t>
      </w:r>
    </w:p>
  </w:footnote>
  <w:footnote w:id="247">
    <w:p w:rsidR="00C8559C" w:rsidRPr="006A4F74">
      <w:pPr>
        <w:pStyle w:val="FootnoteText"/>
        <w:ind w:left="0" w:right="0"/>
        <w:jc w:val="both"/>
        <w:rPr>
          <w:rFonts w:cs="B Zar" w:hint="cs"/>
          <w:sz w:val="22"/>
          <w:szCs w:val="22"/>
          <w:rtl/>
        </w:rPr>
      </w:pPr>
      <w:r w:rsidRPr="008025F0">
        <w:rPr>
          <w:rStyle w:val="FootnoteReference"/>
          <w:rFonts w:ascii="IPT.Zar" w:hAnsi="IPT.Zar" w:cs="B Zar"/>
          <w:sz w:val="24"/>
          <w:szCs w:val="24"/>
          <w:vertAlign w:val="baseline"/>
        </w:rPr>
        <w:footnoteRef/>
      </w:r>
      <w:r w:rsidRPr="006A4F74">
        <w:rPr>
          <w:rFonts w:cs="B Zar" w:hint="cs"/>
          <w:sz w:val="22"/>
          <w:szCs w:val="22"/>
          <w:rtl/>
        </w:rPr>
        <w:t xml:space="preserve">. </w:t>
      </w:r>
      <w:r>
        <w:rPr>
          <w:rFonts w:cs="B Zar" w:hint="cs"/>
          <w:sz w:val="22"/>
          <w:szCs w:val="22"/>
          <w:rtl/>
        </w:rPr>
        <w:t xml:space="preserve"> </w:t>
      </w:r>
      <w:r w:rsidRPr="008025F0">
        <w:rPr>
          <w:rFonts w:cs="B Zar" w:hint="cs"/>
          <w:rtl/>
        </w:rPr>
        <w:t>ريگ ودا: 1: 16: 4، 4: 4: 56: 4</w:t>
      </w:r>
    </w:p>
  </w:footnote>
  <w:footnote w:id="248">
    <w:p w:rsidR="00C8559C" w:rsidRPr="00882EF1" w:rsidP="00C51D34">
      <w:pPr>
        <w:pStyle w:val="FootnoteText"/>
        <w:bidi w:val="0"/>
        <w:spacing w:line="240" w:lineRule="auto"/>
        <w:rPr>
          <w:sz w:val="18"/>
          <w:szCs w:val="18"/>
        </w:rPr>
      </w:pPr>
      <w:r w:rsidRPr="00882EF1">
        <w:rPr>
          <w:rStyle w:val="FootnoteReference"/>
          <w:sz w:val="18"/>
          <w:szCs w:val="18"/>
          <w:vertAlign w:val="baseline"/>
        </w:rPr>
        <w:footnoteRef/>
      </w:r>
      <w:r w:rsidRPr="00882EF1">
        <w:rPr>
          <w:sz w:val="18"/>
          <w:szCs w:val="18"/>
        </w:rPr>
        <w:t xml:space="preserve">. </w:t>
      </w:r>
      <w:r w:rsidRPr="00882EF1">
        <w:rPr>
          <w:rFonts w:cs="Times New Roman"/>
          <w:sz w:val="18"/>
          <w:szCs w:val="18"/>
          <w:rtl/>
        </w:rPr>
        <w:t xml:space="preserve"> </w:t>
      </w:r>
      <w:r w:rsidRPr="00882EF1">
        <w:rPr>
          <w:rFonts w:cs="B Zar"/>
          <w:sz w:val="18"/>
          <w:szCs w:val="18"/>
        </w:rPr>
        <w:t xml:space="preserve">Malinowski,B: Magic, Science and Religion, , </w:t>
      </w:r>
      <w:smartTag w:uri="urn:schemas-microsoft-com:office:smarttags" w:element="place">
        <w:smartTag w:uri="urn:schemas-microsoft-com:office:smarttags" w:element="City">
          <w:r w:rsidRPr="00882EF1">
            <w:rPr>
              <w:rFonts w:cs="B Zar"/>
              <w:sz w:val="18"/>
              <w:szCs w:val="18"/>
            </w:rPr>
            <w:t>London</w:t>
          </w:r>
        </w:smartTag>
      </w:smartTag>
      <w:r w:rsidRPr="00882EF1">
        <w:rPr>
          <w:rFonts w:cs="B Zar"/>
          <w:sz w:val="18"/>
          <w:szCs w:val="18"/>
        </w:rPr>
        <w:t>, 1948, p 96</w:t>
      </w:r>
    </w:p>
  </w:footnote>
  <w:footnote w:id="249">
    <w:p w:rsidR="00C8559C" w:rsidRPr="006A4F74" w:rsidP="00D24768">
      <w:pPr>
        <w:ind w:left="227" w:right="0" w:hanging="227"/>
        <w:jc w:val="both"/>
        <w:rPr>
          <w:rFonts w:cs="B Zar" w:hint="cs"/>
          <w:sz w:val="22"/>
          <w:szCs w:val="22"/>
        </w:rPr>
      </w:pPr>
      <w:r w:rsidRPr="00882EF1">
        <w:rPr>
          <w:rStyle w:val="FootnoteReference"/>
          <w:rFonts w:ascii="IPT.Zar" w:hAnsi="IPT.Zar" w:cs="B Zar"/>
          <w:sz w:val="22"/>
          <w:szCs w:val="22"/>
          <w:vertAlign w:val="baseline"/>
        </w:rPr>
        <w:footnoteRef/>
      </w:r>
      <w:r w:rsidRPr="00882EF1">
        <w:rPr>
          <w:rFonts w:ascii="IPT.Zar" w:hAnsi="IPT.Zar" w:cs="B Zar"/>
          <w:sz w:val="22"/>
          <w:szCs w:val="22"/>
          <w:rtl/>
          <w:lang w:bidi="fa-IR"/>
        </w:rPr>
        <w:t>.</w:t>
      </w:r>
      <w:r>
        <w:rPr>
          <w:rFonts w:cs="B Zar" w:hint="cs"/>
          <w:sz w:val="22"/>
          <w:szCs w:val="22"/>
          <w:rtl/>
          <w:lang w:bidi="fa-IR"/>
        </w:rPr>
        <w:t xml:space="preserve"> </w:t>
      </w:r>
      <w:r w:rsidRPr="006A4F74">
        <w:rPr>
          <w:rFonts w:cs="B Zar" w:hint="cs"/>
          <w:sz w:val="22"/>
          <w:szCs w:val="22"/>
          <w:rtl/>
          <w:lang w:bidi="fa-IR"/>
        </w:rPr>
        <w:t xml:space="preserve"> </w:t>
      </w:r>
      <w:r w:rsidRPr="00B46639">
        <w:rPr>
          <w:rFonts w:cs="B Zar" w:hint="cs"/>
          <w:sz w:val="20"/>
          <w:szCs w:val="20"/>
          <w:rtl/>
        </w:rPr>
        <w:t>البته از نظر ما، عامل اصلي كه انسان را به سوي مذهب و دين متمايل كرده است، فطرت خداجو و كمال طلب انسان بوده است</w:t>
      </w:r>
      <w:r w:rsidRPr="006A4F74">
        <w:rPr>
          <w:rFonts w:cs="B Zar" w:hint="cs"/>
          <w:sz w:val="22"/>
          <w:szCs w:val="22"/>
          <w:rtl/>
        </w:rPr>
        <w:t>.</w:t>
      </w:r>
    </w:p>
  </w:footnote>
  <w:footnote w:id="250">
    <w:p w:rsidR="00C8559C" w:rsidRPr="006677B0" w:rsidP="006677B0">
      <w:pPr>
        <w:pStyle w:val="FootnoteText"/>
        <w:bidi w:val="0"/>
        <w:rPr>
          <w:sz w:val="18"/>
          <w:szCs w:val="18"/>
        </w:rPr>
      </w:pPr>
      <w:r w:rsidRPr="006677B0">
        <w:rPr>
          <w:rStyle w:val="FootnoteReference"/>
          <w:sz w:val="18"/>
          <w:szCs w:val="18"/>
          <w:vertAlign w:val="baseline"/>
        </w:rPr>
        <w:footnoteRef/>
      </w:r>
      <w:r w:rsidRPr="006677B0">
        <w:rPr>
          <w:sz w:val="18"/>
          <w:szCs w:val="18"/>
        </w:rPr>
        <w:t xml:space="preserve">. </w:t>
      </w:r>
      <w:r w:rsidRPr="006677B0">
        <w:rPr>
          <w:rFonts w:cs="Times New Roman"/>
          <w:sz w:val="18"/>
          <w:szCs w:val="18"/>
          <w:rtl/>
        </w:rPr>
        <w:t xml:space="preserve"> </w:t>
      </w:r>
      <w:r w:rsidRPr="006677B0">
        <w:rPr>
          <w:rFonts w:cs="B Zar"/>
          <w:sz w:val="18"/>
          <w:szCs w:val="18"/>
        </w:rPr>
        <w:t>James Baikie: Encyclopaedia. Of Religions, Vol.9, p. 117</w:t>
      </w:r>
    </w:p>
  </w:footnote>
  <w:footnote w:id="251">
    <w:p w:rsidR="00C8559C" w:rsidRPr="006677B0" w:rsidP="006677B0">
      <w:pPr>
        <w:pStyle w:val="FootnoteText"/>
        <w:bidi w:val="0"/>
        <w:spacing w:line="240" w:lineRule="exact"/>
        <w:rPr>
          <w:rFonts w:hint="cs"/>
          <w:sz w:val="18"/>
          <w:szCs w:val="18"/>
        </w:rPr>
      </w:pPr>
      <w:r w:rsidRPr="006677B0">
        <w:rPr>
          <w:rStyle w:val="FootnoteReference"/>
          <w:sz w:val="18"/>
          <w:szCs w:val="18"/>
          <w:vertAlign w:val="baseline"/>
        </w:rPr>
        <w:footnoteRef/>
      </w:r>
      <w:r w:rsidRPr="006677B0">
        <w:rPr>
          <w:sz w:val="18"/>
          <w:szCs w:val="18"/>
        </w:rPr>
        <w:t xml:space="preserve">. </w:t>
      </w:r>
      <w:r w:rsidRPr="006677B0">
        <w:rPr>
          <w:rFonts w:cs="Times New Roman"/>
          <w:sz w:val="18"/>
          <w:szCs w:val="18"/>
          <w:rtl/>
        </w:rPr>
        <w:t xml:space="preserve"> </w:t>
      </w:r>
      <w:r w:rsidRPr="006677B0">
        <w:rPr>
          <w:rFonts w:cs="B Zar"/>
          <w:sz w:val="18"/>
          <w:szCs w:val="18"/>
        </w:rPr>
        <w:t>Breasted: Development of Religion &amp; Thought in Ancient Eqypt.</w:t>
      </w:r>
    </w:p>
  </w:footnote>
  <w:footnote w:id="252">
    <w:p w:rsidR="00C8559C" w:rsidRPr="006A4F74" w:rsidP="0011420A">
      <w:pPr>
        <w:pStyle w:val="FootnoteText"/>
        <w:ind w:left="0" w:right="0"/>
        <w:jc w:val="both"/>
        <w:rPr>
          <w:rFonts w:cs="B Zar" w:hint="cs"/>
          <w:sz w:val="22"/>
          <w:szCs w:val="22"/>
          <w:rtl/>
        </w:rPr>
      </w:pPr>
      <w:r w:rsidRPr="006A4F74">
        <w:rPr>
          <w:rStyle w:val="FootnoteReference"/>
          <w:rFonts w:ascii="IPT.Lotus" w:hAnsi="IPT.Lotus" w:cs="B Zar"/>
          <w:sz w:val="22"/>
          <w:szCs w:val="22"/>
          <w:vertAlign w:val="baseline"/>
        </w:rPr>
        <w:footnoteRef/>
      </w:r>
      <w:r w:rsidRPr="006A4F74">
        <w:rPr>
          <w:rFonts w:cs="B Zar"/>
          <w:sz w:val="22"/>
          <w:szCs w:val="22"/>
        </w:rPr>
        <w:t xml:space="preserve"> </w:t>
      </w:r>
      <w:r w:rsidRPr="006A4F74">
        <w:rPr>
          <w:rFonts w:cs="B Zar" w:hint="cs"/>
          <w:sz w:val="22"/>
          <w:szCs w:val="22"/>
          <w:rtl/>
        </w:rPr>
        <w:t>. دايره المعارف اديان، جيمز بائيكي ج 9، ص 217</w:t>
      </w:r>
    </w:p>
  </w:footnote>
  <w:footnote w:id="253">
    <w:p w:rsidR="00C8559C" w:rsidRPr="006A4F74" w:rsidP="0011420A">
      <w:pPr>
        <w:pStyle w:val="FootnoteText"/>
        <w:ind w:left="0" w:right="0"/>
        <w:jc w:val="both"/>
        <w:rPr>
          <w:rFonts w:cs="B Zar"/>
          <w:sz w:val="22"/>
          <w:szCs w:val="22"/>
          <w:rtl/>
        </w:rPr>
      </w:pPr>
      <w:r w:rsidRPr="006A4F74">
        <w:rPr>
          <w:rStyle w:val="FootnoteReference"/>
          <w:rFonts w:ascii="IPT.Lotus" w:hAnsi="IPT.Lotus" w:cs="B Zar"/>
          <w:sz w:val="22"/>
          <w:szCs w:val="22"/>
          <w:vertAlign w:val="baseline"/>
        </w:rPr>
        <w:footnoteRef/>
      </w:r>
      <w:r w:rsidRPr="006A4F74">
        <w:rPr>
          <w:rFonts w:cs="B Zar"/>
          <w:sz w:val="22"/>
          <w:szCs w:val="22"/>
        </w:rPr>
        <w:t xml:space="preserve"> </w:t>
      </w:r>
      <w:r w:rsidRPr="006A4F74">
        <w:rPr>
          <w:rFonts w:cs="B Zar" w:hint="cs"/>
          <w:sz w:val="22"/>
          <w:szCs w:val="22"/>
          <w:rtl/>
        </w:rPr>
        <w:t>.</w:t>
      </w:r>
      <w:r>
        <w:rPr>
          <w:rFonts w:cs="B Zar" w:hint="cs"/>
          <w:sz w:val="22"/>
          <w:szCs w:val="22"/>
          <w:rtl/>
        </w:rPr>
        <w:t xml:space="preserve"> </w:t>
      </w:r>
      <w:r w:rsidRPr="006A4F74">
        <w:rPr>
          <w:rFonts w:cs="B Zar" w:hint="cs"/>
          <w:sz w:val="22"/>
          <w:szCs w:val="22"/>
          <w:rtl/>
        </w:rPr>
        <w:t xml:space="preserve"> دايره المعارف اديان، فنيل ج 9، ص 223</w:t>
      </w:r>
    </w:p>
  </w:footnote>
  <w:footnote w:id="254">
    <w:p w:rsidR="00C8559C" w:rsidRPr="006A4F74" w:rsidP="0011420A">
      <w:pPr>
        <w:pStyle w:val="FootnoteText"/>
        <w:ind w:left="0" w:right="0"/>
        <w:jc w:val="both"/>
        <w:rPr>
          <w:rFonts w:cs="B Zar"/>
          <w:sz w:val="22"/>
          <w:szCs w:val="22"/>
        </w:rPr>
      </w:pPr>
      <w:r w:rsidRPr="006A4F74">
        <w:rPr>
          <w:rStyle w:val="FootnoteReference"/>
          <w:rFonts w:ascii="IPT.Lotus" w:hAnsi="IPT.Lotus" w:cs="B Zar"/>
          <w:sz w:val="22"/>
          <w:szCs w:val="22"/>
          <w:vertAlign w:val="baseline"/>
        </w:rPr>
        <w:footnoteRef/>
      </w:r>
      <w:r w:rsidRPr="006A4F74">
        <w:rPr>
          <w:rFonts w:cs="B Zar" w:hint="cs"/>
          <w:sz w:val="22"/>
          <w:szCs w:val="22"/>
          <w:rtl/>
        </w:rPr>
        <w:t>.</w:t>
      </w:r>
      <w:r>
        <w:rPr>
          <w:rFonts w:cs="B Zar" w:hint="cs"/>
          <w:sz w:val="22"/>
          <w:szCs w:val="22"/>
          <w:rtl/>
        </w:rPr>
        <w:t xml:space="preserve"> </w:t>
      </w:r>
      <w:r w:rsidRPr="006A4F74">
        <w:rPr>
          <w:rFonts w:cs="B Zar" w:hint="cs"/>
          <w:sz w:val="22"/>
          <w:szCs w:val="22"/>
          <w:rtl/>
        </w:rPr>
        <w:t xml:space="preserve"> افلاطون: كتاب قوانين، ص 887 </w:t>
      </w:r>
      <w:r w:rsidRPr="007732C2">
        <w:rPr>
          <w:rFonts w:cs="B Zar"/>
          <w:sz w:val="18"/>
          <w:szCs w:val="18"/>
        </w:rPr>
        <w:t>Plato: The Laws, p.887 E</w:t>
      </w:r>
    </w:p>
  </w:footnote>
  <w:footnote w:id="255">
    <w:p w:rsidR="00C8559C" w:rsidRPr="007732C2" w:rsidP="007732C2">
      <w:pPr>
        <w:pStyle w:val="FootnoteText"/>
        <w:bidi w:val="0"/>
        <w:rPr>
          <w:rFonts w:cs="B Zar" w:hint="cs"/>
          <w:sz w:val="18"/>
          <w:szCs w:val="18"/>
          <w:rtl/>
        </w:rPr>
      </w:pPr>
      <w:r w:rsidRPr="007732C2">
        <w:rPr>
          <w:rStyle w:val="FootnoteReference"/>
          <w:rFonts w:cs="Times New Roman"/>
          <w:sz w:val="18"/>
          <w:szCs w:val="18"/>
          <w:vertAlign w:val="baseline"/>
        </w:rPr>
        <w:footnoteRef/>
      </w:r>
      <w:r>
        <w:rPr>
          <w:rFonts w:cs="Times New Roman" w:hint="cs"/>
          <w:sz w:val="18"/>
          <w:szCs w:val="18"/>
          <w:rtl/>
        </w:rPr>
        <w:t xml:space="preserve"> </w:t>
      </w:r>
      <w:r w:rsidRPr="007732C2">
        <w:rPr>
          <w:rFonts w:cs="Times New Roman"/>
          <w:sz w:val="18"/>
          <w:szCs w:val="18"/>
          <w:rtl/>
        </w:rPr>
        <w:t>.</w:t>
      </w:r>
      <w:r w:rsidRPr="007732C2">
        <w:rPr>
          <w:rFonts w:cs="B Zar" w:hint="cs"/>
          <w:sz w:val="18"/>
          <w:szCs w:val="18"/>
          <w:rtl/>
        </w:rPr>
        <w:t xml:space="preserve"> </w:t>
      </w:r>
      <w:r w:rsidRPr="007732C2">
        <w:rPr>
          <w:rFonts w:cs="B Zar"/>
          <w:sz w:val="18"/>
          <w:szCs w:val="18"/>
        </w:rPr>
        <w:t xml:space="preserve">Farnell, L.R.: Culture of Greek States, </w:t>
      </w:r>
      <w:smartTag w:uri="urn:schemas-microsoft-com:office:smarttags" w:element="place">
        <w:smartTag w:uri="urn:schemas-microsoft-com:office:smarttags" w:element="City">
          <w:r w:rsidRPr="007732C2">
            <w:rPr>
              <w:rFonts w:cs="B Zar"/>
              <w:sz w:val="18"/>
              <w:szCs w:val="18"/>
            </w:rPr>
            <w:t>Oxford</w:t>
          </w:r>
        </w:smartTag>
      </w:smartTag>
      <w:r w:rsidRPr="007732C2">
        <w:rPr>
          <w:rFonts w:cs="B Zar"/>
          <w:sz w:val="18"/>
          <w:szCs w:val="18"/>
        </w:rPr>
        <w:t>, 1909, P 223</w:t>
      </w:r>
      <w:r w:rsidRPr="007732C2">
        <w:rPr>
          <w:rFonts w:cs="B Zar" w:hint="cs"/>
          <w:sz w:val="18"/>
          <w:szCs w:val="18"/>
          <w:rtl/>
        </w:rPr>
        <w:t xml:space="preserve"> </w:t>
      </w:r>
    </w:p>
  </w:footnote>
  <w:footnote w:id="256">
    <w:p w:rsidR="00C8559C" w:rsidRPr="006A4F74" w:rsidP="0011420A">
      <w:pPr>
        <w:pStyle w:val="FootnoteText"/>
        <w:ind w:left="0" w:right="0"/>
        <w:jc w:val="both"/>
        <w:rPr>
          <w:rFonts w:cs="B Zar"/>
          <w:sz w:val="22"/>
          <w:szCs w:val="22"/>
        </w:rPr>
      </w:pPr>
      <w:r w:rsidRPr="00D24768">
        <w:rPr>
          <w:rStyle w:val="FootnoteReference"/>
          <w:rFonts w:ascii="IPT.Zar" w:hAnsi="IPT.Zar" w:cs="B Zar"/>
          <w:sz w:val="24"/>
          <w:szCs w:val="24"/>
          <w:vertAlign w:val="baseline"/>
        </w:rPr>
        <w:footnoteRef/>
      </w:r>
      <w:r w:rsidRPr="006A4F74">
        <w:rPr>
          <w:rFonts w:cs="B Zar" w:hint="cs"/>
          <w:sz w:val="22"/>
          <w:szCs w:val="22"/>
          <w:rtl/>
        </w:rPr>
        <w:t xml:space="preserve">. </w:t>
      </w:r>
      <w:r w:rsidRPr="00D24768">
        <w:rPr>
          <w:rFonts w:cs="B Zar" w:hint="cs"/>
          <w:rtl/>
        </w:rPr>
        <w:t>دايره المعارف اديان،</w:t>
      </w:r>
      <w:r w:rsidRPr="00D24768">
        <w:rPr>
          <w:rFonts w:cs="B Zar"/>
        </w:rPr>
        <w:t xml:space="preserve"> </w:t>
      </w:r>
      <w:r w:rsidRPr="00D24768">
        <w:rPr>
          <w:rFonts w:cs="B Zar" w:hint="cs"/>
          <w:rtl/>
        </w:rPr>
        <w:t>ريون</w:t>
      </w:r>
      <w:r w:rsidRPr="00D24768">
        <w:rPr>
          <w:rFonts w:cs="B Zar"/>
        </w:rPr>
        <w:t xml:space="preserve"> </w:t>
      </w:r>
      <w:r w:rsidRPr="00D24768">
        <w:rPr>
          <w:rFonts w:cs="B Zar" w:hint="cs"/>
          <w:rtl/>
        </w:rPr>
        <w:t xml:space="preserve"> ج 9، ص 235</w:t>
      </w:r>
    </w:p>
  </w:footnote>
  <w:footnote w:id="257">
    <w:p w:rsidR="00C8559C" w:rsidRPr="00BA041E" w:rsidP="00414DA7">
      <w:pPr>
        <w:pStyle w:val="FootnoteText"/>
        <w:bidi w:val="0"/>
        <w:rPr>
          <w:rFonts w:cs="B Zar"/>
          <w:sz w:val="18"/>
          <w:szCs w:val="18"/>
          <w:rtl/>
          <w:lang w:bidi="fa-IR"/>
        </w:rPr>
      </w:pPr>
      <w:r w:rsidRPr="00BA041E">
        <w:rPr>
          <w:rStyle w:val="FootnoteReference"/>
          <w:rFonts w:cs="Times New Roman"/>
          <w:sz w:val="18"/>
          <w:szCs w:val="18"/>
          <w:vertAlign w:val="baseline"/>
        </w:rPr>
        <w:footnoteRef/>
      </w:r>
      <w:r w:rsidRPr="00BA041E">
        <w:rPr>
          <w:rFonts w:cs="B Zar"/>
          <w:sz w:val="18"/>
          <w:szCs w:val="18"/>
          <w:lang w:bidi="fa-IR"/>
        </w:rPr>
        <w:t xml:space="preserve">. </w:t>
      </w:r>
      <w:r w:rsidRPr="00BA041E">
        <w:rPr>
          <w:rFonts w:cs="B Zar"/>
          <w:sz w:val="18"/>
          <w:szCs w:val="18"/>
        </w:rPr>
        <w:t xml:space="preserve">W.H.I.Bleak: A Brief Account of Bushmen Folklore, </w:t>
      </w:r>
      <w:smartTag w:uri="urn:schemas-microsoft-com:office:smarttags" w:element="place">
        <w:smartTag w:uri="urn:schemas-microsoft-com:office:smarttags" w:element="City">
          <w:r w:rsidRPr="00BA041E">
            <w:rPr>
              <w:rFonts w:cs="B Zar"/>
              <w:sz w:val="18"/>
              <w:szCs w:val="18"/>
            </w:rPr>
            <w:t>Oxford</w:t>
          </w:r>
        </w:smartTag>
      </w:smartTag>
      <w:r w:rsidRPr="00BA041E">
        <w:rPr>
          <w:rFonts w:cs="B Zar"/>
          <w:sz w:val="18"/>
          <w:szCs w:val="18"/>
        </w:rPr>
        <w:t>, 1952</w:t>
      </w:r>
    </w:p>
  </w:footnote>
  <w:footnote w:id="258">
    <w:p w:rsidR="00C8559C" w:rsidRPr="00E5793E" w:rsidP="006800C5">
      <w:pPr>
        <w:pStyle w:val="FootnoteText"/>
        <w:bidi w:val="0"/>
        <w:ind w:left="227" w:hanging="227"/>
      </w:pPr>
      <w:r w:rsidRPr="00BA041E">
        <w:rPr>
          <w:rStyle w:val="FootnoteReference"/>
          <w:sz w:val="18"/>
          <w:szCs w:val="18"/>
          <w:vertAlign w:val="baseline"/>
        </w:rPr>
        <w:footnoteRef/>
      </w:r>
      <w:r w:rsidRPr="00BA041E">
        <w:rPr>
          <w:sz w:val="18"/>
          <w:szCs w:val="18"/>
        </w:rPr>
        <w:t>.</w:t>
      </w:r>
      <w:r w:rsidRPr="00BA041E">
        <w:rPr>
          <w:rFonts w:cs="Times New Roman"/>
          <w:sz w:val="18"/>
          <w:szCs w:val="18"/>
          <w:rtl/>
        </w:rPr>
        <w:t xml:space="preserve"> </w:t>
      </w:r>
      <w:r>
        <w:rPr>
          <w:rFonts w:cs="B Zar"/>
          <w:sz w:val="18"/>
          <w:szCs w:val="18"/>
        </w:rPr>
        <w:tab/>
      </w:r>
      <w:r w:rsidRPr="00BA041E">
        <w:rPr>
          <w:rFonts w:cs="B Zar"/>
          <w:sz w:val="18"/>
          <w:szCs w:val="18"/>
        </w:rPr>
        <w:t xml:space="preserve">Keith, A.B.: Religion and Philosophy of the Veda, </w:t>
      </w:r>
      <w:smartTag w:uri="urn:schemas-microsoft-com:office:smarttags" w:element="place">
        <w:smartTag w:uri="urn:schemas-microsoft-com:office:smarttags" w:element="City">
          <w:r w:rsidRPr="00BA041E">
            <w:rPr>
              <w:rFonts w:cs="B Zar"/>
              <w:sz w:val="18"/>
              <w:szCs w:val="18"/>
            </w:rPr>
            <w:t>Delhi</w:t>
          </w:r>
        </w:smartTag>
      </w:smartTag>
      <w:r w:rsidRPr="00BA041E">
        <w:rPr>
          <w:rFonts w:cs="B Zar"/>
          <w:sz w:val="18"/>
          <w:szCs w:val="18"/>
        </w:rPr>
        <w:t>, 1969, p17</w:t>
      </w:r>
    </w:p>
  </w:footnote>
  <w:footnote w:id="259">
    <w:p w:rsidR="00C8559C" w:rsidRPr="009508DC" w:rsidP="006800C5">
      <w:pPr>
        <w:pStyle w:val="FootnoteText"/>
        <w:bidi w:val="0"/>
        <w:spacing w:line="240" w:lineRule="auto"/>
        <w:ind w:left="227" w:hanging="227"/>
        <w:rPr>
          <w:sz w:val="18"/>
          <w:szCs w:val="18"/>
        </w:rPr>
      </w:pPr>
      <w:r w:rsidRPr="009508DC">
        <w:rPr>
          <w:rStyle w:val="FootnoteReference"/>
          <w:sz w:val="18"/>
          <w:szCs w:val="18"/>
          <w:vertAlign w:val="baseline"/>
        </w:rPr>
        <w:footnoteRef/>
      </w:r>
      <w:r w:rsidRPr="009508DC">
        <w:rPr>
          <w:sz w:val="18"/>
          <w:szCs w:val="18"/>
        </w:rPr>
        <w:t xml:space="preserve">. </w:t>
      </w:r>
      <w:r w:rsidRPr="009508DC">
        <w:rPr>
          <w:rFonts w:cs="B Zar"/>
          <w:sz w:val="18"/>
          <w:szCs w:val="18"/>
        </w:rPr>
        <w:t>Rig Veda Samhitta with pada Text, with Sayana’s Commentary, 4. vol, 1933, Poone, v1, p48</w:t>
      </w:r>
    </w:p>
  </w:footnote>
  <w:footnote w:id="260">
    <w:p w:rsidR="00C8559C" w:rsidRPr="00315E0F" w:rsidP="005A48F9">
      <w:pPr>
        <w:pStyle w:val="FootnoteText"/>
        <w:bidi w:val="0"/>
        <w:spacing w:line="240" w:lineRule="auto"/>
        <w:ind w:left="227" w:hanging="227"/>
        <w:rPr>
          <w:rFonts w:hint="cs"/>
        </w:rPr>
      </w:pPr>
      <w:r w:rsidRPr="009508DC">
        <w:rPr>
          <w:rStyle w:val="FootnoteReference"/>
          <w:sz w:val="18"/>
          <w:szCs w:val="18"/>
          <w:vertAlign w:val="baseline"/>
        </w:rPr>
        <w:footnoteRef/>
      </w:r>
      <w:r w:rsidRPr="009508DC">
        <w:rPr>
          <w:sz w:val="18"/>
          <w:szCs w:val="18"/>
        </w:rPr>
        <w:t>.</w:t>
      </w:r>
      <w:r w:rsidRPr="009508DC">
        <w:rPr>
          <w:sz w:val="18"/>
          <w:szCs w:val="18"/>
          <w:rtl/>
        </w:rPr>
        <w:t xml:space="preserve"> </w:t>
      </w:r>
      <w:r w:rsidRPr="009508DC">
        <w:rPr>
          <w:rFonts w:cs="B Zar"/>
          <w:sz w:val="18"/>
          <w:szCs w:val="18"/>
        </w:rPr>
        <w:t>Hymns of the Rigveda Tr by  R.T.H. Griffith, Benarus, 1896, p 115</w:t>
      </w:r>
    </w:p>
  </w:footnote>
  <w:footnote w:id="261">
    <w:p w:rsidR="00C8559C" w:rsidRPr="007E4366" w:rsidP="007E4366">
      <w:pPr>
        <w:pStyle w:val="FootnoteText"/>
        <w:bidi w:val="0"/>
        <w:spacing w:line="240" w:lineRule="exact"/>
        <w:rPr>
          <w:sz w:val="18"/>
          <w:szCs w:val="18"/>
        </w:rPr>
      </w:pPr>
      <w:r w:rsidRPr="007E4366">
        <w:rPr>
          <w:rStyle w:val="FootnoteReference"/>
          <w:sz w:val="18"/>
          <w:szCs w:val="18"/>
          <w:vertAlign w:val="baseline"/>
        </w:rPr>
        <w:footnoteRef/>
      </w:r>
      <w:r w:rsidRPr="007E4366">
        <w:rPr>
          <w:sz w:val="18"/>
          <w:szCs w:val="18"/>
        </w:rPr>
        <w:t xml:space="preserve">. </w:t>
      </w:r>
      <w:r w:rsidRPr="007E4366">
        <w:rPr>
          <w:rFonts w:cs="Times New Roman"/>
          <w:sz w:val="18"/>
          <w:szCs w:val="18"/>
          <w:rtl/>
        </w:rPr>
        <w:t xml:space="preserve"> </w:t>
      </w:r>
      <w:r w:rsidRPr="007E4366">
        <w:rPr>
          <w:rFonts w:cs="B Zar"/>
          <w:sz w:val="18"/>
          <w:szCs w:val="18"/>
        </w:rPr>
        <w:t>op cite, 57</w:t>
      </w:r>
    </w:p>
  </w:footnote>
  <w:footnote w:id="262">
    <w:p w:rsidR="00C8559C" w:rsidRPr="007E4366" w:rsidP="007E4366">
      <w:pPr>
        <w:pStyle w:val="FootnoteText"/>
        <w:bidi w:val="0"/>
        <w:rPr>
          <w:sz w:val="18"/>
          <w:szCs w:val="18"/>
        </w:rPr>
      </w:pPr>
      <w:r w:rsidRPr="007E4366">
        <w:rPr>
          <w:rStyle w:val="FootnoteReference"/>
          <w:sz w:val="18"/>
          <w:szCs w:val="18"/>
          <w:vertAlign w:val="baseline"/>
        </w:rPr>
        <w:footnoteRef/>
      </w:r>
      <w:r w:rsidRPr="007E4366">
        <w:rPr>
          <w:sz w:val="18"/>
          <w:szCs w:val="18"/>
        </w:rPr>
        <w:t xml:space="preserve">. </w:t>
      </w:r>
      <w:r w:rsidRPr="007E4366">
        <w:rPr>
          <w:rFonts w:cs="B Zar"/>
          <w:sz w:val="18"/>
          <w:szCs w:val="18"/>
        </w:rPr>
        <w:t xml:space="preserve">Yadava, Dr. B.R.: Vedic Cosmogony, Viznana Prakashan, </w:t>
      </w:r>
      <w:smartTag w:uri="urn:schemas-microsoft-com:office:smarttags" w:element="place">
        <w:smartTag w:uri="urn:schemas-microsoft-com:office:smarttags" w:element="City">
          <w:r w:rsidRPr="007E4366">
            <w:rPr>
              <w:rFonts w:cs="B Zar"/>
              <w:sz w:val="18"/>
              <w:szCs w:val="18"/>
            </w:rPr>
            <w:t>Aligarh</w:t>
          </w:r>
        </w:smartTag>
      </w:smartTag>
      <w:r w:rsidRPr="007E4366">
        <w:rPr>
          <w:rFonts w:cs="B Zar"/>
          <w:sz w:val="18"/>
          <w:szCs w:val="18"/>
        </w:rPr>
        <w:t>, 1987, p 65</w:t>
      </w:r>
    </w:p>
  </w:footnote>
  <w:footnote w:id="263">
    <w:p w:rsidR="00C8559C" w:rsidRPr="003A3E3A" w:rsidP="003A3E3A">
      <w:pPr>
        <w:pStyle w:val="FootnoteText"/>
        <w:bidi w:val="0"/>
        <w:rPr>
          <w:rFonts w:hint="cs"/>
          <w:sz w:val="18"/>
          <w:szCs w:val="18"/>
        </w:rPr>
      </w:pPr>
      <w:r w:rsidRPr="003A3E3A">
        <w:rPr>
          <w:rStyle w:val="FootnoteReference"/>
          <w:sz w:val="18"/>
          <w:szCs w:val="18"/>
          <w:vertAlign w:val="baseline"/>
        </w:rPr>
        <w:footnoteRef/>
      </w:r>
      <w:r w:rsidRPr="003A3E3A">
        <w:rPr>
          <w:sz w:val="18"/>
          <w:szCs w:val="18"/>
        </w:rPr>
        <w:t xml:space="preserve">. </w:t>
      </w:r>
      <w:r w:rsidRPr="003A3E3A">
        <w:rPr>
          <w:rFonts w:cs="Times New Roman"/>
          <w:sz w:val="18"/>
          <w:szCs w:val="18"/>
          <w:rtl/>
        </w:rPr>
        <w:t xml:space="preserve"> </w:t>
      </w:r>
      <w:r w:rsidRPr="003A3E3A">
        <w:rPr>
          <w:rFonts w:cs="B Zar"/>
          <w:sz w:val="18"/>
          <w:szCs w:val="18"/>
        </w:rPr>
        <w:t xml:space="preserve">T.Hann Tsuni Goam, </w:t>
      </w:r>
      <w:smartTag w:uri="urn:schemas-microsoft-com:office:smarttags" w:element="place">
        <w:smartTag w:uri="urn:schemas-microsoft-com:office:smarttags" w:element="City">
          <w:r w:rsidRPr="003A3E3A">
            <w:rPr>
              <w:rFonts w:cs="B Zar"/>
              <w:sz w:val="18"/>
              <w:szCs w:val="18"/>
            </w:rPr>
            <w:t>London</w:t>
          </w:r>
        </w:smartTag>
      </w:smartTag>
      <w:r w:rsidRPr="003A3E3A">
        <w:rPr>
          <w:rFonts w:cs="B Zar"/>
          <w:sz w:val="18"/>
          <w:szCs w:val="18"/>
        </w:rPr>
        <w:t>, 1881 p62</w:t>
      </w:r>
    </w:p>
  </w:footnote>
  <w:footnote w:id="264">
    <w:p w:rsidR="00C8559C" w:rsidRPr="00C26D24" w:rsidP="003D1BA4">
      <w:pPr>
        <w:pStyle w:val="FootnoteText"/>
        <w:bidi w:val="0"/>
        <w:rPr>
          <w:rFonts w:hint="cs"/>
          <w:sz w:val="18"/>
          <w:szCs w:val="18"/>
        </w:rPr>
      </w:pPr>
      <w:r w:rsidRPr="00C26D24">
        <w:rPr>
          <w:rStyle w:val="FootnoteReference"/>
          <w:sz w:val="18"/>
          <w:szCs w:val="18"/>
          <w:vertAlign w:val="baseline"/>
        </w:rPr>
        <w:footnoteRef/>
      </w:r>
      <w:r w:rsidRPr="00C26D24">
        <w:rPr>
          <w:sz w:val="18"/>
          <w:szCs w:val="18"/>
        </w:rPr>
        <w:t xml:space="preserve">. </w:t>
      </w:r>
      <w:r w:rsidRPr="00C26D24">
        <w:rPr>
          <w:rFonts w:cs="Times New Roman"/>
          <w:sz w:val="18"/>
          <w:szCs w:val="18"/>
          <w:rtl/>
        </w:rPr>
        <w:t xml:space="preserve"> </w:t>
      </w:r>
      <w:r w:rsidRPr="00C26D24">
        <w:rPr>
          <w:rFonts w:cs="B Zar"/>
          <w:sz w:val="18"/>
          <w:szCs w:val="18"/>
        </w:rPr>
        <w:t>A.Farnell: Encyclo of Religions Vol.9, p.223</w:t>
      </w:r>
    </w:p>
  </w:footnote>
  <w:footnote w:id="265">
    <w:p w:rsidR="00C8559C" w:rsidRPr="00C26D24" w:rsidP="00C26D24">
      <w:pPr>
        <w:pStyle w:val="FootnoteText"/>
        <w:ind w:left="0" w:right="0"/>
        <w:jc w:val="right"/>
        <w:rPr>
          <w:sz w:val="18"/>
          <w:szCs w:val="18"/>
          <w:rtl/>
        </w:rPr>
      </w:pPr>
      <w:r w:rsidRPr="00C26D24">
        <w:rPr>
          <w:rStyle w:val="FootnoteReference"/>
          <w:rFonts w:cs="Times New Roman"/>
          <w:sz w:val="18"/>
          <w:szCs w:val="18"/>
          <w:vertAlign w:val="baseline"/>
        </w:rPr>
        <w:footnoteRef/>
      </w:r>
      <w:r>
        <w:rPr>
          <w:rFonts w:cs="B Zar"/>
          <w:sz w:val="18"/>
          <w:szCs w:val="18"/>
        </w:rPr>
        <w:t>.</w:t>
      </w:r>
      <w:r w:rsidRPr="00C26D24">
        <w:rPr>
          <w:rFonts w:cs="B Zar"/>
          <w:sz w:val="18"/>
          <w:szCs w:val="18"/>
        </w:rPr>
        <w:t xml:space="preserve"> </w:t>
      </w:r>
      <w:r>
        <w:rPr>
          <w:rFonts w:cs="B Zar"/>
          <w:sz w:val="18"/>
          <w:szCs w:val="18"/>
        </w:rPr>
        <w:t xml:space="preserve"> </w:t>
      </w:r>
      <w:r w:rsidRPr="00C26D24">
        <w:rPr>
          <w:rFonts w:cs="B Zar"/>
          <w:sz w:val="18"/>
          <w:szCs w:val="18"/>
        </w:rPr>
        <w:t xml:space="preserve">Radhakshnan, Dr S:  The Indian Philosophy, </w:t>
      </w:r>
      <w:smartTag w:uri="urn:schemas-microsoft-com:office:smarttags" w:element="place">
        <w:smartTag w:uri="urn:schemas-microsoft-com:office:smarttags" w:element="City">
          <w:r w:rsidRPr="00C26D24">
            <w:rPr>
              <w:rFonts w:cs="B Zar"/>
              <w:sz w:val="18"/>
              <w:szCs w:val="18"/>
            </w:rPr>
            <w:t>New Delhi</w:t>
          </w:r>
        </w:smartTag>
      </w:smartTag>
      <w:r w:rsidRPr="00C26D24">
        <w:rPr>
          <w:rFonts w:cs="B Zar"/>
          <w:sz w:val="18"/>
          <w:szCs w:val="18"/>
        </w:rPr>
        <w:t>, 1989, v1, p 58</w:t>
      </w:r>
    </w:p>
  </w:footnote>
  <w:footnote w:id="266">
    <w:p w:rsidR="00C8559C" w:rsidRPr="006A4F74" w:rsidP="006800C5">
      <w:pPr>
        <w:pStyle w:val="FootnoteText"/>
        <w:ind w:left="0" w:right="0"/>
        <w:jc w:val="both"/>
        <w:rPr>
          <w:rFonts w:cs="B Zar"/>
          <w:sz w:val="22"/>
          <w:szCs w:val="22"/>
          <w:rtl/>
        </w:rPr>
      </w:pPr>
      <w:r w:rsidRPr="006800C5">
        <w:rPr>
          <w:rStyle w:val="FootnoteReference"/>
          <w:rFonts w:ascii="IPT.Zar" w:hAnsi="IPT.Zar" w:cs="B Zar"/>
          <w:sz w:val="24"/>
          <w:szCs w:val="24"/>
          <w:vertAlign w:val="baseline"/>
        </w:rPr>
        <w:footnoteRef/>
      </w:r>
      <w:r w:rsidRPr="006A4F74">
        <w:rPr>
          <w:rFonts w:ascii="IPT.Lotus" w:hAnsi="IPT.Lotus" w:cs="B Zar" w:hint="cs"/>
          <w:sz w:val="22"/>
          <w:szCs w:val="22"/>
          <w:rtl/>
        </w:rPr>
        <w:t xml:space="preserve">. </w:t>
      </w:r>
      <w:r w:rsidRPr="006800C5">
        <w:rPr>
          <w:rFonts w:ascii="IPT.Lotus" w:hAnsi="IPT.Lotus" w:cs="B Zar" w:hint="cs"/>
          <w:rtl/>
        </w:rPr>
        <w:t>رجوع شود بائيكي</w:t>
      </w:r>
      <w:r w:rsidRPr="006A4F74">
        <w:rPr>
          <w:rFonts w:ascii="IPT.Lotus" w:hAnsi="IPT.Lotus" w:cs="B Zar" w:hint="cs"/>
          <w:sz w:val="22"/>
          <w:szCs w:val="22"/>
          <w:rtl/>
        </w:rPr>
        <w:t xml:space="preserve"> </w:t>
      </w:r>
      <w:r w:rsidRPr="00C26D24">
        <w:rPr>
          <w:rFonts w:cs="B Zar"/>
          <w:sz w:val="18"/>
          <w:szCs w:val="18"/>
        </w:rPr>
        <w:t>James Baikie Encyclopaedia of Religion Vol.9, p. 217</w:t>
      </w:r>
    </w:p>
  </w:footnote>
  <w:footnote w:id="267">
    <w:p w:rsidR="00C8559C" w:rsidRPr="00A17563" w:rsidP="00A17563">
      <w:pPr>
        <w:pStyle w:val="FootnoteText"/>
        <w:bidi w:val="0"/>
        <w:spacing w:line="240" w:lineRule="exact"/>
        <w:rPr>
          <w:rFonts w:hint="cs"/>
          <w:sz w:val="18"/>
          <w:szCs w:val="18"/>
        </w:rPr>
      </w:pPr>
      <w:r w:rsidRPr="00A17563">
        <w:rPr>
          <w:rStyle w:val="FootnoteReference"/>
          <w:sz w:val="18"/>
          <w:szCs w:val="18"/>
          <w:vertAlign w:val="baseline"/>
        </w:rPr>
        <w:footnoteRef/>
      </w:r>
      <w:r w:rsidRPr="00A17563">
        <w:rPr>
          <w:sz w:val="18"/>
          <w:szCs w:val="18"/>
        </w:rPr>
        <w:t xml:space="preserve">. </w:t>
      </w:r>
      <w:r w:rsidRPr="00A17563">
        <w:rPr>
          <w:rFonts w:cs="Times New Roman"/>
          <w:sz w:val="18"/>
          <w:szCs w:val="18"/>
          <w:rtl/>
        </w:rPr>
        <w:t xml:space="preserve"> </w:t>
      </w:r>
      <w:r w:rsidRPr="00A17563">
        <w:rPr>
          <w:rFonts w:cs="B Zar"/>
          <w:sz w:val="18"/>
          <w:szCs w:val="18"/>
        </w:rPr>
        <w:t>Farnell: Ibid p. 224</w:t>
      </w:r>
    </w:p>
  </w:footnote>
  <w:footnote w:id="268">
    <w:p w:rsidR="00C8559C" w:rsidRPr="00A17563" w:rsidP="00A17563">
      <w:pPr>
        <w:pStyle w:val="FootnoteText"/>
        <w:bidi w:val="0"/>
        <w:spacing w:line="240" w:lineRule="exact"/>
        <w:rPr>
          <w:rFonts w:ascii="IPT.Lotus" w:hAnsi="IPT.Lotus" w:cs="B Zar"/>
          <w:sz w:val="18"/>
          <w:szCs w:val="18"/>
          <w:rtl/>
        </w:rPr>
      </w:pPr>
      <w:r w:rsidRPr="00A17563">
        <w:rPr>
          <w:rStyle w:val="FootnoteReference"/>
          <w:rFonts w:cs="Times New Roman"/>
          <w:sz w:val="18"/>
          <w:szCs w:val="18"/>
          <w:vertAlign w:val="baseline"/>
        </w:rPr>
        <w:footnoteRef/>
      </w:r>
      <w:r w:rsidRPr="00A17563">
        <w:rPr>
          <w:rFonts w:cs="Times New Roman"/>
          <w:sz w:val="18"/>
          <w:szCs w:val="18"/>
        </w:rPr>
        <w:t>.</w:t>
      </w:r>
      <w:r w:rsidRPr="00A17563">
        <w:rPr>
          <w:rFonts w:ascii="IPT.Lotus" w:hAnsi="IPT.Lotus" w:cs="B Zar"/>
          <w:sz w:val="18"/>
          <w:szCs w:val="18"/>
        </w:rPr>
        <w:sym w:font="IPT.Lotus" w:char="F020"/>
      </w:r>
      <w:r w:rsidRPr="00A17563">
        <w:rPr>
          <w:rFonts w:ascii="IPT.Lotus" w:hAnsi="IPT.Lotus" w:cs="B Zar" w:hint="cs"/>
          <w:sz w:val="18"/>
          <w:szCs w:val="18"/>
          <w:rtl/>
        </w:rPr>
        <w:t xml:space="preserve">. </w:t>
      </w:r>
      <w:r w:rsidRPr="00A17563">
        <w:rPr>
          <w:rFonts w:cs="B Zar"/>
          <w:sz w:val="18"/>
          <w:szCs w:val="18"/>
        </w:rPr>
        <w:t>R.Revon: Encycl. of Religion, Vol.9, p. 235-236</w:t>
      </w:r>
    </w:p>
  </w:footnote>
  <w:footnote w:id="269">
    <w:p w:rsidR="00C8559C" w:rsidRPr="006A4F74" w:rsidP="006800C5">
      <w:pPr>
        <w:pStyle w:val="FootnoteText"/>
        <w:ind w:left="0" w:right="0"/>
        <w:jc w:val="both"/>
        <w:rPr>
          <w:rFonts w:cs="B Zar" w:hint="cs"/>
          <w:sz w:val="22"/>
          <w:szCs w:val="22"/>
          <w:rtl/>
        </w:rPr>
      </w:pPr>
      <w:r w:rsidRPr="006800C5">
        <w:rPr>
          <w:rStyle w:val="FootnoteReference"/>
          <w:rFonts w:ascii="IPT.Zar" w:hAnsi="IPT.Zar" w:cs="B Zar"/>
          <w:sz w:val="24"/>
          <w:szCs w:val="24"/>
          <w:vertAlign w:val="baseline"/>
        </w:rPr>
        <w:footnoteRef/>
      </w:r>
      <w:r w:rsidRPr="006800C5">
        <w:rPr>
          <w:rFonts w:ascii="IPT.Zar" w:hAnsi="IPT.Zar" w:cs="B Zar"/>
          <w:sz w:val="24"/>
          <w:szCs w:val="24"/>
          <w:rtl/>
        </w:rPr>
        <w:t>.</w:t>
      </w:r>
      <w:r w:rsidRPr="006A4F74">
        <w:rPr>
          <w:rFonts w:cs="B Zar" w:hint="cs"/>
          <w:sz w:val="22"/>
          <w:szCs w:val="22"/>
          <w:rtl/>
        </w:rPr>
        <w:t xml:space="preserve"> </w:t>
      </w:r>
      <w:r>
        <w:rPr>
          <w:rFonts w:cs="B Zar" w:hint="cs"/>
          <w:sz w:val="22"/>
          <w:szCs w:val="22"/>
          <w:rtl/>
        </w:rPr>
        <w:t xml:space="preserve">  </w:t>
      </w:r>
      <w:r w:rsidRPr="006800C5">
        <w:rPr>
          <w:rFonts w:cs="B Zar" w:hint="cs"/>
          <w:rtl/>
        </w:rPr>
        <w:t>همان: ج 9، ص 236</w:t>
      </w:r>
    </w:p>
  </w:footnote>
  <w:footnote w:id="270">
    <w:p w:rsidR="00C8559C" w:rsidRPr="006800C5" w:rsidP="006800C5">
      <w:pPr>
        <w:pStyle w:val="FootnoteText"/>
        <w:ind w:left="227" w:right="0" w:hanging="227"/>
        <w:jc w:val="both"/>
        <w:rPr>
          <w:rFonts w:cs="B Zar" w:hint="cs"/>
          <w:rtl/>
        </w:rPr>
      </w:pPr>
      <w:r w:rsidRPr="006800C5">
        <w:rPr>
          <w:rStyle w:val="FootnoteReference"/>
          <w:rFonts w:ascii="IPT.Zar" w:hAnsi="IPT.Zar" w:cs="B Zar"/>
          <w:sz w:val="24"/>
          <w:szCs w:val="24"/>
          <w:vertAlign w:val="baseline"/>
        </w:rPr>
        <w:footnoteRef/>
      </w:r>
      <w:r w:rsidRPr="006800C5">
        <w:rPr>
          <w:rFonts w:cs="B Zar" w:hint="cs"/>
          <w:rtl/>
        </w:rPr>
        <w:t>.   براي اطلاع كامل نسبت به بحث پيرامون ريشه اين كلمه رجوع شود به كتاب نيروكت 10: 8</w:t>
      </w:r>
    </w:p>
  </w:footnote>
  <w:footnote w:id="271">
    <w:p w:rsidR="00C8559C" w:rsidRPr="006A4F74" w:rsidP="006800C5">
      <w:pPr>
        <w:pStyle w:val="FootnoteText"/>
        <w:ind w:left="227" w:right="0" w:hanging="227"/>
        <w:jc w:val="both"/>
        <w:rPr>
          <w:rFonts w:cs="B Zar" w:hint="cs"/>
          <w:sz w:val="22"/>
          <w:szCs w:val="22"/>
          <w:rtl/>
        </w:rPr>
      </w:pPr>
      <w:r w:rsidRPr="006800C5">
        <w:rPr>
          <w:rStyle w:val="FootnoteReference"/>
          <w:rFonts w:ascii="IPT.Zar" w:hAnsi="IPT.Zar" w:cs="B Zar"/>
          <w:sz w:val="24"/>
          <w:szCs w:val="24"/>
          <w:vertAlign w:val="baseline"/>
        </w:rPr>
        <w:footnoteRef/>
      </w:r>
      <w:r w:rsidRPr="006800C5">
        <w:rPr>
          <w:rFonts w:cs="B Zar" w:hint="cs"/>
          <w:rtl/>
        </w:rPr>
        <w:t>.  ايندرا را به طور عموم در كتب فارسي اينديرا نوشته اند كه نادرست است. چرا كه كلمه بدين صورت (اينديرا) نام لكشمي همسر معبود وشنو است</w:t>
      </w:r>
    </w:p>
  </w:footnote>
  <w:footnote w:id="272">
    <w:p w:rsidR="00C8559C" w:rsidRPr="00AC653E" w:rsidP="00177239">
      <w:pPr>
        <w:pStyle w:val="FootnoteText"/>
        <w:bidi w:val="0"/>
        <w:spacing w:line="240" w:lineRule="exact"/>
        <w:ind w:left="227" w:hanging="227"/>
        <w:rPr>
          <w:sz w:val="18"/>
          <w:szCs w:val="18"/>
        </w:rPr>
      </w:pPr>
      <w:r w:rsidRPr="00AC653E">
        <w:rPr>
          <w:rStyle w:val="FootnoteReference"/>
          <w:sz w:val="18"/>
          <w:szCs w:val="18"/>
          <w:vertAlign w:val="baseline"/>
        </w:rPr>
        <w:footnoteRef/>
      </w:r>
      <w:r>
        <w:rPr>
          <w:rFonts w:cs="B Zar"/>
          <w:sz w:val="18"/>
          <w:szCs w:val="18"/>
        </w:rPr>
        <w:t>.</w:t>
      </w:r>
      <w:r w:rsidRPr="00177239">
        <w:rPr>
          <w:rFonts w:cs="B Zar"/>
          <w:sz w:val="18"/>
          <w:szCs w:val="18"/>
          <w:rtl/>
        </w:rPr>
        <w:t xml:space="preserve"> </w:t>
      </w:r>
      <w:r w:rsidRPr="00AC653E">
        <w:rPr>
          <w:rFonts w:cs="B Zar"/>
          <w:sz w:val="18"/>
          <w:szCs w:val="18"/>
        </w:rPr>
        <w:t>Trikha, Dr.J.K.: Rig Veda: A Scientific &amp; Intellectual Analysis, Somaya Publication, 1976, p 14</w:t>
      </w:r>
    </w:p>
  </w:footnote>
  <w:footnote w:id="273">
    <w:p w:rsidR="00C8559C" w:rsidRPr="006A4F74" w:rsidP="00444072">
      <w:pPr>
        <w:pStyle w:val="FootnoteText"/>
        <w:ind w:left="0" w:right="0"/>
        <w:jc w:val="both"/>
        <w:rPr>
          <w:rFonts w:cs="B Zar"/>
          <w:sz w:val="22"/>
          <w:szCs w:val="22"/>
          <w:rtl/>
        </w:rPr>
      </w:pPr>
      <w:r>
        <w:rPr>
          <w:rFonts w:ascii="IPT.Lotus" w:hAnsi="IPT.Lotus" w:cs="B Zar"/>
        </w:rPr>
        <w:sym w:font="IPT.Lotus" w:char="F020"/>
      </w:r>
      <w:r w:rsidRPr="008E2AFF">
        <w:rPr>
          <w:rStyle w:val="FootnoteReference"/>
          <w:rFonts w:ascii="IPT.Zar" w:hAnsi="IPT.Zar" w:cs="B Zar"/>
          <w:sz w:val="24"/>
          <w:szCs w:val="24"/>
          <w:vertAlign w:val="baseline"/>
        </w:rPr>
        <w:footnoteRef/>
      </w:r>
      <w:r w:rsidRPr="008E2AFF">
        <w:rPr>
          <w:rFonts w:ascii="IPT.Lotus" w:hAnsi="IPT.Lotus" w:cs="B Zar"/>
        </w:rPr>
        <w:sym w:font="IPT.Lotus" w:char="F020"/>
      </w:r>
      <w:r w:rsidRPr="008E2AFF">
        <w:rPr>
          <w:rFonts w:ascii="IPT.Lotus" w:hAnsi="IPT.Lotus" w:cs="B Zar" w:hint="cs"/>
          <w:rtl/>
        </w:rPr>
        <w:t>رجوع شود</w:t>
      </w:r>
      <w:r w:rsidRPr="002031AC">
        <w:rPr>
          <w:rFonts w:ascii="IPT.Lotus" w:hAnsi="IPT.Lotus" w:cs="B Zar" w:hint="cs"/>
          <w:rtl/>
        </w:rPr>
        <w:t>:</w:t>
      </w:r>
      <w:r w:rsidRPr="006A4F74">
        <w:rPr>
          <w:rFonts w:ascii="IPT.Lotus" w:hAnsi="IPT.Lotus" w:cs="B Zar" w:hint="cs"/>
          <w:sz w:val="22"/>
          <w:szCs w:val="22"/>
          <w:rtl/>
        </w:rPr>
        <w:t xml:space="preserve"> </w:t>
      </w:r>
      <w:r w:rsidRPr="006F4CB9">
        <w:rPr>
          <w:rFonts w:cs="B Zar"/>
          <w:sz w:val="18"/>
          <w:szCs w:val="18"/>
        </w:rPr>
        <w:t>R.Revon: Encyclo of Religion, Vo,.9, p. 236</w:t>
      </w:r>
    </w:p>
  </w:footnote>
  <w:footnote w:id="274">
    <w:p w:rsidR="00C8559C" w:rsidRPr="00AE0212" w:rsidP="005A1AD7">
      <w:pPr>
        <w:pStyle w:val="FootnoteText"/>
        <w:bidi w:val="0"/>
        <w:rPr>
          <w:rFonts w:cs="B Zar" w:hint="cs"/>
          <w:sz w:val="18"/>
          <w:szCs w:val="18"/>
          <w:rtl/>
        </w:rPr>
      </w:pPr>
      <w:r w:rsidRPr="00AE0212">
        <w:rPr>
          <w:rStyle w:val="FootnoteReference"/>
          <w:rFonts w:cs="Times New Roman"/>
          <w:sz w:val="18"/>
          <w:szCs w:val="18"/>
          <w:vertAlign w:val="baseline"/>
        </w:rPr>
        <w:footnoteRef/>
      </w:r>
      <w:r>
        <w:rPr>
          <w:rFonts w:cs="B Zar"/>
          <w:sz w:val="18"/>
          <w:szCs w:val="18"/>
        </w:rPr>
        <w:t>.</w:t>
      </w:r>
      <w:r w:rsidRPr="00AE0212">
        <w:rPr>
          <w:rFonts w:cs="B Zar"/>
          <w:sz w:val="18"/>
          <w:szCs w:val="18"/>
        </w:rPr>
        <w:t xml:space="preserve"> Williams, Sir Monier : Sanskrit Lexicon, </w:t>
      </w:r>
      <w:smartTag w:uri="urn:schemas-microsoft-com:office:smarttags" w:element="place">
        <w:smartTag w:uri="urn:schemas-microsoft-com:office:smarttags" w:element="City">
          <w:r w:rsidRPr="00AE0212">
            <w:rPr>
              <w:rFonts w:cs="B Zar"/>
              <w:sz w:val="18"/>
              <w:szCs w:val="18"/>
            </w:rPr>
            <w:t>New Delhi</w:t>
          </w:r>
        </w:smartTag>
      </w:smartTag>
      <w:r w:rsidRPr="00AE0212">
        <w:rPr>
          <w:rFonts w:cs="B Zar"/>
          <w:sz w:val="18"/>
          <w:szCs w:val="18"/>
        </w:rPr>
        <w:t>. 1965.P 24-25</w:t>
      </w:r>
    </w:p>
  </w:footnote>
  <w:footnote w:id="275">
    <w:p w:rsidR="00C8559C" w:rsidRPr="00AE0212" w:rsidP="00AE0212">
      <w:pPr>
        <w:pStyle w:val="FootnoteText"/>
        <w:bidi w:val="0"/>
        <w:rPr>
          <w:rFonts w:hint="cs"/>
          <w:sz w:val="18"/>
          <w:szCs w:val="18"/>
        </w:rPr>
      </w:pPr>
      <w:r w:rsidRPr="00AE0212">
        <w:rPr>
          <w:rStyle w:val="FootnoteReference"/>
          <w:sz w:val="18"/>
          <w:szCs w:val="18"/>
          <w:vertAlign w:val="baseline"/>
        </w:rPr>
        <w:footnoteRef/>
      </w:r>
      <w:r w:rsidRPr="00AE0212">
        <w:rPr>
          <w:sz w:val="18"/>
          <w:szCs w:val="18"/>
        </w:rPr>
        <w:t xml:space="preserve">. </w:t>
      </w:r>
      <w:r w:rsidRPr="00AE0212">
        <w:rPr>
          <w:rFonts w:cs="Times New Roman"/>
          <w:sz w:val="18"/>
          <w:szCs w:val="18"/>
          <w:rtl/>
        </w:rPr>
        <w:t xml:space="preserve"> </w:t>
      </w:r>
      <w:r w:rsidRPr="00AE0212">
        <w:rPr>
          <w:rFonts w:cs="B Zar"/>
          <w:sz w:val="18"/>
          <w:szCs w:val="18"/>
        </w:rPr>
        <w:t xml:space="preserve">Yadava, Dr. B.R.: Vedic Cosmogony, Viznana Prakashan, </w:t>
      </w:r>
      <w:smartTag w:uri="urn:schemas-microsoft-com:office:smarttags" w:element="place">
        <w:smartTag w:uri="urn:schemas-microsoft-com:office:smarttags" w:element="City">
          <w:r w:rsidRPr="00AE0212">
            <w:rPr>
              <w:rFonts w:cs="B Zar"/>
              <w:sz w:val="18"/>
              <w:szCs w:val="18"/>
            </w:rPr>
            <w:t>Aligarh</w:t>
          </w:r>
        </w:smartTag>
      </w:smartTag>
      <w:r w:rsidRPr="00AE0212">
        <w:rPr>
          <w:rFonts w:cs="B Zar"/>
          <w:sz w:val="18"/>
          <w:szCs w:val="18"/>
        </w:rPr>
        <w:t>, 1987, p 83</w:t>
      </w:r>
    </w:p>
  </w:footnote>
  <w:footnote w:id="276">
    <w:p w:rsidR="00C8559C" w:rsidRPr="006F4CB9">
      <w:pPr>
        <w:pStyle w:val="FootnoteText"/>
        <w:ind w:left="0" w:right="0"/>
        <w:jc w:val="both"/>
        <w:rPr>
          <w:rFonts w:cs="B Zar" w:hint="cs"/>
          <w:rtl/>
        </w:rPr>
      </w:pPr>
      <w:r w:rsidRPr="002031AC">
        <w:rPr>
          <w:rStyle w:val="FootnoteReference"/>
          <w:rFonts w:ascii="IPT.Zar" w:hAnsi="IPT.Zar" w:cs="B Zar"/>
          <w:sz w:val="24"/>
          <w:vertAlign w:val="baseline"/>
        </w:rPr>
        <w:footnoteRef/>
      </w:r>
      <w:r w:rsidRPr="006F4CB9">
        <w:rPr>
          <w:rFonts w:cs="B Zar"/>
        </w:rPr>
        <w:t xml:space="preserve"> </w:t>
      </w:r>
      <w:r w:rsidRPr="006F4CB9">
        <w:rPr>
          <w:rFonts w:cs="B Zar" w:hint="cs"/>
          <w:rtl/>
        </w:rPr>
        <w:t xml:space="preserve">.  </w:t>
      </w:r>
      <w:r w:rsidRPr="008E2AFF">
        <w:rPr>
          <w:rFonts w:cs="B Zar" w:hint="cs"/>
          <w:rtl/>
        </w:rPr>
        <w:t>ريگ ودا: 10: 7:</w:t>
      </w:r>
      <w:r w:rsidRPr="006F4CB9">
        <w:rPr>
          <w:rFonts w:cs="B Zar" w:hint="cs"/>
          <w:rtl/>
        </w:rPr>
        <w:t xml:space="preserve"> 3</w:t>
      </w:r>
    </w:p>
  </w:footnote>
  <w:footnote w:id="277">
    <w:p w:rsidR="00C8559C" w:rsidRPr="006A4F74">
      <w:pPr>
        <w:pStyle w:val="FootnoteText"/>
        <w:ind w:left="0" w:right="0"/>
        <w:jc w:val="both"/>
        <w:rPr>
          <w:rFonts w:cs="B Zar" w:hint="cs"/>
          <w:sz w:val="22"/>
          <w:szCs w:val="22"/>
          <w:rtl/>
        </w:rPr>
      </w:pPr>
      <w:r w:rsidRPr="002031AC">
        <w:rPr>
          <w:rStyle w:val="FootnoteReference"/>
          <w:rFonts w:ascii="IPT.Zar" w:hAnsi="IPT.Zar" w:cs="B Zar"/>
          <w:sz w:val="24"/>
          <w:vertAlign w:val="baseline"/>
        </w:rPr>
        <w:footnoteRef/>
      </w:r>
      <w:r w:rsidRPr="006F4CB9">
        <w:rPr>
          <w:rFonts w:cs="B Zar"/>
        </w:rPr>
        <w:t xml:space="preserve"> </w:t>
      </w:r>
      <w:r w:rsidRPr="006F4CB9">
        <w:rPr>
          <w:rFonts w:cs="B Zar" w:hint="cs"/>
          <w:rtl/>
        </w:rPr>
        <w:t>.  ريگ ودا: 2: 6</w:t>
      </w:r>
    </w:p>
  </w:footnote>
  <w:footnote w:id="278">
    <w:p w:rsidR="00C8559C" w:rsidRPr="004916A6" w:rsidP="003F549B">
      <w:pPr>
        <w:pStyle w:val="FootnoteText"/>
        <w:bidi w:val="0"/>
        <w:spacing w:line="240" w:lineRule="exact"/>
        <w:rPr>
          <w:sz w:val="18"/>
          <w:szCs w:val="18"/>
        </w:rPr>
      </w:pPr>
      <w:r w:rsidRPr="004916A6">
        <w:rPr>
          <w:rStyle w:val="FootnoteReference"/>
          <w:sz w:val="18"/>
          <w:szCs w:val="18"/>
          <w:vertAlign w:val="baseline"/>
        </w:rPr>
        <w:footnoteRef/>
      </w:r>
      <w:r w:rsidRPr="004916A6">
        <w:rPr>
          <w:sz w:val="18"/>
          <w:szCs w:val="18"/>
        </w:rPr>
        <w:t xml:space="preserve">. </w:t>
      </w:r>
      <w:r>
        <w:rPr>
          <w:sz w:val="18"/>
          <w:szCs w:val="18"/>
        </w:rPr>
        <w:t xml:space="preserve"> </w:t>
      </w:r>
      <w:r w:rsidRPr="004916A6">
        <w:rPr>
          <w:rFonts w:cs="B Zar"/>
          <w:sz w:val="18"/>
          <w:szCs w:val="18"/>
        </w:rPr>
        <w:t>R.T.H. Griffith:  Hymns of the Rigveda, Notes, p 101</w:t>
      </w:r>
    </w:p>
  </w:footnote>
  <w:footnote w:id="279">
    <w:p w:rsidR="00C8559C" w:rsidRPr="004916A6" w:rsidP="003F549B">
      <w:pPr>
        <w:pStyle w:val="FootnoteText"/>
        <w:bidi w:val="0"/>
        <w:spacing w:line="240" w:lineRule="exact"/>
        <w:rPr>
          <w:rFonts w:cs="B Zar" w:hint="cs"/>
          <w:sz w:val="18"/>
          <w:szCs w:val="18"/>
          <w:rtl/>
        </w:rPr>
      </w:pPr>
      <w:r w:rsidRPr="004916A6">
        <w:rPr>
          <w:rStyle w:val="FootnoteReference"/>
          <w:rFonts w:cs="Times New Roman"/>
          <w:sz w:val="18"/>
          <w:szCs w:val="18"/>
          <w:vertAlign w:val="baseline"/>
        </w:rPr>
        <w:footnoteRef/>
      </w:r>
      <w:r w:rsidRPr="004916A6">
        <w:rPr>
          <w:rFonts w:cs="Times New Roman"/>
          <w:sz w:val="18"/>
          <w:szCs w:val="18"/>
        </w:rPr>
        <w:t>.</w:t>
      </w:r>
      <w:r w:rsidRPr="004916A6">
        <w:rPr>
          <w:rFonts w:ascii="IPT.Lotus" w:hAnsi="IPT.Lotus" w:cs="B Zar" w:hint="cs"/>
          <w:sz w:val="18"/>
          <w:szCs w:val="18"/>
          <w:rtl/>
        </w:rPr>
        <w:t xml:space="preserve"> </w:t>
      </w:r>
      <w:r>
        <w:rPr>
          <w:rFonts w:cs="B Zar"/>
          <w:sz w:val="18"/>
          <w:szCs w:val="18"/>
        </w:rPr>
        <w:t xml:space="preserve"> </w:t>
      </w:r>
      <w:r w:rsidRPr="004916A6">
        <w:rPr>
          <w:rFonts w:cs="B Zar"/>
          <w:sz w:val="18"/>
          <w:szCs w:val="18"/>
        </w:rPr>
        <w:t>Whitney: Journal of American Oriental Studies 111, p.252</w:t>
      </w:r>
    </w:p>
  </w:footnote>
  <w:footnote w:id="280">
    <w:p w:rsidR="00C8559C" w:rsidRPr="003F549B" w:rsidP="001A327E">
      <w:pPr>
        <w:pStyle w:val="FootnoteText"/>
        <w:bidi w:val="0"/>
        <w:rPr>
          <w:rFonts w:cs="B Zar" w:hint="cs"/>
          <w:sz w:val="18"/>
          <w:szCs w:val="18"/>
          <w:rtl/>
          <w:lang w:bidi="fa-IR"/>
        </w:rPr>
      </w:pPr>
      <w:r w:rsidRPr="003F549B">
        <w:rPr>
          <w:rStyle w:val="FootnoteReference"/>
          <w:rFonts w:cs="Times New Roman"/>
          <w:sz w:val="18"/>
          <w:szCs w:val="18"/>
          <w:vertAlign w:val="baseline"/>
        </w:rPr>
        <w:footnoteRef/>
      </w:r>
      <w:r w:rsidRPr="003F549B">
        <w:rPr>
          <w:rFonts w:cs="Times New Roman"/>
          <w:sz w:val="18"/>
          <w:szCs w:val="18"/>
        </w:rPr>
        <w:t xml:space="preserve">.  </w:t>
      </w:r>
      <w:r w:rsidRPr="003F549B">
        <w:rPr>
          <w:rFonts w:cs="B Zar"/>
          <w:sz w:val="18"/>
          <w:szCs w:val="18"/>
        </w:rPr>
        <w:t xml:space="preserve">Radhakshnan, Dr S:  The Indian Philosophy, </w:t>
      </w:r>
      <w:smartTag w:uri="urn:schemas-microsoft-com:office:smarttags" w:element="place">
        <w:smartTag w:uri="urn:schemas-microsoft-com:office:smarttags" w:element="City">
          <w:r w:rsidRPr="003F549B">
            <w:rPr>
              <w:rFonts w:cs="B Zar"/>
              <w:sz w:val="18"/>
              <w:szCs w:val="18"/>
            </w:rPr>
            <w:t>New Delhi</w:t>
          </w:r>
        </w:smartTag>
      </w:smartTag>
      <w:r w:rsidRPr="003F549B">
        <w:rPr>
          <w:rFonts w:cs="B Zar"/>
          <w:sz w:val="18"/>
          <w:szCs w:val="18"/>
        </w:rPr>
        <w:t>, 1989   , P 83</w:t>
      </w:r>
    </w:p>
  </w:footnote>
  <w:footnote w:id="281">
    <w:p w:rsidR="00C8559C" w:rsidRPr="003F549B" w:rsidP="003F549B">
      <w:pPr>
        <w:pStyle w:val="FootnoteText"/>
        <w:bidi w:val="0"/>
        <w:rPr>
          <w:sz w:val="18"/>
          <w:szCs w:val="18"/>
        </w:rPr>
      </w:pPr>
      <w:r w:rsidRPr="003F549B">
        <w:rPr>
          <w:rStyle w:val="FootnoteReference"/>
          <w:sz w:val="18"/>
          <w:szCs w:val="18"/>
          <w:vertAlign w:val="baseline"/>
        </w:rPr>
        <w:footnoteRef/>
      </w:r>
      <w:r w:rsidRPr="003F549B">
        <w:rPr>
          <w:sz w:val="18"/>
          <w:szCs w:val="18"/>
        </w:rPr>
        <w:t xml:space="preserve">. </w:t>
      </w:r>
      <w:r w:rsidRPr="003F549B">
        <w:rPr>
          <w:sz w:val="18"/>
          <w:szCs w:val="18"/>
          <w:rtl/>
        </w:rPr>
        <w:t xml:space="preserve"> </w:t>
      </w:r>
      <w:smartTag w:uri="urn:schemas-microsoft-com:office:smarttags" w:element="City">
        <w:r w:rsidRPr="003F549B">
          <w:rPr>
            <w:rFonts w:cs="B Zar"/>
            <w:sz w:val="18"/>
            <w:szCs w:val="18"/>
          </w:rPr>
          <w:t>Taylor</w:t>
        </w:r>
      </w:smartTag>
      <w:r w:rsidRPr="003F549B">
        <w:rPr>
          <w:rFonts w:cs="B Zar"/>
          <w:sz w:val="18"/>
          <w:szCs w:val="18"/>
        </w:rPr>
        <w:t xml:space="preserve">, Primitive Culture, </w:t>
      </w:r>
      <w:smartTag w:uri="urn:schemas-microsoft-com:office:smarttags" w:element="place">
        <w:smartTag w:uri="urn:schemas-microsoft-com:office:smarttags" w:element="City">
          <w:r w:rsidRPr="003F549B">
            <w:rPr>
              <w:rFonts w:cs="B Zar"/>
              <w:sz w:val="18"/>
              <w:szCs w:val="18"/>
            </w:rPr>
            <w:t>London</w:t>
          </w:r>
        </w:smartTag>
      </w:smartTag>
      <w:r w:rsidRPr="003F549B">
        <w:rPr>
          <w:rFonts w:cs="B Zar"/>
          <w:sz w:val="18"/>
          <w:szCs w:val="18"/>
        </w:rPr>
        <w:t>, 1871, p 205</w:t>
      </w:r>
    </w:p>
  </w:footnote>
  <w:footnote w:id="282">
    <w:p w:rsidR="00C8559C" w:rsidRPr="003F549B" w:rsidP="003F549B">
      <w:pPr>
        <w:pStyle w:val="FootnoteText"/>
        <w:bidi w:val="0"/>
        <w:rPr>
          <w:rFonts w:hint="cs"/>
          <w:sz w:val="18"/>
          <w:szCs w:val="18"/>
        </w:rPr>
      </w:pPr>
      <w:r w:rsidRPr="003F549B">
        <w:rPr>
          <w:rStyle w:val="FootnoteReference"/>
          <w:sz w:val="18"/>
          <w:szCs w:val="18"/>
          <w:vertAlign w:val="baseline"/>
        </w:rPr>
        <w:footnoteRef/>
      </w:r>
      <w:r w:rsidRPr="003F549B">
        <w:rPr>
          <w:sz w:val="18"/>
          <w:szCs w:val="18"/>
        </w:rPr>
        <w:t xml:space="preserve">. </w:t>
      </w:r>
      <w:r w:rsidRPr="003F549B">
        <w:rPr>
          <w:rFonts w:cs="Times New Roman"/>
          <w:sz w:val="18"/>
          <w:szCs w:val="18"/>
          <w:rtl/>
        </w:rPr>
        <w:t xml:space="preserve"> </w:t>
      </w:r>
      <w:r w:rsidRPr="003F549B">
        <w:rPr>
          <w:rFonts w:cs="B Zar"/>
          <w:sz w:val="18"/>
          <w:szCs w:val="18"/>
        </w:rPr>
        <w:t xml:space="preserve">Spencer, Herbert: The Principles of Sociology,  </w:t>
      </w:r>
      <w:smartTag w:uri="urn:schemas-microsoft-com:office:smarttags" w:element="place">
        <w:smartTag w:uri="urn:schemas-microsoft-com:office:smarttags" w:element="City">
          <w:r w:rsidRPr="003F549B">
            <w:rPr>
              <w:rFonts w:cs="B Zar"/>
              <w:sz w:val="18"/>
              <w:szCs w:val="18"/>
            </w:rPr>
            <w:t>London</w:t>
          </w:r>
        </w:smartTag>
      </w:smartTag>
      <w:r w:rsidRPr="003F549B">
        <w:rPr>
          <w:rFonts w:cs="B Zar"/>
          <w:sz w:val="18"/>
          <w:szCs w:val="18"/>
        </w:rPr>
        <w:t>, 1896, Vol.3,p 305</w:t>
      </w:r>
    </w:p>
  </w:footnote>
  <w:footnote w:id="283">
    <w:p w:rsidR="00C8559C" w:rsidRPr="00EA1361" w:rsidP="00EA1361">
      <w:pPr>
        <w:pStyle w:val="FootnoteText"/>
        <w:bidi w:val="0"/>
        <w:spacing w:line="240" w:lineRule="exact"/>
        <w:ind w:left="227" w:hanging="227"/>
        <w:rPr>
          <w:sz w:val="18"/>
          <w:szCs w:val="18"/>
        </w:rPr>
      </w:pPr>
      <w:r w:rsidRPr="00EA1361">
        <w:rPr>
          <w:rStyle w:val="FootnoteReference"/>
          <w:sz w:val="18"/>
          <w:szCs w:val="18"/>
          <w:vertAlign w:val="baseline"/>
        </w:rPr>
        <w:footnoteRef/>
      </w:r>
      <w:r w:rsidRPr="00EA1361">
        <w:rPr>
          <w:sz w:val="18"/>
          <w:szCs w:val="18"/>
        </w:rPr>
        <w:t xml:space="preserve">. </w:t>
      </w:r>
      <w:r w:rsidRPr="00EA1361">
        <w:rPr>
          <w:rFonts w:cs="Times New Roman"/>
          <w:sz w:val="18"/>
          <w:szCs w:val="18"/>
          <w:rtl/>
        </w:rPr>
        <w:t xml:space="preserve"> </w:t>
      </w:r>
      <w:r w:rsidRPr="00EA1361">
        <w:rPr>
          <w:rFonts w:cs="B Zar"/>
          <w:sz w:val="18"/>
          <w:szCs w:val="18"/>
        </w:rPr>
        <w:t xml:space="preserve">Richard Blum: Evolution of Religion, in </w:t>
      </w:r>
      <w:r w:rsidRPr="00EA1361">
        <w:rPr>
          <w:rFonts w:ascii="IPT.Lotus" w:hAnsi="IPT.Lotus" w:cs="B Zar" w:hint="cs"/>
          <w:sz w:val="18"/>
          <w:szCs w:val="18"/>
          <w:rtl/>
        </w:rPr>
        <w:t xml:space="preserve"> </w:t>
      </w:r>
      <w:r w:rsidRPr="00EA1361">
        <w:rPr>
          <w:rFonts w:cs="B Zar"/>
          <w:sz w:val="18"/>
          <w:szCs w:val="18"/>
        </w:rPr>
        <w:t>American Sociological Review Vol.29, 1964, p 38</w:t>
      </w:r>
    </w:p>
  </w:footnote>
  <w:footnote w:id="284">
    <w:p w:rsidR="00C8559C" w:rsidRPr="003512C6" w:rsidP="003512C6">
      <w:pPr>
        <w:pStyle w:val="FootnoteText"/>
        <w:bidi w:val="0"/>
        <w:spacing w:line="240" w:lineRule="exact"/>
        <w:ind w:left="227" w:hanging="227"/>
        <w:rPr>
          <w:rFonts w:hint="cs"/>
          <w:sz w:val="18"/>
          <w:szCs w:val="18"/>
        </w:rPr>
      </w:pPr>
      <w:r w:rsidRPr="003512C6">
        <w:rPr>
          <w:rStyle w:val="FootnoteReference"/>
          <w:sz w:val="18"/>
          <w:szCs w:val="18"/>
          <w:vertAlign w:val="baseline"/>
        </w:rPr>
        <w:footnoteRef/>
      </w:r>
      <w:r w:rsidRPr="003512C6">
        <w:rPr>
          <w:sz w:val="18"/>
          <w:szCs w:val="18"/>
        </w:rPr>
        <w:t xml:space="preserve">. </w:t>
      </w:r>
      <w:r w:rsidRPr="003512C6">
        <w:rPr>
          <w:rFonts w:cs="Times New Roman"/>
          <w:sz w:val="18"/>
          <w:szCs w:val="18"/>
          <w:rtl/>
        </w:rPr>
        <w:t xml:space="preserve"> </w:t>
      </w:r>
      <w:r w:rsidRPr="003512C6">
        <w:rPr>
          <w:rFonts w:cs="B Zar"/>
          <w:sz w:val="18"/>
          <w:szCs w:val="18"/>
        </w:rPr>
        <w:t xml:space="preserve">Durkheim, Emile: The Elementary Forms of Religious Life, English Translation, </w:t>
      </w:r>
      <w:smartTag w:uri="urn:schemas-microsoft-com:office:smarttags" w:element="place">
        <w:smartTag w:uri="urn:schemas-microsoft-com:office:smarttags" w:element="City">
          <w:r w:rsidRPr="003512C6">
            <w:rPr>
              <w:rFonts w:cs="B Zar"/>
              <w:sz w:val="18"/>
              <w:szCs w:val="18"/>
            </w:rPr>
            <w:t>London</w:t>
          </w:r>
        </w:smartTag>
      </w:smartTag>
      <w:r w:rsidRPr="003512C6">
        <w:rPr>
          <w:rFonts w:cs="B Zar"/>
          <w:sz w:val="18"/>
          <w:szCs w:val="18"/>
        </w:rPr>
        <w:t>, 1947, p46</w:t>
      </w:r>
    </w:p>
  </w:footnote>
  <w:footnote w:id="285">
    <w:p w:rsidR="00C8559C" w:rsidRPr="00F40FAE" w:rsidP="00CE18BC">
      <w:pPr>
        <w:pStyle w:val="FootnoteText"/>
        <w:bidi w:val="0"/>
        <w:spacing w:line="240" w:lineRule="exact"/>
        <w:ind w:left="227" w:hanging="227"/>
        <w:rPr>
          <w:sz w:val="18"/>
          <w:szCs w:val="18"/>
        </w:rPr>
      </w:pPr>
      <w:r w:rsidRPr="00F40FAE">
        <w:rPr>
          <w:rStyle w:val="FootnoteReference"/>
          <w:sz w:val="18"/>
          <w:szCs w:val="18"/>
          <w:vertAlign w:val="baseline"/>
        </w:rPr>
        <w:footnoteRef/>
      </w:r>
      <w:r w:rsidRPr="00F40FAE">
        <w:rPr>
          <w:sz w:val="18"/>
          <w:szCs w:val="18"/>
        </w:rPr>
        <w:t xml:space="preserve">. </w:t>
      </w:r>
      <w:r w:rsidRPr="00F40FAE">
        <w:rPr>
          <w:rFonts w:cs="B Zar"/>
          <w:sz w:val="18"/>
          <w:szCs w:val="18"/>
        </w:rPr>
        <w:t xml:space="preserve">Weber, Max:, The Sociology of Religion with Introduction of T. Parsons, Trans. By Ephraim Fischof, Beacon Press </w:t>
      </w:r>
      <w:smartTag w:uri="urn:schemas-microsoft-com:office:smarttags" w:element="place">
        <w:smartTag w:uri="urn:schemas-microsoft-com:office:smarttags" w:element="City">
          <w:r w:rsidRPr="00F40FAE">
            <w:rPr>
              <w:rFonts w:cs="B Zar"/>
              <w:sz w:val="18"/>
              <w:szCs w:val="18"/>
            </w:rPr>
            <w:t>Boston</w:t>
          </w:r>
        </w:smartTag>
      </w:smartTag>
      <w:r w:rsidRPr="00F40FAE">
        <w:rPr>
          <w:rFonts w:cs="B Zar"/>
          <w:sz w:val="18"/>
          <w:szCs w:val="18"/>
        </w:rPr>
        <w:t xml:space="preserve"> 1964</w:t>
      </w:r>
    </w:p>
  </w:footnote>
  <w:footnote w:id="286">
    <w:p w:rsidR="00C8559C" w:rsidRPr="00F40FAE" w:rsidP="00E6623C">
      <w:pPr>
        <w:pStyle w:val="FootnoteText"/>
        <w:bidi w:val="0"/>
        <w:spacing w:line="240" w:lineRule="exact"/>
        <w:ind w:left="227" w:hanging="227"/>
        <w:rPr>
          <w:sz w:val="18"/>
          <w:szCs w:val="18"/>
        </w:rPr>
      </w:pPr>
      <w:r w:rsidRPr="00F40FAE">
        <w:rPr>
          <w:rStyle w:val="FootnoteReference"/>
          <w:sz w:val="18"/>
          <w:szCs w:val="18"/>
          <w:vertAlign w:val="baseline"/>
        </w:rPr>
        <w:footnoteRef/>
      </w:r>
      <w:r w:rsidRPr="00F40FAE">
        <w:rPr>
          <w:sz w:val="18"/>
          <w:szCs w:val="18"/>
        </w:rPr>
        <w:t xml:space="preserve">. </w:t>
      </w:r>
      <w:r>
        <w:rPr>
          <w:rFonts w:cs="B Zar"/>
          <w:sz w:val="18"/>
          <w:szCs w:val="18"/>
        </w:rPr>
        <w:tab/>
      </w:r>
      <w:r w:rsidRPr="00F40FAE">
        <w:rPr>
          <w:rFonts w:cs="B Zar"/>
          <w:sz w:val="18"/>
          <w:szCs w:val="18"/>
        </w:rPr>
        <w:t>Weber, Max: Methodology of Social Sciences, English Translation, 1949.</w:t>
      </w:r>
    </w:p>
  </w:footnote>
  <w:footnote w:id="287">
    <w:p w:rsidR="00C8559C" w:rsidRPr="00D36A6D" w:rsidP="00E6623C">
      <w:pPr>
        <w:pStyle w:val="FootnoteText"/>
        <w:bidi w:val="0"/>
        <w:spacing w:line="240" w:lineRule="exact"/>
        <w:ind w:left="227" w:hanging="227"/>
      </w:pPr>
      <w:r w:rsidRPr="00F40FAE">
        <w:rPr>
          <w:rStyle w:val="FootnoteReference"/>
          <w:sz w:val="18"/>
          <w:szCs w:val="18"/>
          <w:vertAlign w:val="baseline"/>
        </w:rPr>
        <w:footnoteRef/>
      </w:r>
      <w:r w:rsidRPr="00F40FAE">
        <w:rPr>
          <w:sz w:val="18"/>
          <w:szCs w:val="18"/>
        </w:rPr>
        <w:t xml:space="preserve">. </w:t>
      </w:r>
      <w:r>
        <w:rPr>
          <w:rFonts w:cs="B Zar"/>
          <w:sz w:val="18"/>
          <w:szCs w:val="18"/>
        </w:rPr>
        <w:tab/>
      </w:r>
      <w:r w:rsidRPr="00F40FAE">
        <w:rPr>
          <w:rFonts w:cs="B Zar"/>
          <w:sz w:val="18"/>
          <w:szCs w:val="18"/>
        </w:rPr>
        <w:t>Durkheim: ibid</w:t>
      </w:r>
    </w:p>
  </w:footnote>
  <w:footnote w:id="288">
    <w:p w:rsidR="00C8559C" w:rsidRPr="006B1A88" w:rsidP="000935AF">
      <w:pPr>
        <w:pStyle w:val="FootnoteText"/>
        <w:bidi w:val="0"/>
        <w:spacing w:line="240" w:lineRule="exact"/>
        <w:ind w:left="227" w:hanging="227"/>
        <w:rPr>
          <w:sz w:val="18"/>
          <w:szCs w:val="18"/>
        </w:rPr>
      </w:pPr>
      <w:r w:rsidRPr="006B1A88">
        <w:rPr>
          <w:rStyle w:val="FootnoteReference"/>
          <w:sz w:val="18"/>
          <w:szCs w:val="18"/>
          <w:vertAlign w:val="baseline"/>
        </w:rPr>
        <w:footnoteRef/>
      </w:r>
      <w:r w:rsidRPr="006B1A88">
        <w:rPr>
          <w:sz w:val="18"/>
          <w:szCs w:val="18"/>
        </w:rPr>
        <w:t xml:space="preserve">. </w:t>
      </w:r>
      <w:r>
        <w:rPr>
          <w:rFonts w:cs="B Zar"/>
          <w:sz w:val="18"/>
          <w:szCs w:val="18"/>
        </w:rPr>
        <w:tab/>
      </w:r>
      <w:r w:rsidRPr="006B1A88">
        <w:rPr>
          <w:rFonts w:cs="B Zar"/>
          <w:sz w:val="18"/>
          <w:szCs w:val="18"/>
        </w:rPr>
        <w:t xml:space="preserve">Frazor, J.G.: The Golden Bough, </w:t>
      </w:r>
      <w:smartTag w:uri="urn:schemas-microsoft-com:office:smarttags" w:element="place">
        <w:smartTag w:uri="urn:schemas-microsoft-com:office:smarttags" w:element="City">
          <w:r w:rsidRPr="006B1A88">
            <w:rPr>
              <w:rFonts w:cs="B Zar"/>
              <w:sz w:val="18"/>
              <w:szCs w:val="18"/>
            </w:rPr>
            <w:t>London</w:t>
          </w:r>
        </w:smartTag>
      </w:smartTag>
      <w:r w:rsidRPr="006B1A88">
        <w:rPr>
          <w:rFonts w:cs="B Zar"/>
          <w:sz w:val="18"/>
          <w:szCs w:val="18"/>
        </w:rPr>
        <w:t>, 1945</w:t>
      </w:r>
    </w:p>
  </w:footnote>
  <w:footnote w:id="289">
    <w:p w:rsidR="00C8559C" w:rsidRPr="006B1A88" w:rsidP="000935AF">
      <w:pPr>
        <w:pStyle w:val="FootnoteText"/>
        <w:bidi w:val="0"/>
        <w:spacing w:line="240" w:lineRule="exact"/>
        <w:ind w:left="227" w:hanging="227"/>
        <w:rPr>
          <w:rFonts w:hint="cs"/>
        </w:rPr>
      </w:pPr>
      <w:r w:rsidRPr="006B1A88">
        <w:rPr>
          <w:rStyle w:val="FootnoteReference"/>
          <w:sz w:val="18"/>
          <w:szCs w:val="18"/>
          <w:vertAlign w:val="baseline"/>
        </w:rPr>
        <w:footnoteRef/>
      </w:r>
      <w:r w:rsidRPr="006B1A88">
        <w:rPr>
          <w:sz w:val="18"/>
          <w:szCs w:val="18"/>
        </w:rPr>
        <w:t xml:space="preserve">. </w:t>
      </w:r>
      <w:r>
        <w:rPr>
          <w:sz w:val="18"/>
          <w:szCs w:val="18"/>
        </w:rPr>
        <w:tab/>
      </w:r>
      <w:r w:rsidRPr="006B1A88">
        <w:rPr>
          <w:rFonts w:cs="B Zar"/>
          <w:sz w:val="18"/>
          <w:szCs w:val="18"/>
        </w:rPr>
        <w:t>The Elementary Forms of Religious Life, Trans.J.Swain, Free press, Gleneo 1961, p.52</w:t>
      </w:r>
    </w:p>
  </w:footnote>
  <w:footnote w:id="290">
    <w:p w:rsidR="00C8559C" w:rsidRPr="00D25F71" w:rsidP="00D25F71">
      <w:pPr>
        <w:pStyle w:val="FootnoteText"/>
        <w:bidi w:val="0"/>
        <w:rPr>
          <w:sz w:val="18"/>
          <w:szCs w:val="18"/>
        </w:rPr>
      </w:pPr>
      <w:r w:rsidRPr="00D25F71">
        <w:rPr>
          <w:rStyle w:val="FootnoteReference"/>
          <w:sz w:val="18"/>
          <w:szCs w:val="18"/>
          <w:vertAlign w:val="baseline"/>
        </w:rPr>
        <w:footnoteRef/>
      </w:r>
      <w:r>
        <w:rPr>
          <w:sz w:val="18"/>
          <w:szCs w:val="18"/>
        </w:rPr>
        <w:t>.</w:t>
      </w:r>
      <w:r w:rsidRPr="00D25F71">
        <w:rPr>
          <w:sz w:val="18"/>
          <w:szCs w:val="18"/>
          <w:rtl/>
        </w:rPr>
        <w:t xml:space="preserve"> </w:t>
      </w:r>
      <w:r w:rsidRPr="00D25F71">
        <w:rPr>
          <w:rFonts w:cs="B Zar"/>
          <w:sz w:val="18"/>
          <w:szCs w:val="18"/>
        </w:rPr>
        <w:t xml:space="preserve">Malinowski,B: Magic, Science and Religion, </w:t>
      </w:r>
      <w:smartTag w:uri="urn:schemas-microsoft-com:office:smarttags" w:element="place">
        <w:smartTag w:uri="urn:schemas-microsoft-com:office:smarttags" w:element="City">
          <w:r w:rsidRPr="00D25F71">
            <w:rPr>
              <w:rFonts w:cs="B Zar"/>
              <w:sz w:val="18"/>
              <w:szCs w:val="18"/>
            </w:rPr>
            <w:t>London</w:t>
          </w:r>
        </w:smartTag>
      </w:smartTag>
      <w:r w:rsidRPr="00D25F71">
        <w:rPr>
          <w:rFonts w:cs="B Zar"/>
          <w:sz w:val="18"/>
          <w:szCs w:val="18"/>
        </w:rPr>
        <w:t>, 1948, p71</w:t>
      </w:r>
    </w:p>
  </w:footnote>
  <w:footnote w:id="291">
    <w:p w:rsidR="00C8559C" w:rsidRPr="0097450F" w:rsidP="0097450F">
      <w:pPr>
        <w:pStyle w:val="FootnoteText"/>
        <w:bidi w:val="0"/>
        <w:rPr>
          <w:sz w:val="18"/>
          <w:szCs w:val="18"/>
        </w:rPr>
      </w:pPr>
      <w:r w:rsidRPr="0097450F">
        <w:rPr>
          <w:rStyle w:val="FootnoteReference"/>
          <w:sz w:val="18"/>
          <w:szCs w:val="18"/>
          <w:vertAlign w:val="baseline"/>
        </w:rPr>
        <w:footnoteRef/>
      </w:r>
      <w:r w:rsidRPr="0097450F">
        <w:rPr>
          <w:sz w:val="18"/>
          <w:szCs w:val="18"/>
        </w:rPr>
        <w:t xml:space="preserve">. </w:t>
      </w:r>
      <w:r>
        <w:rPr>
          <w:rFonts w:cs="B Zar"/>
          <w:sz w:val="18"/>
          <w:szCs w:val="18"/>
        </w:rPr>
        <w:t xml:space="preserve"> </w:t>
      </w:r>
      <w:r w:rsidRPr="0097450F">
        <w:rPr>
          <w:rFonts w:cs="B Zar"/>
          <w:sz w:val="18"/>
          <w:szCs w:val="18"/>
        </w:rPr>
        <w:t>Frazer: Ibid, 86</w:t>
      </w:r>
    </w:p>
  </w:footnote>
  <w:footnote w:id="292">
    <w:p w:rsidR="00C8559C" w:rsidRPr="0097450F" w:rsidP="0097450F">
      <w:pPr>
        <w:pStyle w:val="FootnoteText"/>
        <w:bidi w:val="0"/>
        <w:rPr>
          <w:rFonts w:hint="cs"/>
          <w:sz w:val="18"/>
          <w:szCs w:val="18"/>
        </w:rPr>
      </w:pPr>
      <w:r w:rsidRPr="0097450F">
        <w:rPr>
          <w:rStyle w:val="FootnoteReference"/>
          <w:sz w:val="18"/>
          <w:szCs w:val="18"/>
          <w:vertAlign w:val="baseline"/>
        </w:rPr>
        <w:footnoteRef/>
      </w:r>
      <w:r w:rsidRPr="0097450F">
        <w:rPr>
          <w:sz w:val="18"/>
          <w:szCs w:val="18"/>
        </w:rPr>
        <w:t>.</w:t>
      </w:r>
      <w:r w:rsidRPr="0097450F">
        <w:rPr>
          <w:rFonts w:hint="cs"/>
          <w:sz w:val="18"/>
          <w:szCs w:val="18"/>
          <w:rtl/>
        </w:rPr>
        <w:t xml:space="preserve"> </w:t>
      </w:r>
      <w:r w:rsidRPr="0097450F">
        <w:rPr>
          <w:rFonts w:cs="B Zar"/>
          <w:sz w:val="18"/>
          <w:szCs w:val="18"/>
        </w:rPr>
        <w:t xml:space="preserve">Weber, Max: Sociology of Religion, English Tr, </w:t>
      </w:r>
      <w:smartTag w:uri="urn:schemas-microsoft-com:office:smarttags" w:element="place">
        <w:smartTag w:uri="urn:schemas-microsoft-com:office:smarttags" w:element="City">
          <w:r w:rsidRPr="0097450F">
            <w:rPr>
              <w:rFonts w:cs="B Zar"/>
              <w:sz w:val="18"/>
              <w:szCs w:val="18"/>
            </w:rPr>
            <w:t>Boston</w:t>
          </w:r>
        </w:smartTag>
      </w:smartTag>
      <w:r w:rsidRPr="0097450F">
        <w:rPr>
          <w:rFonts w:cs="B Zar"/>
          <w:sz w:val="18"/>
          <w:szCs w:val="18"/>
        </w:rPr>
        <w:t>, 1963, 1st Edition 1922</w:t>
      </w:r>
    </w:p>
  </w:footnote>
  <w:footnote w:id="293">
    <w:p w:rsidR="00C8559C" w:rsidRPr="00590644" w:rsidP="00590644">
      <w:pPr>
        <w:pStyle w:val="FootnoteText"/>
        <w:bidi w:val="0"/>
        <w:spacing w:line="240" w:lineRule="exact"/>
        <w:ind w:left="227" w:hanging="227"/>
        <w:rPr>
          <w:sz w:val="18"/>
          <w:szCs w:val="18"/>
        </w:rPr>
      </w:pPr>
      <w:r w:rsidRPr="00590644">
        <w:rPr>
          <w:rStyle w:val="FootnoteReference"/>
          <w:sz w:val="18"/>
          <w:szCs w:val="18"/>
          <w:vertAlign w:val="baseline"/>
        </w:rPr>
        <w:footnoteRef/>
      </w:r>
      <w:r w:rsidRPr="00590644">
        <w:rPr>
          <w:sz w:val="18"/>
          <w:szCs w:val="18"/>
        </w:rPr>
        <w:t>. Op. cit, p 59</w:t>
      </w:r>
    </w:p>
  </w:footnote>
  <w:footnote w:id="294">
    <w:p w:rsidR="00C8559C" w:rsidRPr="00590644" w:rsidP="00590644">
      <w:pPr>
        <w:pStyle w:val="FootnoteText"/>
        <w:bidi w:val="0"/>
        <w:spacing w:line="240" w:lineRule="exact"/>
        <w:ind w:left="227" w:hanging="227"/>
      </w:pPr>
      <w:r w:rsidRPr="00590644">
        <w:rPr>
          <w:rStyle w:val="FootnoteReference"/>
          <w:sz w:val="18"/>
          <w:szCs w:val="18"/>
          <w:vertAlign w:val="baseline"/>
        </w:rPr>
        <w:footnoteRef/>
      </w:r>
      <w:r w:rsidRPr="00590644">
        <w:rPr>
          <w:sz w:val="18"/>
          <w:szCs w:val="18"/>
        </w:rPr>
        <w:t xml:space="preserve">. </w:t>
      </w:r>
      <w:r w:rsidRPr="00590644">
        <w:rPr>
          <w:rFonts w:cs="B Zar"/>
          <w:sz w:val="18"/>
          <w:szCs w:val="18"/>
        </w:rPr>
        <w:t xml:space="preserve">Durkheim, Emile: The Elementary Forms of Religious Life, English Translation, </w:t>
      </w:r>
      <w:smartTag w:uri="urn:schemas-microsoft-com:office:smarttags" w:element="place">
        <w:smartTag w:uri="urn:schemas-microsoft-com:office:smarttags" w:element="City">
          <w:r w:rsidRPr="00590644">
            <w:rPr>
              <w:rFonts w:cs="B Zar"/>
              <w:sz w:val="18"/>
              <w:szCs w:val="18"/>
            </w:rPr>
            <w:t>London</w:t>
          </w:r>
        </w:smartTag>
      </w:smartTag>
      <w:r w:rsidRPr="00590644">
        <w:rPr>
          <w:rFonts w:cs="B Zar"/>
          <w:sz w:val="18"/>
          <w:szCs w:val="18"/>
        </w:rPr>
        <w:t>, 1947, p 56</w:t>
      </w:r>
    </w:p>
  </w:footnote>
  <w:footnote w:id="295">
    <w:p w:rsidR="00C8559C" w:rsidRPr="00F40FAE">
      <w:pPr>
        <w:pStyle w:val="FootnoteText"/>
        <w:ind w:left="0" w:right="0"/>
        <w:jc w:val="both"/>
        <w:rPr>
          <w:rFonts w:ascii="IPT.Zar" w:hAnsi="IPT.Zar" w:cs="B Zar"/>
          <w:rtl/>
        </w:rPr>
      </w:pPr>
      <w:r w:rsidRPr="00594F3F">
        <w:rPr>
          <w:rStyle w:val="FootnoteReference"/>
          <w:rFonts w:ascii="IPT.Zar" w:hAnsi="IPT.Zar" w:cs="B Zar"/>
          <w:sz w:val="24"/>
          <w:szCs w:val="24"/>
          <w:vertAlign w:val="baseline"/>
        </w:rPr>
        <w:footnoteRef/>
      </w:r>
      <w:r w:rsidRPr="00F40FAE">
        <w:rPr>
          <w:rFonts w:ascii="IPT.Zar" w:hAnsi="IPT.Zar" w:cs="B Zar"/>
        </w:rPr>
        <w:sym w:font="IPT.Zar" w:char="F020"/>
      </w:r>
      <w:r w:rsidRPr="00F40FAE">
        <w:rPr>
          <w:rFonts w:ascii="IPT.Zar" w:hAnsi="IPT.Zar" w:cs="B Zar"/>
          <w:rtl/>
        </w:rPr>
        <w:t>.  دكتر طبيبي، زندگي ديتي ابتدائي ، كلنگو، 1961، ص 54</w:t>
      </w:r>
    </w:p>
  </w:footnote>
  <w:footnote w:id="296">
    <w:p w:rsidR="00C8559C" w:rsidRPr="00DE412C">
      <w:pPr>
        <w:pStyle w:val="FootnoteText"/>
        <w:ind w:left="0" w:right="0"/>
        <w:jc w:val="both"/>
        <w:rPr>
          <w:rFonts w:cs="B Zar" w:hint="cs"/>
          <w:rtl/>
        </w:rPr>
      </w:pPr>
      <w:r w:rsidRPr="004E6524">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w:t>
      </w:r>
      <w:r w:rsidRPr="00DE412C">
        <w:rPr>
          <w:rFonts w:ascii="IPT.Zar" w:hAnsi="IPT.Zar" w:cs="B Zar" w:hint="cs"/>
          <w:rtl/>
        </w:rPr>
        <w:t xml:space="preserve"> </w:t>
      </w:r>
      <w:r w:rsidRPr="00DE412C">
        <w:rPr>
          <w:rFonts w:cs="B Zar" w:hint="cs"/>
          <w:rtl/>
        </w:rPr>
        <w:t xml:space="preserve"> پادسيانوس: 12:2</w:t>
      </w:r>
    </w:p>
  </w:footnote>
  <w:footnote w:id="297">
    <w:p w:rsidR="00C8559C" w:rsidRPr="006A4F74">
      <w:pPr>
        <w:pStyle w:val="FootnoteText"/>
        <w:ind w:left="0" w:right="0"/>
        <w:jc w:val="both"/>
        <w:rPr>
          <w:rFonts w:cs="B Zar" w:hint="cs"/>
          <w:sz w:val="22"/>
          <w:szCs w:val="22"/>
          <w:rtl/>
        </w:rPr>
      </w:pPr>
      <w:r w:rsidRPr="004E6524">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w:t>
      </w:r>
      <w:r w:rsidRPr="00DE412C">
        <w:rPr>
          <w:rFonts w:cs="B Zar" w:hint="cs"/>
          <w:rtl/>
        </w:rPr>
        <w:t xml:space="preserve">  پاوسيانوس: 2: 2:34</w:t>
      </w:r>
    </w:p>
  </w:footnote>
  <w:footnote w:id="298">
    <w:p w:rsidR="00C8559C" w:rsidRPr="005A48F9">
      <w:pPr>
        <w:pStyle w:val="FootnoteText"/>
        <w:ind w:left="0" w:right="0"/>
        <w:jc w:val="both"/>
        <w:rPr>
          <w:rFonts w:ascii="IPT.Zar" w:hAnsi="IPT.Zar" w:cs="B Zar"/>
          <w:rtl/>
        </w:rPr>
      </w:pPr>
      <w:r w:rsidRPr="004E6524">
        <w:rPr>
          <w:rStyle w:val="FootnoteReference"/>
          <w:rFonts w:ascii="IPT.Zar" w:hAnsi="IPT.Zar" w:cs="B Zar"/>
          <w:sz w:val="24"/>
          <w:szCs w:val="24"/>
          <w:vertAlign w:val="baseline"/>
        </w:rPr>
        <w:footnoteRef/>
      </w:r>
      <w:r w:rsidRPr="004E6524">
        <w:rPr>
          <w:rFonts w:ascii="IPT.Zar" w:hAnsi="IPT.Zar" w:cs="B Zar"/>
          <w:sz w:val="24"/>
          <w:szCs w:val="24"/>
        </w:rPr>
        <w:sym w:font="IPT.Zar" w:char="F020"/>
      </w:r>
      <w:r w:rsidRPr="005A48F9">
        <w:rPr>
          <w:rFonts w:ascii="IPT.Zar" w:hAnsi="IPT.Zar" w:cs="B Zar"/>
          <w:rtl/>
        </w:rPr>
        <w:t>.  ريگ ودا: 110:1</w:t>
      </w:r>
    </w:p>
  </w:footnote>
  <w:footnote w:id="299">
    <w:p w:rsidR="00C8559C" w:rsidRPr="005A48F9">
      <w:pPr>
        <w:pStyle w:val="FootnoteText"/>
        <w:ind w:left="0" w:right="0"/>
        <w:jc w:val="both"/>
        <w:rPr>
          <w:rFonts w:ascii="IPT.Zar" w:hAnsi="IPT.Zar" w:cs="B Zar"/>
          <w:rtl/>
        </w:rPr>
      </w:pPr>
      <w:r w:rsidRPr="004E6524">
        <w:rPr>
          <w:rStyle w:val="FootnoteReference"/>
          <w:rFonts w:ascii="IPT.Zar" w:hAnsi="IPT.Zar" w:cs="B Zar"/>
          <w:sz w:val="24"/>
          <w:szCs w:val="24"/>
          <w:vertAlign w:val="baseline"/>
        </w:rPr>
        <w:footnoteRef/>
      </w:r>
      <w:r w:rsidRPr="005A48F9">
        <w:rPr>
          <w:rFonts w:ascii="IPT.Zar" w:hAnsi="IPT.Zar" w:cs="B Zar"/>
        </w:rPr>
        <w:sym w:font="IPT.Zar" w:char="F020"/>
      </w:r>
      <w:r w:rsidRPr="005A48F9">
        <w:rPr>
          <w:rFonts w:ascii="IPT.Zar" w:hAnsi="IPT.Zar" w:cs="B Zar"/>
          <w:rtl/>
        </w:rPr>
        <w:t>.  ريگ ودا: 33:3</w:t>
      </w:r>
    </w:p>
  </w:footnote>
  <w:footnote w:id="300">
    <w:p w:rsidR="00C8559C" w:rsidRPr="005A48F9">
      <w:pPr>
        <w:pStyle w:val="FootnoteText"/>
        <w:ind w:left="0" w:right="0"/>
        <w:jc w:val="both"/>
        <w:rPr>
          <w:rFonts w:ascii="IPT.Zar" w:hAnsi="IPT.Zar" w:cs="B Zar"/>
          <w:rtl/>
        </w:rPr>
      </w:pPr>
      <w:r w:rsidRPr="004E6524">
        <w:rPr>
          <w:rStyle w:val="FootnoteReference"/>
          <w:rFonts w:ascii="IPT.Zar" w:hAnsi="IPT.Zar" w:cs="B Zar"/>
          <w:sz w:val="24"/>
          <w:szCs w:val="24"/>
          <w:vertAlign w:val="baseline"/>
        </w:rPr>
        <w:footnoteRef/>
      </w:r>
      <w:r w:rsidRPr="005A48F9">
        <w:rPr>
          <w:rFonts w:ascii="IPT.Zar" w:hAnsi="IPT.Zar" w:cs="B Zar"/>
        </w:rPr>
        <w:sym w:font="IPT.Zar" w:char="F020"/>
      </w:r>
      <w:r w:rsidRPr="005A48F9">
        <w:rPr>
          <w:rFonts w:ascii="IPT.Zar" w:hAnsi="IPT.Zar" w:cs="B Zar"/>
          <w:rtl/>
        </w:rPr>
        <w:t>.  ريگ ودا: كتاب چهارم: 26</w:t>
      </w:r>
    </w:p>
  </w:footnote>
  <w:footnote w:id="301">
    <w:p w:rsidR="00C8559C" w:rsidRPr="005A48F9">
      <w:pPr>
        <w:pStyle w:val="FootnoteText"/>
        <w:ind w:left="0" w:right="0"/>
        <w:jc w:val="both"/>
        <w:rPr>
          <w:rFonts w:ascii="IPT.Zar" w:hAnsi="IPT.Zar" w:cs="B Zar"/>
          <w:rtl/>
        </w:rPr>
      </w:pPr>
      <w:r w:rsidRPr="004E6524">
        <w:rPr>
          <w:rStyle w:val="FootnoteReference"/>
          <w:rFonts w:ascii="IPT.Zar" w:hAnsi="IPT.Zar" w:cs="B Zar"/>
          <w:sz w:val="24"/>
          <w:szCs w:val="24"/>
          <w:vertAlign w:val="baseline"/>
        </w:rPr>
        <w:footnoteRef/>
      </w:r>
      <w:r w:rsidRPr="005A48F9">
        <w:rPr>
          <w:rFonts w:ascii="IPT.Zar" w:hAnsi="IPT.Zar" w:cs="B Zar"/>
        </w:rPr>
        <w:sym w:font="IPT.Zar" w:char="F020"/>
      </w:r>
      <w:r w:rsidRPr="005A48F9">
        <w:rPr>
          <w:rFonts w:ascii="IPT.Zar" w:hAnsi="IPT.Zar" w:cs="B Zar"/>
          <w:rtl/>
        </w:rPr>
        <w:t>.  ريگ ودا: كتاب چهارم: 33</w:t>
      </w:r>
    </w:p>
  </w:footnote>
  <w:footnote w:id="302">
    <w:p w:rsidR="00C8559C" w:rsidRPr="006A4F74">
      <w:pPr>
        <w:pStyle w:val="FootnoteText"/>
        <w:ind w:left="0" w:right="0"/>
        <w:jc w:val="both"/>
        <w:rPr>
          <w:rFonts w:cs="B Zar" w:hint="cs"/>
          <w:sz w:val="22"/>
          <w:szCs w:val="22"/>
          <w:rtl/>
        </w:rPr>
      </w:pPr>
      <w:r w:rsidRPr="004E6524">
        <w:rPr>
          <w:rStyle w:val="FootnoteReference"/>
          <w:rFonts w:ascii="IPT.Zar" w:hAnsi="IPT.Zar" w:cs="B Zar"/>
          <w:sz w:val="24"/>
          <w:szCs w:val="24"/>
          <w:vertAlign w:val="baseline"/>
        </w:rPr>
        <w:footnoteRef/>
      </w:r>
      <w:r w:rsidRPr="005A48F9">
        <w:rPr>
          <w:rFonts w:ascii="IPT.Zar" w:hAnsi="IPT.Zar" w:cs="B Zar"/>
        </w:rPr>
        <w:sym w:font="IPT.Zar" w:char="F020"/>
      </w:r>
      <w:r w:rsidRPr="005A48F9">
        <w:rPr>
          <w:rFonts w:ascii="IPT.Zar" w:hAnsi="IPT.Zar" w:cs="B Zar"/>
          <w:rtl/>
        </w:rPr>
        <w:t>.  ريگ ودا: كتاب پنجم 35</w:t>
      </w:r>
    </w:p>
  </w:footnote>
  <w:footnote w:id="303">
    <w:p w:rsidR="00C8559C" w:rsidRPr="00DE412C">
      <w:pPr>
        <w:pStyle w:val="FootnoteText"/>
        <w:ind w:left="0" w:right="0"/>
        <w:jc w:val="both"/>
        <w:rPr>
          <w:rFonts w:ascii="IPT.Zar" w:hAnsi="IPT.Zar" w:cs="B Zar"/>
          <w:rtl/>
        </w:rPr>
      </w:pPr>
      <w:r w:rsidRPr="004E6524">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w:t>
      </w:r>
      <w:r>
        <w:rPr>
          <w:rFonts w:ascii="IPT.Zar" w:hAnsi="IPT.Zar" w:cs="B Zar" w:hint="cs"/>
          <w:rtl/>
        </w:rPr>
        <w:t xml:space="preserve"> </w:t>
      </w:r>
      <w:r w:rsidRPr="00DE412C">
        <w:rPr>
          <w:rFonts w:ascii="IPT.Zar" w:hAnsi="IPT.Zar" w:cs="B Zar"/>
          <w:rtl/>
        </w:rPr>
        <w:t xml:space="preserve"> ريگ ودا: كتاب اول: 29، 31، 38 و غيره، سام ودا: كتاب چهارم فصل 3:1</w:t>
      </w:r>
    </w:p>
  </w:footnote>
  <w:footnote w:id="304">
    <w:p w:rsidR="00C8559C" w:rsidRPr="00DE412C" w:rsidP="00DE412C">
      <w:pPr>
        <w:pStyle w:val="FootnoteText"/>
        <w:ind w:left="0" w:right="0"/>
        <w:jc w:val="both"/>
        <w:rPr>
          <w:rFonts w:ascii="IPT.Zar" w:hAnsi="IPT.Zar" w:cs="B Zar"/>
          <w:rtl/>
        </w:rPr>
      </w:pPr>
      <w:r w:rsidRPr="004E6524">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w:t>
      </w:r>
      <w:r>
        <w:rPr>
          <w:rFonts w:ascii="IPT.Zar" w:hAnsi="IPT.Zar" w:cs="B Zar" w:hint="cs"/>
          <w:rtl/>
        </w:rPr>
        <w:t xml:space="preserve"> </w:t>
      </w:r>
      <w:r w:rsidRPr="00DE412C">
        <w:rPr>
          <w:rFonts w:ascii="IPT.Zar" w:hAnsi="IPT.Zar" w:cs="B Zar"/>
          <w:rtl/>
        </w:rPr>
        <w:t xml:space="preserve"> سام ودا: بخش: «كتاب نهم، فصل 13:3</w:t>
      </w:r>
    </w:p>
  </w:footnote>
  <w:footnote w:id="305">
    <w:p w:rsidR="00C8559C" w:rsidRPr="00DE412C">
      <w:pPr>
        <w:pStyle w:val="FootnoteText"/>
        <w:ind w:left="0" w:right="0"/>
        <w:jc w:val="both"/>
        <w:rPr>
          <w:rFonts w:ascii="IPT.Zar" w:hAnsi="IPT.Zar" w:cs="B Zar"/>
          <w:rtl/>
        </w:rPr>
      </w:pPr>
      <w:r w:rsidRPr="004E6524">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w:t>
      </w:r>
      <w:r>
        <w:rPr>
          <w:rFonts w:ascii="IPT.Zar" w:hAnsi="IPT.Zar" w:cs="B Zar" w:hint="cs"/>
          <w:rtl/>
        </w:rPr>
        <w:t xml:space="preserve"> </w:t>
      </w:r>
      <w:r w:rsidRPr="00DE412C">
        <w:rPr>
          <w:rFonts w:ascii="IPT.Zar" w:hAnsi="IPT.Zar" w:cs="B Zar"/>
          <w:rtl/>
        </w:rPr>
        <w:t xml:space="preserve"> ياجور ودا: كتاب اول، بيت 29-30</w:t>
      </w:r>
    </w:p>
  </w:footnote>
  <w:footnote w:id="306">
    <w:p w:rsidR="00C8559C" w:rsidRPr="00DE412C">
      <w:pPr>
        <w:pStyle w:val="FootnoteText"/>
        <w:ind w:left="0" w:right="0"/>
        <w:jc w:val="both"/>
        <w:rPr>
          <w:rFonts w:ascii="IPT.Zar" w:hAnsi="IPT.Zar" w:cs="B Zar"/>
          <w:rtl/>
        </w:rPr>
      </w:pPr>
      <w:r w:rsidRPr="004E6524">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xml:space="preserve">. </w:t>
      </w:r>
      <w:r>
        <w:rPr>
          <w:rFonts w:ascii="IPT.Zar" w:hAnsi="IPT.Zar" w:cs="B Zar" w:hint="cs"/>
          <w:rtl/>
        </w:rPr>
        <w:t xml:space="preserve"> </w:t>
      </w:r>
      <w:r w:rsidRPr="00DE412C">
        <w:rPr>
          <w:rFonts w:ascii="IPT.Zar" w:hAnsi="IPT.Zar" w:cs="B Zar"/>
          <w:rtl/>
        </w:rPr>
        <w:t>همان: بيت 10</w:t>
      </w:r>
    </w:p>
  </w:footnote>
  <w:footnote w:id="307">
    <w:p w:rsidR="00C8559C" w:rsidRPr="006A4F74">
      <w:pPr>
        <w:pStyle w:val="FootnoteText"/>
        <w:ind w:left="0" w:right="0"/>
        <w:jc w:val="both"/>
        <w:rPr>
          <w:rFonts w:ascii="IPT.Lotus" w:hAnsi="IPT.Lotus" w:cs="B Zar" w:hint="cs"/>
          <w:sz w:val="22"/>
          <w:szCs w:val="22"/>
          <w:rtl/>
        </w:rPr>
      </w:pPr>
      <w:r w:rsidRPr="004B450C">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همان: بيت 14</w:t>
      </w:r>
    </w:p>
  </w:footnote>
  <w:footnote w:id="308">
    <w:p w:rsidR="00C8559C" w:rsidRPr="00DE412C">
      <w:pPr>
        <w:pStyle w:val="FootnoteText"/>
        <w:ind w:left="0" w:right="0"/>
        <w:jc w:val="both"/>
        <w:rPr>
          <w:rFonts w:ascii="IPT.Zar" w:hAnsi="IPT.Zar" w:cs="B Zar"/>
          <w:rtl/>
        </w:rPr>
      </w:pPr>
      <w:r w:rsidRPr="004B450C">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ياجورودا: كتاب اول: بيت 1ـ 29</w:t>
      </w:r>
    </w:p>
  </w:footnote>
  <w:footnote w:id="309">
    <w:p w:rsidR="00C8559C" w:rsidRPr="006A4F74" w:rsidP="0011420A">
      <w:pPr>
        <w:pStyle w:val="FootnoteText"/>
        <w:ind w:left="0" w:right="0"/>
        <w:jc w:val="both"/>
        <w:rPr>
          <w:rFonts w:cs="B Zar" w:hint="cs"/>
          <w:sz w:val="22"/>
          <w:szCs w:val="22"/>
          <w:rtl/>
        </w:rPr>
      </w:pPr>
      <w:r w:rsidRPr="004B450C">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ياجور ودا: كتاب اول: بيت 19 ـ 20</w:t>
      </w:r>
    </w:p>
  </w:footnote>
  <w:footnote w:id="310">
    <w:p w:rsidR="00C8559C" w:rsidRPr="00DE412C">
      <w:pPr>
        <w:pStyle w:val="FootnoteText"/>
        <w:ind w:left="0" w:right="0"/>
        <w:jc w:val="both"/>
        <w:rPr>
          <w:rFonts w:ascii="IPT.Zar" w:hAnsi="IPT.Zar" w:cs="B Zar"/>
          <w:rtl/>
        </w:rPr>
      </w:pPr>
      <w:r w:rsidRPr="004B450C">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xml:space="preserve">. </w:t>
      </w:r>
      <w:r>
        <w:rPr>
          <w:rFonts w:ascii="IPT.Zar" w:hAnsi="IPT.Zar" w:cs="B Zar" w:hint="cs"/>
          <w:rtl/>
        </w:rPr>
        <w:t xml:space="preserve"> </w:t>
      </w:r>
      <w:r w:rsidRPr="00DE412C">
        <w:rPr>
          <w:rFonts w:ascii="IPT.Zar" w:hAnsi="IPT.Zar" w:cs="B Zar"/>
          <w:rtl/>
        </w:rPr>
        <w:t>همان: كتاب اول: بيت 5، كتاب دوم بيت: 30 به بعد</w:t>
      </w:r>
    </w:p>
  </w:footnote>
  <w:footnote w:id="311">
    <w:p w:rsidR="00C8559C" w:rsidRPr="00DE412C">
      <w:pPr>
        <w:pStyle w:val="FootnoteText"/>
        <w:ind w:left="0" w:right="0"/>
        <w:jc w:val="both"/>
        <w:rPr>
          <w:rFonts w:ascii="IPT.Zar" w:hAnsi="IPT.Zar" w:cs="B Zar"/>
          <w:rtl/>
        </w:rPr>
      </w:pPr>
      <w:r w:rsidRPr="004B450C">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xml:space="preserve">. </w:t>
      </w:r>
      <w:r>
        <w:rPr>
          <w:rFonts w:ascii="IPT.Zar" w:hAnsi="IPT.Zar" w:cs="B Zar" w:hint="cs"/>
          <w:rtl/>
        </w:rPr>
        <w:t xml:space="preserve"> </w:t>
      </w:r>
      <w:r w:rsidRPr="00DE412C">
        <w:rPr>
          <w:rFonts w:ascii="IPT.Zar" w:hAnsi="IPT.Zar" w:cs="B Zar"/>
          <w:rtl/>
        </w:rPr>
        <w:t>همان: كتاب دوم: بيت 31</w:t>
      </w:r>
    </w:p>
  </w:footnote>
  <w:footnote w:id="312">
    <w:p w:rsidR="00C8559C" w:rsidRPr="006A4F74">
      <w:pPr>
        <w:pStyle w:val="FootnoteText"/>
        <w:ind w:left="0" w:right="0"/>
        <w:jc w:val="both"/>
        <w:rPr>
          <w:rFonts w:cs="B Zar" w:hint="cs"/>
          <w:sz w:val="22"/>
          <w:szCs w:val="22"/>
          <w:rtl/>
        </w:rPr>
      </w:pPr>
      <w:r w:rsidRPr="004B450C">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xml:space="preserve">. </w:t>
      </w:r>
      <w:r>
        <w:rPr>
          <w:rFonts w:ascii="IPT.Zar" w:hAnsi="IPT.Zar" w:cs="B Zar" w:hint="cs"/>
          <w:rtl/>
        </w:rPr>
        <w:t xml:space="preserve"> </w:t>
      </w:r>
      <w:r w:rsidRPr="00DE412C">
        <w:rPr>
          <w:rFonts w:ascii="IPT.Zar" w:hAnsi="IPT.Zar" w:cs="B Zar"/>
          <w:rtl/>
        </w:rPr>
        <w:t>همان: كتاب اول: بيت 1، كتاب سوم، بيت 22 به بعد</w:t>
      </w:r>
    </w:p>
  </w:footnote>
  <w:footnote w:id="313">
    <w:p w:rsidR="00C8559C" w:rsidRPr="00DE412C" w:rsidP="004B450C">
      <w:pPr>
        <w:pStyle w:val="FootnoteText"/>
        <w:ind w:left="0" w:right="0"/>
        <w:jc w:val="both"/>
        <w:rPr>
          <w:rFonts w:ascii="IPT.Zar" w:hAnsi="IPT.Zar" w:cs="B Zar"/>
          <w:rtl/>
        </w:rPr>
      </w:pPr>
      <w:r w:rsidRPr="004B450C">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 xml:space="preserve"> </w:t>
      </w:r>
      <w:r w:rsidRPr="00DE412C">
        <w:rPr>
          <w:rFonts w:ascii="IPT.Zar" w:hAnsi="IPT.Zar" w:cs="B Zar"/>
          <w:rtl/>
        </w:rPr>
        <w:t xml:space="preserve"> ياجور ودا: كتاب چهارم 1 ـ 3</w:t>
      </w:r>
    </w:p>
  </w:footnote>
  <w:footnote w:id="314">
    <w:p w:rsidR="00C8559C" w:rsidRPr="00DE412C" w:rsidP="004B450C">
      <w:pPr>
        <w:pStyle w:val="FootnoteText"/>
        <w:ind w:left="0" w:right="0"/>
        <w:jc w:val="both"/>
        <w:rPr>
          <w:rFonts w:ascii="IPT.Zar" w:hAnsi="IPT.Zar" w:cs="B Zar"/>
          <w:rtl/>
        </w:rPr>
      </w:pPr>
      <w:r w:rsidRPr="004B450C">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 xml:space="preserve"> </w:t>
      </w:r>
      <w:r w:rsidRPr="00DE412C">
        <w:rPr>
          <w:rFonts w:ascii="IPT.Zar" w:hAnsi="IPT.Zar" w:cs="B Zar"/>
          <w:rtl/>
        </w:rPr>
        <w:t xml:space="preserve"> همان، كتاب چهارم : 9</w:t>
      </w:r>
    </w:p>
  </w:footnote>
  <w:footnote w:id="315">
    <w:p w:rsidR="00C8559C" w:rsidRPr="00DE412C" w:rsidP="004B450C">
      <w:pPr>
        <w:pStyle w:val="FootnoteText"/>
        <w:ind w:left="0" w:right="0"/>
        <w:jc w:val="both"/>
        <w:rPr>
          <w:rFonts w:ascii="IPT.Zar" w:hAnsi="IPT.Zar" w:cs="B Zar"/>
          <w:rtl/>
        </w:rPr>
      </w:pPr>
      <w:r w:rsidRPr="004B450C">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 xml:space="preserve"> </w:t>
      </w:r>
      <w:r w:rsidRPr="00DE412C">
        <w:rPr>
          <w:rFonts w:ascii="IPT.Zar" w:hAnsi="IPT.Zar" w:cs="B Zar"/>
          <w:rtl/>
        </w:rPr>
        <w:t xml:space="preserve"> همان، 10 به بعد</w:t>
      </w:r>
    </w:p>
  </w:footnote>
  <w:footnote w:id="316">
    <w:p w:rsidR="00C8559C" w:rsidRPr="00DE412C" w:rsidP="004B450C">
      <w:pPr>
        <w:pStyle w:val="FootnoteText"/>
        <w:ind w:left="0" w:right="0"/>
        <w:jc w:val="both"/>
        <w:rPr>
          <w:rFonts w:ascii="IPT.Zar" w:hAnsi="IPT.Zar" w:cs="B Zar"/>
          <w:rtl/>
        </w:rPr>
      </w:pPr>
      <w:r w:rsidRPr="004B450C">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 xml:space="preserve"> </w:t>
      </w:r>
      <w:r w:rsidRPr="00DE412C">
        <w:rPr>
          <w:rFonts w:ascii="IPT.Zar" w:hAnsi="IPT.Zar" w:cs="B Zar"/>
          <w:rtl/>
        </w:rPr>
        <w:t xml:space="preserve"> همان: كتاب چهارم: بيت 39 ـ 31 و غيره</w:t>
      </w:r>
    </w:p>
  </w:footnote>
  <w:footnote w:id="317">
    <w:p w:rsidR="00C8559C" w:rsidRPr="006A4F74" w:rsidP="004B450C">
      <w:pPr>
        <w:pStyle w:val="FootnoteText"/>
        <w:ind w:left="0" w:right="0"/>
        <w:jc w:val="both"/>
        <w:rPr>
          <w:rFonts w:cs="B Zar" w:hint="cs"/>
          <w:sz w:val="22"/>
          <w:szCs w:val="22"/>
          <w:rtl/>
        </w:rPr>
      </w:pPr>
      <w:r w:rsidRPr="004B450C">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 xml:space="preserve"> </w:t>
      </w:r>
      <w:r w:rsidRPr="00DE412C">
        <w:rPr>
          <w:rFonts w:ascii="IPT.Zar" w:hAnsi="IPT.Zar" w:cs="B Zar"/>
          <w:rtl/>
        </w:rPr>
        <w:t xml:space="preserve"> همان: كتاب پنجم: بيت 2ـ 4</w:t>
      </w:r>
    </w:p>
  </w:footnote>
  <w:footnote w:id="318">
    <w:p w:rsidR="00C8559C" w:rsidRPr="00DE412C" w:rsidP="00377360">
      <w:pPr>
        <w:pStyle w:val="FootnoteText"/>
        <w:ind w:left="227" w:right="0" w:hanging="227"/>
        <w:jc w:val="both"/>
        <w:rPr>
          <w:rFonts w:ascii="IPT.Zar" w:hAnsi="IPT.Zar" w:cs="B Zar"/>
          <w:rtl/>
        </w:rPr>
      </w:pPr>
      <w:r w:rsidRPr="004B450C">
        <w:rPr>
          <w:rStyle w:val="FootnoteReference"/>
          <w:rFonts w:ascii="IPT.Zar" w:hAnsi="IPT.Zar" w:cs="B Zar"/>
          <w:sz w:val="24"/>
          <w:szCs w:val="24"/>
          <w:vertAlign w:val="baseline"/>
        </w:rPr>
        <w:footnoteRef/>
      </w:r>
      <w:r w:rsidRPr="00DE412C">
        <w:rPr>
          <w:rFonts w:ascii="IPT.Zar" w:hAnsi="IPT.Zar" w:cs="B Zar"/>
          <w:rtl/>
        </w:rPr>
        <w:t xml:space="preserve">. </w:t>
      </w:r>
      <w:r>
        <w:rPr>
          <w:rFonts w:ascii="IPT.Zar" w:hAnsi="IPT.Zar" w:cs="B Zar" w:hint="cs"/>
          <w:rtl/>
        </w:rPr>
        <w:tab/>
      </w:r>
      <w:r w:rsidRPr="00DE412C">
        <w:rPr>
          <w:rFonts w:ascii="IPT.Zar" w:hAnsi="IPT.Zar" w:cs="B Zar"/>
          <w:rtl/>
        </w:rPr>
        <w:t>همان: كتاب پنجم: بيت 25</w:t>
      </w:r>
    </w:p>
  </w:footnote>
  <w:footnote w:id="319">
    <w:p w:rsidR="00C8559C" w:rsidRPr="00DE412C" w:rsidP="00377360">
      <w:pPr>
        <w:pStyle w:val="FootnoteText"/>
        <w:ind w:left="227" w:right="0" w:hanging="227"/>
        <w:jc w:val="both"/>
        <w:rPr>
          <w:rFonts w:ascii="IPT.Zar" w:hAnsi="IPT.Zar" w:cs="B Zar"/>
          <w:rtl/>
        </w:rPr>
      </w:pPr>
      <w:r w:rsidRPr="004B450C">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ab/>
      </w:r>
      <w:r w:rsidRPr="00DE412C">
        <w:rPr>
          <w:rFonts w:ascii="IPT.Zar" w:hAnsi="IPT.Zar" w:cs="B Zar"/>
          <w:rtl/>
        </w:rPr>
        <w:t>همان: كتاب پنجم: بيت 25</w:t>
      </w:r>
    </w:p>
  </w:footnote>
  <w:footnote w:id="320">
    <w:p w:rsidR="00C8559C" w:rsidRPr="00DE412C" w:rsidP="00377360">
      <w:pPr>
        <w:pStyle w:val="FootnoteText"/>
        <w:ind w:left="227" w:right="0" w:hanging="227"/>
        <w:jc w:val="both"/>
        <w:rPr>
          <w:rFonts w:ascii="IPT.Zar" w:hAnsi="IPT.Zar" w:cs="B Zar"/>
          <w:rtl/>
        </w:rPr>
      </w:pPr>
      <w:r w:rsidRPr="004B450C">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ab/>
      </w:r>
      <w:r w:rsidRPr="00DE412C">
        <w:rPr>
          <w:rFonts w:ascii="IPT.Zar" w:hAnsi="IPT.Zar" w:cs="B Zar"/>
          <w:rtl/>
        </w:rPr>
        <w:t>همان: كتاب ششم: بيت 1</w:t>
      </w:r>
    </w:p>
  </w:footnote>
  <w:footnote w:id="321">
    <w:p w:rsidR="00C8559C" w:rsidRPr="006A4F74" w:rsidP="00377360">
      <w:pPr>
        <w:pStyle w:val="FootnoteText"/>
        <w:ind w:left="227" w:right="0" w:hanging="227"/>
        <w:jc w:val="both"/>
        <w:rPr>
          <w:rFonts w:cs="B Zar" w:hint="cs"/>
          <w:sz w:val="22"/>
          <w:szCs w:val="22"/>
          <w:rtl/>
        </w:rPr>
      </w:pPr>
      <w:r w:rsidRPr="004B450C">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ab/>
      </w:r>
      <w:r w:rsidRPr="00DE412C">
        <w:rPr>
          <w:rFonts w:ascii="IPT.Zar" w:hAnsi="IPT.Zar" w:cs="B Zar"/>
          <w:rtl/>
        </w:rPr>
        <w:t>همان: كتاب ششم: بيت 15</w:t>
      </w:r>
    </w:p>
  </w:footnote>
  <w:footnote w:id="322">
    <w:p w:rsidR="00C8559C" w:rsidRPr="00DE412C" w:rsidP="00EA1586">
      <w:pPr>
        <w:pStyle w:val="FootnoteText"/>
        <w:ind w:left="227" w:right="0" w:hanging="227"/>
        <w:jc w:val="both"/>
        <w:rPr>
          <w:rFonts w:ascii="IPT.Zar" w:hAnsi="IPT.Zar" w:cs="B Zar"/>
          <w:rtl/>
        </w:rPr>
      </w:pPr>
      <w:r w:rsidRPr="00EA1586">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w:t>
      </w:r>
      <w:r>
        <w:rPr>
          <w:rFonts w:ascii="IPT.Zar" w:hAnsi="IPT.Zar" w:cs="B Zar" w:hint="cs"/>
          <w:rtl/>
        </w:rPr>
        <w:tab/>
      </w:r>
      <w:r w:rsidRPr="00DE412C">
        <w:rPr>
          <w:rFonts w:ascii="IPT.Zar" w:hAnsi="IPT.Zar" w:cs="B Zar"/>
          <w:rtl/>
        </w:rPr>
        <w:t>همان، كتاب 30</w:t>
      </w:r>
    </w:p>
  </w:footnote>
  <w:footnote w:id="323">
    <w:p w:rsidR="00C8559C" w:rsidRPr="00DE412C" w:rsidP="00B135B6">
      <w:pPr>
        <w:pStyle w:val="FootnoteText"/>
        <w:ind w:left="227" w:right="0" w:hanging="227"/>
        <w:jc w:val="both"/>
        <w:rPr>
          <w:rFonts w:ascii="IPT.Zar" w:hAnsi="IPT.Zar" w:cs="B Zar"/>
          <w:rtl/>
        </w:rPr>
      </w:pPr>
      <w:r w:rsidRPr="00EA1586">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w:t>
      </w:r>
      <w:r w:rsidRPr="00DE412C">
        <w:rPr>
          <w:rFonts w:ascii="IPT.Zar" w:hAnsi="IPT.Zar" w:cs="B Zar" w:hint="cs"/>
          <w:rtl/>
        </w:rPr>
        <w:t xml:space="preserve"> </w:t>
      </w:r>
      <w:r w:rsidRPr="00DE412C">
        <w:rPr>
          <w:rFonts w:ascii="IPT.Zar" w:hAnsi="IPT.Zar" w:cs="B Zar"/>
          <w:rtl/>
        </w:rPr>
        <w:t xml:space="preserve"> اَتهَارو ودا: 18:4 </w:t>
      </w:r>
    </w:p>
  </w:footnote>
  <w:footnote w:id="324">
    <w:p w:rsidR="00C8559C" w:rsidRPr="00DE412C" w:rsidP="00B135B6">
      <w:pPr>
        <w:pStyle w:val="FootnoteText"/>
        <w:ind w:left="227" w:right="0" w:hanging="227"/>
        <w:jc w:val="both"/>
        <w:rPr>
          <w:rFonts w:ascii="IPT.Zar" w:hAnsi="IPT.Zar" w:cs="B Zar"/>
          <w:rtl/>
        </w:rPr>
      </w:pPr>
      <w:r w:rsidRPr="00EA1586">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w:t>
      </w:r>
      <w:r w:rsidRPr="00DE412C">
        <w:rPr>
          <w:rFonts w:ascii="IPT.Zar" w:hAnsi="IPT.Zar" w:cs="B Zar" w:hint="cs"/>
          <w:rtl/>
        </w:rPr>
        <w:t xml:space="preserve"> </w:t>
      </w:r>
      <w:r w:rsidRPr="00DE412C">
        <w:rPr>
          <w:rFonts w:ascii="IPT.Zar" w:hAnsi="IPT.Zar" w:cs="B Zar"/>
          <w:rtl/>
        </w:rPr>
        <w:t xml:space="preserve">همان: 31:5 </w:t>
      </w:r>
    </w:p>
  </w:footnote>
  <w:footnote w:id="325">
    <w:p w:rsidR="00C8559C" w:rsidRPr="006A4F74" w:rsidP="00B135B6">
      <w:pPr>
        <w:pStyle w:val="FootnoteText"/>
        <w:ind w:left="227" w:right="0" w:hanging="227"/>
        <w:jc w:val="both"/>
        <w:rPr>
          <w:rFonts w:cs="B Zar" w:hint="cs"/>
          <w:sz w:val="22"/>
          <w:szCs w:val="22"/>
          <w:rtl/>
        </w:rPr>
      </w:pPr>
      <w:r w:rsidRPr="00EA1586">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w:t>
      </w:r>
      <w:r w:rsidRPr="00DE412C">
        <w:rPr>
          <w:rFonts w:ascii="IPT.Zar" w:hAnsi="IPT.Zar" w:cs="B Zar" w:hint="cs"/>
          <w:rtl/>
        </w:rPr>
        <w:t xml:space="preserve"> </w:t>
      </w:r>
      <w:r w:rsidRPr="00DE412C">
        <w:rPr>
          <w:rFonts w:ascii="IPT.Zar" w:hAnsi="IPT.Zar" w:cs="B Zar"/>
          <w:rtl/>
        </w:rPr>
        <w:t xml:space="preserve"> همان: 19:4</w:t>
      </w:r>
      <w:r w:rsidRPr="006A4F74">
        <w:rPr>
          <w:rFonts w:cs="B Zar" w:hint="cs"/>
          <w:sz w:val="22"/>
          <w:szCs w:val="22"/>
          <w:rtl/>
        </w:rPr>
        <w:t xml:space="preserve"> </w:t>
      </w:r>
    </w:p>
  </w:footnote>
  <w:footnote w:id="326">
    <w:p w:rsidR="00C8559C" w:rsidRPr="00DE412C" w:rsidP="00B135B6">
      <w:pPr>
        <w:pStyle w:val="FootnoteText"/>
        <w:ind w:left="227" w:right="0" w:hanging="227"/>
        <w:jc w:val="both"/>
        <w:rPr>
          <w:rFonts w:ascii="IPT.Zar" w:hAnsi="IPT.Zar" w:cs="B Zar"/>
          <w:rtl/>
        </w:rPr>
      </w:pPr>
      <w:r w:rsidRPr="00EA1586">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.همان: 29:5</w:t>
      </w:r>
    </w:p>
  </w:footnote>
  <w:footnote w:id="327">
    <w:p w:rsidR="00C8559C" w:rsidRPr="00DE412C" w:rsidP="00D6371B">
      <w:pPr>
        <w:pStyle w:val="FootnoteText"/>
        <w:ind w:left="227" w:right="0" w:hanging="227"/>
        <w:jc w:val="both"/>
        <w:rPr>
          <w:rFonts w:ascii="IPT.Zar" w:hAnsi="IPT.Zar" w:cs="B Zar"/>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همان: 18:4</w:t>
      </w:r>
    </w:p>
  </w:footnote>
  <w:footnote w:id="328">
    <w:p w:rsidR="00C8559C" w:rsidRPr="00DE412C" w:rsidP="00D6371B">
      <w:pPr>
        <w:pStyle w:val="FootnoteText"/>
        <w:ind w:left="227" w:right="0" w:hanging="227"/>
        <w:jc w:val="both"/>
        <w:rPr>
          <w:rFonts w:ascii="IPT.Zar" w:hAnsi="IPT.Zar" w:cs="B Zar"/>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همان : 32:6</w:t>
      </w:r>
    </w:p>
  </w:footnote>
  <w:footnote w:id="329">
    <w:p w:rsidR="00C8559C" w:rsidRPr="00DE412C" w:rsidP="00D6371B">
      <w:pPr>
        <w:pStyle w:val="FootnoteText"/>
        <w:ind w:left="227" w:right="0" w:hanging="227"/>
        <w:jc w:val="both"/>
        <w:rPr>
          <w:rFonts w:ascii="IPT.Zar" w:hAnsi="IPT.Zar" w:cs="B Zar"/>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.همان: 18:4</w:t>
      </w:r>
    </w:p>
  </w:footnote>
  <w:footnote w:id="330">
    <w:p w:rsidR="00C8559C" w:rsidRPr="00DE412C" w:rsidP="00D6371B">
      <w:pPr>
        <w:pStyle w:val="FootnoteText"/>
        <w:ind w:left="227" w:right="0" w:hanging="227"/>
        <w:jc w:val="both"/>
        <w:rPr>
          <w:rFonts w:ascii="IPT.Zar" w:hAnsi="IPT.Zar" w:cs="B Zar"/>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همان، 28:3</w:t>
      </w:r>
    </w:p>
  </w:footnote>
  <w:footnote w:id="331">
    <w:p w:rsidR="00C8559C" w:rsidRPr="00DE412C" w:rsidP="00D6371B">
      <w:pPr>
        <w:pStyle w:val="FootnoteText"/>
        <w:ind w:left="227" w:right="0" w:hanging="227"/>
        <w:jc w:val="both"/>
        <w:rPr>
          <w:rFonts w:ascii="IPT.Zar" w:hAnsi="IPT.Zar" w:cs="B Zar"/>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.همان: 27:6</w:t>
      </w:r>
    </w:p>
  </w:footnote>
  <w:footnote w:id="332">
    <w:p w:rsidR="00C8559C" w:rsidRPr="00DE412C" w:rsidP="00D6371B">
      <w:pPr>
        <w:pStyle w:val="FootnoteText"/>
        <w:ind w:left="227" w:right="0" w:hanging="227"/>
        <w:jc w:val="both"/>
        <w:rPr>
          <w:rFonts w:ascii="IPT.Zar" w:hAnsi="IPT.Zar" w:cs="B Zar"/>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همان: 9:3</w:t>
      </w:r>
    </w:p>
  </w:footnote>
  <w:footnote w:id="333">
    <w:p w:rsidR="00C8559C" w:rsidRPr="00DE412C" w:rsidP="00D6371B">
      <w:pPr>
        <w:pStyle w:val="FootnoteText"/>
        <w:ind w:left="227" w:right="0" w:hanging="227"/>
        <w:jc w:val="both"/>
        <w:rPr>
          <w:rFonts w:ascii="IPT.Zar" w:hAnsi="IPT.Zar" w:cs="B Zar"/>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.11:3</w:t>
      </w:r>
      <w:r>
        <w:rPr>
          <w:rFonts w:ascii="IPT.Zar" w:hAnsi="IPT.Zar" w:cs="B Zar" w:hint="cs"/>
          <w:rtl/>
        </w:rPr>
        <w:tab/>
      </w:r>
    </w:p>
  </w:footnote>
  <w:footnote w:id="334">
    <w:p w:rsidR="00C8559C" w:rsidRPr="00DE412C" w:rsidP="00D6371B">
      <w:pPr>
        <w:pStyle w:val="FootnoteText"/>
        <w:ind w:left="227" w:right="0" w:hanging="227"/>
        <w:jc w:val="both"/>
        <w:rPr>
          <w:rFonts w:ascii="IPT.Zar" w:hAnsi="IPT.Zar" w:cs="B Zar"/>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.23:3</w:t>
      </w:r>
      <w:r w:rsidR="00D6371B">
        <w:rPr>
          <w:rFonts w:ascii="IPT.Zar" w:hAnsi="IPT.Zar" w:cs="B Zar" w:hint="cs"/>
          <w:rtl/>
        </w:rPr>
        <w:t xml:space="preserve"> </w:t>
      </w:r>
      <w:r>
        <w:rPr>
          <w:rFonts w:ascii="IPT.Zar" w:hAnsi="IPT.Zar" w:cs="B Zar" w:hint="cs"/>
          <w:rtl/>
        </w:rPr>
        <w:tab/>
      </w:r>
    </w:p>
  </w:footnote>
  <w:footnote w:id="335">
    <w:p w:rsidR="00C8559C" w:rsidRPr="00DE412C" w:rsidP="00D6371B">
      <w:pPr>
        <w:pStyle w:val="FootnoteText"/>
        <w:ind w:left="227" w:right="0" w:hanging="227"/>
        <w:jc w:val="both"/>
        <w:rPr>
          <w:rFonts w:ascii="IPT.Zar" w:hAnsi="IPT.Zar" w:cs="B Zar"/>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w:t>
      </w:r>
      <w:r w:rsidR="00D6371B">
        <w:rPr>
          <w:rFonts w:ascii="IPT.Zar" w:hAnsi="IPT.Zar" w:cs="B Zar" w:hint="cs"/>
          <w:rtl/>
        </w:rPr>
        <w:t xml:space="preserve"> </w:t>
      </w:r>
      <w:r w:rsidRPr="00DE412C">
        <w:rPr>
          <w:rFonts w:ascii="IPT.Zar" w:hAnsi="IPT.Zar" w:cs="B Zar"/>
          <w:rtl/>
        </w:rPr>
        <w:t>26:3</w:t>
      </w:r>
      <w:r>
        <w:rPr>
          <w:rFonts w:ascii="IPT.Zar" w:hAnsi="IPT.Zar" w:cs="B Zar" w:hint="cs"/>
          <w:rtl/>
        </w:rPr>
        <w:tab/>
      </w:r>
    </w:p>
  </w:footnote>
  <w:footnote w:id="336">
    <w:p w:rsidR="00C8559C" w:rsidRPr="00DE412C" w:rsidP="0015499D">
      <w:pPr>
        <w:pStyle w:val="FootnoteText"/>
        <w:ind w:left="227" w:right="0" w:hanging="227"/>
        <w:jc w:val="both"/>
        <w:rPr>
          <w:rFonts w:ascii="IPT.Zar" w:hAnsi="IPT.Zar" w:cs="B Zar"/>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2:45</w:t>
      </w:r>
      <w:r>
        <w:rPr>
          <w:rFonts w:ascii="IPT.Zar" w:hAnsi="IPT.Zar" w:cs="B Zar" w:hint="cs"/>
          <w:rtl/>
        </w:rPr>
        <w:tab/>
      </w:r>
    </w:p>
  </w:footnote>
  <w:footnote w:id="337">
    <w:p w:rsidR="00C8559C" w:rsidRPr="00DE412C" w:rsidP="0015499D">
      <w:pPr>
        <w:pStyle w:val="FootnoteText"/>
        <w:ind w:left="227" w:right="0" w:hanging="227"/>
        <w:jc w:val="both"/>
        <w:rPr>
          <w:rFonts w:ascii="IPT.Zar" w:hAnsi="IPT.Zar" w:cs="B Zar"/>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4:45</w:t>
      </w:r>
      <w:r>
        <w:rPr>
          <w:rFonts w:ascii="IPT.Zar" w:hAnsi="IPT.Zar" w:cs="B Zar" w:hint="cs"/>
          <w:rtl/>
        </w:rPr>
        <w:tab/>
      </w:r>
    </w:p>
  </w:footnote>
  <w:footnote w:id="338">
    <w:p w:rsidR="00C8559C" w:rsidRPr="00DE412C" w:rsidP="0015499D">
      <w:pPr>
        <w:pStyle w:val="FootnoteText"/>
        <w:ind w:left="227" w:right="0" w:hanging="227"/>
        <w:jc w:val="both"/>
        <w:rPr>
          <w:rFonts w:ascii="IPT.Zar" w:hAnsi="IPT.Zar" w:cs="B Zar"/>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7:45</w:t>
      </w:r>
      <w:r>
        <w:rPr>
          <w:rFonts w:ascii="IPT.Zar" w:hAnsi="IPT.Zar" w:cs="B Zar" w:hint="cs"/>
          <w:rtl/>
        </w:rPr>
        <w:tab/>
      </w:r>
    </w:p>
  </w:footnote>
  <w:footnote w:id="339">
    <w:p w:rsidR="00C8559C" w:rsidRPr="006A4F74" w:rsidP="00D6371B">
      <w:pPr>
        <w:pStyle w:val="FootnoteText"/>
        <w:ind w:left="227" w:right="0" w:hanging="227"/>
        <w:jc w:val="both"/>
        <w:rPr>
          <w:rFonts w:cs="B Zar" w:hint="cs"/>
          <w:sz w:val="22"/>
          <w:szCs w:val="22"/>
          <w:rtl/>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 12:45</w:t>
      </w:r>
    </w:p>
  </w:footnote>
  <w:footnote w:id="340">
    <w:p w:rsidR="00C8559C" w:rsidRPr="00DE412C" w:rsidP="00D6371B">
      <w:pPr>
        <w:pStyle w:val="FootnoteText"/>
        <w:ind w:left="227" w:right="0" w:hanging="227"/>
        <w:jc w:val="both"/>
        <w:rPr>
          <w:rFonts w:ascii="IPT.Zar" w:hAnsi="IPT.Zar" w:cs="B Zar"/>
        </w:rPr>
      </w:pPr>
      <w:r w:rsidRPr="0015499D">
        <w:rPr>
          <w:rStyle w:val="FootnoteReference"/>
          <w:rFonts w:ascii="IPT.Zar" w:hAnsi="IPT.Zar" w:cs="B Zar"/>
          <w:sz w:val="24"/>
          <w:szCs w:val="24"/>
          <w:vertAlign w:val="baseline"/>
        </w:rPr>
        <w:footnoteRef/>
      </w:r>
      <w:r w:rsidRPr="00DE412C">
        <w:rPr>
          <w:rFonts w:ascii="IPT.Zar" w:hAnsi="IPT.Zar" w:cs="B Zar"/>
        </w:rPr>
        <w:sym w:font="IPT.Zar" w:char="F020"/>
      </w:r>
      <w:r w:rsidRPr="00DE412C">
        <w:rPr>
          <w:rFonts w:ascii="IPT.Zar" w:hAnsi="IPT.Zar" w:cs="B Zar"/>
          <w:rtl/>
        </w:rPr>
        <w:t>.ياجور ودا، 13:46</w:t>
      </w:r>
    </w:p>
  </w:footnote>
  <w:footnote w:id="341">
    <w:p w:rsidR="00C8559C" w:rsidRPr="00DE412C" w:rsidP="00D6371B">
      <w:pPr>
        <w:pStyle w:val="FootnoteText"/>
        <w:ind w:left="227" w:right="0" w:hanging="227"/>
        <w:jc w:val="both"/>
        <w:rPr>
          <w:rFonts w:ascii="IPT.Zar" w:hAnsi="IPT.Zar" w:cs="B Zar"/>
        </w:rPr>
      </w:pPr>
      <w:r w:rsidRPr="00DE412C">
        <w:rPr>
          <w:rStyle w:val="FootnoteReference"/>
          <w:rFonts w:ascii="IPT.Zar" w:hAnsi="IPT.Zar" w:cs="B Zar"/>
          <w:vertAlign w:val="baseline"/>
        </w:rPr>
        <w:footnoteRef/>
      </w:r>
      <w:r w:rsidRPr="00DE412C">
        <w:rPr>
          <w:rFonts w:ascii="IPT.Zar" w:hAnsi="IPT.Zar" w:cs="B Zar"/>
        </w:rPr>
        <w:sym w:font="IPT.Zar" w:char="F020"/>
      </w:r>
      <w:r w:rsidRPr="00DE412C">
        <w:rPr>
          <w:rFonts w:ascii="IPT.Zar" w:hAnsi="IPT.Zar" w:cs="B Zar"/>
          <w:rtl/>
        </w:rPr>
        <w:t>. همان، 20:46</w:t>
      </w:r>
    </w:p>
  </w:footnote>
  <w:footnote w:id="342">
    <w:p w:rsidR="00C8559C" w:rsidRPr="00DE412C" w:rsidP="00D7306D">
      <w:pPr>
        <w:pStyle w:val="FootnoteText"/>
        <w:ind w:left="227" w:right="0" w:hanging="227"/>
        <w:jc w:val="both"/>
        <w:rPr>
          <w:rFonts w:ascii="IPT.Zar" w:hAnsi="IPT.Zar" w:cs="B Zar"/>
          <w:rtl/>
        </w:rPr>
      </w:pPr>
      <w:r w:rsidRPr="00D7306D">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ab/>
      </w:r>
      <w:r w:rsidRPr="00DE412C">
        <w:rPr>
          <w:rFonts w:ascii="IPT.Zar" w:hAnsi="IPT.Zar" w:cs="B Zar"/>
          <w:rtl/>
        </w:rPr>
        <w:t xml:space="preserve"> همان،  4:56</w:t>
      </w:r>
    </w:p>
  </w:footnote>
  <w:footnote w:id="343">
    <w:p w:rsidR="00C8559C" w:rsidRPr="00DE412C" w:rsidP="00D7306D">
      <w:pPr>
        <w:pStyle w:val="FootnoteText"/>
        <w:ind w:left="227" w:right="0" w:hanging="227"/>
        <w:jc w:val="both"/>
        <w:rPr>
          <w:rFonts w:ascii="IPT.Zar" w:hAnsi="IPT.Zar" w:cs="B Zar"/>
          <w:rtl/>
        </w:rPr>
      </w:pPr>
      <w:r w:rsidRPr="00D7306D">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ab/>
      </w:r>
      <w:r w:rsidRPr="00DE412C">
        <w:rPr>
          <w:rFonts w:ascii="IPT.Zar" w:hAnsi="IPT.Zar" w:cs="B Zar"/>
          <w:rtl/>
        </w:rPr>
        <w:t xml:space="preserve"> همان، 5:56</w:t>
      </w:r>
    </w:p>
  </w:footnote>
  <w:footnote w:id="344">
    <w:p w:rsidR="00C8559C" w:rsidRPr="00DE412C" w:rsidP="00D7306D">
      <w:pPr>
        <w:pStyle w:val="FootnoteText"/>
        <w:ind w:left="227" w:right="0" w:hanging="227"/>
        <w:jc w:val="both"/>
        <w:rPr>
          <w:rFonts w:ascii="IPT.Zar" w:hAnsi="IPT.Zar" w:cs="B Zar"/>
          <w:rtl/>
        </w:rPr>
      </w:pPr>
      <w:r w:rsidRPr="00D7306D">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ab/>
      </w:r>
      <w:r w:rsidRPr="00DE412C">
        <w:rPr>
          <w:rFonts w:ascii="IPT.Zar" w:hAnsi="IPT.Zar" w:cs="B Zar"/>
          <w:rtl/>
        </w:rPr>
        <w:t xml:space="preserve"> همان، 13:56</w:t>
      </w:r>
    </w:p>
  </w:footnote>
  <w:footnote w:id="345">
    <w:p w:rsidR="00C8559C" w:rsidRPr="00DE412C" w:rsidP="00D7306D">
      <w:pPr>
        <w:pStyle w:val="FootnoteText"/>
        <w:ind w:left="227" w:right="0" w:hanging="227"/>
        <w:jc w:val="both"/>
        <w:rPr>
          <w:rFonts w:ascii="IPT.Zar" w:hAnsi="IPT.Zar" w:cs="B Zar"/>
          <w:rtl/>
        </w:rPr>
      </w:pPr>
      <w:r w:rsidRPr="00D7306D">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ab/>
      </w:r>
      <w:r w:rsidRPr="00DE412C">
        <w:rPr>
          <w:rFonts w:ascii="IPT.Zar" w:hAnsi="IPT.Zar" w:cs="B Zar"/>
          <w:rtl/>
        </w:rPr>
        <w:t xml:space="preserve"> همان، 22:5</w:t>
      </w:r>
    </w:p>
  </w:footnote>
  <w:footnote w:id="346">
    <w:p w:rsidR="00C8559C" w:rsidRPr="00DE412C" w:rsidP="00D7306D">
      <w:pPr>
        <w:pStyle w:val="FootnoteText"/>
        <w:ind w:left="227" w:right="0" w:hanging="227"/>
        <w:jc w:val="both"/>
        <w:rPr>
          <w:rFonts w:ascii="IPT.Zar" w:hAnsi="IPT.Zar" w:cs="B Zar"/>
          <w:rtl/>
        </w:rPr>
      </w:pPr>
      <w:r w:rsidRPr="00D7306D">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ab/>
      </w:r>
      <w:r w:rsidRPr="00DE412C">
        <w:rPr>
          <w:rFonts w:ascii="IPT.Zar" w:hAnsi="IPT.Zar" w:cs="B Zar"/>
          <w:rtl/>
        </w:rPr>
        <w:t xml:space="preserve"> همان، 23:5</w:t>
      </w:r>
    </w:p>
  </w:footnote>
  <w:footnote w:id="347">
    <w:p w:rsidR="00C8559C" w:rsidRPr="00DE412C" w:rsidP="00D7306D">
      <w:pPr>
        <w:pStyle w:val="FootnoteText"/>
        <w:ind w:left="227" w:right="0" w:hanging="227"/>
        <w:jc w:val="both"/>
        <w:rPr>
          <w:rFonts w:ascii="IPT.Zar" w:hAnsi="IPT.Zar" w:cs="B Zar"/>
          <w:rtl/>
        </w:rPr>
      </w:pPr>
      <w:r w:rsidRPr="00D7306D">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ab/>
      </w:r>
      <w:r w:rsidRPr="00DE412C">
        <w:rPr>
          <w:rFonts w:ascii="IPT.Zar" w:hAnsi="IPT.Zar" w:cs="B Zar"/>
          <w:rtl/>
        </w:rPr>
        <w:t xml:space="preserve"> همان، 25:5</w:t>
      </w:r>
    </w:p>
  </w:footnote>
  <w:footnote w:id="348">
    <w:p w:rsidR="00C8559C" w:rsidRPr="00DE412C" w:rsidP="00D7306D">
      <w:pPr>
        <w:pStyle w:val="FootnoteText"/>
        <w:ind w:left="227" w:right="0" w:hanging="227"/>
        <w:jc w:val="both"/>
        <w:rPr>
          <w:rFonts w:ascii="IPT.Zar" w:hAnsi="IPT.Zar" w:cs="B Zar"/>
          <w:rtl/>
        </w:rPr>
      </w:pPr>
      <w:r w:rsidRPr="00D7306D">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ab/>
      </w:r>
      <w:r w:rsidRPr="00DE412C">
        <w:rPr>
          <w:rFonts w:ascii="IPT.Zar" w:hAnsi="IPT.Zar" w:cs="B Zar"/>
          <w:rtl/>
        </w:rPr>
        <w:t xml:space="preserve"> همان، 30:5</w:t>
      </w:r>
    </w:p>
  </w:footnote>
  <w:footnote w:id="349">
    <w:p w:rsidR="00C8559C" w:rsidRPr="00DE412C" w:rsidP="00D7306D">
      <w:pPr>
        <w:pStyle w:val="FootnoteText"/>
        <w:ind w:left="227" w:right="0" w:hanging="227"/>
        <w:jc w:val="both"/>
        <w:rPr>
          <w:rFonts w:ascii="IPT.Zar" w:hAnsi="IPT.Zar" w:cs="B Zar"/>
          <w:rtl/>
        </w:rPr>
      </w:pPr>
      <w:r w:rsidRPr="00D7306D">
        <w:rPr>
          <w:rStyle w:val="FootnoteReference"/>
          <w:rFonts w:ascii="IPT.Zar" w:hAnsi="IPT.Zar" w:cs="B Zar"/>
          <w:sz w:val="24"/>
          <w:szCs w:val="24"/>
          <w:vertAlign w:val="baseline"/>
        </w:rPr>
        <w:footnoteRef/>
      </w:r>
      <w:r w:rsidRPr="00DE412C">
        <w:rPr>
          <w:rFonts w:ascii="IPT.Zar" w:hAnsi="IPT.Zar" w:cs="B Zar"/>
          <w:rtl/>
        </w:rPr>
        <w:t xml:space="preserve">. </w:t>
      </w:r>
      <w:r>
        <w:rPr>
          <w:rFonts w:ascii="IPT.Zar" w:hAnsi="IPT.Zar" w:cs="B Zar" w:hint="cs"/>
          <w:rtl/>
        </w:rPr>
        <w:tab/>
      </w:r>
      <w:r w:rsidRPr="00DE412C">
        <w:rPr>
          <w:rFonts w:ascii="IPT.Zar" w:hAnsi="IPT.Zar" w:cs="B Zar"/>
          <w:rtl/>
        </w:rPr>
        <w:t>همان، 21:6</w:t>
      </w:r>
    </w:p>
  </w:footnote>
  <w:footnote w:id="350">
    <w:p w:rsidR="00C8559C" w:rsidRPr="00DE412C" w:rsidP="00D7306D">
      <w:pPr>
        <w:pStyle w:val="FootnoteText"/>
        <w:ind w:left="227" w:right="0" w:hanging="227"/>
        <w:jc w:val="both"/>
        <w:rPr>
          <w:rFonts w:ascii="IPT.Zar" w:hAnsi="IPT.Zar" w:cs="B Zar"/>
          <w:rtl/>
        </w:rPr>
      </w:pPr>
      <w:r w:rsidRPr="00D7306D">
        <w:rPr>
          <w:rStyle w:val="FootnoteReference"/>
          <w:rFonts w:ascii="IPT.Zar" w:hAnsi="IPT.Zar" w:cs="B Zar"/>
          <w:sz w:val="24"/>
          <w:szCs w:val="24"/>
          <w:vertAlign w:val="baseline"/>
        </w:rPr>
        <w:footnoteRef/>
      </w:r>
      <w:r w:rsidRPr="00DE412C">
        <w:rPr>
          <w:rFonts w:ascii="IPT.Zar" w:hAnsi="IPT.Zar" w:cs="B Zar"/>
          <w:rtl/>
        </w:rPr>
        <w:t>.</w:t>
      </w:r>
      <w:r>
        <w:rPr>
          <w:rFonts w:ascii="IPT.Zar" w:hAnsi="IPT.Zar" w:cs="B Zar" w:hint="cs"/>
          <w:rtl/>
        </w:rPr>
        <w:tab/>
      </w:r>
      <w:r w:rsidRPr="00DE412C">
        <w:rPr>
          <w:rFonts w:ascii="IPT.Zar" w:hAnsi="IPT.Zar" w:cs="B Zar"/>
          <w:rtl/>
        </w:rPr>
        <w:t xml:space="preserve"> همان، 17:6</w:t>
      </w:r>
    </w:p>
  </w:footnote>
  <w:footnote w:id="351">
    <w:p w:rsidR="00C8559C" w:rsidRPr="00DE412C" w:rsidP="00A64CE4">
      <w:pPr>
        <w:pStyle w:val="FootnoteText"/>
        <w:ind w:left="227" w:right="0" w:hanging="227"/>
        <w:jc w:val="both"/>
        <w:rPr>
          <w:rFonts w:ascii="IPT.Zar" w:hAnsi="IPT.Zar" w:cs="B Zar"/>
          <w:rtl/>
        </w:rPr>
      </w:pPr>
      <w:r w:rsidRPr="00D7306D">
        <w:rPr>
          <w:rStyle w:val="FootnoteReference"/>
          <w:rFonts w:ascii="IPT.Zar" w:hAnsi="IPT.Zar" w:cs="B Zar"/>
          <w:sz w:val="24"/>
          <w:szCs w:val="24"/>
          <w:vertAlign w:val="baseline"/>
        </w:rPr>
        <w:footnoteRef/>
      </w:r>
      <w:r w:rsidRPr="00DE412C">
        <w:rPr>
          <w:rFonts w:ascii="IPT.Zar" w:hAnsi="IPT.Zar" w:cs="B Zar"/>
          <w:rtl/>
        </w:rPr>
        <w:t>. همان، 21:6</w:t>
      </w:r>
    </w:p>
  </w:footnote>
  <w:footnote w:id="352">
    <w:p w:rsidR="00C8559C" w:rsidRPr="006A4F74" w:rsidP="00A64CE4">
      <w:pPr>
        <w:pStyle w:val="FootnoteText"/>
        <w:ind w:left="227" w:right="0" w:hanging="227"/>
        <w:jc w:val="both"/>
        <w:rPr>
          <w:rFonts w:cs="B Zar" w:hint="cs"/>
          <w:sz w:val="22"/>
          <w:szCs w:val="22"/>
          <w:rtl/>
        </w:rPr>
      </w:pPr>
      <w:r w:rsidRPr="00D7306D">
        <w:rPr>
          <w:rStyle w:val="FootnoteReference"/>
          <w:rFonts w:ascii="IPT.Zar" w:hAnsi="IPT.Zar" w:cs="B Zar"/>
          <w:sz w:val="24"/>
          <w:szCs w:val="24"/>
          <w:vertAlign w:val="baseline"/>
        </w:rPr>
        <w:footnoteRef/>
      </w:r>
      <w:r w:rsidRPr="00DE412C">
        <w:rPr>
          <w:rFonts w:ascii="IPT.Zar" w:hAnsi="IPT.Zar" w:cs="B Zar"/>
          <w:rtl/>
        </w:rPr>
        <w:t>. همان، 21:6</w:t>
      </w:r>
    </w:p>
  </w:footnote>
  <w:footnote w:id="353">
    <w:p w:rsidR="00C8559C" w:rsidRPr="006D5BDA" w:rsidP="006D5BDA">
      <w:pPr>
        <w:pStyle w:val="FootnoteText"/>
        <w:bidi w:val="0"/>
        <w:rPr>
          <w:sz w:val="18"/>
          <w:szCs w:val="18"/>
        </w:rPr>
      </w:pPr>
      <w:r w:rsidRPr="006D5BDA">
        <w:rPr>
          <w:rStyle w:val="FootnoteReference"/>
          <w:sz w:val="18"/>
          <w:szCs w:val="18"/>
          <w:vertAlign w:val="baseline"/>
        </w:rPr>
        <w:footnoteRef/>
      </w:r>
      <w:r w:rsidRPr="006D5BDA">
        <w:rPr>
          <w:sz w:val="18"/>
          <w:szCs w:val="18"/>
        </w:rPr>
        <w:t xml:space="preserve">. </w:t>
      </w:r>
      <w:r w:rsidRPr="006D5BDA">
        <w:rPr>
          <w:rFonts w:cs="Times New Roman"/>
          <w:sz w:val="18"/>
          <w:szCs w:val="18"/>
          <w:rtl/>
        </w:rPr>
        <w:t xml:space="preserve"> </w:t>
      </w:r>
      <w:r w:rsidRPr="006D5BDA">
        <w:rPr>
          <w:rFonts w:cs="B Zar"/>
          <w:sz w:val="18"/>
          <w:szCs w:val="18"/>
        </w:rPr>
        <w:t xml:space="preserve">E.Clodd: Pre Animistic Stages in Religion, </w:t>
      </w:r>
      <w:smartTag w:uri="urn:schemas-microsoft-com:office:smarttags" w:element="place">
        <w:smartTag w:uri="urn:schemas-microsoft-com:office:smarttags" w:element="City">
          <w:r w:rsidRPr="006D5BDA">
            <w:rPr>
              <w:rFonts w:cs="B Zar"/>
              <w:sz w:val="18"/>
              <w:szCs w:val="18"/>
            </w:rPr>
            <w:t>London</w:t>
          </w:r>
        </w:smartTag>
      </w:smartTag>
      <w:r w:rsidRPr="006D5BDA">
        <w:rPr>
          <w:rFonts w:cs="B Zar"/>
          <w:sz w:val="18"/>
          <w:szCs w:val="18"/>
        </w:rPr>
        <w:t>, 1952</w:t>
      </w:r>
    </w:p>
  </w:footnote>
  <w:footnote w:id="354">
    <w:p w:rsidR="00C8559C" w:rsidRPr="006D5BDA" w:rsidP="006D5BDA">
      <w:pPr>
        <w:pStyle w:val="FootnoteText"/>
        <w:bidi w:val="0"/>
        <w:rPr>
          <w:sz w:val="18"/>
          <w:szCs w:val="18"/>
        </w:rPr>
      </w:pPr>
      <w:r w:rsidRPr="006D5BDA">
        <w:rPr>
          <w:rStyle w:val="FootnoteReference"/>
          <w:sz w:val="18"/>
          <w:szCs w:val="18"/>
          <w:vertAlign w:val="baseline"/>
        </w:rPr>
        <w:footnoteRef/>
      </w:r>
      <w:r w:rsidRPr="006D5BDA">
        <w:rPr>
          <w:sz w:val="18"/>
          <w:szCs w:val="18"/>
        </w:rPr>
        <w:t xml:space="preserve">. </w:t>
      </w:r>
      <w:r w:rsidRPr="006D5BDA">
        <w:rPr>
          <w:rFonts w:cs="Times New Roman"/>
          <w:sz w:val="18"/>
          <w:szCs w:val="18"/>
          <w:rtl/>
        </w:rPr>
        <w:t xml:space="preserve"> </w:t>
      </w:r>
      <w:r w:rsidRPr="006D5BDA">
        <w:rPr>
          <w:rFonts w:cs="Times New Roman"/>
          <w:sz w:val="18"/>
          <w:szCs w:val="18"/>
        </w:rPr>
        <w:t xml:space="preserve">Radhakshnan, Dr S:  The Indian Philosophy, </w:t>
      </w:r>
      <w:smartTag w:uri="urn:schemas-microsoft-com:office:smarttags" w:element="place">
        <w:smartTag w:uri="urn:schemas-microsoft-com:office:smarttags" w:element="City">
          <w:r w:rsidRPr="006D5BDA">
            <w:rPr>
              <w:rFonts w:cs="Times New Roman"/>
              <w:sz w:val="18"/>
              <w:szCs w:val="18"/>
            </w:rPr>
            <w:t>New Delhi</w:t>
          </w:r>
        </w:smartTag>
      </w:smartTag>
      <w:r w:rsidRPr="006D5BDA">
        <w:rPr>
          <w:rFonts w:cs="Times New Roman"/>
          <w:sz w:val="18"/>
          <w:szCs w:val="18"/>
        </w:rPr>
        <w:t>, 1989, p 73</w:t>
      </w:r>
    </w:p>
  </w:footnote>
  <w:footnote w:id="355">
    <w:p w:rsidR="00C8559C" w:rsidRPr="00FF2526" w:rsidP="00FF2526">
      <w:pPr>
        <w:pStyle w:val="FootnoteText"/>
        <w:bidi w:val="0"/>
        <w:rPr>
          <w:sz w:val="18"/>
          <w:szCs w:val="18"/>
        </w:rPr>
      </w:pPr>
      <w:r w:rsidRPr="00FF2526">
        <w:rPr>
          <w:rStyle w:val="FootnoteReference"/>
          <w:sz w:val="18"/>
          <w:szCs w:val="18"/>
          <w:vertAlign w:val="baseline"/>
        </w:rPr>
        <w:footnoteRef/>
      </w:r>
      <w:r>
        <w:rPr>
          <w:sz w:val="18"/>
          <w:szCs w:val="18"/>
        </w:rPr>
        <w:t>.</w:t>
      </w:r>
      <w:r w:rsidRPr="00FF2526">
        <w:rPr>
          <w:sz w:val="18"/>
          <w:szCs w:val="18"/>
          <w:rtl/>
        </w:rPr>
        <w:t xml:space="preserve"> </w:t>
      </w:r>
      <w:r w:rsidRPr="00FF2526">
        <w:rPr>
          <w:rFonts w:cs="B Zar"/>
          <w:sz w:val="18"/>
          <w:szCs w:val="18"/>
        </w:rPr>
        <w:t>James Baket: Encyclo of Religion Vol.</w:t>
      </w:r>
      <w:r>
        <w:rPr>
          <w:rFonts w:cs="B Zar"/>
          <w:sz w:val="18"/>
          <w:szCs w:val="18"/>
        </w:rPr>
        <w:t xml:space="preserve"> </w:t>
      </w:r>
      <w:r w:rsidRPr="00FF2526">
        <w:rPr>
          <w:rFonts w:cs="B Zar"/>
          <w:sz w:val="18"/>
          <w:szCs w:val="18"/>
        </w:rPr>
        <w:t>9, p.220</w:t>
      </w:r>
    </w:p>
  </w:footnote>
  <w:footnote w:id="356">
    <w:p w:rsidR="00C8559C" w:rsidRPr="00DE412C" w:rsidP="00FF2526">
      <w:pPr>
        <w:pStyle w:val="FootnoteText"/>
        <w:bidi w:val="0"/>
        <w:rPr>
          <w:sz w:val="18"/>
          <w:szCs w:val="18"/>
        </w:rPr>
      </w:pPr>
      <w:r w:rsidRPr="00DE412C">
        <w:rPr>
          <w:rStyle w:val="FootnoteReference"/>
          <w:sz w:val="18"/>
          <w:szCs w:val="18"/>
          <w:vertAlign w:val="baseline"/>
        </w:rPr>
        <w:footnoteRef/>
      </w:r>
      <w:r w:rsidRPr="00DE412C">
        <w:rPr>
          <w:sz w:val="18"/>
          <w:szCs w:val="18"/>
        </w:rPr>
        <w:t xml:space="preserve">. </w:t>
      </w:r>
      <w:r>
        <w:rPr>
          <w:rFonts w:cs="Times New Roman"/>
          <w:sz w:val="18"/>
          <w:szCs w:val="18"/>
        </w:rPr>
        <w:t xml:space="preserve">  </w:t>
      </w:r>
      <w:r w:rsidRPr="00DE412C">
        <w:rPr>
          <w:rFonts w:cs="Times New Roman"/>
          <w:sz w:val="18"/>
          <w:szCs w:val="18"/>
        </w:rPr>
        <w:t>Samuel Noan Kraamer, The Sumerians Chicago Press 1963</w:t>
      </w:r>
    </w:p>
  </w:footnote>
  <w:footnote w:id="357">
    <w:p w:rsidR="00C8559C" w:rsidRPr="00DA73BC" w:rsidP="00DA73BC">
      <w:pPr>
        <w:pStyle w:val="FootnoteText"/>
        <w:bidi w:val="0"/>
        <w:spacing w:line="240" w:lineRule="exact"/>
        <w:rPr>
          <w:sz w:val="18"/>
          <w:szCs w:val="18"/>
        </w:rPr>
      </w:pPr>
      <w:r w:rsidRPr="00DA73BC">
        <w:rPr>
          <w:rStyle w:val="FootnoteReference"/>
          <w:sz w:val="18"/>
          <w:szCs w:val="18"/>
          <w:vertAlign w:val="baseline"/>
        </w:rPr>
        <w:footnoteRef/>
      </w:r>
      <w:r w:rsidRPr="00DA73BC">
        <w:rPr>
          <w:sz w:val="18"/>
          <w:szCs w:val="18"/>
        </w:rPr>
        <w:t xml:space="preserve">. </w:t>
      </w:r>
      <w:r w:rsidRPr="00DA73BC">
        <w:rPr>
          <w:sz w:val="18"/>
          <w:szCs w:val="18"/>
          <w:rtl/>
        </w:rPr>
        <w:t xml:space="preserve"> </w:t>
      </w:r>
      <w:r w:rsidRPr="00DA73BC">
        <w:rPr>
          <w:rFonts w:cs="B Zar"/>
          <w:sz w:val="18"/>
          <w:szCs w:val="18"/>
        </w:rPr>
        <w:t xml:space="preserve">Henry Frankfort: Kingship and God, </w:t>
      </w:r>
      <w:smartTag w:uri="urn:schemas-microsoft-com:office:smarttags" w:element="place">
        <w:smartTag w:uri="urn:schemas-microsoft-com:office:smarttags" w:element="City">
          <w:r w:rsidRPr="00DA73BC">
            <w:rPr>
              <w:rFonts w:cs="B Zar"/>
              <w:sz w:val="18"/>
              <w:szCs w:val="18"/>
            </w:rPr>
            <w:t>Chicago</w:t>
          </w:r>
        </w:smartTag>
      </w:smartTag>
      <w:r w:rsidRPr="00DA73BC">
        <w:rPr>
          <w:rFonts w:cs="B Zar"/>
          <w:sz w:val="18"/>
          <w:szCs w:val="18"/>
        </w:rPr>
        <w:t xml:space="preserve"> Press, 1958. P 143</w:t>
      </w:r>
    </w:p>
  </w:footnote>
  <w:footnote w:id="358">
    <w:p w:rsidR="00C8559C" w:rsidRPr="00DA73BC" w:rsidP="00DA73BC">
      <w:pPr>
        <w:pStyle w:val="FootnoteText"/>
        <w:bidi w:val="0"/>
        <w:spacing w:line="240" w:lineRule="exact"/>
        <w:rPr>
          <w:sz w:val="18"/>
          <w:szCs w:val="18"/>
        </w:rPr>
      </w:pPr>
      <w:r w:rsidRPr="00DA73BC">
        <w:rPr>
          <w:rStyle w:val="FootnoteReference"/>
          <w:sz w:val="18"/>
          <w:szCs w:val="18"/>
          <w:vertAlign w:val="baseline"/>
        </w:rPr>
        <w:footnoteRef/>
      </w:r>
      <w:r w:rsidRPr="00DA73BC">
        <w:rPr>
          <w:sz w:val="18"/>
          <w:szCs w:val="18"/>
        </w:rPr>
        <w:t xml:space="preserve">. </w:t>
      </w:r>
      <w:r w:rsidRPr="00DA73BC">
        <w:rPr>
          <w:sz w:val="18"/>
          <w:szCs w:val="18"/>
          <w:rtl/>
        </w:rPr>
        <w:t xml:space="preserve"> </w:t>
      </w:r>
      <w:r w:rsidRPr="00DA73BC">
        <w:rPr>
          <w:rFonts w:cs="B Zar"/>
          <w:sz w:val="18"/>
          <w:szCs w:val="18"/>
        </w:rPr>
        <w:t>Ibid.P.P.61-69</w:t>
      </w:r>
    </w:p>
  </w:footnote>
  <w:footnote w:id="359">
    <w:p w:rsidR="00C8559C" w:rsidRPr="00DA73BC" w:rsidP="00DA73BC">
      <w:pPr>
        <w:pStyle w:val="FootnoteText"/>
        <w:bidi w:val="0"/>
        <w:spacing w:line="240" w:lineRule="exact"/>
      </w:pPr>
      <w:r w:rsidRPr="00DA73BC">
        <w:rPr>
          <w:rStyle w:val="FootnoteReference"/>
          <w:sz w:val="18"/>
          <w:szCs w:val="18"/>
          <w:vertAlign w:val="baseline"/>
        </w:rPr>
        <w:footnoteRef/>
      </w:r>
      <w:r w:rsidRPr="00DA73BC">
        <w:rPr>
          <w:sz w:val="18"/>
          <w:szCs w:val="18"/>
        </w:rPr>
        <w:t xml:space="preserve">. </w:t>
      </w:r>
      <w:r w:rsidRPr="00DA73BC">
        <w:rPr>
          <w:sz w:val="18"/>
          <w:szCs w:val="18"/>
          <w:rtl/>
        </w:rPr>
        <w:t xml:space="preserve"> </w:t>
      </w:r>
      <w:r w:rsidRPr="00DA73BC">
        <w:rPr>
          <w:rFonts w:cs="B Zar"/>
          <w:sz w:val="18"/>
          <w:szCs w:val="18"/>
        </w:rPr>
        <w:t>Ibid.P.P. 79-87</w:t>
      </w:r>
    </w:p>
  </w:footnote>
  <w:footnote w:id="360">
    <w:p w:rsidR="00C8559C" w:rsidRPr="00DA73BC" w:rsidP="00067EA8">
      <w:pPr>
        <w:pStyle w:val="FootnoteText"/>
        <w:bidi w:val="0"/>
        <w:spacing w:line="240" w:lineRule="exact"/>
        <w:ind w:left="227" w:hanging="227"/>
        <w:rPr>
          <w:sz w:val="18"/>
          <w:szCs w:val="18"/>
        </w:rPr>
      </w:pPr>
      <w:r w:rsidRPr="00DA73BC">
        <w:rPr>
          <w:rStyle w:val="FootnoteReference"/>
          <w:sz w:val="18"/>
          <w:szCs w:val="18"/>
          <w:vertAlign w:val="baseline"/>
        </w:rPr>
        <w:footnoteRef/>
      </w:r>
      <w:r w:rsidRPr="00DA73BC">
        <w:rPr>
          <w:sz w:val="18"/>
          <w:szCs w:val="18"/>
        </w:rPr>
        <w:t xml:space="preserve">. </w:t>
      </w:r>
      <w:r w:rsidRPr="00DA73BC">
        <w:rPr>
          <w:rFonts w:cs="B Zar"/>
          <w:sz w:val="18"/>
          <w:szCs w:val="18"/>
        </w:rPr>
        <w:t xml:space="preserve">M.Carry and T.J.Haarhof: Life and Thought in the Greek and Roman World. University Paperback. </w:t>
      </w:r>
      <w:smartTag w:uri="urn:schemas-microsoft-com:office:smarttags" w:element="place">
        <w:smartTag w:uri="urn:schemas-microsoft-com:office:smarttags" w:element="City">
          <w:r w:rsidRPr="00DA73BC">
            <w:rPr>
              <w:rFonts w:cs="B Zar"/>
              <w:sz w:val="18"/>
              <w:szCs w:val="18"/>
            </w:rPr>
            <w:t>London</w:t>
          </w:r>
        </w:smartTag>
      </w:smartTag>
      <w:r w:rsidRPr="00DA73BC">
        <w:rPr>
          <w:rFonts w:cs="B Zar"/>
          <w:sz w:val="18"/>
          <w:szCs w:val="18"/>
        </w:rPr>
        <w:t xml:space="preserve"> 1961, P 306.</w:t>
      </w:r>
    </w:p>
  </w:footnote>
  <w:footnote w:id="361">
    <w:p w:rsidR="00C8559C" w:rsidRPr="00856CD4" w:rsidP="00AA4B46">
      <w:pPr>
        <w:pStyle w:val="FootnoteText"/>
        <w:bidi w:val="0"/>
        <w:spacing w:line="240" w:lineRule="auto"/>
        <w:rPr>
          <w:sz w:val="18"/>
          <w:szCs w:val="18"/>
        </w:rPr>
      </w:pPr>
      <w:r w:rsidRPr="00856CD4">
        <w:rPr>
          <w:rStyle w:val="FootnoteReference"/>
          <w:sz w:val="18"/>
          <w:szCs w:val="18"/>
          <w:vertAlign w:val="baseline"/>
        </w:rPr>
        <w:footnoteRef/>
      </w:r>
      <w:r w:rsidRPr="00856CD4">
        <w:rPr>
          <w:sz w:val="18"/>
          <w:szCs w:val="18"/>
        </w:rPr>
        <w:t xml:space="preserve">. </w:t>
      </w:r>
      <w:r>
        <w:rPr>
          <w:sz w:val="18"/>
          <w:szCs w:val="18"/>
        </w:rPr>
        <w:t xml:space="preserve"> </w:t>
      </w:r>
      <w:r w:rsidRPr="00856CD4">
        <w:rPr>
          <w:rFonts w:cs="B Zar"/>
          <w:sz w:val="18"/>
          <w:szCs w:val="18"/>
        </w:rPr>
        <w:t xml:space="preserve">Radhakshnan, Dr S:  The Indian Philosophy, </w:t>
      </w:r>
      <w:smartTag w:uri="urn:schemas-microsoft-com:office:smarttags" w:element="place">
        <w:smartTag w:uri="urn:schemas-microsoft-com:office:smarttags" w:element="City">
          <w:r w:rsidRPr="00856CD4">
            <w:rPr>
              <w:rFonts w:cs="B Zar"/>
              <w:sz w:val="18"/>
              <w:szCs w:val="18"/>
            </w:rPr>
            <w:t>New Delhi</w:t>
          </w:r>
        </w:smartTag>
      </w:smartTag>
      <w:r w:rsidRPr="00856CD4">
        <w:rPr>
          <w:rFonts w:cs="B Zar"/>
          <w:sz w:val="18"/>
          <w:szCs w:val="18"/>
        </w:rPr>
        <w:t>, 1989, p</w:t>
      </w:r>
      <w:r>
        <w:rPr>
          <w:rFonts w:cs="B Zar"/>
          <w:sz w:val="18"/>
          <w:szCs w:val="18"/>
        </w:rPr>
        <w:t xml:space="preserve"> </w:t>
      </w:r>
      <w:r w:rsidRPr="00856CD4">
        <w:rPr>
          <w:rFonts w:cs="B Zar"/>
          <w:sz w:val="18"/>
          <w:szCs w:val="18"/>
        </w:rPr>
        <w:t>78</w:t>
      </w:r>
    </w:p>
  </w:footnote>
  <w:footnote w:id="362">
    <w:p w:rsidR="00C8559C" w:rsidRPr="00E91956">
      <w:pPr>
        <w:pStyle w:val="FootnoteText"/>
        <w:ind w:left="0" w:right="0"/>
        <w:jc w:val="both"/>
        <w:rPr>
          <w:rFonts w:ascii="IPT.Zar" w:hAnsi="IPT.Zar" w:cs="B Zar" w:hint="cs"/>
          <w:rtl/>
        </w:rPr>
      </w:pPr>
      <w:r w:rsidRPr="009B0A58">
        <w:rPr>
          <w:rStyle w:val="FootnoteReference"/>
          <w:rFonts w:ascii="IPT.Zar" w:hAnsi="IPT.Zar" w:cs="B Zar"/>
          <w:sz w:val="24"/>
          <w:szCs w:val="24"/>
          <w:vertAlign w:val="baseline"/>
        </w:rPr>
        <w:footnoteRef/>
      </w:r>
      <w:r w:rsidRPr="00E91956">
        <w:rPr>
          <w:rFonts w:ascii="IPT.Zar" w:hAnsi="IPT.Zar" w:cs="B Zar"/>
        </w:rPr>
        <w:sym w:font="IPT.Zar" w:char="F020"/>
      </w:r>
      <w:r w:rsidRPr="00E91956">
        <w:rPr>
          <w:rFonts w:ascii="IPT.Zar" w:hAnsi="IPT.Zar" w:cs="B Zar"/>
          <w:rtl/>
        </w:rPr>
        <w:t xml:space="preserve">. </w:t>
      </w:r>
      <w:r>
        <w:rPr>
          <w:rFonts w:ascii="IPT.Zar" w:hAnsi="IPT.Zar" w:cs="B Zar" w:hint="cs"/>
          <w:rtl/>
        </w:rPr>
        <w:t xml:space="preserve"> </w:t>
      </w:r>
      <w:r w:rsidRPr="00E91956">
        <w:rPr>
          <w:rFonts w:ascii="IPT.Zar" w:hAnsi="IPT.Zar" w:cs="B Zar"/>
          <w:rtl/>
        </w:rPr>
        <w:t xml:space="preserve"> نروكت: 15:7</w:t>
      </w:r>
    </w:p>
  </w:footnote>
  <w:footnote w:id="363">
    <w:p w:rsidR="00C8559C" w:rsidRPr="00856CD4" w:rsidP="00AA4B46">
      <w:pPr>
        <w:pStyle w:val="FootnoteText"/>
        <w:bidi w:val="0"/>
        <w:spacing w:line="240" w:lineRule="auto"/>
        <w:rPr>
          <w:rFonts w:cs="B Zar"/>
          <w:sz w:val="18"/>
          <w:szCs w:val="18"/>
        </w:rPr>
      </w:pPr>
      <w:r w:rsidRPr="00856CD4">
        <w:rPr>
          <w:rStyle w:val="FootnoteReference"/>
          <w:rFonts w:cs="B Zar"/>
          <w:sz w:val="18"/>
          <w:szCs w:val="18"/>
          <w:vertAlign w:val="baseline"/>
        </w:rPr>
        <w:footnoteRef/>
      </w:r>
      <w:r>
        <w:rPr>
          <w:rFonts w:cs="B Zar"/>
          <w:sz w:val="18"/>
          <w:szCs w:val="18"/>
        </w:rPr>
        <w:t xml:space="preserve">. </w:t>
      </w:r>
      <w:r w:rsidRPr="00856CD4">
        <w:rPr>
          <w:rFonts w:cs="B Zar"/>
          <w:sz w:val="18"/>
          <w:szCs w:val="18"/>
        </w:rPr>
        <w:t xml:space="preserve"> Keith, A.B.: Religion and Philosophy of the Veda, </w:t>
      </w:r>
      <w:smartTag w:uri="urn:schemas-microsoft-com:office:smarttags" w:element="place">
        <w:smartTag w:uri="urn:schemas-microsoft-com:office:smarttags" w:element="City">
          <w:r w:rsidRPr="00856CD4">
            <w:rPr>
              <w:rFonts w:cs="B Zar"/>
              <w:sz w:val="18"/>
              <w:szCs w:val="18"/>
            </w:rPr>
            <w:t>Delhi</w:t>
          </w:r>
        </w:smartTag>
      </w:smartTag>
      <w:r w:rsidRPr="00856CD4">
        <w:rPr>
          <w:rFonts w:cs="B Zar"/>
          <w:sz w:val="18"/>
          <w:szCs w:val="18"/>
        </w:rPr>
        <w:t>, 1969, p 141</w:t>
      </w:r>
    </w:p>
  </w:footnote>
  <w:footnote w:id="364">
    <w:p w:rsidR="00C8559C" w:rsidRPr="00067EA8" w:rsidP="00E91956">
      <w:pPr>
        <w:pStyle w:val="FootnoteText"/>
        <w:bidi w:val="0"/>
        <w:spacing w:line="240" w:lineRule="exact"/>
        <w:rPr>
          <w:sz w:val="18"/>
          <w:szCs w:val="18"/>
        </w:rPr>
      </w:pPr>
      <w:r w:rsidRPr="00067EA8">
        <w:rPr>
          <w:rStyle w:val="FootnoteReference"/>
          <w:sz w:val="18"/>
          <w:szCs w:val="18"/>
          <w:vertAlign w:val="baseline"/>
        </w:rPr>
        <w:footnoteRef/>
      </w:r>
      <w:r w:rsidRPr="00067EA8">
        <w:rPr>
          <w:sz w:val="18"/>
          <w:szCs w:val="18"/>
        </w:rPr>
        <w:t xml:space="preserve">. </w:t>
      </w:r>
      <w:r w:rsidRPr="00067EA8">
        <w:rPr>
          <w:rFonts w:cs="B Zar"/>
          <w:sz w:val="18"/>
          <w:szCs w:val="18"/>
        </w:rPr>
        <w:t>Radhakshnan, Dr S:  The Indian Philosophy, P 79</w:t>
      </w:r>
    </w:p>
  </w:footnote>
  <w:footnote w:id="365">
    <w:p w:rsidR="00C8559C" w:rsidRPr="00E91956">
      <w:pPr>
        <w:pStyle w:val="FootnoteText"/>
        <w:ind w:left="0" w:right="0"/>
        <w:jc w:val="both"/>
        <w:rPr>
          <w:rFonts w:ascii="IPT.Zar" w:hAnsi="IPT.Zar" w:cs="B Zar"/>
          <w:rtl/>
        </w:rPr>
      </w:pPr>
      <w:r w:rsidRPr="00E91956">
        <w:rPr>
          <w:rStyle w:val="FootnoteReference"/>
          <w:rFonts w:ascii="IPT.Zar" w:hAnsi="IPT.Zar" w:cs="B Zar"/>
          <w:vertAlign w:val="baseline"/>
        </w:rPr>
        <w:footnoteRef/>
      </w:r>
      <w:r w:rsidRPr="00E91956">
        <w:rPr>
          <w:rFonts w:ascii="IPT.Zar" w:hAnsi="IPT.Zar" w:cs="B Zar"/>
        </w:rPr>
        <w:sym w:font="IPT.Zar" w:char="F020"/>
      </w:r>
      <w:r w:rsidRPr="00E91956">
        <w:rPr>
          <w:rFonts w:ascii="IPT.Zar" w:hAnsi="IPT.Zar" w:cs="B Zar"/>
          <w:rtl/>
        </w:rPr>
        <w:t>. اَتهرو ودا: 12: 42:1</w:t>
      </w:r>
    </w:p>
  </w:footnote>
  <w:footnote w:id="366">
    <w:p w:rsidR="00C8559C" w:rsidRPr="006A4F74">
      <w:pPr>
        <w:pStyle w:val="FootnoteText"/>
        <w:ind w:left="0" w:right="0"/>
        <w:jc w:val="both"/>
        <w:rPr>
          <w:rFonts w:cs="B Zar" w:hint="cs"/>
          <w:sz w:val="22"/>
          <w:szCs w:val="22"/>
          <w:rtl/>
        </w:rPr>
      </w:pPr>
      <w:r w:rsidRPr="00E91956">
        <w:rPr>
          <w:rStyle w:val="FootnoteReference"/>
          <w:rFonts w:ascii="IPT.Zar" w:hAnsi="IPT.Zar" w:cs="B Zar"/>
          <w:vertAlign w:val="baseline"/>
        </w:rPr>
        <w:footnoteRef/>
      </w:r>
      <w:r w:rsidRPr="00E91956">
        <w:rPr>
          <w:rFonts w:ascii="IPT.Zar" w:hAnsi="IPT.Zar" w:cs="B Zar"/>
        </w:rPr>
        <w:sym w:font="IPT.Zar" w:char="F020"/>
      </w:r>
      <w:r w:rsidRPr="00E91956">
        <w:rPr>
          <w:rFonts w:ascii="IPT.Zar" w:hAnsi="IPT.Zar" w:cs="B Zar"/>
          <w:rtl/>
        </w:rPr>
        <w:t>. ريگ ودا: 83:5</w:t>
      </w:r>
    </w:p>
  </w:footnote>
  <w:footnote w:id="367">
    <w:p w:rsidR="00C8559C" w:rsidRPr="00654E4F">
      <w:pPr>
        <w:pStyle w:val="FootnoteText"/>
        <w:ind w:left="0" w:right="0"/>
        <w:jc w:val="both"/>
        <w:rPr>
          <w:rFonts w:ascii="IPT.Zar" w:hAnsi="IPT.Zar" w:cs="B Zar"/>
          <w:rtl/>
        </w:rPr>
      </w:pPr>
      <w:r w:rsidRPr="00654E4F">
        <w:rPr>
          <w:rStyle w:val="FootnoteReference"/>
          <w:rFonts w:ascii="IPT.Zar" w:hAnsi="IPT.Zar" w:cs="B Zar"/>
          <w:vertAlign w:val="baseline"/>
        </w:rPr>
        <w:footnoteRef/>
      </w:r>
      <w:r w:rsidRPr="00654E4F">
        <w:rPr>
          <w:rFonts w:ascii="IPT.Zar" w:hAnsi="IPT.Zar" w:cs="B Zar"/>
        </w:rPr>
        <w:sym w:font="IPT.Zar" w:char="F020"/>
      </w:r>
      <w:r w:rsidRPr="00654E4F">
        <w:rPr>
          <w:rFonts w:ascii="IPT.Zar" w:hAnsi="IPT.Zar" w:cs="B Zar"/>
          <w:rtl/>
        </w:rPr>
        <w:t>. ريگ ودا: 3 : 10:63</w:t>
      </w:r>
    </w:p>
  </w:footnote>
  <w:footnote w:id="368">
    <w:p w:rsidR="00C8559C" w:rsidRPr="00613DA8" w:rsidP="00613DA8">
      <w:pPr>
        <w:pStyle w:val="FootnoteText"/>
        <w:bidi w:val="0"/>
        <w:rPr>
          <w:sz w:val="18"/>
          <w:szCs w:val="18"/>
        </w:rPr>
      </w:pPr>
      <w:r w:rsidRPr="00613DA8">
        <w:rPr>
          <w:rStyle w:val="FootnoteReference"/>
          <w:sz w:val="18"/>
          <w:szCs w:val="18"/>
          <w:vertAlign w:val="baseline"/>
        </w:rPr>
        <w:footnoteRef/>
      </w:r>
      <w:r w:rsidRPr="00613DA8">
        <w:rPr>
          <w:sz w:val="18"/>
          <w:szCs w:val="18"/>
        </w:rPr>
        <w:t xml:space="preserve">. </w:t>
      </w:r>
      <w:r w:rsidRPr="00613DA8">
        <w:rPr>
          <w:rFonts w:cs="B Zar"/>
          <w:sz w:val="18"/>
          <w:szCs w:val="18"/>
        </w:rPr>
        <w:t xml:space="preserve">Williams, Sir Monier : Sanskrit Lexicon, </w:t>
      </w:r>
      <w:smartTag w:uri="urn:schemas-microsoft-com:office:smarttags" w:element="place">
        <w:smartTag w:uri="urn:schemas-microsoft-com:office:smarttags" w:element="City">
          <w:r w:rsidRPr="00613DA8">
            <w:rPr>
              <w:rFonts w:cs="B Zar"/>
              <w:sz w:val="18"/>
              <w:szCs w:val="18"/>
            </w:rPr>
            <w:t>New Delhi</w:t>
          </w:r>
        </w:smartTag>
      </w:smartTag>
      <w:r w:rsidRPr="00613DA8">
        <w:rPr>
          <w:rFonts w:cs="B Zar"/>
          <w:sz w:val="18"/>
          <w:szCs w:val="18"/>
        </w:rPr>
        <w:t>. 1965. P1242</w:t>
      </w:r>
    </w:p>
  </w:footnote>
  <w:footnote w:id="369">
    <w:p w:rsidR="00C8559C" w:rsidRPr="00654E4F">
      <w:pPr>
        <w:pStyle w:val="FootnoteText"/>
        <w:ind w:left="0" w:right="0"/>
        <w:jc w:val="both"/>
        <w:rPr>
          <w:rFonts w:ascii="IPT.Zar" w:hAnsi="IPT.Zar" w:cs="B Zar"/>
          <w:rtl/>
        </w:rPr>
      </w:pPr>
      <w:r w:rsidRPr="009B0A58">
        <w:rPr>
          <w:rStyle w:val="FootnoteReference"/>
          <w:rFonts w:ascii="IPT.Zar" w:hAnsi="IPT.Zar" w:cs="B Zar"/>
          <w:sz w:val="24"/>
          <w:szCs w:val="24"/>
          <w:vertAlign w:val="baseline"/>
        </w:rPr>
        <w:footnoteRef/>
      </w:r>
      <w:r w:rsidRPr="00654E4F">
        <w:rPr>
          <w:rFonts w:ascii="IPT.Zar" w:hAnsi="IPT.Zar" w:cs="B Zar"/>
        </w:rPr>
        <w:sym w:font="IPT.Zar" w:char="F020"/>
      </w:r>
      <w:r w:rsidRPr="00654E4F">
        <w:rPr>
          <w:rFonts w:ascii="IPT.Zar" w:hAnsi="IPT.Zar" w:cs="B Zar"/>
          <w:rtl/>
        </w:rPr>
        <w:t xml:space="preserve">. </w:t>
      </w:r>
      <w:r w:rsidRPr="00654E4F">
        <w:rPr>
          <w:rFonts w:ascii="IPT.Zar" w:hAnsi="IPT.Zar" w:cs="B Zar"/>
        </w:rPr>
        <w:sym w:font="IPT.Zar" w:char="F020"/>
      </w:r>
      <w:r w:rsidRPr="00654E4F">
        <w:rPr>
          <w:rFonts w:ascii="IPT.Zar" w:hAnsi="IPT.Zar" w:cs="B Zar"/>
          <w:rtl/>
        </w:rPr>
        <w:t xml:space="preserve"> همان، ص 999</w:t>
      </w:r>
    </w:p>
  </w:footnote>
  <w:footnote w:id="370">
    <w:p w:rsidR="00C8559C" w:rsidRPr="00654E4F">
      <w:pPr>
        <w:pStyle w:val="FootnoteText"/>
        <w:ind w:left="0" w:right="0"/>
        <w:jc w:val="both"/>
        <w:rPr>
          <w:rFonts w:ascii="IPT.Zar" w:hAnsi="IPT.Zar" w:cs="B Zar"/>
          <w:rtl/>
        </w:rPr>
      </w:pPr>
      <w:r w:rsidRPr="009B0A58">
        <w:rPr>
          <w:rStyle w:val="FootnoteReference"/>
          <w:rFonts w:ascii="IPT.Zar" w:hAnsi="IPT.Zar" w:cs="B Zar"/>
          <w:sz w:val="24"/>
          <w:szCs w:val="24"/>
          <w:vertAlign w:val="baseline"/>
        </w:rPr>
        <w:footnoteRef/>
      </w:r>
      <w:r w:rsidRPr="00654E4F">
        <w:rPr>
          <w:rFonts w:ascii="IPT.Zar" w:hAnsi="IPT.Zar" w:cs="B Zar"/>
        </w:rPr>
        <w:sym w:font="IPT.Zar" w:char="F020"/>
      </w:r>
      <w:r w:rsidRPr="00654E4F">
        <w:rPr>
          <w:rFonts w:ascii="IPT.Zar" w:hAnsi="IPT.Zar" w:cs="B Zar"/>
          <w:rtl/>
        </w:rPr>
        <w:t xml:space="preserve">.  مهابهارات: 1816:7 </w:t>
      </w:r>
    </w:p>
  </w:footnote>
  <w:footnote w:id="371">
    <w:p w:rsidR="00C8559C" w:rsidRPr="00613DA8" w:rsidP="00613DA8">
      <w:pPr>
        <w:pStyle w:val="FootnoteText"/>
        <w:bidi w:val="0"/>
        <w:spacing w:line="240" w:lineRule="exact"/>
        <w:ind w:left="227" w:hanging="227"/>
        <w:rPr>
          <w:sz w:val="18"/>
          <w:szCs w:val="18"/>
        </w:rPr>
      </w:pPr>
      <w:r w:rsidRPr="00613DA8">
        <w:rPr>
          <w:rStyle w:val="FootnoteReference"/>
          <w:sz w:val="18"/>
          <w:szCs w:val="18"/>
          <w:vertAlign w:val="baseline"/>
        </w:rPr>
        <w:footnoteRef/>
      </w:r>
      <w:r w:rsidRPr="00613DA8">
        <w:rPr>
          <w:sz w:val="18"/>
          <w:szCs w:val="18"/>
        </w:rPr>
        <w:t xml:space="preserve">. </w:t>
      </w:r>
      <w:r w:rsidRPr="00613DA8">
        <w:rPr>
          <w:rFonts w:cs="Times New Roman"/>
          <w:sz w:val="18"/>
          <w:szCs w:val="18"/>
          <w:rtl/>
        </w:rPr>
        <w:t xml:space="preserve"> </w:t>
      </w:r>
      <w:r w:rsidRPr="00613DA8">
        <w:rPr>
          <w:rFonts w:cs="B Zar"/>
          <w:sz w:val="18"/>
          <w:szCs w:val="18"/>
        </w:rPr>
        <w:t>Williams, Sir Monier : Sanskrit Lexicon, p 166</w:t>
      </w:r>
    </w:p>
  </w:footnote>
  <w:footnote w:id="372">
    <w:p w:rsidR="00C8559C" w:rsidRPr="00613DA8" w:rsidP="00613DA8">
      <w:pPr>
        <w:pStyle w:val="FootnoteText"/>
        <w:bidi w:val="0"/>
        <w:spacing w:line="240" w:lineRule="exact"/>
        <w:ind w:left="227" w:hanging="227"/>
        <w:rPr>
          <w:sz w:val="18"/>
          <w:szCs w:val="18"/>
        </w:rPr>
      </w:pPr>
      <w:r w:rsidRPr="00613DA8">
        <w:rPr>
          <w:rStyle w:val="FootnoteReference"/>
          <w:sz w:val="18"/>
          <w:szCs w:val="18"/>
          <w:vertAlign w:val="baseline"/>
        </w:rPr>
        <w:footnoteRef/>
      </w:r>
      <w:r w:rsidRPr="00613DA8">
        <w:rPr>
          <w:sz w:val="18"/>
          <w:szCs w:val="18"/>
        </w:rPr>
        <w:t xml:space="preserve">. </w:t>
      </w:r>
      <w:r>
        <w:rPr>
          <w:sz w:val="18"/>
          <w:szCs w:val="18"/>
        </w:rPr>
        <w:tab/>
      </w:r>
      <w:r w:rsidRPr="00613DA8">
        <w:rPr>
          <w:rFonts w:cs="B Zar"/>
          <w:sz w:val="18"/>
          <w:szCs w:val="18"/>
        </w:rPr>
        <w:t xml:space="preserve">Radhakshnan, Dr S:  The Indian Philosophy, </w:t>
      </w:r>
      <w:smartTag w:uri="urn:schemas-microsoft-com:office:smarttags" w:element="place">
        <w:smartTag w:uri="urn:schemas-microsoft-com:office:smarttags" w:element="City">
          <w:r w:rsidRPr="00613DA8">
            <w:rPr>
              <w:rFonts w:cs="B Zar"/>
              <w:sz w:val="18"/>
              <w:szCs w:val="18"/>
            </w:rPr>
            <w:t>New Delhi</w:t>
          </w:r>
        </w:smartTag>
      </w:smartTag>
      <w:r w:rsidRPr="00613DA8">
        <w:rPr>
          <w:rFonts w:cs="B Zar"/>
          <w:sz w:val="18"/>
          <w:szCs w:val="18"/>
        </w:rPr>
        <w:t>, 1989, v1, p 85</w:t>
      </w:r>
    </w:p>
  </w:footnote>
  <w:footnote w:id="373">
    <w:p w:rsidR="00C8559C" w:rsidRPr="00613DA8" w:rsidP="009B0A58">
      <w:pPr>
        <w:pStyle w:val="FootnoteText"/>
        <w:bidi w:val="0"/>
        <w:spacing w:line="240" w:lineRule="auto"/>
        <w:ind w:left="227" w:hanging="227"/>
      </w:pPr>
      <w:r w:rsidRPr="00613DA8">
        <w:rPr>
          <w:rStyle w:val="FootnoteReference"/>
          <w:sz w:val="18"/>
          <w:szCs w:val="18"/>
          <w:vertAlign w:val="baseline"/>
        </w:rPr>
        <w:footnoteRef/>
      </w:r>
      <w:r w:rsidRPr="00613DA8">
        <w:rPr>
          <w:sz w:val="18"/>
          <w:szCs w:val="18"/>
        </w:rPr>
        <w:t xml:space="preserve">. </w:t>
      </w:r>
      <w:r w:rsidRPr="00613DA8">
        <w:rPr>
          <w:rFonts w:cs="B Zar"/>
          <w:sz w:val="18"/>
          <w:szCs w:val="18"/>
        </w:rPr>
        <w:t>Radhakshnan, Dr S:  The Indian Philosophy, v1, p 87</w:t>
      </w:r>
    </w:p>
  </w:footnote>
  <w:footnote w:id="374">
    <w:p w:rsidR="00C8559C" w:rsidRPr="000C6EEA" w:rsidP="009B0A58">
      <w:pPr>
        <w:pStyle w:val="FootnoteText"/>
        <w:bidi w:val="0"/>
        <w:spacing w:line="240" w:lineRule="auto"/>
      </w:pPr>
      <w:r w:rsidRPr="000C6EEA">
        <w:rPr>
          <w:rStyle w:val="FootnoteReference"/>
          <w:vertAlign w:val="baseline"/>
        </w:rPr>
        <w:footnoteRef/>
      </w:r>
      <w:r>
        <w:t xml:space="preserve">. </w:t>
      </w:r>
      <w:r w:rsidRPr="000C6EEA">
        <w:rPr>
          <w:rFonts w:cs="Times New Roman"/>
          <w:sz w:val="18"/>
          <w:szCs w:val="18"/>
        </w:rPr>
        <w:t>Williams, Sir Monier : Sanskrit Lexicon, p 166</w:t>
      </w:r>
    </w:p>
  </w:footnote>
  <w:footnote w:id="375">
    <w:p w:rsidR="00C8559C" w:rsidRPr="00B76D73" w:rsidP="009B0A58">
      <w:pPr>
        <w:pStyle w:val="FootnoteText"/>
        <w:bidi w:val="0"/>
        <w:spacing w:line="240" w:lineRule="auto"/>
        <w:ind w:left="227" w:hanging="227"/>
        <w:rPr>
          <w:sz w:val="18"/>
          <w:szCs w:val="18"/>
        </w:rPr>
      </w:pPr>
      <w:r w:rsidRPr="00B76D73">
        <w:rPr>
          <w:rStyle w:val="FootnoteReference"/>
          <w:sz w:val="18"/>
          <w:szCs w:val="18"/>
          <w:vertAlign w:val="baseline"/>
        </w:rPr>
        <w:footnoteRef/>
      </w:r>
      <w:r w:rsidRPr="00B76D73">
        <w:rPr>
          <w:sz w:val="18"/>
          <w:szCs w:val="18"/>
        </w:rPr>
        <w:t xml:space="preserve">. </w:t>
      </w:r>
      <w:r w:rsidRPr="00B76D73">
        <w:rPr>
          <w:sz w:val="18"/>
          <w:szCs w:val="18"/>
          <w:rtl/>
        </w:rPr>
        <w:t xml:space="preserve"> </w:t>
      </w:r>
      <w:r w:rsidRPr="00B76D73">
        <w:rPr>
          <w:rFonts w:cs="B Zar"/>
          <w:sz w:val="18"/>
          <w:szCs w:val="18"/>
        </w:rPr>
        <w:t>Williams, Sir Monier : Sanskrit Lexicon,  p 363</w:t>
      </w:r>
    </w:p>
  </w:footnote>
  <w:footnote w:id="376">
    <w:p w:rsidR="00C8559C" w:rsidRPr="00B76D73" w:rsidP="00B76D73">
      <w:pPr>
        <w:pStyle w:val="FootnoteText"/>
        <w:bidi w:val="0"/>
        <w:spacing w:line="240" w:lineRule="exact"/>
        <w:ind w:left="227" w:hanging="227"/>
        <w:rPr>
          <w:rFonts w:hint="cs"/>
        </w:rPr>
      </w:pPr>
      <w:r w:rsidRPr="00B76D73">
        <w:rPr>
          <w:rStyle w:val="FootnoteReference"/>
          <w:sz w:val="18"/>
          <w:szCs w:val="18"/>
          <w:vertAlign w:val="baseline"/>
        </w:rPr>
        <w:footnoteRef/>
      </w:r>
      <w:r w:rsidRPr="00B76D73">
        <w:rPr>
          <w:sz w:val="18"/>
          <w:szCs w:val="18"/>
        </w:rPr>
        <w:t xml:space="preserve">. </w:t>
      </w:r>
      <w:r w:rsidRPr="00B76D73">
        <w:rPr>
          <w:sz w:val="18"/>
          <w:szCs w:val="18"/>
          <w:rtl/>
        </w:rPr>
        <w:t xml:space="preserve"> </w:t>
      </w:r>
      <w:r w:rsidRPr="00B76D73">
        <w:rPr>
          <w:rFonts w:cs="B Zar"/>
          <w:sz w:val="18"/>
          <w:szCs w:val="18"/>
        </w:rPr>
        <w:t>Sir Monier Williams: Sanskrit Laxicon,  p. 790</w:t>
      </w:r>
    </w:p>
  </w:footnote>
  <w:footnote w:id="377">
    <w:p w:rsidR="00C8559C" w:rsidRPr="00654E4F">
      <w:pPr>
        <w:pStyle w:val="FootnoteText"/>
        <w:ind w:left="0" w:right="0"/>
        <w:jc w:val="both"/>
        <w:rPr>
          <w:rFonts w:ascii="IPT.Zar" w:hAnsi="IPT.Zar" w:cs="B Zar"/>
          <w:rtl/>
        </w:rPr>
      </w:pPr>
      <w:r w:rsidRPr="009B0A58">
        <w:rPr>
          <w:rStyle w:val="FootnoteReference"/>
          <w:rFonts w:ascii="IPT.Zar" w:hAnsi="IPT.Zar" w:cs="B Zar"/>
          <w:sz w:val="24"/>
          <w:szCs w:val="24"/>
          <w:vertAlign w:val="baseline"/>
        </w:rPr>
        <w:footnoteRef/>
      </w:r>
      <w:r w:rsidRPr="00654E4F">
        <w:rPr>
          <w:rFonts w:ascii="IPT.Zar" w:hAnsi="IPT.Zar" w:cs="B Zar"/>
        </w:rPr>
        <w:sym w:font="IPT.Zar" w:char="F020"/>
      </w:r>
      <w:r w:rsidRPr="00654E4F">
        <w:rPr>
          <w:rFonts w:ascii="IPT.Zar" w:hAnsi="IPT.Zar" w:cs="B Zar"/>
          <w:rtl/>
        </w:rPr>
        <w:t>.</w:t>
      </w:r>
      <w:r>
        <w:rPr>
          <w:rFonts w:ascii="IPT.Zar" w:hAnsi="IPT.Zar" w:cs="B Zar" w:hint="cs"/>
          <w:rtl/>
        </w:rPr>
        <w:t xml:space="preserve">  </w:t>
      </w:r>
      <w:r w:rsidRPr="00654E4F">
        <w:rPr>
          <w:rFonts w:ascii="IPT.Zar" w:hAnsi="IPT.Zar" w:cs="B Zar"/>
          <w:rtl/>
        </w:rPr>
        <w:t xml:space="preserve"> ريگ ودا: 10: 11:7</w:t>
      </w:r>
    </w:p>
  </w:footnote>
  <w:footnote w:id="378">
    <w:p w:rsidR="00C8559C" w:rsidRPr="0017033B" w:rsidP="0017033B">
      <w:pPr>
        <w:pStyle w:val="FootnoteText"/>
        <w:bidi w:val="0"/>
        <w:spacing w:line="240" w:lineRule="exact"/>
        <w:ind w:left="227" w:hanging="227"/>
        <w:rPr>
          <w:sz w:val="18"/>
          <w:szCs w:val="18"/>
        </w:rPr>
      </w:pPr>
      <w:r w:rsidRPr="0017033B">
        <w:rPr>
          <w:rStyle w:val="FootnoteReference"/>
          <w:sz w:val="18"/>
          <w:szCs w:val="18"/>
          <w:vertAlign w:val="baseline"/>
        </w:rPr>
        <w:footnoteRef/>
      </w:r>
      <w:r w:rsidRPr="0017033B">
        <w:rPr>
          <w:sz w:val="18"/>
          <w:szCs w:val="18"/>
        </w:rPr>
        <w:t xml:space="preserve">. </w:t>
      </w:r>
      <w:r w:rsidRPr="0017033B">
        <w:rPr>
          <w:rFonts w:cs="B Zar"/>
          <w:sz w:val="18"/>
          <w:szCs w:val="18"/>
        </w:rPr>
        <w:t>Williams, Sir Monier : Sanskrit Lexicon, see  ‘soma’</w:t>
      </w:r>
    </w:p>
  </w:footnote>
  <w:footnote w:id="379">
    <w:p w:rsidR="00C8559C" w:rsidRPr="0017033B" w:rsidP="0017033B">
      <w:pPr>
        <w:pStyle w:val="FootnoteText"/>
        <w:bidi w:val="0"/>
        <w:spacing w:line="240" w:lineRule="exact"/>
        <w:ind w:left="227" w:hanging="227"/>
      </w:pPr>
      <w:r w:rsidRPr="0017033B">
        <w:rPr>
          <w:rStyle w:val="FootnoteReference"/>
          <w:sz w:val="18"/>
          <w:szCs w:val="18"/>
          <w:vertAlign w:val="baseline"/>
        </w:rPr>
        <w:footnoteRef/>
      </w:r>
      <w:r w:rsidRPr="0017033B">
        <w:rPr>
          <w:sz w:val="18"/>
          <w:szCs w:val="18"/>
        </w:rPr>
        <w:t xml:space="preserve">. </w:t>
      </w:r>
      <w:r w:rsidRPr="0017033B">
        <w:rPr>
          <w:rFonts w:cs="B Zar"/>
          <w:sz w:val="18"/>
          <w:szCs w:val="18"/>
        </w:rPr>
        <w:t>Radhakshnan, Dr S:  The Indian Philosophy,  p 79</w:t>
      </w:r>
    </w:p>
  </w:footnote>
  <w:footnote w:id="380">
    <w:p w:rsidR="00C8559C" w:rsidRPr="00654E4F">
      <w:pPr>
        <w:pStyle w:val="FootnoteText"/>
        <w:ind w:left="0" w:right="0"/>
        <w:jc w:val="both"/>
        <w:rPr>
          <w:rFonts w:ascii="IPT.Zar" w:hAnsi="IPT.Zar" w:cs="B Zar"/>
          <w:rtl/>
        </w:rPr>
      </w:pPr>
      <w:r w:rsidRPr="00FA6F84">
        <w:rPr>
          <w:rStyle w:val="FootnoteReference"/>
          <w:rFonts w:ascii="IPT.Zar" w:hAnsi="IPT.Zar" w:cs="B Zar"/>
          <w:sz w:val="24"/>
          <w:szCs w:val="24"/>
          <w:vertAlign w:val="baseline"/>
        </w:rPr>
        <w:footnoteRef/>
      </w:r>
      <w:r w:rsidRPr="00654E4F">
        <w:rPr>
          <w:rFonts w:ascii="IPT.Zar" w:hAnsi="IPT.Zar" w:cs="B Zar"/>
        </w:rPr>
        <w:sym w:font="IPT.Zar" w:char="F020"/>
      </w:r>
      <w:r w:rsidRPr="00654E4F">
        <w:rPr>
          <w:rFonts w:ascii="IPT.Zar" w:hAnsi="IPT.Zar" w:cs="B Zar"/>
          <w:rtl/>
        </w:rPr>
        <w:t>.  ريگ ودا: 10: 30:166</w:t>
      </w:r>
    </w:p>
  </w:footnote>
  <w:footnote w:id="381">
    <w:p w:rsidR="00C8559C" w:rsidRPr="00654E4F">
      <w:pPr>
        <w:pStyle w:val="FootnoteText"/>
        <w:ind w:left="0" w:right="0"/>
        <w:jc w:val="both"/>
        <w:rPr>
          <w:rFonts w:ascii="IPT.Zar" w:hAnsi="IPT.Zar" w:cs="B Zar"/>
          <w:rtl/>
        </w:rPr>
      </w:pPr>
      <w:r w:rsidRPr="00654E4F">
        <w:rPr>
          <w:rStyle w:val="FootnoteReference"/>
          <w:rFonts w:ascii="IPT.Zar" w:hAnsi="IPT.Zar" w:cs="B Zar"/>
          <w:vertAlign w:val="baseline"/>
        </w:rPr>
        <w:footnoteRef/>
      </w:r>
      <w:r w:rsidRPr="00654E4F">
        <w:rPr>
          <w:rFonts w:ascii="IPT.Zar" w:hAnsi="IPT.Zar" w:cs="B Zar"/>
        </w:rPr>
        <w:sym w:font="IPT.Zar" w:char="F020"/>
      </w:r>
      <w:r w:rsidRPr="00654E4F">
        <w:rPr>
          <w:rFonts w:ascii="IPT.Zar" w:hAnsi="IPT.Zar" w:cs="B Zar"/>
          <w:rtl/>
        </w:rPr>
        <w:t>.  سام ودا: كتاب چهارم، فصل اول : بيت 8</w:t>
      </w:r>
    </w:p>
  </w:footnote>
  <w:footnote w:id="382">
    <w:p w:rsidR="00C8559C" w:rsidRPr="006A4F74">
      <w:pPr>
        <w:pStyle w:val="FootnoteText"/>
        <w:ind w:left="0" w:right="0"/>
        <w:jc w:val="both"/>
        <w:rPr>
          <w:rFonts w:cs="B Zar" w:hint="cs"/>
          <w:sz w:val="22"/>
          <w:szCs w:val="22"/>
          <w:rtl/>
        </w:rPr>
      </w:pPr>
      <w:r w:rsidRPr="00654E4F">
        <w:rPr>
          <w:rStyle w:val="FootnoteReference"/>
          <w:rFonts w:ascii="IPT.Zar" w:hAnsi="IPT.Zar" w:cs="B Zar"/>
          <w:vertAlign w:val="baseline"/>
        </w:rPr>
        <w:footnoteRef/>
      </w:r>
      <w:r w:rsidRPr="00654E4F">
        <w:rPr>
          <w:rFonts w:ascii="IPT.Zar" w:hAnsi="IPT.Zar" w:cs="B Zar"/>
        </w:rPr>
        <w:sym w:font="IPT.Zar" w:char="F020"/>
      </w:r>
      <w:r w:rsidRPr="00654E4F">
        <w:rPr>
          <w:rFonts w:ascii="IPT.Zar" w:hAnsi="IPT.Zar" w:cs="B Zar"/>
          <w:rtl/>
        </w:rPr>
        <w:t>.  سام ودا: قسمت دوم: كتاب نهم، فصل نهم، بيت 1، سرود 13</w:t>
      </w:r>
    </w:p>
  </w:footnote>
  <w:footnote w:id="383">
    <w:p w:rsidR="00C8559C" w:rsidRPr="00654E4F">
      <w:pPr>
        <w:pStyle w:val="FootnoteText"/>
        <w:ind w:left="0" w:right="0"/>
        <w:jc w:val="both"/>
        <w:rPr>
          <w:rFonts w:ascii="IPT.Zar" w:hAnsi="IPT.Zar" w:cs="B Zar"/>
          <w:rtl/>
        </w:rPr>
      </w:pPr>
      <w:r w:rsidRPr="008B4B15">
        <w:rPr>
          <w:rStyle w:val="FootnoteReference"/>
          <w:rFonts w:ascii="IPT.Zar" w:hAnsi="IPT.Zar" w:cs="B Zar"/>
          <w:sz w:val="24"/>
          <w:szCs w:val="24"/>
          <w:vertAlign w:val="baseline"/>
        </w:rPr>
        <w:footnoteRef/>
      </w:r>
      <w:r w:rsidRPr="00654E4F">
        <w:rPr>
          <w:rFonts w:ascii="IPT.Zar" w:hAnsi="IPT.Zar" w:cs="B Zar"/>
        </w:rPr>
        <w:sym w:font="IPT.Zar" w:char="F020"/>
      </w:r>
      <w:r w:rsidRPr="00654E4F">
        <w:rPr>
          <w:rFonts w:ascii="IPT.Zar" w:hAnsi="IPT.Zar" w:cs="B Zar"/>
          <w:rtl/>
        </w:rPr>
        <w:t>.  شهيد مرتضي مطهري: مقدمه اي بر جهان بيني اسلامي، ص 82</w:t>
      </w:r>
    </w:p>
  </w:footnote>
  <w:footnote w:id="384">
    <w:p w:rsidR="00C8559C" w:rsidRPr="00654E4F" w:rsidP="005C6AE7">
      <w:pPr>
        <w:pStyle w:val="FootnoteText"/>
        <w:ind w:left="0" w:right="0"/>
        <w:jc w:val="both"/>
        <w:rPr>
          <w:rFonts w:ascii="IPT.Zar" w:hAnsi="IPT.Zar" w:cs="B Zar"/>
          <w:rtl/>
        </w:rPr>
      </w:pPr>
      <w:r w:rsidRPr="005C6AE7">
        <w:rPr>
          <w:rStyle w:val="FootnoteReference"/>
          <w:rFonts w:ascii="IPT.Zar" w:hAnsi="IPT.Zar" w:cs="B Zar"/>
          <w:sz w:val="24"/>
          <w:szCs w:val="24"/>
          <w:vertAlign w:val="baseline"/>
        </w:rPr>
        <w:footnoteRef/>
      </w:r>
      <w:r w:rsidRPr="00654E4F">
        <w:rPr>
          <w:rFonts w:ascii="IPT.Zar" w:hAnsi="IPT.Zar" w:cs="B Zar"/>
          <w:rtl/>
        </w:rPr>
        <w:t>.</w:t>
      </w:r>
      <w:r>
        <w:rPr>
          <w:rFonts w:ascii="IPT.Zar" w:hAnsi="IPT.Zar" w:cs="B Zar" w:hint="cs"/>
          <w:rtl/>
        </w:rPr>
        <w:t xml:space="preserve"> </w:t>
      </w:r>
      <w:r w:rsidRPr="00654E4F">
        <w:rPr>
          <w:rFonts w:ascii="IPT.Zar" w:hAnsi="IPT.Zar" w:cs="B Zar"/>
          <w:rtl/>
        </w:rPr>
        <w:t xml:space="preserve">  ريگ ودا: 10: 3:82 رجوع شود دَهَرَم دَيو: مقدمه برسامَ ودا، ص 29 ـ 32</w:t>
      </w:r>
    </w:p>
  </w:footnote>
  <w:footnote w:id="385">
    <w:p w:rsidR="00C8559C" w:rsidRPr="00654E4F" w:rsidP="00DF70D2">
      <w:pPr>
        <w:pStyle w:val="FootnoteText"/>
        <w:ind w:left="227" w:right="0" w:hanging="227"/>
        <w:jc w:val="both"/>
        <w:rPr>
          <w:rFonts w:ascii="IPT.Zar" w:hAnsi="IPT.Zar" w:cs="B Zar"/>
          <w:rtl/>
        </w:rPr>
      </w:pPr>
      <w:r w:rsidRPr="005C6AE7">
        <w:rPr>
          <w:rStyle w:val="FootnoteReference"/>
          <w:rFonts w:ascii="IPT.Zar" w:hAnsi="IPT.Zar" w:cs="B Zar"/>
          <w:sz w:val="24"/>
          <w:szCs w:val="24"/>
          <w:vertAlign w:val="baseline"/>
        </w:rPr>
        <w:footnoteRef/>
      </w:r>
      <w:r w:rsidRPr="00654E4F">
        <w:rPr>
          <w:rFonts w:ascii="IPT.Zar" w:hAnsi="IPT.Zar" w:cs="B Zar"/>
          <w:rtl/>
        </w:rPr>
        <w:t>.</w:t>
      </w:r>
      <w:r>
        <w:rPr>
          <w:rFonts w:ascii="IPT.Zar" w:hAnsi="IPT.Zar" w:cs="B Zar" w:hint="cs"/>
          <w:rtl/>
        </w:rPr>
        <w:t xml:space="preserve"> </w:t>
      </w:r>
      <w:r w:rsidRPr="00654E4F">
        <w:rPr>
          <w:rFonts w:ascii="IPT.Zar" w:hAnsi="IPT.Zar" w:cs="B Zar"/>
          <w:rtl/>
        </w:rPr>
        <w:t xml:space="preserve"> </w:t>
      </w:r>
      <w:r>
        <w:rPr>
          <w:rFonts w:ascii="IPT.Zar" w:hAnsi="IPT.Zar" w:cs="B Zar" w:hint="cs"/>
          <w:rtl/>
        </w:rPr>
        <w:tab/>
      </w:r>
      <w:r w:rsidRPr="00654E4F">
        <w:rPr>
          <w:rFonts w:ascii="IPT.Zar" w:hAnsi="IPT.Zar" w:cs="B Zar"/>
          <w:rtl/>
        </w:rPr>
        <w:t>سام ودا: 2: 3:2، قطقعه 120</w:t>
      </w:r>
    </w:p>
  </w:footnote>
  <w:footnote w:id="386">
    <w:p w:rsidR="00C8559C" w:rsidRPr="00654E4F" w:rsidP="00DF70D2">
      <w:pPr>
        <w:pStyle w:val="FootnoteText"/>
        <w:ind w:left="227" w:right="0" w:hanging="227"/>
        <w:jc w:val="both"/>
        <w:rPr>
          <w:rFonts w:ascii="IPT.Zar" w:hAnsi="IPT.Zar" w:cs="B Zar"/>
          <w:rtl/>
        </w:rPr>
      </w:pPr>
      <w:r w:rsidRPr="005C6AE7">
        <w:rPr>
          <w:rStyle w:val="FootnoteReference"/>
          <w:rFonts w:ascii="IPT.Zar" w:hAnsi="IPT.Zar" w:cs="B Zar"/>
          <w:sz w:val="24"/>
          <w:szCs w:val="24"/>
          <w:vertAlign w:val="baseline"/>
        </w:rPr>
        <w:footnoteRef/>
      </w:r>
      <w:r w:rsidRPr="00654E4F">
        <w:rPr>
          <w:rFonts w:ascii="IPT.Zar" w:hAnsi="IPT.Zar" w:cs="B Zar"/>
          <w:rtl/>
        </w:rPr>
        <w:t>.</w:t>
      </w:r>
      <w:r>
        <w:rPr>
          <w:rFonts w:ascii="IPT.Zar" w:hAnsi="IPT.Zar" w:cs="B Zar" w:hint="cs"/>
          <w:rtl/>
        </w:rPr>
        <w:t xml:space="preserve"> </w:t>
      </w:r>
      <w:r w:rsidRPr="00654E4F">
        <w:rPr>
          <w:rFonts w:ascii="IPT.Zar" w:hAnsi="IPT.Zar" w:cs="B Zar"/>
          <w:rtl/>
        </w:rPr>
        <w:t xml:space="preserve"> </w:t>
      </w:r>
      <w:r>
        <w:rPr>
          <w:rFonts w:ascii="IPT.Zar" w:hAnsi="IPT.Zar" w:cs="B Zar" w:hint="cs"/>
          <w:rtl/>
        </w:rPr>
        <w:tab/>
      </w:r>
      <w:r w:rsidRPr="00654E4F">
        <w:rPr>
          <w:rFonts w:ascii="IPT.Zar" w:hAnsi="IPT.Zar" w:cs="B Zar"/>
          <w:rtl/>
        </w:rPr>
        <w:t>همان: قطعه 123</w:t>
      </w:r>
    </w:p>
  </w:footnote>
  <w:footnote w:id="387">
    <w:p w:rsidR="00C8559C" w:rsidRPr="00654E4F" w:rsidP="00DF70D2">
      <w:pPr>
        <w:pStyle w:val="FootnoteText"/>
        <w:ind w:left="227" w:right="0" w:hanging="227"/>
        <w:jc w:val="both"/>
        <w:rPr>
          <w:rFonts w:ascii="IPT.Zar" w:hAnsi="IPT.Zar" w:cs="B Zar"/>
          <w:rtl/>
        </w:rPr>
      </w:pPr>
      <w:r w:rsidRPr="005C6AE7">
        <w:rPr>
          <w:rStyle w:val="FootnoteReference"/>
          <w:rFonts w:ascii="IPT.Zar" w:hAnsi="IPT.Zar" w:cs="B Zar"/>
          <w:sz w:val="24"/>
          <w:szCs w:val="24"/>
          <w:vertAlign w:val="baseline"/>
        </w:rPr>
        <w:footnoteRef/>
      </w:r>
      <w:r w:rsidRPr="00654E4F">
        <w:rPr>
          <w:rFonts w:ascii="IPT.Zar" w:hAnsi="IPT.Zar" w:cs="B Zar"/>
          <w:rtl/>
        </w:rPr>
        <w:t>.</w:t>
      </w:r>
      <w:r>
        <w:rPr>
          <w:rFonts w:ascii="IPT.Zar" w:hAnsi="IPT.Zar" w:cs="B Zar" w:hint="cs"/>
          <w:rtl/>
        </w:rPr>
        <w:t xml:space="preserve"> </w:t>
      </w:r>
      <w:r w:rsidRPr="00654E4F">
        <w:rPr>
          <w:rFonts w:ascii="IPT.Zar" w:hAnsi="IPT.Zar" w:cs="B Zar"/>
          <w:rtl/>
        </w:rPr>
        <w:t xml:space="preserve"> </w:t>
      </w:r>
      <w:r>
        <w:rPr>
          <w:rFonts w:ascii="IPT.Zar" w:hAnsi="IPT.Zar" w:cs="B Zar" w:hint="cs"/>
          <w:rtl/>
        </w:rPr>
        <w:tab/>
      </w:r>
      <w:r w:rsidRPr="00654E4F">
        <w:rPr>
          <w:rFonts w:ascii="IPT.Zar" w:hAnsi="IPT.Zar" w:cs="B Zar"/>
          <w:rtl/>
        </w:rPr>
        <w:t>ريگ ودا: 8 : 3:37، 8: 5:78</w:t>
      </w:r>
    </w:p>
  </w:footnote>
  <w:footnote w:id="388">
    <w:p w:rsidR="00C8559C" w:rsidRPr="006A4F74" w:rsidP="00DF70D2">
      <w:pPr>
        <w:pStyle w:val="FootnoteText"/>
        <w:ind w:left="227" w:right="0" w:hanging="227"/>
        <w:jc w:val="both"/>
        <w:rPr>
          <w:rFonts w:cs="B Zar" w:hint="cs"/>
          <w:sz w:val="22"/>
          <w:szCs w:val="22"/>
          <w:rtl/>
        </w:rPr>
      </w:pPr>
      <w:r w:rsidRPr="005C6AE7">
        <w:rPr>
          <w:rStyle w:val="FootnoteReference"/>
          <w:rFonts w:ascii="IPT.Zar" w:hAnsi="IPT.Zar" w:cs="B Zar"/>
          <w:sz w:val="24"/>
          <w:szCs w:val="24"/>
          <w:vertAlign w:val="baseline"/>
        </w:rPr>
        <w:footnoteRef/>
      </w:r>
      <w:r w:rsidRPr="00654E4F">
        <w:rPr>
          <w:rFonts w:ascii="IPT.Zar" w:hAnsi="IPT.Zar" w:cs="B Zar"/>
          <w:rtl/>
        </w:rPr>
        <w:t>.</w:t>
      </w:r>
      <w:r>
        <w:rPr>
          <w:rFonts w:ascii="IPT.Zar" w:hAnsi="IPT.Zar" w:cs="B Zar" w:hint="cs"/>
          <w:rtl/>
        </w:rPr>
        <w:t xml:space="preserve"> </w:t>
      </w:r>
      <w:r w:rsidRPr="00654E4F">
        <w:rPr>
          <w:rFonts w:ascii="IPT.Zar" w:hAnsi="IPT.Zar" w:cs="B Zar"/>
          <w:rtl/>
        </w:rPr>
        <w:t xml:space="preserve"> </w:t>
      </w:r>
      <w:r>
        <w:rPr>
          <w:rFonts w:ascii="IPT.Zar" w:hAnsi="IPT.Zar" w:cs="B Zar" w:hint="cs"/>
          <w:rtl/>
        </w:rPr>
        <w:tab/>
      </w:r>
      <w:r w:rsidRPr="00654E4F">
        <w:rPr>
          <w:rFonts w:ascii="IPT.Zar" w:hAnsi="IPT.Zar" w:cs="B Zar"/>
          <w:rtl/>
        </w:rPr>
        <w:t>سام ودا: 2: 111:2: 116</w:t>
      </w:r>
    </w:p>
  </w:footnote>
  <w:footnote w:id="389">
    <w:p w:rsidR="00C8559C" w:rsidRPr="00654E4F" w:rsidP="00DF70D2">
      <w:pPr>
        <w:pStyle w:val="FootnoteText"/>
        <w:ind w:left="227" w:right="0" w:hanging="227"/>
        <w:jc w:val="both"/>
        <w:rPr>
          <w:rFonts w:ascii="IPT.Zar" w:hAnsi="IPT.Zar" w:cs="B Zar"/>
          <w:rtl/>
        </w:rPr>
      </w:pPr>
      <w:r w:rsidRPr="005C6AE7">
        <w:rPr>
          <w:rStyle w:val="FootnoteReference"/>
          <w:rFonts w:ascii="IPT.Zar" w:hAnsi="IPT.Zar" w:cs="B Zar"/>
          <w:sz w:val="24"/>
          <w:szCs w:val="24"/>
          <w:vertAlign w:val="baseline"/>
        </w:rPr>
        <w:footnoteRef/>
      </w:r>
      <w:r w:rsidRPr="00654E4F">
        <w:rPr>
          <w:rFonts w:ascii="IPT.Zar" w:hAnsi="IPT.Zar" w:cs="B Zar"/>
          <w:rtl/>
        </w:rPr>
        <w:t xml:space="preserve">. </w:t>
      </w:r>
      <w:r>
        <w:rPr>
          <w:rFonts w:ascii="IPT.Zar" w:hAnsi="IPT.Zar" w:cs="B Zar" w:hint="cs"/>
          <w:rtl/>
        </w:rPr>
        <w:tab/>
      </w:r>
      <w:r w:rsidRPr="00654E4F">
        <w:rPr>
          <w:rFonts w:ascii="IPT.Zar" w:hAnsi="IPT.Zar" w:cs="B Zar"/>
          <w:rtl/>
        </w:rPr>
        <w:t>همان: قطعه 118</w:t>
      </w:r>
    </w:p>
  </w:footnote>
  <w:footnote w:id="390">
    <w:p w:rsidR="00C8559C" w:rsidRPr="00654E4F" w:rsidP="00DF70D2">
      <w:pPr>
        <w:pStyle w:val="FootnoteText"/>
        <w:ind w:left="227" w:right="0" w:hanging="227"/>
        <w:jc w:val="both"/>
        <w:rPr>
          <w:rFonts w:ascii="IPT.Zar" w:hAnsi="IPT.Zar" w:cs="B Zar"/>
          <w:rtl/>
        </w:rPr>
      </w:pPr>
      <w:r w:rsidRPr="00DF70D2">
        <w:rPr>
          <w:rStyle w:val="FootnoteReference"/>
          <w:rFonts w:ascii="IPT.Zar" w:hAnsi="IPT.Zar" w:cs="B Zar"/>
          <w:sz w:val="24"/>
          <w:szCs w:val="24"/>
          <w:vertAlign w:val="baseline"/>
        </w:rPr>
        <w:footnoteRef/>
      </w:r>
      <w:r w:rsidRPr="00654E4F">
        <w:rPr>
          <w:rFonts w:ascii="IPT.Zar" w:hAnsi="IPT.Zar" w:cs="B Zar"/>
          <w:rtl/>
        </w:rPr>
        <w:t xml:space="preserve">. </w:t>
      </w:r>
      <w:r>
        <w:rPr>
          <w:rFonts w:ascii="IPT.Zar" w:hAnsi="IPT.Zar" w:cs="B Zar" w:hint="cs"/>
          <w:rtl/>
        </w:rPr>
        <w:tab/>
      </w:r>
      <w:r w:rsidRPr="00654E4F">
        <w:rPr>
          <w:rFonts w:ascii="IPT.Zar" w:hAnsi="IPT.Zar" w:cs="B Zar"/>
          <w:rtl/>
        </w:rPr>
        <w:t xml:space="preserve">218:7 </w:t>
      </w:r>
    </w:p>
  </w:footnote>
  <w:footnote w:id="391">
    <w:p w:rsidR="00C8559C" w:rsidRPr="00654E4F" w:rsidP="00DF70D2">
      <w:pPr>
        <w:pStyle w:val="FootnoteText"/>
        <w:ind w:left="227" w:right="0" w:hanging="227"/>
        <w:jc w:val="both"/>
        <w:rPr>
          <w:rFonts w:ascii="IPT.Zar" w:hAnsi="IPT.Zar" w:cs="B Zar"/>
          <w:rtl/>
        </w:rPr>
      </w:pPr>
      <w:r w:rsidRPr="00DF70D2">
        <w:rPr>
          <w:rStyle w:val="FootnoteReference"/>
          <w:rFonts w:ascii="IPT.Zar" w:hAnsi="IPT.Zar" w:cs="B Zar"/>
          <w:sz w:val="24"/>
          <w:szCs w:val="24"/>
          <w:vertAlign w:val="baseline"/>
        </w:rPr>
        <w:footnoteRef/>
      </w:r>
      <w:r w:rsidRPr="00654E4F">
        <w:rPr>
          <w:rFonts w:ascii="IPT.Zar" w:hAnsi="IPT.Zar" w:cs="B Zar"/>
          <w:rtl/>
        </w:rPr>
        <w:t xml:space="preserve">. </w:t>
      </w:r>
      <w:r>
        <w:rPr>
          <w:rFonts w:ascii="IPT.Zar" w:hAnsi="IPT.Zar" w:cs="B Zar" w:hint="cs"/>
          <w:rtl/>
        </w:rPr>
        <w:tab/>
      </w:r>
      <w:r w:rsidRPr="00654E4F">
        <w:rPr>
          <w:rFonts w:ascii="IPT.Zar" w:hAnsi="IPT.Zar" w:cs="B Zar"/>
          <w:rtl/>
        </w:rPr>
        <w:t>ريگ ودا: 15: 7:121</w:t>
      </w:r>
    </w:p>
  </w:footnote>
  <w:footnote w:id="392">
    <w:p w:rsidR="00C8559C" w:rsidRPr="006A4F74" w:rsidP="00DF70D2">
      <w:pPr>
        <w:pStyle w:val="FootnoteText"/>
        <w:ind w:left="227" w:right="0" w:hanging="227"/>
        <w:jc w:val="both"/>
        <w:rPr>
          <w:rFonts w:cs="B Zar" w:hint="cs"/>
          <w:sz w:val="22"/>
          <w:szCs w:val="22"/>
          <w:rtl/>
        </w:rPr>
      </w:pPr>
      <w:r w:rsidRPr="00DF70D2">
        <w:rPr>
          <w:rStyle w:val="FootnoteReference"/>
          <w:rFonts w:ascii="IPT.Zar" w:hAnsi="IPT.Zar" w:cs="B Zar"/>
          <w:sz w:val="24"/>
          <w:szCs w:val="24"/>
          <w:vertAlign w:val="baseline"/>
        </w:rPr>
        <w:footnoteRef/>
      </w:r>
      <w:r w:rsidRPr="00654E4F">
        <w:rPr>
          <w:rFonts w:ascii="IPT.Zar" w:hAnsi="IPT.Zar" w:cs="B Zar"/>
          <w:rtl/>
        </w:rPr>
        <w:t xml:space="preserve">. </w:t>
      </w:r>
      <w:r>
        <w:rPr>
          <w:rFonts w:ascii="IPT.Zar" w:hAnsi="IPT.Zar" w:cs="B Zar" w:hint="cs"/>
          <w:rtl/>
        </w:rPr>
        <w:tab/>
      </w:r>
      <w:r w:rsidRPr="00654E4F">
        <w:rPr>
          <w:rFonts w:ascii="IPT.Zar" w:hAnsi="IPT.Zar" w:cs="B Zar"/>
          <w:rtl/>
        </w:rPr>
        <w:t>همان: 8: 1:1</w:t>
      </w:r>
    </w:p>
  </w:footnote>
  <w:footnote w:id="393">
    <w:p w:rsidR="00C8559C" w:rsidRPr="00654E4F" w:rsidP="00DF70D2">
      <w:pPr>
        <w:pStyle w:val="FootnoteText"/>
        <w:ind w:left="227" w:right="0" w:hanging="227"/>
        <w:jc w:val="both"/>
        <w:rPr>
          <w:rFonts w:ascii="IPT.Zar" w:hAnsi="IPT.Zar" w:cs="B Zar" w:hint="cs"/>
          <w:rtl/>
        </w:rPr>
      </w:pPr>
      <w:r w:rsidRPr="00DF70D2">
        <w:rPr>
          <w:rStyle w:val="FootnoteReference"/>
          <w:rFonts w:ascii="IPT.Zar" w:hAnsi="IPT.Zar" w:cs="B Zar"/>
          <w:sz w:val="24"/>
          <w:szCs w:val="24"/>
          <w:vertAlign w:val="baseline"/>
        </w:rPr>
        <w:footnoteRef/>
      </w:r>
      <w:r w:rsidRPr="00654E4F">
        <w:rPr>
          <w:rFonts w:ascii="IPT.Zar" w:hAnsi="IPT.Zar" w:cs="B Zar"/>
          <w:rtl/>
        </w:rPr>
        <w:t>.</w:t>
      </w:r>
      <w:r>
        <w:rPr>
          <w:rFonts w:ascii="IPT.Zar" w:hAnsi="IPT.Zar" w:cs="B Zar" w:hint="cs"/>
          <w:rtl/>
        </w:rPr>
        <w:tab/>
      </w:r>
      <w:r w:rsidRPr="00654E4F">
        <w:rPr>
          <w:rFonts w:ascii="IPT.Zar" w:hAnsi="IPT.Zar" w:cs="B Zar"/>
          <w:rtl/>
        </w:rPr>
        <w:t xml:space="preserve"> قرآن كريم</w:t>
      </w:r>
    </w:p>
  </w:footnote>
  <w:footnote w:id="394">
    <w:p w:rsidR="00C8559C" w:rsidRPr="00654E4F" w:rsidP="00DF70D2">
      <w:pPr>
        <w:pStyle w:val="FootnoteText"/>
        <w:ind w:left="227" w:right="0" w:hanging="227"/>
        <w:jc w:val="both"/>
        <w:rPr>
          <w:rFonts w:ascii="IPT.Zar" w:hAnsi="IPT.Zar" w:cs="B Zar"/>
          <w:rtl/>
        </w:rPr>
      </w:pPr>
      <w:r w:rsidRPr="00DF70D2">
        <w:rPr>
          <w:rStyle w:val="FootnoteReference"/>
          <w:rFonts w:ascii="IPT.Zar" w:hAnsi="IPT.Zar" w:cs="B Zar"/>
          <w:sz w:val="24"/>
          <w:szCs w:val="24"/>
          <w:vertAlign w:val="baseline"/>
        </w:rPr>
        <w:footnoteRef/>
      </w:r>
      <w:r w:rsidRPr="00654E4F">
        <w:rPr>
          <w:rFonts w:ascii="IPT.Zar" w:hAnsi="IPT.Zar" w:cs="B Zar"/>
          <w:rtl/>
        </w:rPr>
        <w:t>.</w:t>
      </w:r>
      <w:r>
        <w:rPr>
          <w:rFonts w:ascii="IPT.Zar" w:hAnsi="IPT.Zar" w:cs="B Zar" w:hint="cs"/>
          <w:rtl/>
        </w:rPr>
        <w:tab/>
      </w:r>
      <w:r w:rsidRPr="00654E4F">
        <w:rPr>
          <w:rFonts w:ascii="IPT.Zar" w:hAnsi="IPT.Zar" w:cs="B Zar"/>
          <w:rtl/>
        </w:rPr>
        <w:t xml:space="preserve"> سام ودا: 2 : 2 : 125:3</w:t>
      </w:r>
    </w:p>
  </w:footnote>
  <w:footnote w:id="395">
    <w:p w:rsidR="00C8559C" w:rsidRPr="00654E4F" w:rsidP="00DF70D2">
      <w:pPr>
        <w:pStyle w:val="FootnoteText"/>
        <w:ind w:left="227" w:right="0" w:hanging="227"/>
        <w:jc w:val="both"/>
        <w:rPr>
          <w:rFonts w:ascii="IPT.Zar" w:hAnsi="IPT.Zar" w:cs="B Zar"/>
          <w:rtl/>
        </w:rPr>
      </w:pPr>
      <w:r w:rsidRPr="00DF70D2">
        <w:rPr>
          <w:rStyle w:val="FootnoteReference"/>
          <w:rFonts w:ascii="IPT.Zar" w:hAnsi="IPT.Zar" w:cs="B Zar"/>
          <w:sz w:val="24"/>
          <w:szCs w:val="24"/>
          <w:vertAlign w:val="baseline"/>
        </w:rPr>
        <w:footnoteRef/>
      </w:r>
      <w:r w:rsidRPr="00654E4F">
        <w:rPr>
          <w:rFonts w:ascii="IPT.Zar" w:hAnsi="IPT.Zar" w:cs="B Zar"/>
          <w:rtl/>
        </w:rPr>
        <w:t xml:space="preserve">. </w:t>
      </w:r>
      <w:r>
        <w:rPr>
          <w:rFonts w:ascii="IPT.Zar" w:hAnsi="IPT.Zar" w:cs="B Zar" w:hint="cs"/>
          <w:rtl/>
        </w:rPr>
        <w:tab/>
      </w:r>
      <w:r w:rsidRPr="00654E4F">
        <w:rPr>
          <w:rFonts w:ascii="IPT.Zar" w:hAnsi="IPT.Zar" w:cs="B Zar"/>
          <w:rtl/>
        </w:rPr>
        <w:t>همان: 2: 2: 126:3</w:t>
      </w:r>
    </w:p>
  </w:footnote>
  <w:footnote w:id="396">
    <w:p w:rsidR="00C8559C" w:rsidRPr="006A4F74" w:rsidP="00472520">
      <w:pPr>
        <w:pStyle w:val="FootnoteText"/>
        <w:ind w:left="227" w:right="0" w:hanging="227"/>
        <w:jc w:val="both"/>
        <w:rPr>
          <w:rFonts w:cs="B Zar" w:hint="cs"/>
          <w:sz w:val="22"/>
          <w:szCs w:val="22"/>
          <w:rtl/>
        </w:rPr>
      </w:pPr>
      <w:r w:rsidRPr="006448D5">
        <w:rPr>
          <w:rStyle w:val="FootnoteReference"/>
          <w:rFonts w:ascii="IPT.Zar" w:hAnsi="IPT.Zar" w:cs="B Zar"/>
          <w:sz w:val="24"/>
          <w:szCs w:val="24"/>
          <w:vertAlign w:val="baseline"/>
        </w:rPr>
        <w:footnoteRef/>
      </w:r>
      <w:r w:rsidRPr="00654E4F">
        <w:rPr>
          <w:rFonts w:ascii="IPT.Zar" w:hAnsi="IPT.Zar" w:cs="B Zar"/>
          <w:rtl/>
        </w:rPr>
        <w:t xml:space="preserve">. </w:t>
      </w:r>
      <w:r>
        <w:rPr>
          <w:rFonts w:ascii="IPT.Zar" w:hAnsi="IPT.Zar" w:cs="B Zar" w:hint="cs"/>
          <w:rtl/>
        </w:rPr>
        <w:tab/>
      </w:r>
      <w:r w:rsidRPr="00654E4F">
        <w:rPr>
          <w:rFonts w:ascii="IPT.Zar" w:hAnsi="IPT.Zar" w:cs="B Zar"/>
          <w:rtl/>
        </w:rPr>
        <w:t>سام ودا: 11: 2 : 103:2</w:t>
      </w:r>
    </w:p>
  </w:footnote>
  <w:footnote w:id="397">
    <w:p w:rsidR="00C8559C" w:rsidRPr="00654E4F" w:rsidP="00472520">
      <w:pPr>
        <w:pStyle w:val="FootnoteText"/>
        <w:ind w:left="227" w:right="0" w:hanging="227"/>
        <w:jc w:val="both"/>
        <w:rPr>
          <w:rFonts w:ascii="IPT.Zar" w:hAnsi="IPT.Zar" w:cs="B Zar"/>
          <w:rtl/>
        </w:rPr>
      </w:pPr>
      <w:r w:rsidRPr="006448D5">
        <w:rPr>
          <w:rStyle w:val="FootnoteReference"/>
          <w:rFonts w:ascii="IPT.Zar" w:hAnsi="IPT.Zar" w:cs="B Zar"/>
          <w:sz w:val="24"/>
          <w:szCs w:val="24"/>
          <w:vertAlign w:val="baseline"/>
        </w:rPr>
        <w:footnoteRef/>
      </w:r>
      <w:r w:rsidRPr="00654E4F">
        <w:rPr>
          <w:rFonts w:ascii="IPT.Zar" w:hAnsi="IPT.Zar" w:cs="B Zar"/>
          <w:rtl/>
        </w:rPr>
        <w:t>.</w:t>
      </w:r>
      <w:r>
        <w:rPr>
          <w:rFonts w:ascii="IPT.Zar" w:hAnsi="IPT.Zar" w:cs="B Zar" w:hint="cs"/>
          <w:rtl/>
        </w:rPr>
        <w:tab/>
      </w:r>
      <w:r w:rsidRPr="00654E4F">
        <w:rPr>
          <w:rFonts w:ascii="IPT.Zar" w:hAnsi="IPT.Zar" w:cs="B Zar"/>
          <w:rtl/>
        </w:rPr>
        <w:t>ريگ ودا: 2:11: 103:2</w:t>
      </w:r>
    </w:p>
  </w:footnote>
  <w:footnote w:id="398">
    <w:p w:rsidR="00C8559C" w:rsidRPr="006A4F74" w:rsidP="00B11DDE">
      <w:pPr>
        <w:pStyle w:val="FootnoteText"/>
        <w:ind w:left="227" w:right="0" w:hanging="227"/>
        <w:jc w:val="both"/>
        <w:rPr>
          <w:rFonts w:cs="B Zar" w:hint="cs"/>
          <w:sz w:val="22"/>
          <w:szCs w:val="22"/>
          <w:rtl/>
        </w:rPr>
      </w:pPr>
      <w:r w:rsidRPr="00CD2E81">
        <w:rPr>
          <w:rStyle w:val="FootnoteReference"/>
          <w:rFonts w:ascii="IPT.Zar" w:hAnsi="IPT.Zar" w:cs="B Zar"/>
          <w:sz w:val="24"/>
          <w:szCs w:val="24"/>
          <w:vertAlign w:val="baseline"/>
        </w:rPr>
        <w:footnoteRef/>
      </w:r>
      <w:r w:rsidRPr="00654E4F">
        <w:rPr>
          <w:rFonts w:ascii="IPT.Zar" w:hAnsi="IPT.Zar" w:cs="B Zar"/>
        </w:rPr>
        <w:sym w:font="IPT.Zar" w:char="F020"/>
      </w:r>
      <w:r w:rsidRPr="00654E4F">
        <w:rPr>
          <w:rFonts w:ascii="IPT.Zar" w:hAnsi="IPT.Zar" w:cs="B Zar"/>
          <w:rtl/>
        </w:rPr>
        <w:t>. اچاريه دهارما ديوا: ترجمه و تفسير سامَ ودا، ص 36 ـ 48</w:t>
      </w:r>
    </w:p>
  </w:footnote>
  <w:footnote w:id="399">
    <w:p w:rsidR="00C8559C" w:rsidRPr="00654E4F" w:rsidP="00B11DDE">
      <w:pPr>
        <w:pStyle w:val="FootnoteText"/>
        <w:ind w:left="227" w:right="0" w:hanging="227"/>
        <w:jc w:val="both"/>
        <w:rPr>
          <w:rFonts w:ascii="IPT.Zar" w:hAnsi="IPT.Zar" w:cs="B Zar"/>
          <w:rtl/>
        </w:rPr>
      </w:pPr>
      <w:r w:rsidRPr="00CD2E81">
        <w:rPr>
          <w:rStyle w:val="FootnoteReference"/>
          <w:rFonts w:ascii="IPT.Zar" w:hAnsi="IPT.Zar" w:cs="B Zar"/>
          <w:sz w:val="24"/>
          <w:szCs w:val="24"/>
          <w:vertAlign w:val="baseline"/>
        </w:rPr>
        <w:footnoteRef/>
      </w:r>
      <w:r w:rsidRPr="00654E4F">
        <w:rPr>
          <w:rFonts w:ascii="IPT.Zar" w:hAnsi="IPT.Zar" w:cs="B Zar"/>
        </w:rPr>
        <w:sym w:font="IPT.Zar" w:char="F020"/>
      </w:r>
      <w:r w:rsidRPr="00654E4F">
        <w:rPr>
          <w:rFonts w:ascii="IPT.Zar" w:hAnsi="IPT.Zar" w:cs="B Zar"/>
          <w:rtl/>
        </w:rPr>
        <w:t>.</w:t>
      </w:r>
      <w:r w:rsidR="00B11DDE">
        <w:rPr>
          <w:rFonts w:ascii="IPT.Zar" w:hAnsi="IPT.Zar" w:cs="B Zar" w:hint="cs"/>
          <w:rtl/>
        </w:rPr>
        <w:t xml:space="preserve"> </w:t>
      </w:r>
      <w:r w:rsidRPr="00654E4F">
        <w:rPr>
          <w:rFonts w:ascii="IPT.Zar" w:hAnsi="IPT.Zar" w:cs="B Zar"/>
          <w:rtl/>
        </w:rPr>
        <w:t>ريگ ودا: 60:7</w:t>
      </w:r>
    </w:p>
  </w:footnote>
  <w:footnote w:id="400">
    <w:p w:rsidR="00C8559C" w:rsidRPr="002A67F0" w:rsidP="002A67F0">
      <w:pPr>
        <w:pStyle w:val="FootnoteText"/>
        <w:bidi w:val="0"/>
        <w:spacing w:line="240" w:lineRule="exact"/>
        <w:ind w:left="227" w:hanging="227"/>
        <w:rPr>
          <w:sz w:val="18"/>
          <w:szCs w:val="18"/>
        </w:rPr>
      </w:pPr>
      <w:r w:rsidRPr="002A67F0">
        <w:rPr>
          <w:rStyle w:val="FootnoteReference"/>
          <w:sz w:val="18"/>
          <w:szCs w:val="18"/>
          <w:vertAlign w:val="baseline"/>
        </w:rPr>
        <w:footnoteRef/>
      </w:r>
      <w:r w:rsidRPr="002A67F0">
        <w:rPr>
          <w:sz w:val="18"/>
          <w:szCs w:val="18"/>
        </w:rPr>
        <w:t xml:space="preserve">. </w:t>
      </w:r>
      <w:r w:rsidRPr="002A67F0">
        <w:rPr>
          <w:rFonts w:cs="Times New Roman"/>
          <w:sz w:val="18"/>
          <w:szCs w:val="18"/>
          <w:rtl/>
        </w:rPr>
        <w:t xml:space="preserve"> </w:t>
      </w:r>
      <w:r w:rsidRPr="002A67F0">
        <w:rPr>
          <w:rFonts w:cs="B Zar"/>
          <w:sz w:val="18"/>
          <w:szCs w:val="18"/>
        </w:rPr>
        <w:t>Radhakshnan, Dr</w:t>
      </w:r>
      <w:r>
        <w:rPr>
          <w:rFonts w:cs="B Zar"/>
          <w:sz w:val="18"/>
          <w:szCs w:val="18"/>
        </w:rPr>
        <w:t>.</w:t>
      </w:r>
      <w:r w:rsidRPr="002A67F0">
        <w:rPr>
          <w:rFonts w:cs="B Zar"/>
          <w:sz w:val="18"/>
          <w:szCs w:val="18"/>
        </w:rPr>
        <w:t xml:space="preserve"> S:  The Indian Philosophy,. p 78</w:t>
      </w:r>
    </w:p>
  </w:footnote>
  <w:footnote w:id="401">
    <w:p w:rsidR="00C8559C" w:rsidRPr="00654E4F" w:rsidP="00B11DDE">
      <w:pPr>
        <w:pStyle w:val="FootnoteText"/>
        <w:ind w:left="227" w:right="0" w:hanging="227"/>
        <w:jc w:val="both"/>
        <w:rPr>
          <w:rFonts w:ascii="IPT.Zar" w:hAnsi="IPT.Zar" w:cs="B Zar"/>
          <w:rtl/>
        </w:rPr>
      </w:pPr>
      <w:r w:rsidRPr="00B16539">
        <w:rPr>
          <w:rStyle w:val="FootnoteReference"/>
          <w:rFonts w:ascii="IPT.Zar" w:hAnsi="IPT.Zar" w:cs="B Zar"/>
          <w:sz w:val="24"/>
          <w:szCs w:val="24"/>
          <w:vertAlign w:val="baseline"/>
        </w:rPr>
        <w:footnoteRef/>
      </w:r>
      <w:r w:rsidRPr="00654E4F">
        <w:rPr>
          <w:rFonts w:ascii="IPT.Zar" w:hAnsi="IPT.Zar" w:cs="B Zar"/>
        </w:rPr>
        <w:sym w:font="IPT.Zar" w:char="F020"/>
      </w:r>
      <w:r w:rsidRPr="00654E4F">
        <w:rPr>
          <w:rFonts w:ascii="IPT.Zar" w:hAnsi="IPT.Zar" w:cs="B Zar"/>
          <w:rtl/>
        </w:rPr>
        <w:t>.  ريگ ودا: 7: 2:87</w:t>
      </w:r>
    </w:p>
  </w:footnote>
  <w:footnote w:id="402">
    <w:p w:rsidR="00C8559C" w:rsidRPr="00654E4F" w:rsidP="00B11DDE">
      <w:pPr>
        <w:pStyle w:val="FootnoteText"/>
        <w:ind w:left="227" w:right="0" w:hanging="227"/>
        <w:jc w:val="both"/>
        <w:rPr>
          <w:rFonts w:ascii="IPT.Zar" w:hAnsi="IPT.Zar" w:cs="B Zar"/>
          <w:rtl/>
        </w:rPr>
      </w:pPr>
      <w:r w:rsidRPr="00B16539">
        <w:rPr>
          <w:rStyle w:val="FootnoteReference"/>
          <w:rFonts w:ascii="IPT.Zar" w:hAnsi="IPT.Zar" w:cs="B Zar"/>
          <w:sz w:val="24"/>
          <w:szCs w:val="24"/>
          <w:vertAlign w:val="baseline"/>
        </w:rPr>
        <w:footnoteRef/>
      </w:r>
      <w:r w:rsidRPr="00654E4F">
        <w:rPr>
          <w:rFonts w:ascii="IPT.Zar" w:hAnsi="IPT.Zar" w:cs="B Zar"/>
        </w:rPr>
        <w:sym w:font="IPT.Zar" w:char="F020"/>
      </w:r>
      <w:r w:rsidRPr="00654E4F">
        <w:rPr>
          <w:rFonts w:ascii="IPT.Zar" w:hAnsi="IPT.Zar" w:cs="B Zar"/>
          <w:rtl/>
        </w:rPr>
        <w:t>.  ريگ ودا 24:1: 8، 2: 4:28، 7: 5:87</w:t>
      </w:r>
    </w:p>
  </w:footnote>
  <w:footnote w:id="403">
    <w:p w:rsidR="00C8559C" w:rsidRPr="00654E4F" w:rsidP="00B11DDE">
      <w:pPr>
        <w:pStyle w:val="FootnoteText"/>
        <w:ind w:left="227" w:right="0" w:hanging="227"/>
        <w:jc w:val="both"/>
        <w:rPr>
          <w:rFonts w:ascii="IPT.Zar" w:hAnsi="IPT.Zar" w:cs="B Zar"/>
          <w:rtl/>
        </w:rPr>
      </w:pPr>
      <w:r w:rsidRPr="00B16539">
        <w:rPr>
          <w:rStyle w:val="FootnoteReference"/>
          <w:rFonts w:ascii="IPT.Zar" w:hAnsi="IPT.Zar" w:cs="B Zar"/>
          <w:sz w:val="24"/>
          <w:szCs w:val="24"/>
          <w:vertAlign w:val="baseline"/>
        </w:rPr>
        <w:footnoteRef/>
      </w:r>
      <w:r w:rsidRPr="00654E4F">
        <w:rPr>
          <w:rFonts w:ascii="IPT.Zar" w:hAnsi="IPT.Zar" w:cs="B Zar"/>
        </w:rPr>
        <w:sym w:font="IPT.Zar" w:char="F020"/>
      </w:r>
      <w:r w:rsidRPr="00654E4F">
        <w:rPr>
          <w:rFonts w:ascii="IPT.Zar" w:hAnsi="IPT.Zar" w:cs="B Zar"/>
          <w:rtl/>
        </w:rPr>
        <w:t>.  ريگ ودا: 1: 10:24، 1: 6:25، 1: 14:44، 14:2</w:t>
      </w:r>
    </w:p>
  </w:footnote>
  <w:footnote w:id="404">
    <w:p w:rsidR="00C8559C" w:rsidRPr="006A4F74">
      <w:pPr>
        <w:pStyle w:val="FootnoteText"/>
        <w:ind w:left="0" w:right="0"/>
        <w:jc w:val="both"/>
        <w:rPr>
          <w:rFonts w:cs="B Zar" w:hint="cs"/>
          <w:sz w:val="22"/>
          <w:szCs w:val="22"/>
          <w:rtl/>
        </w:rPr>
      </w:pPr>
      <w:r w:rsidRPr="00B16539">
        <w:rPr>
          <w:rStyle w:val="FootnoteReference"/>
          <w:rFonts w:ascii="IPT.Zar" w:hAnsi="IPT.Zar" w:cs="B Zar"/>
          <w:sz w:val="24"/>
          <w:szCs w:val="24"/>
          <w:vertAlign w:val="baseline"/>
        </w:rPr>
        <w:footnoteRef/>
      </w:r>
      <w:r w:rsidRPr="00654E4F">
        <w:rPr>
          <w:rFonts w:ascii="IPT.Zar" w:hAnsi="IPT.Zar" w:cs="B Zar"/>
        </w:rPr>
        <w:sym w:font="IPT.Zar" w:char="F020"/>
      </w:r>
      <w:r w:rsidRPr="00654E4F">
        <w:rPr>
          <w:rFonts w:ascii="IPT.Zar" w:hAnsi="IPT.Zar" w:cs="B Zar"/>
          <w:rtl/>
        </w:rPr>
        <w:t xml:space="preserve">.  </w:t>
      </w:r>
      <w:r>
        <w:rPr>
          <w:rFonts w:ascii="IPT.Zar" w:hAnsi="IPT.Zar" w:cs="B Zar" w:hint="cs"/>
          <w:rtl/>
        </w:rPr>
        <w:t xml:space="preserve"> </w:t>
      </w:r>
      <w:r w:rsidRPr="00654E4F">
        <w:rPr>
          <w:rFonts w:ascii="IPT.Zar" w:hAnsi="IPT.Zar" w:cs="B Zar"/>
          <w:rtl/>
        </w:rPr>
        <w:t>ريگ ودا: 7: 7:87</w:t>
      </w:r>
    </w:p>
  </w:footnote>
  <w:footnote w:id="405">
    <w:p w:rsidR="00C8559C" w:rsidRPr="00D24FCE" w:rsidP="00ED2D21">
      <w:pPr>
        <w:pStyle w:val="FootnoteText"/>
        <w:bidi w:val="0"/>
        <w:spacing w:line="240" w:lineRule="auto"/>
        <w:rPr>
          <w:sz w:val="18"/>
          <w:szCs w:val="18"/>
        </w:rPr>
      </w:pPr>
      <w:r w:rsidRPr="00D24FCE">
        <w:rPr>
          <w:rStyle w:val="FootnoteReference"/>
          <w:sz w:val="18"/>
          <w:szCs w:val="18"/>
          <w:vertAlign w:val="baseline"/>
        </w:rPr>
        <w:footnoteRef/>
      </w:r>
      <w:r w:rsidRPr="00D24FCE">
        <w:rPr>
          <w:sz w:val="18"/>
          <w:szCs w:val="18"/>
        </w:rPr>
        <w:t xml:space="preserve">. </w:t>
      </w:r>
      <w:r w:rsidRPr="00D24FCE">
        <w:rPr>
          <w:rFonts w:cs="B Zar"/>
          <w:sz w:val="18"/>
          <w:szCs w:val="18"/>
        </w:rPr>
        <w:t>Radhakshnan, Dr. S:  The Indian Philosophy, p 78</w:t>
      </w:r>
    </w:p>
  </w:footnote>
  <w:footnote w:id="406">
    <w:p w:rsidR="00C8559C" w:rsidRPr="00654E4F" w:rsidP="00B11DDE">
      <w:pPr>
        <w:pStyle w:val="FootnoteText"/>
        <w:ind w:left="227" w:right="0" w:hanging="227"/>
        <w:jc w:val="both"/>
        <w:rPr>
          <w:rFonts w:ascii="IPT.Zar" w:hAnsi="IPT.Zar" w:cs="B Zar" w:hint="cs"/>
          <w:rtl/>
        </w:rPr>
      </w:pPr>
      <w:r w:rsidRPr="00325E75">
        <w:rPr>
          <w:rStyle w:val="FootnoteReference"/>
          <w:rFonts w:ascii="IPT.Zar" w:hAnsi="IPT.Zar" w:cs="B Zar"/>
          <w:sz w:val="24"/>
          <w:szCs w:val="24"/>
          <w:vertAlign w:val="baseline"/>
        </w:rPr>
        <w:footnoteRef/>
      </w:r>
      <w:r w:rsidRPr="00325E75">
        <w:rPr>
          <w:rFonts w:ascii="IPT.Zar" w:hAnsi="IPT.Zar" w:cs="B Zar"/>
          <w:sz w:val="24"/>
          <w:szCs w:val="24"/>
        </w:rPr>
        <w:sym w:font="IPT.Zar" w:char="F020"/>
      </w:r>
      <w:r w:rsidRPr="00654E4F">
        <w:rPr>
          <w:rFonts w:ascii="IPT.Zar" w:hAnsi="IPT.Zar" w:cs="B Zar"/>
          <w:rtl/>
        </w:rPr>
        <w:t>. ريگ ودا: 10 : 83:82 ، و 121</w:t>
      </w:r>
    </w:p>
  </w:footnote>
  <w:footnote w:id="407">
    <w:p w:rsidR="00C8559C" w:rsidRPr="00654E4F" w:rsidP="009D0BE5">
      <w:pPr>
        <w:pStyle w:val="FootnoteText"/>
        <w:ind w:left="227" w:right="0" w:hanging="227"/>
        <w:jc w:val="both"/>
        <w:rPr>
          <w:rFonts w:ascii="IPT.Zar" w:hAnsi="IPT.Zar" w:cs="B Zar"/>
          <w:rtl/>
        </w:rPr>
      </w:pPr>
      <w:r w:rsidRPr="009D0BE5">
        <w:rPr>
          <w:rStyle w:val="FootnoteReference"/>
          <w:rFonts w:ascii="IPT.Zar" w:hAnsi="IPT.Zar" w:cs="B Zar"/>
          <w:sz w:val="24"/>
          <w:szCs w:val="24"/>
          <w:vertAlign w:val="baseline"/>
        </w:rPr>
        <w:footnoteRef/>
      </w:r>
      <w:r w:rsidRPr="00654E4F">
        <w:rPr>
          <w:rFonts w:ascii="IPT.Zar" w:hAnsi="IPT.Zar" w:cs="B Zar"/>
          <w:rtl/>
        </w:rPr>
        <w:t xml:space="preserve">. </w:t>
      </w:r>
      <w:r>
        <w:rPr>
          <w:rFonts w:ascii="IPT.Zar" w:hAnsi="IPT.Zar" w:cs="B Zar" w:hint="cs"/>
          <w:rtl/>
        </w:rPr>
        <w:tab/>
      </w:r>
      <w:r w:rsidRPr="00654E4F">
        <w:rPr>
          <w:rFonts w:ascii="IPT.Zar" w:hAnsi="IPT.Zar" w:cs="B Zar"/>
          <w:rtl/>
        </w:rPr>
        <w:t>سام ودا: قسمت 1، كتاب 1، فصل 2، ديكاد 5</w:t>
      </w:r>
    </w:p>
  </w:footnote>
  <w:footnote w:id="408">
    <w:p w:rsidR="00C8559C" w:rsidRPr="00654E4F" w:rsidP="009D0BE5">
      <w:pPr>
        <w:pStyle w:val="FootnoteText"/>
        <w:ind w:left="227" w:right="0" w:hanging="227"/>
        <w:jc w:val="both"/>
        <w:rPr>
          <w:rFonts w:ascii="IPT.Zar" w:hAnsi="IPT.Zar" w:cs="B Zar"/>
          <w:rtl/>
        </w:rPr>
      </w:pPr>
      <w:r w:rsidRPr="009D0BE5">
        <w:rPr>
          <w:rStyle w:val="FootnoteReference"/>
          <w:rFonts w:ascii="IPT.Zar" w:hAnsi="IPT.Zar" w:cs="B Zar"/>
          <w:sz w:val="24"/>
          <w:szCs w:val="24"/>
          <w:vertAlign w:val="baseline"/>
        </w:rPr>
        <w:footnoteRef/>
      </w:r>
      <w:r w:rsidRPr="00654E4F">
        <w:rPr>
          <w:rFonts w:ascii="IPT.Zar" w:hAnsi="IPT.Zar" w:cs="B Zar"/>
          <w:rtl/>
        </w:rPr>
        <w:t xml:space="preserve">. </w:t>
      </w:r>
      <w:r>
        <w:rPr>
          <w:rFonts w:ascii="IPT.Zar" w:hAnsi="IPT.Zar" w:cs="B Zar" w:hint="cs"/>
          <w:rtl/>
        </w:rPr>
        <w:tab/>
      </w:r>
      <w:r w:rsidRPr="00654E4F">
        <w:rPr>
          <w:rFonts w:ascii="IPT.Zar" w:hAnsi="IPT.Zar" w:cs="B Zar"/>
          <w:rtl/>
        </w:rPr>
        <w:t>اتهاروَ ودا: 171:8</w:t>
      </w:r>
    </w:p>
  </w:footnote>
  <w:footnote w:id="409">
    <w:p w:rsidR="00C8559C" w:rsidRPr="00654E4F" w:rsidP="009D0BE5">
      <w:pPr>
        <w:pStyle w:val="FootnoteText"/>
        <w:ind w:left="227" w:right="0" w:hanging="227"/>
        <w:jc w:val="both"/>
        <w:rPr>
          <w:rFonts w:ascii="IPT.Zar" w:hAnsi="IPT.Zar" w:cs="B Zar"/>
        </w:rPr>
      </w:pPr>
      <w:r w:rsidRPr="009D0BE5">
        <w:rPr>
          <w:rStyle w:val="FootnoteReference"/>
          <w:rFonts w:ascii="IPT.Zar" w:hAnsi="IPT.Zar" w:cs="B Zar"/>
          <w:sz w:val="24"/>
          <w:szCs w:val="24"/>
          <w:vertAlign w:val="baseline"/>
        </w:rPr>
        <w:footnoteRef/>
      </w:r>
      <w:r w:rsidRPr="00654E4F">
        <w:rPr>
          <w:rFonts w:ascii="IPT.Zar" w:hAnsi="IPT.Zar" w:cs="B Zar"/>
          <w:rtl/>
        </w:rPr>
        <w:t>.</w:t>
      </w:r>
      <w:r>
        <w:rPr>
          <w:rFonts w:ascii="IPT.Zar" w:hAnsi="IPT.Zar" w:cs="B Zar" w:hint="cs"/>
          <w:rtl/>
        </w:rPr>
        <w:tab/>
      </w:r>
      <w:r w:rsidRPr="00654E4F">
        <w:rPr>
          <w:rFonts w:ascii="IPT.Zar" w:hAnsi="IPT.Zar" w:cs="B Zar"/>
          <w:rtl/>
        </w:rPr>
        <w:t xml:space="preserve"> همان : 3: 5:23</w:t>
      </w:r>
    </w:p>
  </w:footnote>
  <w:footnote w:id="410">
    <w:p w:rsidR="00C8559C" w:rsidRPr="006A4F74" w:rsidP="009D0BE5">
      <w:pPr>
        <w:pStyle w:val="FootnoteText"/>
        <w:ind w:left="227" w:right="0" w:hanging="227"/>
        <w:jc w:val="both"/>
        <w:rPr>
          <w:rFonts w:cs="B Zar"/>
          <w:sz w:val="22"/>
          <w:szCs w:val="22"/>
        </w:rPr>
      </w:pPr>
      <w:r w:rsidRPr="009D0BE5">
        <w:rPr>
          <w:rStyle w:val="FootnoteReference"/>
          <w:rFonts w:ascii="IPT.Zar" w:hAnsi="IPT.Zar" w:cs="B Zar"/>
          <w:sz w:val="24"/>
          <w:szCs w:val="24"/>
          <w:vertAlign w:val="baseline"/>
        </w:rPr>
        <w:footnoteRef/>
      </w:r>
      <w:r w:rsidRPr="00654E4F">
        <w:rPr>
          <w:rFonts w:ascii="IPT.Zar" w:hAnsi="IPT.Zar" w:cs="B Zar"/>
          <w:rtl/>
        </w:rPr>
        <w:t xml:space="preserve">. </w:t>
      </w:r>
      <w:r>
        <w:rPr>
          <w:rFonts w:ascii="IPT.Zar" w:hAnsi="IPT.Zar" w:cs="B Zar" w:hint="cs"/>
          <w:rtl/>
        </w:rPr>
        <w:tab/>
      </w:r>
      <w:r w:rsidRPr="00654E4F">
        <w:rPr>
          <w:rFonts w:ascii="IPT.Zar" w:hAnsi="IPT.Zar" w:cs="B Zar"/>
          <w:rtl/>
        </w:rPr>
        <w:t>همان: 4: 2:4</w:t>
      </w:r>
    </w:p>
  </w:footnote>
  <w:footnote w:id="411">
    <w:p w:rsidR="00C8559C" w:rsidRPr="00D24FCE" w:rsidP="00ED2D21">
      <w:pPr>
        <w:pStyle w:val="FootnoteText"/>
        <w:bidi w:val="0"/>
        <w:spacing w:line="240" w:lineRule="auto"/>
        <w:rPr>
          <w:sz w:val="18"/>
          <w:szCs w:val="18"/>
        </w:rPr>
      </w:pPr>
      <w:r w:rsidRPr="00D24FCE">
        <w:rPr>
          <w:rStyle w:val="FootnoteReference"/>
          <w:sz w:val="18"/>
          <w:szCs w:val="18"/>
          <w:vertAlign w:val="baseline"/>
        </w:rPr>
        <w:footnoteRef/>
      </w:r>
      <w:r w:rsidRPr="00D24FCE">
        <w:rPr>
          <w:sz w:val="18"/>
          <w:szCs w:val="18"/>
        </w:rPr>
        <w:t xml:space="preserve">. </w:t>
      </w:r>
      <w:r>
        <w:rPr>
          <w:sz w:val="18"/>
          <w:szCs w:val="18"/>
        </w:rPr>
        <w:t xml:space="preserve"> </w:t>
      </w:r>
      <w:r w:rsidRPr="00D24FCE">
        <w:rPr>
          <w:sz w:val="18"/>
          <w:szCs w:val="18"/>
        </w:rPr>
        <w:t xml:space="preserve">Hymns of the Atharva-Veda, Tr by M. Bloomfield, </w:t>
      </w:r>
      <w:smartTag w:uri="urn:schemas-microsoft-com:office:smarttags" w:element="place">
        <w:smartTag w:uri="urn:schemas-microsoft-com:office:smarttags" w:element="City">
          <w:r w:rsidRPr="00D24FCE">
            <w:rPr>
              <w:sz w:val="18"/>
              <w:szCs w:val="18"/>
            </w:rPr>
            <w:t>Oxford</w:t>
          </w:r>
        </w:smartTag>
      </w:smartTag>
      <w:r w:rsidRPr="00D24FCE">
        <w:rPr>
          <w:sz w:val="18"/>
          <w:szCs w:val="18"/>
        </w:rPr>
        <w:t>, 1897 , p 68</w:t>
      </w:r>
    </w:p>
  </w:footnote>
  <w:footnote w:id="412">
    <w:p w:rsidR="00C8559C" w:rsidRPr="00317985" w:rsidP="009D0BE5">
      <w:pPr>
        <w:pStyle w:val="FootnoteText"/>
        <w:ind w:left="0" w:right="0"/>
        <w:jc w:val="both"/>
        <w:rPr>
          <w:rFonts w:ascii="IPT.Zar" w:hAnsi="IPT.Zar" w:cs="B Zar"/>
          <w:rtl/>
        </w:rPr>
      </w:pPr>
      <w:r w:rsidRPr="009D0BE5">
        <w:rPr>
          <w:rStyle w:val="FootnoteReference"/>
          <w:rFonts w:ascii="IPT.Zar" w:hAnsi="IPT.Zar" w:cs="B Zar"/>
          <w:sz w:val="24"/>
          <w:szCs w:val="24"/>
          <w:vertAlign w:val="baseline"/>
        </w:rPr>
        <w:footnoteRef/>
      </w:r>
      <w:r w:rsidRPr="00317985">
        <w:rPr>
          <w:rFonts w:ascii="IPT.Zar" w:hAnsi="IPT.Zar" w:cs="B Zar"/>
          <w:rtl/>
        </w:rPr>
        <w:t>.</w:t>
      </w:r>
      <w:r>
        <w:rPr>
          <w:rFonts w:ascii="IPT.Zar" w:hAnsi="IPT.Zar" w:cs="B Zar" w:hint="cs"/>
          <w:rtl/>
        </w:rPr>
        <w:t xml:space="preserve"> </w:t>
      </w:r>
      <w:r w:rsidRPr="00317985">
        <w:rPr>
          <w:rFonts w:ascii="IPT.Zar" w:hAnsi="IPT.Zar" w:cs="B Zar"/>
          <w:rtl/>
        </w:rPr>
        <w:t xml:space="preserve"> </w:t>
      </w:r>
      <w:r>
        <w:rPr>
          <w:rFonts w:ascii="IPT.Zar" w:hAnsi="IPT.Zar" w:cs="B Zar" w:hint="cs"/>
          <w:rtl/>
        </w:rPr>
        <w:t xml:space="preserve"> </w:t>
      </w:r>
      <w:r w:rsidRPr="00317985">
        <w:rPr>
          <w:rFonts w:ascii="IPT.Zar" w:hAnsi="IPT.Zar" w:cs="B Zar"/>
          <w:rtl/>
        </w:rPr>
        <w:t>چاندوگيا اوپانيشاد: 3:8‌- 12</w:t>
      </w:r>
    </w:p>
  </w:footnote>
  <w:footnote w:id="413">
    <w:p w:rsidR="00C8559C" w:rsidRPr="00317985" w:rsidP="009D0BE5">
      <w:pPr>
        <w:pStyle w:val="FootnoteText"/>
        <w:ind w:left="0" w:right="0"/>
        <w:jc w:val="both"/>
        <w:rPr>
          <w:rFonts w:ascii="IPT.Zar" w:hAnsi="IPT.Zar" w:cs="B Zar"/>
          <w:rtl/>
        </w:rPr>
      </w:pPr>
      <w:r w:rsidRPr="009D0BE5">
        <w:rPr>
          <w:rStyle w:val="FootnoteReference"/>
          <w:rFonts w:ascii="IPT.Zar" w:hAnsi="IPT.Zar" w:cs="B Zar"/>
          <w:sz w:val="24"/>
          <w:szCs w:val="24"/>
          <w:vertAlign w:val="baseline"/>
        </w:rPr>
        <w:footnoteRef/>
      </w:r>
      <w:r w:rsidRPr="00317985">
        <w:rPr>
          <w:rFonts w:ascii="IPT.Zar" w:hAnsi="IPT.Zar" w:cs="B Zar"/>
          <w:rtl/>
        </w:rPr>
        <w:t>.</w:t>
      </w:r>
      <w:r>
        <w:rPr>
          <w:rFonts w:ascii="IPT.Zar" w:hAnsi="IPT.Zar" w:cs="B Zar" w:hint="cs"/>
          <w:rtl/>
        </w:rPr>
        <w:t xml:space="preserve">  </w:t>
      </w:r>
      <w:r w:rsidRPr="00317985">
        <w:rPr>
          <w:rFonts w:ascii="IPT.Zar" w:hAnsi="IPT.Zar" w:cs="B Zar"/>
          <w:rtl/>
        </w:rPr>
        <w:t xml:space="preserve"> ساتياتا برهمنا: 15:2</w:t>
      </w:r>
    </w:p>
  </w:footnote>
  <w:footnote w:id="414">
    <w:p w:rsidR="00C8559C" w:rsidRPr="00317985" w:rsidP="00BA2F0B">
      <w:pPr>
        <w:pStyle w:val="FootnoteText"/>
        <w:ind w:left="227" w:right="0" w:hanging="227"/>
        <w:jc w:val="both"/>
        <w:rPr>
          <w:rFonts w:ascii="IPT.Zar" w:hAnsi="IPT.Zar" w:cs="B Zar"/>
          <w:rtl/>
        </w:rPr>
      </w:pPr>
      <w:r w:rsidRPr="00BA2F0B">
        <w:rPr>
          <w:rStyle w:val="FootnoteReference"/>
          <w:rFonts w:ascii="IPT.Zar" w:hAnsi="IPT.Zar" w:cs="B Zar"/>
          <w:sz w:val="24"/>
          <w:szCs w:val="24"/>
          <w:vertAlign w:val="baseline"/>
        </w:rPr>
        <w:footnoteRef/>
      </w:r>
      <w:r w:rsidRPr="00317985">
        <w:rPr>
          <w:rFonts w:ascii="IPT.Zar" w:hAnsi="IPT.Zar" w:cs="B Zar"/>
          <w:rtl/>
        </w:rPr>
        <w:t>.</w:t>
      </w:r>
      <w:r>
        <w:rPr>
          <w:rFonts w:ascii="IPT.Zar" w:hAnsi="IPT.Zar" w:cs="B Zar" w:hint="cs"/>
          <w:rtl/>
        </w:rPr>
        <w:t xml:space="preserve"> </w:t>
      </w:r>
      <w:r w:rsidRPr="00317985">
        <w:rPr>
          <w:rFonts w:ascii="IPT.Zar" w:hAnsi="IPT.Zar" w:cs="B Zar"/>
          <w:rtl/>
        </w:rPr>
        <w:t xml:space="preserve"> </w:t>
      </w:r>
      <w:r>
        <w:rPr>
          <w:rFonts w:ascii="IPT.Zar" w:hAnsi="IPT.Zar" w:cs="B Zar" w:hint="cs"/>
          <w:rtl/>
        </w:rPr>
        <w:tab/>
      </w:r>
      <w:r w:rsidRPr="00317985">
        <w:rPr>
          <w:rFonts w:ascii="IPT.Zar" w:hAnsi="IPT.Zar" w:cs="B Zar"/>
          <w:rtl/>
        </w:rPr>
        <w:t>همان: 70:1</w:t>
      </w:r>
    </w:p>
  </w:footnote>
  <w:footnote w:id="415">
    <w:p w:rsidR="00C8559C" w:rsidRPr="006A4F74" w:rsidP="00BA2F0B">
      <w:pPr>
        <w:pStyle w:val="FootnoteText"/>
        <w:ind w:left="227" w:right="0" w:hanging="227"/>
        <w:jc w:val="both"/>
        <w:rPr>
          <w:rFonts w:cs="B Zar" w:hint="cs"/>
          <w:sz w:val="22"/>
          <w:szCs w:val="22"/>
          <w:rtl/>
        </w:rPr>
      </w:pPr>
      <w:r w:rsidRPr="00BA2F0B">
        <w:rPr>
          <w:rStyle w:val="FootnoteReference"/>
          <w:rFonts w:ascii="IPT.Zar" w:hAnsi="IPT.Zar" w:cs="B Zar"/>
          <w:sz w:val="24"/>
          <w:szCs w:val="24"/>
          <w:vertAlign w:val="baseline"/>
        </w:rPr>
        <w:footnoteRef/>
      </w:r>
      <w:r w:rsidRPr="00317985">
        <w:rPr>
          <w:rFonts w:ascii="IPT.Zar" w:hAnsi="IPT.Zar" w:cs="B Zar"/>
          <w:rtl/>
        </w:rPr>
        <w:t xml:space="preserve">. </w:t>
      </w:r>
      <w:r>
        <w:rPr>
          <w:rFonts w:ascii="IPT.Zar" w:hAnsi="IPT.Zar" w:cs="B Zar" w:hint="cs"/>
          <w:rtl/>
        </w:rPr>
        <w:t xml:space="preserve"> </w:t>
        <w:tab/>
      </w:r>
      <w:r w:rsidRPr="00317985">
        <w:rPr>
          <w:rFonts w:ascii="IPT.Zar" w:hAnsi="IPT.Zar" w:cs="B Zar"/>
          <w:rtl/>
        </w:rPr>
        <w:t>تلفظ اين كلمه به عنوان ويشوا كارامان، چنانكه در برخي متون فارسي ديده مي شود، نادرست است؛ چرا كه ويشوا كارامان يكي از دختران ويشوا كارامان است كه به نام ساماج ناني معروف است.</w:t>
      </w:r>
    </w:p>
  </w:footnote>
  <w:footnote w:id="416">
    <w:p w:rsidR="00C8559C" w:rsidRPr="00317985" w:rsidP="00BA2F0B">
      <w:pPr>
        <w:pStyle w:val="FootnoteText"/>
        <w:ind w:left="227" w:right="0" w:hanging="227"/>
        <w:jc w:val="both"/>
        <w:rPr>
          <w:rFonts w:ascii="IPT.Zar" w:hAnsi="IPT.Zar" w:cs="B Zar"/>
          <w:rtl/>
        </w:rPr>
      </w:pPr>
      <w:r w:rsidRPr="00BA2F0B">
        <w:rPr>
          <w:rStyle w:val="FootnoteReference"/>
          <w:rFonts w:ascii="IPT.Zar" w:hAnsi="IPT.Zar" w:cs="B Zar"/>
          <w:sz w:val="24"/>
          <w:szCs w:val="24"/>
          <w:vertAlign w:val="baseline"/>
        </w:rPr>
        <w:footnoteRef/>
      </w:r>
      <w:r w:rsidRPr="00317985">
        <w:rPr>
          <w:rFonts w:ascii="IPT.Zar" w:hAnsi="IPT.Zar" w:cs="B Zar"/>
          <w:rtl/>
        </w:rPr>
        <w:t xml:space="preserve">. </w:t>
      </w:r>
      <w:r>
        <w:rPr>
          <w:rFonts w:ascii="IPT.Zar" w:hAnsi="IPT.Zar" w:cs="B Zar" w:hint="cs"/>
          <w:rtl/>
        </w:rPr>
        <w:t xml:space="preserve"> </w:t>
        <w:tab/>
      </w:r>
      <w:r w:rsidRPr="00317985">
        <w:rPr>
          <w:rFonts w:ascii="IPT.Zar" w:hAnsi="IPT.Zar" w:cs="B Zar"/>
          <w:rtl/>
        </w:rPr>
        <w:t>ريگ ودا: 81:10</w:t>
      </w:r>
    </w:p>
  </w:footnote>
  <w:footnote w:id="417">
    <w:p w:rsidR="00C8559C" w:rsidRPr="006A4F74" w:rsidP="00BA2F0B">
      <w:pPr>
        <w:pStyle w:val="FootnoteText"/>
        <w:ind w:left="227" w:right="0" w:hanging="227"/>
        <w:jc w:val="both"/>
        <w:rPr>
          <w:rFonts w:cs="B Zar" w:hint="cs"/>
          <w:sz w:val="22"/>
          <w:szCs w:val="22"/>
          <w:rtl/>
        </w:rPr>
      </w:pPr>
      <w:r w:rsidRPr="00BA2F0B">
        <w:rPr>
          <w:rStyle w:val="FootnoteReference"/>
          <w:rFonts w:ascii="IPT.Zar" w:hAnsi="IPT.Zar" w:cs="B Zar"/>
          <w:sz w:val="24"/>
          <w:szCs w:val="24"/>
          <w:vertAlign w:val="baseline"/>
        </w:rPr>
        <w:footnoteRef/>
      </w:r>
      <w:r w:rsidRPr="00317985">
        <w:rPr>
          <w:rFonts w:ascii="IPT.Zar" w:hAnsi="IPT.Zar" w:cs="B Zar"/>
          <w:rtl/>
        </w:rPr>
        <w:t>.</w:t>
      </w:r>
      <w:r>
        <w:rPr>
          <w:rFonts w:ascii="IPT.Zar" w:hAnsi="IPT.Zar" w:cs="B Zar" w:hint="cs"/>
          <w:rtl/>
        </w:rPr>
        <w:t xml:space="preserve"> </w:t>
      </w:r>
      <w:r w:rsidRPr="00317985">
        <w:rPr>
          <w:rFonts w:ascii="IPT.Zar" w:hAnsi="IPT.Zar" w:cs="B Zar"/>
          <w:rtl/>
        </w:rPr>
        <w:t xml:space="preserve"> </w:t>
      </w:r>
      <w:r>
        <w:rPr>
          <w:rFonts w:ascii="IPT.Zar" w:hAnsi="IPT.Zar" w:cs="B Zar" w:hint="cs"/>
          <w:rtl/>
        </w:rPr>
        <w:tab/>
      </w:r>
      <w:r w:rsidRPr="00317985">
        <w:rPr>
          <w:rFonts w:ascii="IPT.Zar" w:hAnsi="IPT.Zar" w:cs="B Zar"/>
          <w:rtl/>
        </w:rPr>
        <w:t>همان: 81:10</w:t>
      </w:r>
    </w:p>
  </w:footnote>
  <w:footnote w:id="418">
    <w:p w:rsidR="00C8559C" w:rsidRPr="00317985" w:rsidP="00BA2F0B">
      <w:pPr>
        <w:pStyle w:val="FootnoteText"/>
        <w:ind w:left="227" w:right="0" w:hanging="227"/>
        <w:jc w:val="both"/>
        <w:rPr>
          <w:rFonts w:ascii="IPT.Zar" w:hAnsi="IPT.Zar" w:cs="B Zar"/>
          <w:rtl/>
        </w:rPr>
      </w:pPr>
      <w:r w:rsidRPr="00BA2F0B">
        <w:rPr>
          <w:rStyle w:val="FootnoteReference"/>
          <w:rFonts w:ascii="IPT.Zar" w:hAnsi="IPT.Zar" w:cs="B Zar"/>
          <w:sz w:val="24"/>
          <w:szCs w:val="24"/>
          <w:vertAlign w:val="baseline"/>
        </w:rPr>
        <w:footnoteRef/>
      </w:r>
      <w:r w:rsidRPr="00317985">
        <w:rPr>
          <w:rFonts w:ascii="IPT.Zar" w:hAnsi="IPT.Zar" w:cs="B Zar"/>
          <w:rtl/>
        </w:rPr>
        <w:t xml:space="preserve">. </w:t>
      </w:r>
      <w:r>
        <w:rPr>
          <w:rFonts w:ascii="IPT.Zar" w:hAnsi="IPT.Zar" w:cs="B Zar" w:hint="cs"/>
          <w:rtl/>
        </w:rPr>
        <w:tab/>
      </w:r>
      <w:r w:rsidRPr="00317985">
        <w:rPr>
          <w:rFonts w:ascii="IPT.Zar" w:hAnsi="IPT.Zar" w:cs="B Zar"/>
          <w:rtl/>
        </w:rPr>
        <w:t>سامَ ودا: قسمت 2، كتاب 7، فصل 3، قطعه 9</w:t>
      </w:r>
    </w:p>
  </w:footnote>
  <w:footnote w:id="419">
    <w:p w:rsidR="00C8559C" w:rsidRPr="006A4F74" w:rsidP="00BA2F0B">
      <w:pPr>
        <w:pStyle w:val="FootnoteText"/>
        <w:ind w:left="227" w:right="0" w:hanging="227"/>
        <w:jc w:val="both"/>
        <w:rPr>
          <w:rFonts w:cs="B Zar" w:hint="cs"/>
          <w:sz w:val="22"/>
          <w:szCs w:val="22"/>
          <w:rtl/>
        </w:rPr>
      </w:pPr>
      <w:r w:rsidRPr="00BA2F0B">
        <w:rPr>
          <w:rStyle w:val="FootnoteReference"/>
          <w:rFonts w:ascii="IPT.Zar" w:hAnsi="IPT.Zar" w:cs="B Zar"/>
          <w:sz w:val="24"/>
          <w:szCs w:val="24"/>
          <w:vertAlign w:val="baseline"/>
        </w:rPr>
        <w:footnoteRef/>
      </w:r>
      <w:r w:rsidRPr="00317985">
        <w:rPr>
          <w:rFonts w:ascii="IPT.Zar" w:hAnsi="IPT.Zar" w:cs="B Zar"/>
          <w:rtl/>
        </w:rPr>
        <w:t xml:space="preserve">. </w:t>
      </w:r>
      <w:r>
        <w:rPr>
          <w:rFonts w:ascii="IPT.Zar" w:hAnsi="IPT.Zar" w:cs="B Zar" w:hint="cs"/>
          <w:rtl/>
        </w:rPr>
        <w:tab/>
      </w:r>
      <w:r w:rsidRPr="00317985">
        <w:rPr>
          <w:rFonts w:ascii="IPT.Zar" w:hAnsi="IPT.Zar" w:cs="B Zar"/>
          <w:rtl/>
        </w:rPr>
        <w:t>ساتياتا برهمنا: 8: 1:2: 10، 2:8: 3:3</w:t>
      </w:r>
    </w:p>
  </w:footnote>
  <w:footnote w:id="420">
    <w:p w:rsidR="00C8559C" w:rsidRPr="00A375CD" w:rsidP="00BA2F0B">
      <w:pPr>
        <w:pStyle w:val="FootnoteText"/>
        <w:bidi w:val="0"/>
        <w:rPr>
          <w:sz w:val="18"/>
          <w:szCs w:val="18"/>
        </w:rPr>
      </w:pPr>
      <w:r w:rsidRPr="00A375CD">
        <w:rPr>
          <w:rStyle w:val="FootnoteReference"/>
          <w:sz w:val="18"/>
          <w:szCs w:val="18"/>
          <w:vertAlign w:val="baseline"/>
        </w:rPr>
        <w:footnoteRef/>
      </w:r>
      <w:r w:rsidRPr="00A375CD">
        <w:rPr>
          <w:sz w:val="18"/>
          <w:szCs w:val="18"/>
        </w:rPr>
        <w:t xml:space="preserve">. </w:t>
      </w:r>
      <w:r>
        <w:rPr>
          <w:sz w:val="18"/>
          <w:szCs w:val="18"/>
        </w:rPr>
        <w:t xml:space="preserve"> </w:t>
      </w:r>
      <w:r w:rsidRPr="00A375CD">
        <w:rPr>
          <w:sz w:val="18"/>
          <w:szCs w:val="18"/>
        </w:rPr>
        <w:t xml:space="preserve">Hymns of the Atharva-Veda, Tr by M. Bloomfield, </w:t>
      </w:r>
      <w:smartTag w:uri="urn:schemas-microsoft-com:office:smarttags" w:element="place">
        <w:smartTag w:uri="urn:schemas-microsoft-com:office:smarttags" w:element="City">
          <w:r w:rsidRPr="00A375CD">
            <w:rPr>
              <w:sz w:val="18"/>
              <w:szCs w:val="18"/>
            </w:rPr>
            <w:t>Oxford</w:t>
          </w:r>
        </w:smartTag>
      </w:smartTag>
      <w:r w:rsidRPr="00A375CD">
        <w:rPr>
          <w:sz w:val="18"/>
          <w:szCs w:val="18"/>
        </w:rPr>
        <w:t>, 1897, p</w:t>
      </w:r>
      <w:r>
        <w:rPr>
          <w:sz w:val="18"/>
          <w:szCs w:val="18"/>
        </w:rPr>
        <w:t>.</w:t>
      </w:r>
      <w:r w:rsidRPr="00A375CD">
        <w:rPr>
          <w:sz w:val="18"/>
          <w:szCs w:val="18"/>
        </w:rPr>
        <w:t xml:space="preserve"> 629</w:t>
      </w:r>
    </w:p>
  </w:footnote>
  <w:footnote w:id="421">
    <w:p w:rsidR="00C8559C" w:rsidRPr="00317985" w:rsidP="0032200F">
      <w:pPr>
        <w:pStyle w:val="FootnoteText"/>
        <w:ind w:left="227" w:right="0" w:hanging="227"/>
        <w:jc w:val="both"/>
        <w:rPr>
          <w:rFonts w:ascii="IPT.Zar" w:hAnsi="IPT.Zar" w:cs="B Zar"/>
        </w:rPr>
      </w:pPr>
      <w:r w:rsidRPr="00874FDC">
        <w:rPr>
          <w:rStyle w:val="FootnoteReference"/>
          <w:rFonts w:ascii="IPT.Zar" w:hAnsi="IPT.Zar" w:cs="B Zar"/>
          <w:sz w:val="24"/>
          <w:szCs w:val="24"/>
          <w:vertAlign w:val="baseline"/>
        </w:rPr>
        <w:footnoteRef/>
      </w:r>
      <w:r w:rsidRPr="00317985">
        <w:rPr>
          <w:rFonts w:ascii="IPT.Zar" w:hAnsi="IPT.Zar" w:cs="B Zar"/>
          <w:rtl/>
        </w:rPr>
        <w:t xml:space="preserve">. </w:t>
      </w:r>
      <w:r>
        <w:rPr>
          <w:rFonts w:ascii="IPT.Zar" w:hAnsi="IPT.Zar" w:cs="B Zar" w:hint="cs"/>
          <w:rtl/>
        </w:rPr>
        <w:tab/>
      </w:r>
      <w:r w:rsidRPr="00317985">
        <w:rPr>
          <w:rFonts w:ascii="IPT.Zar" w:hAnsi="IPT.Zar" w:cs="B Zar"/>
          <w:rtl/>
        </w:rPr>
        <w:t>ريگ ودا: 121:10</w:t>
      </w:r>
    </w:p>
  </w:footnote>
  <w:footnote w:id="422">
    <w:p w:rsidR="00C8559C" w:rsidRPr="00317985" w:rsidP="0032200F">
      <w:pPr>
        <w:pStyle w:val="FootnoteText"/>
        <w:ind w:left="227" w:right="0" w:hanging="227"/>
        <w:jc w:val="both"/>
        <w:rPr>
          <w:rFonts w:ascii="IPT.Zar" w:hAnsi="IPT.Zar" w:cs="B Zar"/>
          <w:rtl/>
        </w:rPr>
      </w:pPr>
      <w:r w:rsidRPr="00874FDC">
        <w:rPr>
          <w:rStyle w:val="FootnoteReference"/>
          <w:rFonts w:ascii="IPT.Zar" w:hAnsi="IPT.Zar" w:cs="B Zar"/>
          <w:sz w:val="24"/>
          <w:szCs w:val="24"/>
          <w:vertAlign w:val="baseline"/>
        </w:rPr>
        <w:footnoteRef/>
      </w:r>
      <w:r w:rsidRPr="00317985">
        <w:rPr>
          <w:rFonts w:ascii="IPT.Zar" w:hAnsi="IPT.Zar" w:cs="B Zar"/>
          <w:rtl/>
        </w:rPr>
        <w:t xml:space="preserve">. </w:t>
      </w:r>
      <w:r>
        <w:rPr>
          <w:rFonts w:ascii="IPT.Zar" w:hAnsi="IPT.Zar" w:cs="B Zar" w:hint="cs"/>
          <w:rtl/>
        </w:rPr>
        <w:tab/>
      </w:r>
      <w:r w:rsidRPr="00317985">
        <w:rPr>
          <w:rFonts w:ascii="IPT.Zar" w:hAnsi="IPT.Zar" w:cs="B Zar"/>
          <w:rtl/>
        </w:rPr>
        <w:t>ريگ ودا: 10: 3:82</w:t>
      </w:r>
    </w:p>
  </w:footnote>
  <w:footnote w:id="423">
    <w:p w:rsidR="00C8559C" w:rsidRPr="006A4F74" w:rsidP="00B11DDE">
      <w:pPr>
        <w:pStyle w:val="FootnoteText"/>
        <w:ind w:left="227" w:right="0" w:hanging="227"/>
        <w:jc w:val="both"/>
        <w:rPr>
          <w:rFonts w:cs="B Zar" w:hint="cs"/>
          <w:sz w:val="22"/>
          <w:szCs w:val="22"/>
          <w:rtl/>
        </w:rPr>
      </w:pPr>
      <w:r w:rsidRPr="0032200F">
        <w:rPr>
          <w:rStyle w:val="FootnoteReference"/>
          <w:rFonts w:ascii="IPT.Zar" w:hAnsi="IPT.Zar" w:cs="B Zar"/>
          <w:sz w:val="24"/>
          <w:szCs w:val="24"/>
          <w:vertAlign w:val="baseline"/>
        </w:rPr>
        <w:footnoteRef/>
      </w:r>
      <w:r w:rsidRPr="00317985">
        <w:rPr>
          <w:rFonts w:ascii="IPT.Zar" w:hAnsi="IPT.Zar" w:cs="B Zar"/>
        </w:rPr>
        <w:sym w:font="IPT.Zar" w:char="F020"/>
      </w:r>
      <w:r w:rsidRPr="00317985">
        <w:rPr>
          <w:rFonts w:ascii="IPT.Zar" w:hAnsi="IPT.Zar" w:cs="B Zar"/>
          <w:rtl/>
        </w:rPr>
        <w:t>. نقل از آچاريه دهارام ديوا: مقدمه بر سامَ ودا: ص 29 ـ 32</w:t>
      </w:r>
    </w:p>
  </w:footnote>
  <w:footnote w:id="424">
    <w:p w:rsidR="00C8559C" w:rsidRPr="00317985" w:rsidP="00B11DDE">
      <w:pPr>
        <w:pStyle w:val="FootnoteText"/>
        <w:ind w:left="227" w:right="0" w:hanging="227"/>
        <w:jc w:val="both"/>
        <w:rPr>
          <w:rFonts w:ascii="IPT.Zar" w:hAnsi="IPT.Zar" w:cs="B Zar"/>
          <w:rtl/>
        </w:rPr>
      </w:pPr>
      <w:r w:rsidRPr="0032200F">
        <w:rPr>
          <w:rStyle w:val="FootnoteReference"/>
          <w:rFonts w:ascii="IPT.Zar" w:hAnsi="IPT.Zar" w:cs="B Zar"/>
          <w:sz w:val="24"/>
          <w:szCs w:val="24"/>
          <w:vertAlign w:val="baseline"/>
        </w:rPr>
        <w:footnoteRef/>
      </w:r>
      <w:r w:rsidRPr="00317985">
        <w:rPr>
          <w:rFonts w:ascii="IPT.Zar" w:hAnsi="IPT.Zar" w:cs="B Zar"/>
        </w:rPr>
        <w:sym w:font="IPT.Zar" w:char="F020"/>
      </w:r>
      <w:r w:rsidRPr="00317985">
        <w:rPr>
          <w:rFonts w:ascii="IPT.Zar" w:hAnsi="IPT.Zar" w:cs="B Zar"/>
          <w:rtl/>
        </w:rPr>
        <w:t>. اتَهارَوا ودا: 1:12 : 19-21</w:t>
      </w:r>
    </w:p>
  </w:footnote>
  <w:footnote w:id="425">
    <w:p w:rsidR="00C8559C" w:rsidRPr="00A375CD" w:rsidP="00A375CD">
      <w:pPr>
        <w:pStyle w:val="FootnoteText"/>
        <w:bidi w:val="0"/>
        <w:spacing w:line="240" w:lineRule="exact"/>
        <w:rPr>
          <w:sz w:val="18"/>
          <w:szCs w:val="18"/>
        </w:rPr>
      </w:pPr>
      <w:r w:rsidRPr="00A375CD">
        <w:rPr>
          <w:rStyle w:val="FootnoteReference"/>
          <w:sz w:val="18"/>
          <w:szCs w:val="18"/>
          <w:vertAlign w:val="baseline"/>
        </w:rPr>
        <w:footnoteRef/>
      </w:r>
      <w:r>
        <w:rPr>
          <w:sz w:val="18"/>
          <w:szCs w:val="18"/>
        </w:rPr>
        <w:t>.</w:t>
      </w:r>
      <w:r w:rsidRPr="00A375CD">
        <w:rPr>
          <w:sz w:val="18"/>
          <w:szCs w:val="18"/>
          <w:rtl/>
        </w:rPr>
        <w:t xml:space="preserve"> </w:t>
      </w:r>
      <w:r w:rsidRPr="00A375CD">
        <w:rPr>
          <w:rFonts w:cs="B Zar"/>
          <w:sz w:val="18"/>
          <w:szCs w:val="18"/>
        </w:rPr>
        <w:t xml:space="preserve">Muller, Max: History of  Sanskrit Literature, </w:t>
      </w:r>
      <w:smartTag w:uri="urn:schemas-microsoft-com:office:smarttags" w:element="place">
        <w:smartTag w:uri="urn:schemas-microsoft-com:office:smarttags" w:element="City">
          <w:r w:rsidRPr="00A375CD">
            <w:rPr>
              <w:rFonts w:cs="B Zar"/>
              <w:sz w:val="18"/>
              <w:szCs w:val="18"/>
            </w:rPr>
            <w:t>Delhi</w:t>
          </w:r>
        </w:smartTag>
      </w:smartTag>
      <w:r w:rsidRPr="00A375CD">
        <w:rPr>
          <w:rFonts w:cs="B Zar"/>
          <w:sz w:val="18"/>
          <w:szCs w:val="18"/>
        </w:rPr>
        <w:t>, 1998, p 69</w:t>
      </w:r>
    </w:p>
  </w:footnote>
  <w:footnote w:id="426">
    <w:p w:rsidR="00C8559C" w:rsidRPr="006A4F74" w:rsidP="00A375CD">
      <w:pPr>
        <w:pStyle w:val="FootnoteText"/>
        <w:bidi w:val="0"/>
        <w:spacing w:line="240" w:lineRule="exact"/>
        <w:rPr>
          <w:rFonts w:cs="Times New Roman"/>
        </w:rPr>
      </w:pPr>
      <w:r w:rsidRPr="00A375CD">
        <w:rPr>
          <w:rStyle w:val="FootnoteReference"/>
          <w:rFonts w:cs="Times New Roman"/>
          <w:sz w:val="18"/>
          <w:szCs w:val="18"/>
          <w:vertAlign w:val="baseline"/>
        </w:rPr>
        <w:footnoteRef/>
      </w:r>
      <w:r>
        <w:rPr>
          <w:rFonts w:cs="Times New Roman"/>
          <w:sz w:val="18"/>
          <w:szCs w:val="18"/>
        </w:rPr>
        <w:t>.</w:t>
      </w:r>
      <w:r w:rsidRPr="00A375CD">
        <w:rPr>
          <w:rFonts w:cs="Times New Roman"/>
          <w:sz w:val="18"/>
          <w:szCs w:val="18"/>
        </w:rPr>
        <w:t xml:space="preserve"> Das Gupta, History of Indian Philosophy, Vol. 1, Page 17</w:t>
      </w:r>
      <w:r w:rsidRPr="006A4F74">
        <w:rPr>
          <w:rFonts w:cs="Times New Roman" w:hint="cs"/>
          <w:rtl/>
        </w:rPr>
        <w:t xml:space="preserve"> </w:t>
      </w:r>
    </w:p>
  </w:footnote>
  <w:footnote w:id="427">
    <w:p w:rsidR="00C8559C" w:rsidRPr="00317985" w:rsidP="00B11DDE">
      <w:pPr>
        <w:pStyle w:val="FootnoteText"/>
        <w:ind w:left="227" w:right="0" w:hanging="227"/>
        <w:jc w:val="both"/>
        <w:rPr>
          <w:rFonts w:ascii="IPT.Zar" w:hAnsi="IPT.Zar" w:cs="B Zar" w:hint="cs"/>
          <w:rtl/>
        </w:rPr>
      </w:pPr>
      <w:r w:rsidRPr="00A06B1C">
        <w:rPr>
          <w:rStyle w:val="FootnoteReference"/>
          <w:rFonts w:ascii="IPT.Zar" w:hAnsi="IPT.Zar" w:cs="B Zar"/>
          <w:sz w:val="24"/>
          <w:szCs w:val="24"/>
          <w:vertAlign w:val="baseline"/>
        </w:rPr>
        <w:footnoteRef/>
      </w:r>
      <w:r w:rsidRPr="00317985">
        <w:rPr>
          <w:rFonts w:ascii="IPT.Zar" w:hAnsi="IPT.Zar" w:cs="B Zar"/>
        </w:rPr>
        <w:sym w:font="IPT.Zar" w:char="F020"/>
      </w:r>
      <w:r w:rsidRPr="00317985">
        <w:rPr>
          <w:rFonts w:ascii="IPT.Zar" w:hAnsi="IPT.Zar" w:cs="B Zar"/>
          <w:rtl/>
        </w:rPr>
        <w:t>. همان ص 19</w:t>
      </w:r>
    </w:p>
  </w:footnote>
  <w:footnote w:id="428">
    <w:p w:rsidR="00C8559C" w:rsidRPr="00FE1EC3" w:rsidP="00FE1EC3">
      <w:pPr>
        <w:pStyle w:val="FootnoteText"/>
        <w:bidi w:val="0"/>
        <w:rPr>
          <w:sz w:val="18"/>
          <w:szCs w:val="18"/>
        </w:rPr>
      </w:pPr>
      <w:r w:rsidRPr="00FE1EC3">
        <w:rPr>
          <w:rStyle w:val="FootnoteReference"/>
          <w:sz w:val="18"/>
          <w:szCs w:val="18"/>
          <w:vertAlign w:val="baseline"/>
        </w:rPr>
        <w:footnoteRef/>
      </w:r>
      <w:r w:rsidRPr="00FE1EC3">
        <w:rPr>
          <w:sz w:val="18"/>
          <w:szCs w:val="18"/>
        </w:rPr>
        <w:t xml:space="preserve">. </w:t>
      </w:r>
      <w:r w:rsidRPr="00FE1EC3">
        <w:rPr>
          <w:rFonts w:cs="B Zar"/>
          <w:sz w:val="18"/>
          <w:szCs w:val="18"/>
        </w:rPr>
        <w:t>Radhakshnan, Dr S:  The Indian Philosophy, vol. 1, p 89-92</w:t>
      </w:r>
    </w:p>
  </w:footnote>
  <w:footnote w:id="429">
    <w:p w:rsidR="00C8559C" w:rsidRPr="00317985">
      <w:pPr>
        <w:pStyle w:val="FootnoteText"/>
        <w:ind w:left="0" w:right="0"/>
        <w:jc w:val="both"/>
        <w:rPr>
          <w:rFonts w:ascii="IPT.Zar" w:hAnsi="IPT.Zar" w:cs="B Zar"/>
          <w:rtl/>
        </w:rPr>
      </w:pPr>
      <w:r w:rsidRPr="00BB0446">
        <w:rPr>
          <w:rStyle w:val="FootnoteReference"/>
          <w:rFonts w:ascii="IPT.Zar" w:hAnsi="IPT.Zar" w:cs="B Zar"/>
          <w:sz w:val="24"/>
          <w:szCs w:val="24"/>
          <w:vertAlign w:val="baseline"/>
        </w:rPr>
        <w:footnoteRef/>
      </w:r>
      <w:r w:rsidRPr="00317985">
        <w:rPr>
          <w:rFonts w:ascii="IPT.Zar" w:hAnsi="IPT.Zar" w:cs="B Zar"/>
        </w:rPr>
        <w:sym w:font="IPT.Zar" w:char="F020"/>
      </w:r>
      <w:r w:rsidRPr="00317985">
        <w:rPr>
          <w:rFonts w:ascii="IPT.Zar" w:hAnsi="IPT.Zar" w:cs="B Zar"/>
          <w:rtl/>
        </w:rPr>
        <w:t>. داراشكوه: مجمع البحرين نولكشور پريس، لكهنؤ. 1325</w:t>
      </w:r>
    </w:p>
  </w:footnote>
  <w:footnote w:id="430">
    <w:p w:rsidR="00C8559C" w:rsidRPr="00317985">
      <w:pPr>
        <w:pStyle w:val="FootnoteText"/>
        <w:ind w:left="0" w:right="0"/>
        <w:jc w:val="both"/>
        <w:rPr>
          <w:rFonts w:ascii="IPT.Zar" w:hAnsi="IPT.Zar" w:cs="B Zar"/>
          <w:rtl/>
        </w:rPr>
      </w:pPr>
      <w:r w:rsidRPr="00BB0446">
        <w:rPr>
          <w:rStyle w:val="FootnoteReference"/>
          <w:rFonts w:ascii="IPT.Zar" w:hAnsi="IPT.Zar" w:cs="B Zar"/>
          <w:sz w:val="24"/>
          <w:szCs w:val="24"/>
          <w:vertAlign w:val="baseline"/>
        </w:rPr>
        <w:footnoteRef/>
      </w:r>
      <w:r w:rsidRPr="00317985">
        <w:rPr>
          <w:rFonts w:ascii="IPT.Zar" w:hAnsi="IPT.Zar" w:cs="B Zar"/>
        </w:rPr>
        <w:sym w:font="IPT.Zar" w:char="F020"/>
      </w:r>
      <w:r w:rsidRPr="00317985">
        <w:rPr>
          <w:rFonts w:ascii="IPT.Zar" w:hAnsi="IPT.Zar" w:cs="B Zar"/>
          <w:rtl/>
        </w:rPr>
        <w:t>.</w:t>
      </w:r>
      <w:r>
        <w:rPr>
          <w:rFonts w:ascii="IPT.Zar" w:hAnsi="IPT.Zar" w:cs="B Zar" w:hint="cs"/>
          <w:rtl/>
        </w:rPr>
        <w:t xml:space="preserve">  </w:t>
      </w:r>
      <w:r w:rsidRPr="00317985">
        <w:rPr>
          <w:rFonts w:ascii="IPT.Zar" w:hAnsi="IPT.Zar" w:cs="B Zar"/>
          <w:rtl/>
        </w:rPr>
        <w:t xml:space="preserve"> ابن سينا: اشارات و تنبيهات: النمط الثامن في البهجته و السعاده</w:t>
      </w:r>
    </w:p>
  </w:footnote>
  <w:footnote w:id="431">
    <w:p w:rsidR="00C8559C" w:rsidRPr="00317985" w:rsidP="00BB0446">
      <w:pPr>
        <w:pStyle w:val="FootnoteText"/>
        <w:ind w:left="227" w:right="0" w:hanging="227"/>
        <w:jc w:val="both"/>
        <w:rPr>
          <w:rFonts w:ascii="IPT.Zar" w:hAnsi="IPT.Zar" w:cs="B Zar"/>
          <w:rtl/>
        </w:rPr>
      </w:pPr>
      <w:r w:rsidRPr="00BB0446">
        <w:rPr>
          <w:rStyle w:val="FootnoteReference"/>
          <w:rFonts w:ascii="IPT.Zar" w:hAnsi="IPT.Zar" w:cs="B Zar"/>
          <w:sz w:val="24"/>
          <w:szCs w:val="24"/>
          <w:vertAlign w:val="baseline"/>
        </w:rPr>
        <w:footnoteRef/>
      </w:r>
      <w:r w:rsidRPr="00317985">
        <w:rPr>
          <w:rFonts w:ascii="IPT.Zar" w:hAnsi="IPT.Zar" w:cs="B Zar"/>
        </w:rPr>
        <w:sym w:font="IPT.Zar" w:char="F020"/>
      </w:r>
      <w:r w:rsidRPr="00317985">
        <w:rPr>
          <w:rFonts w:ascii="IPT.Zar" w:hAnsi="IPT.Zar" w:cs="B Zar"/>
          <w:rtl/>
        </w:rPr>
        <w:t xml:space="preserve">  براي مطالعه بيشتر در اين باب به كتاب «آشنايي با علوم اسلامي» اثرات شهيد مطهري مراجعه شود.</w:t>
      </w:r>
    </w:p>
  </w:footnote>
  <w:footnote w:id="432">
    <w:p w:rsidR="00C8559C" w:rsidRPr="00317985" w:rsidP="00B11DDE">
      <w:pPr>
        <w:pStyle w:val="FootnoteText"/>
        <w:ind w:left="227" w:right="0" w:hanging="227"/>
        <w:jc w:val="both"/>
        <w:rPr>
          <w:rFonts w:ascii="IPT.Zar" w:hAnsi="IPT.Zar" w:cs="B Zar"/>
          <w:rtl/>
        </w:rPr>
      </w:pPr>
      <w:r w:rsidRPr="00BB0446">
        <w:rPr>
          <w:rStyle w:val="FootnoteReference"/>
          <w:rFonts w:ascii="IPT.Zar" w:hAnsi="IPT.Zar" w:cs="B Zar"/>
          <w:sz w:val="24"/>
          <w:szCs w:val="24"/>
          <w:vertAlign w:val="baseline"/>
        </w:rPr>
        <w:footnoteRef/>
      </w:r>
      <w:r w:rsidRPr="00317985">
        <w:rPr>
          <w:rFonts w:ascii="IPT.Zar" w:hAnsi="IPT.Zar" w:cs="B Zar"/>
        </w:rPr>
        <w:sym w:font="IPT.Zar" w:char="F020"/>
      </w:r>
      <w:r w:rsidRPr="00317985">
        <w:rPr>
          <w:rFonts w:ascii="IPT.Zar" w:hAnsi="IPT.Zar" w:cs="B Zar"/>
          <w:rtl/>
        </w:rPr>
        <w:t>. ابن سينا: اشارات و تنبيهات، النمط الثامن: الفصل الاول.</w:t>
      </w:r>
    </w:p>
  </w:footnote>
  <w:footnote w:id="433">
    <w:p w:rsidR="00C8559C" w:rsidRPr="00317985" w:rsidP="00B11DDE">
      <w:pPr>
        <w:pStyle w:val="FootnoteText"/>
        <w:ind w:left="227" w:right="0" w:hanging="227"/>
        <w:jc w:val="both"/>
        <w:rPr>
          <w:rFonts w:ascii="IPT.Zar" w:hAnsi="IPT.Zar" w:cs="B Zar"/>
          <w:rtl/>
        </w:rPr>
      </w:pPr>
      <w:r w:rsidRPr="00BB0446">
        <w:rPr>
          <w:rStyle w:val="FootnoteReference"/>
          <w:rFonts w:ascii="IPT.Zar" w:hAnsi="IPT.Zar" w:cs="B Zar"/>
          <w:sz w:val="24"/>
          <w:szCs w:val="24"/>
          <w:vertAlign w:val="baseline"/>
        </w:rPr>
        <w:footnoteRef/>
      </w:r>
      <w:r w:rsidRPr="00317985">
        <w:rPr>
          <w:rFonts w:ascii="IPT.Zar" w:hAnsi="IPT.Zar" w:cs="B Zar"/>
        </w:rPr>
        <w:sym w:font="IPT.Zar" w:char="F020"/>
      </w:r>
      <w:r w:rsidRPr="00317985">
        <w:rPr>
          <w:rFonts w:ascii="IPT.Zar" w:hAnsi="IPT.Zar" w:cs="B Zar"/>
          <w:rtl/>
        </w:rPr>
        <w:t>.  اميرالمومنين علي عليه السلام: نهج البلاغه</w:t>
      </w:r>
    </w:p>
  </w:footnote>
  <w:footnote w:id="434">
    <w:p w:rsidR="00C8559C" w:rsidRPr="00317985" w:rsidP="00B11DDE">
      <w:pPr>
        <w:pStyle w:val="FootnoteText"/>
        <w:ind w:left="227" w:right="0" w:hanging="227"/>
        <w:jc w:val="both"/>
        <w:rPr>
          <w:rFonts w:ascii="IPT.Zar" w:hAnsi="IPT.Zar" w:cs="B Zar"/>
          <w:rtl/>
        </w:rPr>
      </w:pPr>
      <w:r w:rsidRPr="00BB0446">
        <w:rPr>
          <w:rStyle w:val="FootnoteReference"/>
          <w:rFonts w:ascii="IPT.Zar" w:hAnsi="IPT.Zar" w:cs="B Zar"/>
          <w:sz w:val="24"/>
          <w:szCs w:val="24"/>
          <w:vertAlign w:val="baseline"/>
        </w:rPr>
        <w:footnoteRef/>
      </w:r>
      <w:r w:rsidRPr="00317985">
        <w:rPr>
          <w:rFonts w:ascii="IPT.Zar" w:hAnsi="IPT.Zar" w:cs="B Zar"/>
        </w:rPr>
        <w:sym w:font="IPT.Zar" w:char="F020"/>
      </w:r>
      <w:r w:rsidRPr="00317985">
        <w:rPr>
          <w:rFonts w:ascii="IPT.Zar" w:hAnsi="IPT.Zar" w:cs="B Zar"/>
          <w:rtl/>
        </w:rPr>
        <w:t>.  رك به: ابن سينا: اشارات و تنبيهات: شرح دكتر جواد مصلح، ص 43</w:t>
      </w:r>
    </w:p>
  </w:footnote>
  <w:footnote w:id="435">
    <w:p w:rsidR="00C8559C" w:rsidRPr="006A4F74" w:rsidP="00B11DDE">
      <w:pPr>
        <w:pStyle w:val="FootnoteText"/>
        <w:ind w:left="227" w:right="0" w:hanging="227"/>
        <w:jc w:val="both"/>
        <w:rPr>
          <w:rFonts w:cs="B Zar" w:hint="cs"/>
          <w:sz w:val="22"/>
          <w:szCs w:val="22"/>
          <w:rtl/>
        </w:rPr>
      </w:pPr>
      <w:r w:rsidRPr="00BB0446">
        <w:rPr>
          <w:rStyle w:val="FootnoteReference"/>
          <w:rFonts w:ascii="IPT.Zar" w:hAnsi="IPT.Zar" w:cs="B Zar"/>
          <w:sz w:val="24"/>
          <w:szCs w:val="24"/>
          <w:vertAlign w:val="baseline"/>
        </w:rPr>
        <w:footnoteRef/>
      </w:r>
      <w:r w:rsidRPr="00317985">
        <w:rPr>
          <w:rFonts w:ascii="IPT.Zar" w:hAnsi="IPT.Zar" w:cs="B Zar"/>
        </w:rPr>
        <w:sym w:font="IPT.Zar" w:char="F020"/>
      </w:r>
      <w:r w:rsidRPr="00317985">
        <w:rPr>
          <w:rFonts w:ascii="IPT.Zar" w:hAnsi="IPT.Zar" w:cs="B Zar"/>
          <w:rtl/>
        </w:rPr>
        <w:t>.  امام فخر رازي: شرح اشارات اول نمط ه</w:t>
      </w:r>
    </w:p>
  </w:footnote>
  <w:footnote w:id="436">
    <w:p w:rsidR="00C8559C" w:rsidRPr="00317985" w:rsidP="0011420A">
      <w:pPr>
        <w:pStyle w:val="FootnoteText"/>
        <w:ind w:left="0" w:right="0"/>
        <w:jc w:val="both"/>
        <w:rPr>
          <w:rFonts w:ascii="IPT.Zar" w:hAnsi="IPT.Zar" w:cs="B Zar"/>
          <w:rtl/>
        </w:rPr>
      </w:pPr>
      <w:r w:rsidRPr="00BB0446">
        <w:rPr>
          <w:rStyle w:val="FootnoteReference"/>
          <w:rFonts w:ascii="IPT.Zar" w:hAnsi="IPT.Zar" w:cs="B Zar"/>
          <w:sz w:val="24"/>
          <w:szCs w:val="24"/>
          <w:vertAlign w:val="baseline"/>
        </w:rPr>
        <w:footnoteRef/>
      </w:r>
      <w:r w:rsidRPr="00317985">
        <w:rPr>
          <w:rFonts w:ascii="IPT.Zar" w:hAnsi="IPT.Zar" w:cs="B Zar"/>
        </w:rPr>
        <w:sym w:font="IPT.Zar" w:char="F020"/>
      </w:r>
      <w:r w:rsidRPr="00317985">
        <w:rPr>
          <w:rFonts w:ascii="IPT.Zar" w:hAnsi="IPT.Zar" w:cs="B Zar"/>
          <w:rtl/>
        </w:rPr>
        <w:t>.  ابن سينا، اشارات: النمط الثامن: الفصل الثالث</w:t>
      </w:r>
    </w:p>
  </w:footnote>
  <w:footnote w:id="437">
    <w:p w:rsidR="00C8559C" w:rsidRPr="00ED2562" w:rsidP="00B11DDE">
      <w:pPr>
        <w:pStyle w:val="FootnoteText"/>
        <w:ind w:left="0" w:right="0"/>
        <w:jc w:val="both"/>
        <w:rPr>
          <w:rFonts w:cs="B Zar" w:hint="cs"/>
          <w:rtl/>
        </w:rPr>
      </w:pPr>
      <w:r w:rsidRPr="002031AC">
        <w:rPr>
          <w:rStyle w:val="FootnoteReference"/>
          <w:rFonts w:ascii="IPT.Zar" w:hAnsi="IPT.Zar" w:cs="B Zar"/>
          <w:sz w:val="24"/>
          <w:vertAlign w:val="baseline"/>
        </w:rPr>
        <w:footnoteRef/>
      </w:r>
      <w:r w:rsidRPr="002031AC">
        <w:rPr>
          <w:rFonts w:ascii="IPT.Zar" w:hAnsi="IPT.Zar" w:cs="B Zar"/>
          <w:sz w:val="24"/>
        </w:rPr>
        <w:sym w:font="IPT.Zar" w:char="F020"/>
      </w:r>
      <w:r w:rsidRPr="00ED2562">
        <w:rPr>
          <w:rFonts w:cs="B Zar" w:hint="cs"/>
          <w:rtl/>
        </w:rPr>
        <w:t xml:space="preserve"> </w:t>
      </w:r>
      <w:r>
        <w:rPr>
          <w:rFonts w:cs="B Zar" w:hint="cs"/>
          <w:rtl/>
        </w:rPr>
        <w:t xml:space="preserve"> </w:t>
      </w:r>
      <w:r w:rsidRPr="00ED2562">
        <w:rPr>
          <w:rFonts w:cs="B Zar" w:hint="cs"/>
          <w:rtl/>
        </w:rPr>
        <w:t xml:space="preserve"> استاد شهيد مطهري: آشنائي با علوم اسلامي عرفان ص 84 ـ 87 انتشارات صدرا تهران.</w:t>
      </w:r>
    </w:p>
  </w:footnote>
  <w:footnote w:id="438">
    <w:p w:rsidR="00C8559C" w:rsidRPr="00ED2562" w:rsidP="00B11DDE">
      <w:pPr>
        <w:pStyle w:val="FootnoteText"/>
        <w:ind w:left="0" w:right="0"/>
        <w:jc w:val="both"/>
        <w:rPr>
          <w:rFonts w:ascii="IPT.Zar" w:hAnsi="IPT.Zar" w:cs="B Zar"/>
          <w:rtl/>
        </w:rPr>
      </w:pPr>
      <w:r w:rsidRPr="0042327B">
        <w:rPr>
          <w:rStyle w:val="FootnoteReference"/>
          <w:rFonts w:ascii="IPT.Zar" w:hAnsi="IPT.Zar" w:cs="B Zar"/>
          <w:sz w:val="24"/>
          <w:szCs w:val="24"/>
          <w:vertAlign w:val="baseline"/>
        </w:rPr>
        <w:footnoteRef/>
      </w:r>
      <w:r w:rsidRPr="00ED2562">
        <w:rPr>
          <w:rFonts w:ascii="IPT.Zar" w:hAnsi="IPT.Zar" w:cs="B Zar"/>
        </w:rPr>
        <w:sym w:font="IPT.Zar" w:char="F020"/>
      </w:r>
      <w:r w:rsidRPr="00ED2562">
        <w:rPr>
          <w:rFonts w:ascii="IPT.Zar" w:hAnsi="IPT.Zar" w:cs="B Zar"/>
          <w:rtl/>
        </w:rPr>
        <w:t xml:space="preserve"> استاد مرتضي مطهري: مقدمه اي بر جهانبيني اسلامي: انسان و ايمان ص 12ـ 13.</w:t>
      </w:r>
    </w:p>
  </w:footnote>
  <w:footnote w:id="439">
    <w:p w:rsidR="00C8559C" w:rsidRPr="00ED2562">
      <w:pPr>
        <w:pStyle w:val="FootnoteText"/>
        <w:ind w:left="0" w:right="0"/>
        <w:jc w:val="both"/>
        <w:rPr>
          <w:rFonts w:ascii="IPT.Zar" w:hAnsi="IPT.Zar" w:cs="B Zar"/>
          <w:rtl/>
        </w:rPr>
      </w:pPr>
      <w:r w:rsidRPr="0042327B">
        <w:rPr>
          <w:rStyle w:val="FootnoteReference"/>
          <w:rFonts w:ascii="IPT.Zar" w:hAnsi="IPT.Zar" w:cs="B Zar"/>
          <w:sz w:val="24"/>
          <w:szCs w:val="24"/>
          <w:vertAlign w:val="baseline"/>
        </w:rPr>
        <w:footnoteRef/>
      </w:r>
      <w:r w:rsidRPr="00ED2562">
        <w:rPr>
          <w:rFonts w:ascii="IPT.Zar" w:hAnsi="IPT.Zar" w:cs="B Zar"/>
        </w:rPr>
        <w:sym w:font="IPT.Zar" w:char="F020"/>
      </w:r>
      <w:r w:rsidRPr="00ED2562">
        <w:rPr>
          <w:rFonts w:ascii="IPT.Zar" w:hAnsi="IPT.Zar" w:cs="B Zar"/>
          <w:rtl/>
        </w:rPr>
        <w:t>. رجوع شود: ملاصدرا شواهدالربوبيه ، ص 19-20</w:t>
      </w:r>
    </w:p>
  </w:footnote>
  <w:footnote w:id="440">
    <w:p w:rsidR="00C8559C" w:rsidRPr="00E6416C" w:rsidP="00E6416C">
      <w:pPr>
        <w:pStyle w:val="FootnoteText"/>
        <w:bidi w:val="0"/>
        <w:spacing w:line="240" w:lineRule="exact"/>
        <w:rPr>
          <w:sz w:val="18"/>
          <w:szCs w:val="18"/>
        </w:rPr>
      </w:pPr>
      <w:r w:rsidRPr="00E6416C">
        <w:rPr>
          <w:rStyle w:val="FootnoteReference"/>
          <w:sz w:val="18"/>
          <w:szCs w:val="18"/>
          <w:vertAlign w:val="baseline"/>
        </w:rPr>
        <w:footnoteRef/>
      </w:r>
      <w:r w:rsidRPr="00E6416C">
        <w:rPr>
          <w:sz w:val="18"/>
          <w:szCs w:val="18"/>
        </w:rPr>
        <w:t xml:space="preserve">. </w:t>
      </w:r>
      <w:r w:rsidRPr="00E6416C">
        <w:rPr>
          <w:sz w:val="18"/>
          <w:szCs w:val="18"/>
          <w:rtl/>
        </w:rPr>
        <w:t xml:space="preserve"> </w:t>
      </w:r>
      <w:r w:rsidRPr="00E6416C">
        <w:rPr>
          <w:rFonts w:cs="B Zar"/>
          <w:sz w:val="18"/>
          <w:szCs w:val="18"/>
        </w:rPr>
        <w:t xml:space="preserve">Jones, William: Collected Works, </w:t>
      </w:r>
      <w:smartTag w:uri="urn:schemas-microsoft-com:office:smarttags" w:element="place">
        <w:smartTag w:uri="urn:schemas-microsoft-com:office:smarttags" w:element="City">
          <w:r w:rsidRPr="00E6416C">
            <w:rPr>
              <w:rFonts w:cs="B Zar"/>
              <w:sz w:val="18"/>
              <w:szCs w:val="18"/>
            </w:rPr>
            <w:t>Calcutta</w:t>
          </w:r>
        </w:smartTag>
      </w:smartTag>
      <w:r w:rsidRPr="00E6416C">
        <w:rPr>
          <w:rFonts w:cs="B Zar"/>
          <w:sz w:val="18"/>
          <w:szCs w:val="18"/>
        </w:rPr>
        <w:t>, 1955, vol. 1, p 20</w:t>
      </w:r>
    </w:p>
  </w:footnote>
  <w:footnote w:id="441">
    <w:p w:rsidR="00C8559C" w:rsidRPr="00E6416C" w:rsidP="00E6416C">
      <w:pPr>
        <w:pStyle w:val="FootnoteText"/>
        <w:bidi w:val="0"/>
        <w:spacing w:line="240" w:lineRule="exact"/>
        <w:rPr>
          <w:sz w:val="18"/>
          <w:szCs w:val="18"/>
        </w:rPr>
      </w:pPr>
      <w:r w:rsidRPr="00E6416C">
        <w:rPr>
          <w:rStyle w:val="FootnoteReference"/>
          <w:sz w:val="18"/>
          <w:szCs w:val="18"/>
          <w:vertAlign w:val="baseline"/>
        </w:rPr>
        <w:footnoteRef/>
      </w:r>
      <w:r w:rsidRPr="00E6416C">
        <w:rPr>
          <w:sz w:val="18"/>
          <w:szCs w:val="18"/>
        </w:rPr>
        <w:t xml:space="preserve">. </w:t>
      </w:r>
      <w:r w:rsidRPr="00E6416C">
        <w:rPr>
          <w:sz w:val="18"/>
          <w:szCs w:val="18"/>
          <w:rtl/>
        </w:rPr>
        <w:t xml:space="preserve"> </w:t>
      </w:r>
      <w:r w:rsidRPr="00E6416C">
        <w:rPr>
          <w:rFonts w:cs="B Zar"/>
          <w:sz w:val="18"/>
          <w:szCs w:val="18"/>
        </w:rPr>
        <w:t>Muller: Lecture, On the Origin and Growth of Religion, p 112</w:t>
      </w:r>
    </w:p>
  </w:footnote>
  <w:footnote w:id="442">
    <w:p w:rsidR="00C8559C" w:rsidRPr="00E6416C" w:rsidP="00E6416C">
      <w:pPr>
        <w:pStyle w:val="FootnoteText"/>
        <w:bidi w:val="0"/>
        <w:rPr>
          <w:sz w:val="18"/>
          <w:szCs w:val="18"/>
        </w:rPr>
      </w:pPr>
      <w:r w:rsidRPr="00E6416C">
        <w:rPr>
          <w:rStyle w:val="FootnoteReference"/>
          <w:sz w:val="18"/>
          <w:szCs w:val="18"/>
          <w:vertAlign w:val="baseline"/>
        </w:rPr>
        <w:footnoteRef/>
      </w:r>
      <w:r w:rsidRPr="00E6416C">
        <w:rPr>
          <w:sz w:val="18"/>
          <w:szCs w:val="18"/>
        </w:rPr>
        <w:t xml:space="preserve">. </w:t>
      </w:r>
      <w:r w:rsidRPr="00E6416C">
        <w:rPr>
          <w:sz w:val="18"/>
          <w:szCs w:val="18"/>
          <w:rtl/>
        </w:rPr>
        <w:t xml:space="preserve"> </w:t>
      </w:r>
      <w:r w:rsidRPr="00E6416C">
        <w:rPr>
          <w:rFonts w:cs="B Zar"/>
          <w:sz w:val="18"/>
          <w:szCs w:val="18"/>
        </w:rPr>
        <w:t xml:space="preserve">Datta, N.K.:  Philosophy of Vedanta, </w:t>
      </w:r>
      <w:smartTag w:uri="urn:schemas-microsoft-com:office:smarttags" w:element="place">
        <w:smartTag w:uri="urn:schemas-microsoft-com:office:smarttags" w:element="PlaceName">
          <w:r w:rsidRPr="00E6416C">
            <w:rPr>
              <w:rFonts w:cs="B Zar"/>
              <w:sz w:val="18"/>
              <w:szCs w:val="18"/>
            </w:rPr>
            <w:t>Calcutta</w:t>
          </w:r>
        </w:smartTag>
        <w:r w:rsidRPr="00E6416C">
          <w:rPr>
            <w:rFonts w:cs="B Zar"/>
            <w:sz w:val="18"/>
            <w:szCs w:val="18"/>
          </w:rPr>
          <w:t xml:space="preserve"> </w:t>
        </w:r>
        <w:smartTag w:uri="urn:schemas-microsoft-com:office:smarttags" w:element="PlaceType">
          <w:r w:rsidRPr="00E6416C">
            <w:rPr>
              <w:rFonts w:cs="B Zar"/>
              <w:sz w:val="18"/>
              <w:szCs w:val="18"/>
            </w:rPr>
            <w:t>University</w:t>
          </w:r>
        </w:smartTag>
      </w:smartTag>
      <w:r w:rsidRPr="00E6416C">
        <w:rPr>
          <w:rFonts w:cs="B Zar"/>
          <w:sz w:val="18"/>
          <w:szCs w:val="18"/>
        </w:rPr>
        <w:t xml:space="preserve"> Publications, 1976, P 34</w:t>
      </w:r>
    </w:p>
  </w:footnote>
  <w:footnote w:id="443">
    <w:p w:rsidR="00C8559C" w:rsidRPr="00ED2562">
      <w:pPr>
        <w:pStyle w:val="FootnoteText"/>
        <w:ind w:left="0" w:right="0"/>
        <w:jc w:val="both"/>
        <w:rPr>
          <w:rFonts w:ascii="IPT.Zar" w:hAnsi="IPT.Zar" w:cs="B Zar"/>
          <w:rtl/>
        </w:rPr>
      </w:pPr>
      <w:r w:rsidRPr="0042327B">
        <w:rPr>
          <w:rStyle w:val="FootnoteReference"/>
          <w:rFonts w:ascii="IPT.Zar" w:hAnsi="IPT.Zar" w:cs="B Zar"/>
          <w:sz w:val="24"/>
          <w:szCs w:val="24"/>
          <w:vertAlign w:val="baseline"/>
        </w:rPr>
        <w:footnoteRef/>
      </w:r>
      <w:r w:rsidRPr="00ED2562">
        <w:rPr>
          <w:rFonts w:ascii="IPT.Zar" w:hAnsi="IPT.Zar" w:cs="B Zar"/>
        </w:rPr>
        <w:sym w:font="IPT.Zar" w:char="F020"/>
      </w:r>
      <w:r w:rsidRPr="00ED2562">
        <w:rPr>
          <w:rFonts w:ascii="IPT.Zar" w:hAnsi="IPT.Zar" w:cs="B Zar"/>
          <w:rtl/>
        </w:rPr>
        <w:t>.  ارنست رينان: كتاب زندگي مسيح فصل 38</w:t>
      </w:r>
    </w:p>
  </w:footnote>
  <w:footnote w:id="444">
    <w:p w:rsidR="00C8559C" w:rsidRPr="00ED2562" w:rsidP="00B11DDE">
      <w:pPr>
        <w:pStyle w:val="FootnoteText"/>
        <w:ind w:left="227" w:right="0" w:hanging="227"/>
        <w:jc w:val="both"/>
        <w:rPr>
          <w:rFonts w:ascii="IPT.Zar" w:hAnsi="IPT.Zar" w:cs="B Zar"/>
          <w:rtl/>
        </w:rPr>
      </w:pPr>
      <w:r w:rsidRPr="0042327B">
        <w:rPr>
          <w:rStyle w:val="FootnoteReference"/>
          <w:rFonts w:ascii="IPT.Zar" w:hAnsi="IPT.Zar" w:cs="B Zar"/>
          <w:sz w:val="24"/>
          <w:szCs w:val="24"/>
          <w:vertAlign w:val="baseline"/>
        </w:rPr>
        <w:footnoteRef/>
      </w:r>
      <w:r w:rsidRPr="00ED2562">
        <w:rPr>
          <w:rFonts w:ascii="IPT.Zar" w:hAnsi="IPT.Zar" w:cs="B Zar"/>
        </w:rPr>
        <w:sym w:font="IPT.Zar" w:char="F020"/>
      </w:r>
      <w:r w:rsidRPr="00ED2562">
        <w:rPr>
          <w:rFonts w:ascii="IPT.Zar" w:hAnsi="IPT.Zar" w:cs="B Zar"/>
          <w:rtl/>
        </w:rPr>
        <w:t>. ويل درانت: تاريخ فلسفه 91-92</w:t>
      </w:r>
    </w:p>
  </w:footnote>
  <w:footnote w:id="445">
    <w:p w:rsidR="00C8559C" w:rsidRPr="00A9241B" w:rsidP="00526B95">
      <w:pPr>
        <w:pStyle w:val="FootnoteText"/>
        <w:bidi w:val="0"/>
        <w:spacing w:line="240" w:lineRule="exact"/>
        <w:ind w:left="227" w:hanging="227"/>
        <w:rPr>
          <w:sz w:val="18"/>
          <w:szCs w:val="18"/>
        </w:rPr>
      </w:pPr>
      <w:r w:rsidRPr="00A9241B">
        <w:rPr>
          <w:rStyle w:val="FootnoteReference"/>
          <w:sz w:val="18"/>
          <w:szCs w:val="18"/>
          <w:vertAlign w:val="baseline"/>
        </w:rPr>
        <w:footnoteRef/>
      </w:r>
      <w:r w:rsidRPr="00A9241B">
        <w:rPr>
          <w:sz w:val="18"/>
          <w:szCs w:val="18"/>
        </w:rPr>
        <w:t xml:space="preserve">. </w:t>
      </w:r>
      <w:r>
        <w:rPr>
          <w:sz w:val="18"/>
          <w:szCs w:val="18"/>
        </w:rPr>
        <w:t xml:space="preserve"> </w:t>
      </w:r>
      <w:r w:rsidRPr="00A9241B">
        <w:rPr>
          <w:rFonts w:cs="B Zar"/>
          <w:sz w:val="18"/>
          <w:szCs w:val="18"/>
        </w:rPr>
        <w:t xml:space="preserve">Datta, N.K.:  Philosophy of Vedanta, </w:t>
      </w:r>
      <w:smartTag w:uri="urn:schemas-microsoft-com:office:smarttags" w:element="place">
        <w:smartTag w:uri="urn:schemas-microsoft-com:office:smarttags" w:element="PlaceName">
          <w:r w:rsidRPr="00A9241B">
            <w:rPr>
              <w:rFonts w:cs="B Zar"/>
              <w:sz w:val="18"/>
              <w:szCs w:val="18"/>
            </w:rPr>
            <w:t>Calcutta</w:t>
          </w:r>
        </w:smartTag>
        <w:r w:rsidRPr="00A9241B">
          <w:rPr>
            <w:rFonts w:cs="B Zar"/>
            <w:sz w:val="18"/>
            <w:szCs w:val="18"/>
          </w:rPr>
          <w:t xml:space="preserve"> </w:t>
        </w:r>
        <w:smartTag w:uri="urn:schemas-microsoft-com:office:smarttags" w:element="PlaceType">
          <w:r w:rsidRPr="00A9241B">
            <w:rPr>
              <w:rFonts w:cs="B Zar"/>
              <w:sz w:val="18"/>
              <w:szCs w:val="18"/>
            </w:rPr>
            <w:t>University</w:t>
          </w:r>
        </w:smartTag>
      </w:smartTag>
      <w:r w:rsidRPr="00A9241B">
        <w:rPr>
          <w:rFonts w:cs="B Zar"/>
          <w:sz w:val="18"/>
          <w:szCs w:val="18"/>
        </w:rPr>
        <w:t xml:space="preserve"> Publications, 1976, p 40-41</w:t>
      </w:r>
    </w:p>
  </w:footnote>
  <w:footnote w:id="446">
    <w:p w:rsidR="00C8559C" w:rsidRPr="00ED2562" w:rsidP="00B11DDE">
      <w:pPr>
        <w:pStyle w:val="FootnoteText"/>
        <w:ind w:left="227" w:right="0" w:hanging="227"/>
        <w:jc w:val="both"/>
        <w:rPr>
          <w:rFonts w:ascii="IPT.Zar" w:hAnsi="IPT.Zar" w:cs="B Zar"/>
          <w:rtl/>
        </w:rPr>
      </w:pPr>
      <w:r w:rsidRPr="0042327B">
        <w:rPr>
          <w:rStyle w:val="FootnoteReference"/>
          <w:rFonts w:ascii="IPT.Zar" w:hAnsi="IPT.Zar" w:cs="B Zar"/>
          <w:sz w:val="24"/>
          <w:szCs w:val="24"/>
          <w:vertAlign w:val="baseline"/>
        </w:rPr>
        <w:footnoteRef/>
      </w:r>
      <w:r w:rsidRPr="00ED2562">
        <w:rPr>
          <w:rFonts w:ascii="IPT.Zar" w:hAnsi="IPT.Zar" w:cs="B Zar"/>
        </w:rPr>
        <w:sym w:font="IPT.Zar" w:char="F020"/>
      </w:r>
      <w:r w:rsidRPr="00ED2562">
        <w:rPr>
          <w:rFonts w:ascii="IPT.Zar" w:hAnsi="IPT.Zar" w:cs="B Zar"/>
          <w:rtl/>
        </w:rPr>
        <w:t>. الم سجده</w:t>
      </w:r>
    </w:p>
  </w:footnote>
  <w:footnote w:id="447">
    <w:p w:rsidR="00C8559C" w:rsidRPr="00526B95" w:rsidP="00526B95">
      <w:pPr>
        <w:pStyle w:val="FootnoteText"/>
        <w:bidi w:val="0"/>
        <w:spacing w:line="240" w:lineRule="exact"/>
        <w:ind w:left="227" w:hanging="227"/>
        <w:jc w:val="left"/>
        <w:rPr>
          <w:sz w:val="18"/>
          <w:szCs w:val="18"/>
        </w:rPr>
      </w:pPr>
      <w:r w:rsidRPr="00526B95">
        <w:rPr>
          <w:rStyle w:val="FootnoteReference"/>
          <w:sz w:val="18"/>
          <w:szCs w:val="18"/>
          <w:vertAlign w:val="baseline"/>
        </w:rPr>
        <w:footnoteRef/>
      </w:r>
      <w:r w:rsidRPr="00526B95">
        <w:rPr>
          <w:sz w:val="18"/>
          <w:szCs w:val="18"/>
        </w:rPr>
        <w:t xml:space="preserve">  </w:t>
      </w:r>
      <w:r w:rsidRPr="00526B95">
        <w:rPr>
          <w:rFonts w:cs="B Zar"/>
          <w:sz w:val="18"/>
          <w:szCs w:val="18"/>
        </w:rPr>
        <w:t xml:space="preserve">Williams, Sir Monier : Sanskrit Lexicon, </w:t>
      </w:r>
      <w:smartTag w:uri="urn:schemas-microsoft-com:office:smarttags" w:element="place">
        <w:smartTag w:uri="urn:schemas-microsoft-com:office:smarttags" w:element="City">
          <w:r w:rsidRPr="00526B95">
            <w:rPr>
              <w:rFonts w:cs="B Zar"/>
              <w:sz w:val="18"/>
              <w:szCs w:val="18"/>
            </w:rPr>
            <w:t>New Delhi</w:t>
          </w:r>
        </w:smartTag>
      </w:smartTag>
      <w:r w:rsidRPr="00526B95">
        <w:rPr>
          <w:rFonts w:cs="B Zar"/>
          <w:sz w:val="18"/>
          <w:szCs w:val="18"/>
        </w:rPr>
        <w:t>. 1965, p 201</w:t>
      </w:r>
    </w:p>
  </w:footnote>
  <w:footnote w:id="448">
    <w:p w:rsidR="00C8559C" w:rsidRPr="006A4F74" w:rsidP="00526B95">
      <w:pPr>
        <w:pStyle w:val="FootnoteText"/>
        <w:bidi w:val="0"/>
        <w:spacing w:line="240" w:lineRule="exact"/>
        <w:ind w:left="227" w:hanging="227"/>
        <w:jc w:val="left"/>
        <w:rPr>
          <w:rtl/>
        </w:rPr>
      </w:pPr>
      <w:r w:rsidRPr="00526B95">
        <w:rPr>
          <w:rStyle w:val="FootnoteReference"/>
          <w:sz w:val="18"/>
          <w:szCs w:val="18"/>
          <w:vertAlign w:val="baseline"/>
        </w:rPr>
        <w:footnoteRef/>
      </w:r>
      <w:r w:rsidRPr="00526B95">
        <w:rPr>
          <w:sz w:val="18"/>
          <w:szCs w:val="18"/>
        </w:rPr>
        <w:t xml:space="preserve"> </w:t>
      </w:r>
      <w:r>
        <w:rPr>
          <w:rFonts w:cs="Yagut"/>
          <w:sz w:val="18"/>
          <w:szCs w:val="18"/>
        </w:rPr>
        <w:t xml:space="preserve">  </w:t>
      </w:r>
      <w:r w:rsidRPr="00526B95">
        <w:rPr>
          <w:rFonts w:cs="Yagut"/>
          <w:sz w:val="18"/>
          <w:szCs w:val="18"/>
        </w:rPr>
        <w:t xml:space="preserve">The Principle Upanishads, Ed and tr by Dr Radhakrishnan, </w:t>
      </w:r>
      <w:smartTag w:uri="urn:schemas-microsoft-com:office:smarttags" w:element="place">
        <w:smartTag w:uri="urn:schemas-microsoft-com:office:smarttags" w:element="City">
          <w:r w:rsidRPr="00526B95">
            <w:rPr>
              <w:rFonts w:cs="Yagut"/>
              <w:sz w:val="18"/>
              <w:szCs w:val="18"/>
            </w:rPr>
            <w:t>New Delhi</w:t>
          </w:r>
        </w:smartTag>
      </w:smartTag>
      <w:r w:rsidRPr="00526B95">
        <w:rPr>
          <w:rFonts w:cs="Yagut"/>
          <w:sz w:val="18"/>
          <w:szCs w:val="18"/>
        </w:rPr>
        <w:t>, 1954, p 13</w:t>
      </w:r>
    </w:p>
  </w:footnote>
  <w:footnote w:id="449">
    <w:p w:rsidR="00C8559C" w:rsidRPr="00E32F85" w:rsidP="002E5519">
      <w:pPr>
        <w:pStyle w:val="FootnoteText"/>
        <w:bidi w:val="0"/>
        <w:spacing w:line="240" w:lineRule="exact"/>
        <w:ind w:left="227" w:hanging="227"/>
        <w:jc w:val="left"/>
        <w:rPr>
          <w:rFonts w:cs="Times New Roman"/>
          <w:sz w:val="18"/>
          <w:szCs w:val="18"/>
        </w:rPr>
      </w:pPr>
      <w:r w:rsidRPr="00E32F85">
        <w:rPr>
          <w:rStyle w:val="FootnoteReference"/>
          <w:rFonts w:cs="Times New Roman"/>
          <w:sz w:val="18"/>
          <w:szCs w:val="18"/>
          <w:vertAlign w:val="baseline"/>
        </w:rPr>
        <w:footnoteRef/>
      </w:r>
      <w:r w:rsidRPr="00E32F85">
        <w:rPr>
          <w:rFonts w:cs="Times New Roman"/>
          <w:sz w:val="18"/>
          <w:szCs w:val="18"/>
        </w:rPr>
        <w:t xml:space="preserve">. </w:t>
      </w:r>
      <w:r w:rsidRPr="00E32F85">
        <w:rPr>
          <w:rFonts w:cs="Times New Roman"/>
          <w:sz w:val="18"/>
          <w:szCs w:val="18"/>
          <w:rtl/>
        </w:rPr>
        <w:t xml:space="preserve"> </w:t>
      </w:r>
      <w:r w:rsidRPr="00E32F85">
        <w:rPr>
          <w:rFonts w:cs="Times New Roman"/>
          <w:sz w:val="18"/>
          <w:szCs w:val="18"/>
        </w:rPr>
        <w:t>Upanishads, ed by Max Muller, S.B.E. Series ,(vol1, p</w:t>
      </w:r>
      <w:r w:rsidRPr="00E32F85">
        <w:rPr>
          <w:rFonts w:cs="Times New Roman"/>
          <w:sz w:val="18"/>
          <w:szCs w:val="18"/>
          <w:rtl/>
        </w:rPr>
        <w:t xml:space="preserve"> </w:t>
      </w:r>
      <w:r w:rsidRPr="00E32F85">
        <w:rPr>
          <w:rFonts w:cs="Times New Roman"/>
          <w:sz w:val="18"/>
          <w:szCs w:val="18"/>
        </w:rPr>
        <w:t>LXXXi</w:t>
      </w:r>
      <w:r w:rsidRPr="00E32F85">
        <w:rPr>
          <w:rFonts w:cs="Times New Roman"/>
          <w:sz w:val="18"/>
          <w:szCs w:val="18"/>
          <w:rtl/>
        </w:rPr>
        <w:t xml:space="preserve">: </w:t>
      </w:r>
    </w:p>
    <w:p w:rsidR="00C8559C" w:rsidRPr="00E32F85" w:rsidP="002E5519">
      <w:pPr>
        <w:pStyle w:val="FootnoteText"/>
        <w:bidi w:val="0"/>
        <w:spacing w:line="240" w:lineRule="exact"/>
        <w:ind w:left="227"/>
        <w:jc w:val="left"/>
        <w:rPr>
          <w:rFonts w:cs="Times New Roman"/>
          <w:sz w:val="18"/>
          <w:szCs w:val="18"/>
        </w:rPr>
      </w:pPr>
      <w:r w:rsidRPr="00E32F85">
        <w:rPr>
          <w:rFonts w:cs="Times New Roman"/>
          <w:sz w:val="18"/>
          <w:szCs w:val="18"/>
        </w:rPr>
        <w:t>Das Gupta, S:  Histo</w:t>
      </w:r>
      <w:r w:rsidR="008622C9">
        <w:rPr>
          <w:rFonts w:cs="Times New Roman"/>
          <w:sz w:val="18"/>
          <w:szCs w:val="18"/>
        </w:rPr>
        <w:t>r</w:t>
      </w:r>
      <w:r w:rsidRPr="00E32F85">
        <w:rPr>
          <w:rFonts w:cs="Times New Roman"/>
          <w:sz w:val="18"/>
          <w:szCs w:val="18"/>
        </w:rPr>
        <w:t xml:space="preserve">y of the Indian Philososphy, Cambridge University Press, London, 1969. Radhakshnan, Dr S:  The Indian Philosophy, </w:t>
      </w:r>
      <w:smartTag w:uri="urn:schemas-microsoft-com:office:smarttags" w:element="place">
        <w:smartTag w:uri="urn:schemas-microsoft-com:office:smarttags" w:element="City">
          <w:r w:rsidRPr="00E32F85">
            <w:rPr>
              <w:rFonts w:cs="Times New Roman"/>
              <w:sz w:val="18"/>
              <w:szCs w:val="18"/>
            </w:rPr>
            <w:t>New Delhi</w:t>
          </w:r>
        </w:smartTag>
      </w:smartTag>
      <w:r w:rsidRPr="00E32F85">
        <w:rPr>
          <w:rFonts w:cs="Times New Roman"/>
          <w:sz w:val="18"/>
          <w:szCs w:val="18"/>
        </w:rPr>
        <w:t xml:space="preserve">, 1989   </w:t>
      </w:r>
    </w:p>
  </w:footnote>
  <w:footnote w:id="450">
    <w:p w:rsidR="00C8559C" w:rsidRPr="00E32F85" w:rsidP="00ED2D21">
      <w:pPr>
        <w:pStyle w:val="FootnoteText"/>
        <w:bidi w:val="0"/>
        <w:spacing w:line="240" w:lineRule="exact"/>
        <w:ind w:left="227" w:hanging="227"/>
        <w:jc w:val="left"/>
        <w:rPr>
          <w:rFonts w:cs="Times New Roman"/>
          <w:sz w:val="18"/>
          <w:szCs w:val="18"/>
          <w:rtl/>
        </w:rPr>
      </w:pPr>
      <w:r w:rsidRPr="00E32F85">
        <w:rPr>
          <w:rStyle w:val="FootnoteReference"/>
          <w:rFonts w:cs="Times New Roman"/>
          <w:sz w:val="18"/>
          <w:szCs w:val="18"/>
          <w:vertAlign w:val="baseline"/>
        </w:rPr>
        <w:footnoteRef/>
      </w:r>
      <w:r w:rsidRPr="00E32F85">
        <w:rPr>
          <w:rFonts w:cs="Times New Roman"/>
          <w:sz w:val="18"/>
          <w:szCs w:val="18"/>
        </w:rPr>
        <w:t xml:space="preserve">. </w:t>
      </w:r>
      <w:r w:rsidRPr="00E32F85">
        <w:rPr>
          <w:rFonts w:cs="Times New Roman"/>
          <w:sz w:val="18"/>
          <w:szCs w:val="18"/>
          <w:rtl/>
        </w:rPr>
        <w:t xml:space="preserve"> </w:t>
      </w:r>
      <w:r w:rsidRPr="00E32F85">
        <w:rPr>
          <w:rFonts w:cs="Times New Roman"/>
          <w:sz w:val="18"/>
          <w:szCs w:val="18"/>
        </w:rPr>
        <w:t xml:space="preserve">Deussen, Paul: Philosophy of Upanishad, </w:t>
      </w:r>
      <w:smartTag w:uri="urn:schemas-microsoft-com:office:smarttags" w:element="place">
        <w:smartTag w:uri="urn:schemas-microsoft-com:office:smarttags" w:element="City">
          <w:r w:rsidRPr="00E32F85">
            <w:rPr>
              <w:rFonts w:cs="Times New Roman"/>
              <w:sz w:val="18"/>
              <w:szCs w:val="18"/>
            </w:rPr>
            <w:t>London</w:t>
          </w:r>
        </w:smartTag>
      </w:smartTag>
      <w:r w:rsidRPr="00E32F85">
        <w:rPr>
          <w:rFonts w:cs="Times New Roman"/>
          <w:sz w:val="18"/>
          <w:szCs w:val="18"/>
        </w:rPr>
        <w:t>, 1957</w:t>
      </w:r>
      <w:r>
        <w:rPr>
          <w:rFonts w:cs="Times New Roman"/>
          <w:sz w:val="18"/>
          <w:szCs w:val="18"/>
        </w:rPr>
        <w:t>, p</w:t>
      </w:r>
      <w:r w:rsidRPr="00E32F85">
        <w:rPr>
          <w:rFonts w:cs="Times New Roman"/>
          <w:sz w:val="18"/>
          <w:szCs w:val="18"/>
        </w:rPr>
        <w:t xml:space="preserve"> 149</w:t>
      </w:r>
    </w:p>
    <w:p w:rsidR="00C8559C" w:rsidRPr="00C66BBC" w:rsidP="00ED2D21">
      <w:pPr>
        <w:pStyle w:val="FootnoteText"/>
        <w:bidi w:val="0"/>
        <w:spacing w:line="240" w:lineRule="exact"/>
        <w:ind w:left="227"/>
        <w:jc w:val="left"/>
      </w:pPr>
      <w:r w:rsidRPr="00E32F85">
        <w:rPr>
          <w:rFonts w:cs="Times New Roman"/>
          <w:sz w:val="18"/>
          <w:szCs w:val="18"/>
        </w:rPr>
        <w:t>Dowson, John: A Classical Dictionary of Hindu Mythology &amp; Religion,1962, p</w:t>
      </w:r>
      <w:r>
        <w:rPr>
          <w:rFonts w:cs="Times New Roman"/>
          <w:sz w:val="18"/>
          <w:szCs w:val="18"/>
        </w:rPr>
        <w:t>‌‌</w:t>
      </w:r>
      <w:r w:rsidRPr="00E32F85">
        <w:rPr>
          <w:rFonts w:cs="Times New Roman"/>
          <w:sz w:val="18"/>
          <w:szCs w:val="18"/>
        </w:rPr>
        <w:t>323</w:t>
      </w:r>
    </w:p>
  </w:footnote>
  <w:footnote w:id="451">
    <w:p w:rsidR="00C8559C" w:rsidRPr="002E5519" w:rsidP="0084188A">
      <w:pPr>
        <w:pStyle w:val="FootnoteText"/>
        <w:ind w:left="227" w:right="0" w:hanging="227"/>
        <w:jc w:val="both"/>
        <w:rPr>
          <w:rFonts w:ascii="IPT.Zar" w:hAnsi="IPT.Zar" w:cs="B Zar"/>
          <w:rtl/>
        </w:rPr>
      </w:pPr>
      <w:r w:rsidRPr="002E5519">
        <w:rPr>
          <w:rStyle w:val="FootnoteReference"/>
          <w:rFonts w:ascii="IPT.Zar" w:hAnsi="IPT.Zar" w:cs="B Zar"/>
          <w:sz w:val="24"/>
          <w:szCs w:val="24"/>
          <w:vertAlign w:val="baseline"/>
        </w:rPr>
        <w:footnoteRef/>
      </w:r>
      <w:r w:rsidRPr="002E5519">
        <w:rPr>
          <w:rFonts w:ascii="IPT.Zar" w:hAnsi="IPT.Zar" w:cs="B Zar"/>
          <w:rtl/>
        </w:rPr>
        <w:t xml:space="preserve">. </w:t>
      </w:r>
      <w:r>
        <w:rPr>
          <w:rFonts w:ascii="IPT.Zar" w:hAnsi="IPT.Zar" w:cs="B Zar" w:hint="cs"/>
          <w:rtl/>
        </w:rPr>
        <w:tab/>
      </w:r>
      <w:r w:rsidRPr="002E5519">
        <w:rPr>
          <w:rFonts w:ascii="IPT.Zar" w:hAnsi="IPT.Zar" w:cs="B Zar"/>
          <w:rtl/>
        </w:rPr>
        <w:t>رجوع شود: صدرالمتالهين صدرا: الشواهد الربوبيه</w:t>
      </w:r>
    </w:p>
  </w:footnote>
  <w:footnote w:id="452">
    <w:p w:rsidR="00C8559C" w:rsidRPr="002E5519" w:rsidP="0084188A">
      <w:pPr>
        <w:pStyle w:val="FootnoteText"/>
        <w:ind w:left="227" w:right="0" w:hanging="227"/>
        <w:jc w:val="both"/>
        <w:rPr>
          <w:rFonts w:ascii="IPT.Zar" w:hAnsi="IPT.Zar" w:cs="B Zar"/>
        </w:rPr>
      </w:pPr>
      <w:r w:rsidRPr="002E5519">
        <w:rPr>
          <w:rStyle w:val="FootnoteReference"/>
          <w:rFonts w:ascii="IPT.Zar" w:hAnsi="IPT.Zar" w:cs="B Zar"/>
          <w:sz w:val="24"/>
          <w:szCs w:val="24"/>
          <w:vertAlign w:val="baseline"/>
        </w:rPr>
        <w:footnoteRef/>
      </w:r>
      <w:r w:rsidRPr="002E5519">
        <w:rPr>
          <w:rFonts w:ascii="IPT.Zar" w:hAnsi="IPT.Zar" w:cs="B Zar"/>
          <w:rtl/>
        </w:rPr>
        <w:t xml:space="preserve">.  </w:t>
      </w:r>
      <w:r>
        <w:rPr>
          <w:rFonts w:ascii="IPT.Zar" w:hAnsi="IPT.Zar" w:cs="B Zar" w:hint="cs"/>
          <w:rtl/>
        </w:rPr>
        <w:tab/>
      </w:r>
      <w:r w:rsidRPr="002E5519">
        <w:rPr>
          <w:rFonts w:ascii="IPT.Zar" w:hAnsi="IPT.Zar" w:cs="B Zar"/>
          <w:rtl/>
        </w:rPr>
        <w:t xml:space="preserve">چاندوگيا اوپانيشاد: 3: 5:2: برهدارن ياكا اوپانيشاد: 3: , 13:2 </w:t>
      </w:r>
    </w:p>
    <w:p w:rsidR="00C8559C" w:rsidRPr="002E5519" w:rsidP="0084188A">
      <w:pPr>
        <w:pStyle w:val="FootnoteText"/>
        <w:ind w:left="227" w:right="0"/>
        <w:jc w:val="both"/>
        <w:rPr>
          <w:rFonts w:ascii="IPT.Zar" w:hAnsi="IPT.Zar" w:cs="B Zar" w:hint="cs"/>
          <w:rtl/>
        </w:rPr>
      </w:pPr>
      <w:r w:rsidRPr="002E5519">
        <w:rPr>
          <w:rFonts w:ascii="IPT.Zar" w:hAnsi="IPT.Zar" w:cs="B Zar"/>
          <w:rtl/>
        </w:rPr>
        <w:t>نيز رجوع شود به</w:t>
      </w:r>
    </w:p>
    <w:p w:rsidR="00C8559C" w:rsidRPr="002E5519" w:rsidP="002E5519">
      <w:pPr>
        <w:pStyle w:val="FootnoteText"/>
        <w:bidi w:val="0"/>
        <w:spacing w:line="240" w:lineRule="exact"/>
        <w:rPr>
          <w:sz w:val="18"/>
          <w:szCs w:val="18"/>
          <w:rtl/>
        </w:rPr>
      </w:pPr>
      <w:r w:rsidRPr="006A4F74">
        <w:rPr>
          <w:rFonts w:hint="cs"/>
          <w:rtl/>
        </w:rPr>
        <w:t xml:space="preserve"> </w:t>
      </w:r>
      <w:r w:rsidRPr="002E5519">
        <w:rPr>
          <w:rFonts w:cs="B Zar"/>
          <w:sz w:val="18"/>
          <w:szCs w:val="18"/>
        </w:rPr>
        <w:t xml:space="preserve">Radhakshnan, Dr S:  The Indian Philosophy, </w:t>
      </w:r>
      <w:smartTag w:uri="urn:schemas-microsoft-com:office:smarttags" w:element="place">
        <w:smartTag w:uri="urn:schemas-microsoft-com:office:smarttags" w:element="City">
          <w:r w:rsidRPr="002E5519">
            <w:rPr>
              <w:rFonts w:cs="B Zar"/>
              <w:sz w:val="18"/>
              <w:szCs w:val="18"/>
            </w:rPr>
            <w:t>New Delhi</w:t>
          </w:r>
        </w:smartTag>
      </w:smartTag>
      <w:r w:rsidRPr="002E5519">
        <w:rPr>
          <w:rFonts w:cs="B Zar"/>
          <w:sz w:val="18"/>
          <w:szCs w:val="18"/>
        </w:rPr>
        <w:t xml:space="preserve">, 1989 , pp 19-20  </w:t>
      </w:r>
    </w:p>
  </w:footnote>
  <w:footnote w:id="453">
    <w:p w:rsidR="00C8559C" w:rsidRPr="002E5519" w:rsidP="00F72269">
      <w:pPr>
        <w:pStyle w:val="FootnoteText"/>
        <w:ind w:left="0" w:right="0"/>
        <w:jc w:val="both"/>
        <w:rPr>
          <w:rFonts w:ascii="IPT.Zar" w:hAnsi="IPT.Zar"/>
          <w:rtl/>
        </w:rPr>
      </w:pPr>
      <w:r w:rsidRPr="002E5519">
        <w:rPr>
          <w:rStyle w:val="FootnoteReference"/>
          <w:rFonts w:ascii="IPT.Zar" w:hAnsi="IPT.Zar" w:cs="Yagut"/>
          <w:sz w:val="24"/>
          <w:szCs w:val="24"/>
          <w:vertAlign w:val="baseline"/>
        </w:rPr>
        <w:footnoteRef/>
      </w:r>
      <w:r w:rsidRPr="002E5519">
        <w:rPr>
          <w:rFonts w:ascii="IPT.Zar" w:hAnsi="IPT.Zar"/>
          <w:rtl/>
        </w:rPr>
        <w:t xml:space="preserve">. </w:t>
      </w:r>
      <w:r w:rsidRPr="002E5519">
        <w:rPr>
          <w:rFonts w:ascii="IPT.Zar" w:hAnsi="IPT.Zar" w:cs="B Zar"/>
          <w:rtl/>
        </w:rPr>
        <w:t>رجوع شود:</w:t>
      </w:r>
    </w:p>
    <w:p w:rsidR="00C8559C" w:rsidRPr="00ED2562" w:rsidP="00ED2562">
      <w:pPr>
        <w:pStyle w:val="FootnoteText"/>
        <w:bidi w:val="0"/>
        <w:spacing w:line="240" w:lineRule="exact"/>
        <w:rPr>
          <w:rFonts w:cs="Yagut" w:hint="cs"/>
          <w:sz w:val="18"/>
          <w:szCs w:val="18"/>
          <w:rtl/>
        </w:rPr>
      </w:pPr>
      <w:r w:rsidRPr="006A4F74">
        <w:rPr>
          <w:rFonts w:hint="cs"/>
          <w:rtl/>
        </w:rPr>
        <w:t xml:space="preserve"> </w:t>
      </w:r>
      <w:r w:rsidRPr="002E5519">
        <w:rPr>
          <w:rFonts w:cs="Yagut"/>
          <w:sz w:val="18"/>
          <w:szCs w:val="18"/>
        </w:rPr>
        <w:t xml:space="preserve">Deusson, Paul: Philosophy of Upanishad, </w:t>
      </w:r>
      <w:smartTag w:uri="urn:schemas-microsoft-com:office:smarttags" w:element="place">
        <w:smartTag w:uri="urn:schemas-microsoft-com:office:smarttags" w:element="City">
          <w:r w:rsidRPr="002E5519">
            <w:rPr>
              <w:rFonts w:cs="Yagut"/>
              <w:sz w:val="18"/>
              <w:szCs w:val="18"/>
            </w:rPr>
            <w:t>London</w:t>
          </w:r>
        </w:smartTag>
      </w:smartTag>
      <w:r w:rsidRPr="002E5519">
        <w:rPr>
          <w:rFonts w:cs="Yagut"/>
          <w:sz w:val="18"/>
          <w:szCs w:val="18"/>
        </w:rPr>
        <w:t>, 1957, p 10</w:t>
      </w:r>
    </w:p>
  </w:footnote>
  <w:footnote w:id="454">
    <w:p w:rsidR="00C8559C" w:rsidRPr="002E5519" w:rsidP="00F72269">
      <w:pPr>
        <w:pStyle w:val="FootnoteText"/>
        <w:ind w:left="0" w:right="0"/>
        <w:jc w:val="right"/>
        <w:rPr>
          <w:sz w:val="18"/>
          <w:szCs w:val="18"/>
        </w:rPr>
      </w:pPr>
      <w:r w:rsidRPr="002E5519">
        <w:rPr>
          <w:rStyle w:val="FootnoteReference"/>
          <w:sz w:val="18"/>
          <w:szCs w:val="18"/>
          <w:vertAlign w:val="baseline"/>
        </w:rPr>
        <w:footnoteRef/>
      </w:r>
      <w:r w:rsidRPr="002E5519">
        <w:rPr>
          <w:sz w:val="18"/>
          <w:szCs w:val="18"/>
        </w:rPr>
        <w:t xml:space="preserve">  Das Gupta, S:  History of the Indian Philosophy, P 38</w:t>
      </w:r>
    </w:p>
  </w:footnote>
  <w:footnote w:id="455">
    <w:p w:rsidR="00C8559C" w:rsidRPr="00ED2562" w:rsidP="00B11DDE">
      <w:pPr>
        <w:pStyle w:val="FootnoteText"/>
        <w:ind w:left="227" w:right="0" w:hanging="227"/>
        <w:jc w:val="both"/>
        <w:rPr>
          <w:rFonts w:ascii="IPT.Zar" w:hAnsi="IPT.Zar" w:cs="B Zar"/>
        </w:rPr>
      </w:pPr>
      <w:r w:rsidRPr="0084188A">
        <w:rPr>
          <w:rStyle w:val="FootnoteReference"/>
          <w:rFonts w:ascii="IPT.Zar" w:hAnsi="IPT.Zar" w:cs="Yagut"/>
          <w:sz w:val="24"/>
          <w:szCs w:val="24"/>
          <w:vertAlign w:val="baseline"/>
        </w:rPr>
        <w:footnoteRef/>
      </w:r>
      <w:r w:rsidRPr="00ED2562">
        <w:rPr>
          <w:rFonts w:ascii="IPT.Zar" w:hAnsi="IPT.Zar" w:cs="B Zar"/>
          <w:rtl/>
        </w:rPr>
        <w:t>. ابن نديم: كتاب الفهرست ص 421</w:t>
      </w:r>
    </w:p>
  </w:footnote>
  <w:footnote w:id="456">
    <w:p w:rsidR="00C8559C" w:rsidRPr="00ED2562" w:rsidP="00176EBF">
      <w:pPr>
        <w:pStyle w:val="FootnoteText"/>
        <w:ind w:left="227" w:right="0" w:hanging="227"/>
        <w:jc w:val="both"/>
        <w:rPr>
          <w:rFonts w:ascii="IPT.Zar" w:hAnsi="IPT.Zar" w:cs="B Zar" w:hint="cs"/>
          <w:rtl/>
        </w:rPr>
      </w:pPr>
      <w:r w:rsidRPr="0084188A">
        <w:rPr>
          <w:rStyle w:val="FootnoteReference"/>
          <w:rFonts w:ascii="IPT.Zar" w:hAnsi="IPT.Zar" w:cs="B Zar"/>
          <w:sz w:val="24"/>
          <w:szCs w:val="24"/>
          <w:vertAlign w:val="baseline"/>
        </w:rPr>
        <w:footnoteRef/>
      </w:r>
      <w:r w:rsidRPr="00ED2562">
        <w:rPr>
          <w:rFonts w:ascii="IPT.Zar" w:hAnsi="IPT.Zar" w:cs="B Zar"/>
          <w:rtl/>
        </w:rPr>
        <w:t>.</w:t>
      </w:r>
      <w:r>
        <w:rPr>
          <w:rFonts w:ascii="IPT.Zar" w:hAnsi="IPT.Zar" w:cs="B Zar" w:hint="cs"/>
          <w:rtl/>
        </w:rPr>
        <w:tab/>
      </w:r>
      <w:r w:rsidRPr="00ED2562">
        <w:rPr>
          <w:rFonts w:ascii="IPT.Zar" w:hAnsi="IPT.Zar" w:cs="B Zar"/>
          <w:rtl/>
        </w:rPr>
        <w:t>همان:  ص 371</w:t>
      </w:r>
    </w:p>
  </w:footnote>
  <w:footnote w:id="457">
    <w:p w:rsidR="00C8559C" w:rsidRPr="00ED2562" w:rsidP="00176EBF">
      <w:pPr>
        <w:pStyle w:val="FootnoteText"/>
        <w:ind w:left="227" w:right="0" w:hanging="227"/>
        <w:jc w:val="both"/>
        <w:rPr>
          <w:rFonts w:ascii="IPT.Zar" w:hAnsi="IPT.Zar" w:cs="B Zar"/>
          <w:rtl/>
        </w:rPr>
      </w:pPr>
      <w:r w:rsidRPr="00ED2562">
        <w:rPr>
          <w:rStyle w:val="FootnoteReference"/>
          <w:rFonts w:ascii="IPT.Zar" w:hAnsi="IPT.Zar" w:cs="B Zar"/>
          <w:vertAlign w:val="baseline"/>
        </w:rPr>
        <w:footnoteRef/>
      </w:r>
      <w:r w:rsidRPr="00ED2562">
        <w:rPr>
          <w:rFonts w:ascii="IPT.Zar" w:hAnsi="IPT.Zar" w:cs="B Zar"/>
          <w:rtl/>
        </w:rPr>
        <w:t xml:space="preserve">. </w:t>
      </w:r>
      <w:r>
        <w:rPr>
          <w:rFonts w:ascii="IPT.Zar" w:hAnsi="IPT.Zar" w:cs="B Zar" w:hint="cs"/>
          <w:rtl/>
        </w:rPr>
        <w:tab/>
      </w:r>
      <w:r w:rsidRPr="00ED2562">
        <w:rPr>
          <w:rFonts w:ascii="IPT.Zar" w:hAnsi="IPT.Zar" w:cs="B Zar"/>
          <w:rtl/>
        </w:rPr>
        <w:t>همان:  ص 410</w:t>
      </w:r>
    </w:p>
  </w:footnote>
  <w:footnote w:id="458">
    <w:p w:rsidR="00C8559C" w:rsidRPr="00ED2562" w:rsidP="0056547F">
      <w:pPr>
        <w:pStyle w:val="FootnoteText"/>
        <w:ind w:left="227" w:right="0" w:hanging="227"/>
        <w:jc w:val="both"/>
        <w:rPr>
          <w:rFonts w:ascii="IPT.Zar" w:hAnsi="IPT.Zar" w:cs="B Zar"/>
        </w:rPr>
      </w:pPr>
      <w:r w:rsidRPr="00ED2562">
        <w:rPr>
          <w:rStyle w:val="FootnoteReference"/>
          <w:rFonts w:ascii="IPT.Zar" w:hAnsi="IPT.Zar" w:cs="B Zar"/>
          <w:vertAlign w:val="baseline"/>
        </w:rPr>
        <w:footnoteRef/>
      </w:r>
      <w:r w:rsidRPr="00ED2562">
        <w:rPr>
          <w:rFonts w:ascii="IPT.Zar" w:hAnsi="IPT.Zar" w:cs="B Zar"/>
          <w:rtl/>
        </w:rPr>
        <w:t>.</w:t>
      </w:r>
      <w:r>
        <w:rPr>
          <w:rFonts w:ascii="IPT.Zar" w:hAnsi="IPT.Zar" w:cs="B Zar" w:hint="cs"/>
          <w:rtl/>
        </w:rPr>
        <w:tab/>
      </w:r>
      <w:r w:rsidRPr="00ED2562">
        <w:rPr>
          <w:rFonts w:ascii="IPT.Zar" w:hAnsi="IPT.Zar" w:cs="B Zar"/>
          <w:rtl/>
        </w:rPr>
        <w:t>همان:  ص 158</w:t>
      </w:r>
    </w:p>
  </w:footnote>
  <w:footnote w:id="459">
    <w:p w:rsidR="00C8559C" w:rsidRPr="006A4F74" w:rsidP="0056547F">
      <w:pPr>
        <w:pStyle w:val="FootnoteText"/>
        <w:ind w:left="227" w:right="0" w:hanging="227"/>
        <w:jc w:val="both"/>
        <w:rPr>
          <w:rFonts w:cs="B Zar" w:hint="cs"/>
          <w:rtl/>
        </w:rPr>
      </w:pPr>
      <w:r w:rsidRPr="0056547F">
        <w:rPr>
          <w:rStyle w:val="FootnoteReference"/>
          <w:rFonts w:ascii="IPT.Zar" w:hAnsi="IPT.Zar" w:cs="B Zar"/>
          <w:sz w:val="24"/>
          <w:szCs w:val="24"/>
          <w:vertAlign w:val="baseline"/>
        </w:rPr>
        <w:footnoteRef/>
      </w:r>
      <w:r w:rsidRPr="00ED2562">
        <w:rPr>
          <w:rFonts w:ascii="IPT.Zar" w:hAnsi="IPT.Zar" w:cs="B Zar"/>
          <w:rtl/>
        </w:rPr>
        <w:t xml:space="preserve">. </w:t>
      </w:r>
      <w:r>
        <w:rPr>
          <w:rFonts w:ascii="IPT.Zar" w:hAnsi="IPT.Zar" w:cs="B Zar" w:hint="cs"/>
          <w:rtl/>
        </w:rPr>
        <w:tab/>
      </w:r>
      <w:r w:rsidRPr="00ED2562">
        <w:rPr>
          <w:rFonts w:ascii="IPT.Zar" w:hAnsi="IPT.Zar" w:cs="B Zar"/>
          <w:rtl/>
        </w:rPr>
        <w:t>همان:  ص 181</w:t>
      </w:r>
    </w:p>
  </w:footnote>
  <w:footnote w:id="460">
    <w:p w:rsidR="00C8559C" w:rsidRPr="002E5519" w:rsidP="00A166D3">
      <w:pPr>
        <w:pStyle w:val="FootnoteText"/>
        <w:ind w:left="227" w:right="0" w:hanging="227"/>
        <w:jc w:val="both"/>
        <w:rPr>
          <w:rFonts w:ascii="IPT.Zar" w:hAnsi="IPT.Zar" w:cs="B Zar"/>
        </w:rPr>
      </w:pPr>
      <w:r w:rsidRPr="005C6A3A">
        <w:rPr>
          <w:rStyle w:val="FootnoteReference"/>
          <w:rFonts w:ascii="IPT.Zar" w:hAnsi="IPT.Zar" w:cs="B Zar"/>
          <w:sz w:val="24"/>
          <w:szCs w:val="24"/>
          <w:vertAlign w:val="baseline"/>
        </w:rPr>
        <w:footnoteRef/>
      </w:r>
      <w:r w:rsidRPr="002E5519">
        <w:rPr>
          <w:rFonts w:ascii="IPT.Zar" w:hAnsi="IPT.Zar" w:cs="B Zar"/>
          <w:rtl/>
        </w:rPr>
        <w:t>.</w:t>
      </w:r>
      <w:r>
        <w:rPr>
          <w:rFonts w:ascii="IPT.Zar" w:hAnsi="IPT.Zar" w:cs="B Zar" w:hint="cs"/>
          <w:rtl/>
        </w:rPr>
        <w:t xml:space="preserve"> </w:t>
      </w:r>
      <w:r w:rsidRPr="002E5519">
        <w:rPr>
          <w:rFonts w:ascii="IPT.Zar" w:hAnsi="IPT.Zar" w:cs="B Zar"/>
          <w:rtl/>
        </w:rPr>
        <w:t xml:space="preserve"> </w:t>
      </w:r>
      <w:r>
        <w:rPr>
          <w:rFonts w:ascii="IPT.Zar" w:hAnsi="IPT.Zar" w:cs="B Zar" w:hint="cs"/>
          <w:rtl/>
        </w:rPr>
        <w:tab/>
      </w:r>
      <w:r w:rsidRPr="002E5519">
        <w:rPr>
          <w:rFonts w:ascii="IPT.Zar" w:hAnsi="IPT.Zar" w:cs="B Zar"/>
          <w:rtl/>
        </w:rPr>
        <w:t>همان:  ص 245</w:t>
      </w:r>
    </w:p>
  </w:footnote>
  <w:footnote w:id="461">
    <w:p w:rsidR="00C8559C" w:rsidRPr="002E5519" w:rsidP="00A166D3">
      <w:pPr>
        <w:pStyle w:val="FootnoteText"/>
        <w:ind w:left="227" w:right="0" w:hanging="227"/>
        <w:jc w:val="both"/>
        <w:rPr>
          <w:rFonts w:ascii="IPT.Zar" w:hAnsi="IPT.Zar"/>
        </w:rPr>
      </w:pPr>
      <w:r w:rsidRPr="005C6A3A">
        <w:rPr>
          <w:rStyle w:val="FootnoteReference"/>
          <w:rFonts w:ascii="IPT.Zar" w:hAnsi="IPT.Zar" w:cs="B Zar"/>
          <w:sz w:val="24"/>
          <w:szCs w:val="24"/>
          <w:vertAlign w:val="baseline"/>
        </w:rPr>
        <w:footnoteRef/>
      </w:r>
      <w:r w:rsidRPr="002E5519">
        <w:rPr>
          <w:rFonts w:ascii="IPT.Zar" w:hAnsi="IPT.Zar" w:cs="B Zar"/>
          <w:rtl/>
        </w:rPr>
        <w:t>.</w:t>
      </w:r>
      <w:r>
        <w:rPr>
          <w:rFonts w:ascii="IPT.Zar" w:hAnsi="IPT.Zar" w:cs="B Zar" w:hint="cs"/>
          <w:rtl/>
        </w:rPr>
        <w:t xml:space="preserve"> </w:t>
        <w:tab/>
      </w:r>
      <w:r w:rsidRPr="002E5519">
        <w:rPr>
          <w:rFonts w:ascii="IPT.Zar" w:hAnsi="IPT.Zar" w:cs="B Zar"/>
          <w:rtl/>
        </w:rPr>
        <w:t xml:space="preserve"> همان:  ص 191</w:t>
      </w:r>
    </w:p>
  </w:footnote>
  <w:footnote w:id="462">
    <w:p w:rsidR="00C8559C" w:rsidRPr="002E5519" w:rsidP="00A166D3">
      <w:pPr>
        <w:pStyle w:val="FootnoteText"/>
        <w:ind w:left="227" w:right="0" w:hanging="227"/>
        <w:jc w:val="both"/>
        <w:rPr>
          <w:rFonts w:ascii="IPT.Zar" w:hAnsi="IPT.Zar" w:cs="B Zar"/>
        </w:rPr>
      </w:pPr>
      <w:r w:rsidRPr="005C6A3A">
        <w:rPr>
          <w:rStyle w:val="FootnoteReference"/>
          <w:rFonts w:ascii="IPT.Zar" w:hAnsi="IPT.Zar" w:cs="B Zar"/>
          <w:sz w:val="24"/>
          <w:szCs w:val="24"/>
          <w:vertAlign w:val="baseline"/>
        </w:rPr>
        <w:footnoteRef/>
      </w:r>
      <w:r w:rsidRPr="002E5519">
        <w:rPr>
          <w:rFonts w:ascii="IPT.Zar" w:hAnsi="IPT.Zar" w:cs="B Zar"/>
          <w:rtl/>
        </w:rPr>
        <w:t>.</w:t>
      </w:r>
      <w:r>
        <w:rPr>
          <w:rFonts w:ascii="IPT.Zar" w:hAnsi="IPT.Zar" w:cs="B Zar" w:hint="cs"/>
          <w:rtl/>
        </w:rPr>
        <w:t xml:space="preserve"> </w:t>
      </w:r>
      <w:r w:rsidRPr="002E5519">
        <w:rPr>
          <w:rFonts w:ascii="IPT.Zar" w:hAnsi="IPT.Zar" w:cs="B Zar"/>
          <w:rtl/>
        </w:rPr>
        <w:t xml:space="preserve"> </w:t>
      </w:r>
      <w:r>
        <w:rPr>
          <w:rFonts w:ascii="IPT.Zar" w:hAnsi="IPT.Zar" w:cs="B Zar" w:hint="cs"/>
          <w:rtl/>
        </w:rPr>
        <w:tab/>
      </w:r>
      <w:r w:rsidRPr="002E5519">
        <w:rPr>
          <w:rFonts w:ascii="IPT.Zar" w:hAnsi="IPT.Zar" w:cs="B Zar"/>
          <w:rtl/>
        </w:rPr>
        <w:t>همان:  ص 246</w:t>
      </w:r>
    </w:p>
  </w:footnote>
  <w:footnote w:id="463">
    <w:p w:rsidR="00C8559C" w:rsidRPr="002E5519" w:rsidP="00A166D3">
      <w:pPr>
        <w:pStyle w:val="FootnoteText"/>
        <w:ind w:left="227" w:right="0" w:hanging="227"/>
        <w:jc w:val="both"/>
        <w:rPr>
          <w:rFonts w:ascii="IPT.Zar" w:hAnsi="IPT.Zar" w:cs="B Zar"/>
        </w:rPr>
      </w:pPr>
      <w:r w:rsidRPr="005C6A3A">
        <w:rPr>
          <w:rStyle w:val="FootnoteReference"/>
          <w:rFonts w:ascii="IPT.Zar" w:hAnsi="IPT.Zar" w:cs="B Zar"/>
          <w:sz w:val="24"/>
          <w:szCs w:val="24"/>
          <w:vertAlign w:val="baseline"/>
        </w:rPr>
        <w:footnoteRef/>
      </w:r>
      <w:r w:rsidRPr="002E5519">
        <w:rPr>
          <w:rFonts w:ascii="IPT.Zar" w:hAnsi="IPT.Zar" w:cs="B Zar"/>
          <w:rtl/>
        </w:rPr>
        <w:t>.</w:t>
      </w:r>
      <w:r>
        <w:rPr>
          <w:rFonts w:ascii="IPT.Zar" w:hAnsi="IPT.Zar" w:cs="B Zar" w:hint="cs"/>
          <w:rtl/>
        </w:rPr>
        <w:t xml:space="preserve"> </w:t>
      </w:r>
      <w:r w:rsidRPr="002E5519">
        <w:rPr>
          <w:rFonts w:ascii="IPT.Zar" w:hAnsi="IPT.Zar" w:cs="B Zar"/>
          <w:rtl/>
        </w:rPr>
        <w:t xml:space="preserve"> </w:t>
      </w:r>
      <w:r>
        <w:rPr>
          <w:rFonts w:ascii="IPT.Zar" w:hAnsi="IPT.Zar" w:cs="B Zar" w:hint="cs"/>
          <w:rtl/>
        </w:rPr>
        <w:tab/>
      </w:r>
      <w:r w:rsidRPr="002E5519">
        <w:rPr>
          <w:rFonts w:ascii="IPT.Zar" w:hAnsi="IPT.Zar" w:cs="B Zar"/>
          <w:rtl/>
        </w:rPr>
        <w:t>همان:  ص 422</w:t>
      </w:r>
    </w:p>
  </w:footnote>
  <w:footnote w:id="464">
    <w:p w:rsidR="00C8559C" w:rsidRPr="002E5519" w:rsidP="00A166D3">
      <w:pPr>
        <w:pStyle w:val="FootnoteText"/>
        <w:ind w:left="227" w:right="0" w:hanging="227"/>
        <w:jc w:val="both"/>
        <w:rPr>
          <w:rFonts w:ascii="IPT.Zar" w:hAnsi="IPT.Zar" w:cs="B Zar"/>
        </w:rPr>
      </w:pPr>
      <w:r w:rsidRPr="005C6A3A">
        <w:rPr>
          <w:rStyle w:val="FootnoteReference"/>
          <w:rFonts w:ascii="IPT.Zar" w:hAnsi="IPT.Zar" w:cs="B Zar"/>
          <w:sz w:val="24"/>
          <w:szCs w:val="24"/>
          <w:vertAlign w:val="baseline"/>
        </w:rPr>
        <w:footnoteRef/>
      </w:r>
      <w:r w:rsidRPr="002E5519">
        <w:rPr>
          <w:rFonts w:ascii="IPT.Zar" w:hAnsi="IPT.Zar" w:cs="B Zar"/>
          <w:rtl/>
        </w:rPr>
        <w:t>.</w:t>
      </w:r>
      <w:r>
        <w:rPr>
          <w:rFonts w:ascii="IPT.Zar" w:hAnsi="IPT.Zar" w:cs="B Zar" w:hint="cs"/>
          <w:rtl/>
        </w:rPr>
        <w:t xml:space="preserve"> </w:t>
      </w:r>
      <w:r w:rsidRPr="002E5519">
        <w:rPr>
          <w:rFonts w:ascii="IPT.Zar" w:hAnsi="IPT.Zar" w:cs="B Zar"/>
          <w:rtl/>
        </w:rPr>
        <w:t xml:space="preserve"> </w:t>
      </w:r>
      <w:r>
        <w:rPr>
          <w:rFonts w:ascii="IPT.Zar" w:hAnsi="IPT.Zar" w:cs="B Zar" w:hint="cs"/>
          <w:rtl/>
        </w:rPr>
        <w:tab/>
      </w:r>
      <w:r w:rsidRPr="002E5519">
        <w:rPr>
          <w:rFonts w:ascii="IPT.Zar" w:hAnsi="IPT.Zar" w:cs="B Zar"/>
          <w:rtl/>
        </w:rPr>
        <w:t>همان:  ص 47</w:t>
      </w:r>
    </w:p>
  </w:footnote>
  <w:footnote w:id="465">
    <w:p w:rsidR="00C8559C" w:rsidRPr="002E5519" w:rsidP="00A166D3">
      <w:pPr>
        <w:pStyle w:val="FootnoteText"/>
        <w:ind w:left="227" w:right="0" w:hanging="227"/>
        <w:jc w:val="both"/>
        <w:rPr>
          <w:rFonts w:ascii="IPT.Zar" w:hAnsi="IPT.Zar" w:cs="B Zar"/>
          <w:rtl/>
        </w:rPr>
      </w:pPr>
      <w:r w:rsidRPr="005C6A3A">
        <w:rPr>
          <w:rStyle w:val="FootnoteReference"/>
          <w:rFonts w:ascii="IPT.Zar" w:hAnsi="IPT.Zar" w:cs="B Zar"/>
          <w:sz w:val="24"/>
          <w:szCs w:val="24"/>
          <w:vertAlign w:val="baseline"/>
        </w:rPr>
        <w:footnoteRef/>
      </w:r>
      <w:r w:rsidRPr="002E5519">
        <w:rPr>
          <w:rFonts w:ascii="IPT.Zar" w:hAnsi="IPT.Zar" w:cs="B Zar"/>
          <w:rtl/>
        </w:rPr>
        <w:t>.</w:t>
      </w:r>
      <w:r>
        <w:rPr>
          <w:rFonts w:ascii="IPT.Zar" w:hAnsi="IPT.Zar" w:cs="B Zar" w:hint="cs"/>
          <w:rtl/>
        </w:rPr>
        <w:t xml:space="preserve"> </w:t>
      </w:r>
      <w:r w:rsidRPr="002E5519">
        <w:rPr>
          <w:rFonts w:ascii="IPT.Zar" w:hAnsi="IPT.Zar" w:cs="B Zar"/>
          <w:rtl/>
        </w:rPr>
        <w:t xml:space="preserve"> </w:t>
      </w:r>
      <w:r>
        <w:rPr>
          <w:rFonts w:ascii="IPT.Zar" w:hAnsi="IPT.Zar" w:cs="B Zar" w:hint="cs"/>
          <w:rtl/>
        </w:rPr>
        <w:tab/>
      </w:r>
      <w:r w:rsidRPr="002E5519">
        <w:rPr>
          <w:rFonts w:ascii="IPT.Zar" w:hAnsi="IPT.Zar" w:cs="B Zar"/>
          <w:rtl/>
        </w:rPr>
        <w:t>همان: ص 200</w:t>
      </w:r>
    </w:p>
  </w:footnote>
  <w:footnote w:id="466">
    <w:p w:rsidR="00C8559C" w:rsidRPr="006A4F74" w:rsidP="00A166D3">
      <w:pPr>
        <w:pStyle w:val="FootnoteText"/>
        <w:ind w:left="227" w:right="0" w:hanging="227"/>
        <w:jc w:val="both"/>
        <w:rPr>
          <w:rFonts w:hint="cs"/>
          <w:rtl/>
        </w:rPr>
      </w:pPr>
      <w:r w:rsidRPr="005C6A3A">
        <w:rPr>
          <w:rStyle w:val="FootnoteReference"/>
          <w:rFonts w:ascii="IPT.Zar" w:hAnsi="IPT.Zar" w:cs="B Zar"/>
          <w:sz w:val="24"/>
          <w:szCs w:val="24"/>
          <w:vertAlign w:val="baseline"/>
        </w:rPr>
        <w:footnoteRef/>
      </w:r>
      <w:r w:rsidRPr="002E5519">
        <w:rPr>
          <w:rFonts w:ascii="IPT.Zar" w:hAnsi="IPT.Zar" w:cs="B Zar"/>
          <w:rtl/>
        </w:rPr>
        <w:t>.</w:t>
      </w:r>
      <w:r>
        <w:rPr>
          <w:rFonts w:ascii="IPT.Zar" w:hAnsi="IPT.Zar" w:cs="B Zar" w:hint="cs"/>
          <w:rtl/>
        </w:rPr>
        <w:t xml:space="preserve"> </w:t>
        <w:tab/>
      </w:r>
      <w:r w:rsidRPr="002E5519">
        <w:rPr>
          <w:rFonts w:ascii="IPT.Zar" w:hAnsi="IPT.Zar" w:cs="B Zar"/>
          <w:rtl/>
        </w:rPr>
        <w:t>همان:  ص 165</w:t>
      </w:r>
    </w:p>
  </w:footnote>
  <w:footnote w:id="467">
    <w:p w:rsidR="00C8559C" w:rsidRPr="006A4F74" w:rsidP="00A166D3">
      <w:pPr>
        <w:pStyle w:val="FootnoteText"/>
        <w:ind w:left="0" w:right="0"/>
        <w:jc w:val="both"/>
        <w:rPr>
          <w:rFonts w:ascii="IPT.Zar" w:hAnsi="IPT.Zar" w:hint="cs"/>
          <w:rtl/>
        </w:rPr>
      </w:pPr>
      <w:r w:rsidRPr="005C6A3A">
        <w:rPr>
          <w:rFonts w:cs="B Zar"/>
        </w:rPr>
        <w:t>.</w:t>
      </w:r>
      <w:r w:rsidRPr="006A4F74">
        <w:rPr>
          <w:rStyle w:val="FootnoteReference"/>
          <w:rFonts w:ascii="IPT.Zar" w:hAnsi="IPT.Zar" w:cs="Yagut"/>
          <w:sz w:val="24"/>
          <w:szCs w:val="24"/>
          <w:vertAlign w:val="baseline"/>
        </w:rPr>
        <w:footnoteRef/>
      </w:r>
      <w:r w:rsidRPr="006A4F74">
        <w:rPr>
          <w:rFonts w:ascii="IPT.Zar" w:hAnsi="IPT.Zar" w:hint="cs"/>
          <w:rtl/>
        </w:rPr>
        <w:t xml:space="preserve"> </w:t>
      </w:r>
      <w:r w:rsidRPr="006A4F74">
        <w:rPr>
          <w:rFonts w:cs="B Zar" w:hint="cs"/>
          <w:rtl/>
        </w:rPr>
        <w:t>مونداكا اوپانيشاد</w:t>
      </w:r>
      <w:r w:rsidRPr="006A4F74">
        <w:rPr>
          <w:rFonts w:ascii="IPT.Zar" w:hAnsi="IPT.Zar" w:cs="B Zar" w:hint="cs"/>
          <w:rtl/>
        </w:rPr>
        <w:t>: 30:1</w:t>
      </w:r>
    </w:p>
  </w:footnote>
  <w:footnote w:id="468">
    <w:p w:rsidR="00C8559C" w:rsidRPr="006A4F74" w:rsidP="00BA0A31">
      <w:pPr>
        <w:pStyle w:val="FootnoteText"/>
        <w:ind w:left="227" w:right="0" w:hanging="227"/>
        <w:jc w:val="both"/>
        <w:rPr>
          <w:rFonts w:cs="B Zar" w:hint="cs"/>
          <w:rtl/>
        </w:rPr>
      </w:pPr>
      <w:r w:rsidRPr="006A4F74">
        <w:rPr>
          <w:rStyle w:val="FootnoteReference"/>
          <w:rFonts w:ascii="IPT.Zar" w:hAnsi="IPT.Zar" w:cs="B Zar"/>
          <w:sz w:val="24"/>
          <w:szCs w:val="24"/>
          <w:vertAlign w:val="baseline"/>
        </w:rPr>
        <w:footnoteRef/>
      </w:r>
      <w:r w:rsidRPr="006A4F74">
        <w:rPr>
          <w:rFonts w:cs="B Zar" w:hint="cs"/>
          <w:rtl/>
        </w:rPr>
        <w:t xml:space="preserve">. </w:t>
      </w:r>
      <w:r>
        <w:rPr>
          <w:rFonts w:cs="B Zar" w:hint="cs"/>
          <w:rtl/>
        </w:rPr>
        <w:t xml:space="preserve"> </w:t>
        <w:tab/>
      </w:r>
      <w:r w:rsidRPr="006A4F74">
        <w:rPr>
          <w:rFonts w:cs="B Zar" w:hint="cs"/>
          <w:rtl/>
        </w:rPr>
        <w:t>داراشكوه در سال 1640 هنگام اقامت خود در كشمير با اوپانيشاد آشنا شد. وقتي به دهلي برگشت عده‌اي از برهمانان را از حوزه علمي شهر بنارس دعوت كرد كه به ترجمه و تدوين اوپانيشادها بپردازند.</w:t>
      </w:r>
    </w:p>
    <w:p w:rsidR="00C8559C" w:rsidRPr="006A4F74" w:rsidP="00BA0A31">
      <w:pPr>
        <w:pStyle w:val="FootnoteText"/>
        <w:ind w:left="227" w:right="0"/>
        <w:jc w:val="both"/>
        <w:rPr>
          <w:rFonts w:hint="cs"/>
          <w:rtl/>
        </w:rPr>
      </w:pPr>
      <w:r w:rsidRPr="006A4F74">
        <w:rPr>
          <w:rFonts w:cs="B Zar" w:hint="cs"/>
          <w:rtl/>
        </w:rPr>
        <w:t>انكوتيل دو برون، كشف كننده اوستا در سال 1775، يك نسخه از ترجمه داراشكوه را از سفير فرانسه در دربار شجاع الدوله، شاه شيعه (لكهنو) ، به دست آورد و اين نسخه را به زبان لاتين برگرداند؛ زيرا ترجمه دارالشكوه بسيار ثقيل بود.</w:t>
      </w:r>
    </w:p>
  </w:footnote>
  <w:footnote w:id="469">
    <w:p w:rsidR="00C8559C" w:rsidRPr="00EF30EB" w:rsidP="008375F7">
      <w:pPr>
        <w:pStyle w:val="FootnoteText"/>
        <w:bidi w:val="0"/>
        <w:spacing w:line="240" w:lineRule="auto"/>
        <w:rPr>
          <w:rFonts w:ascii="IPT.Zar" w:hAnsi="IPT.Zar" w:hint="cs"/>
          <w:sz w:val="18"/>
          <w:szCs w:val="18"/>
          <w:rtl/>
        </w:rPr>
      </w:pPr>
      <w:r w:rsidRPr="00EF30EB">
        <w:rPr>
          <w:rStyle w:val="FootnoteReference"/>
          <w:rFonts w:cs="Times New Roman"/>
          <w:sz w:val="18"/>
          <w:szCs w:val="18"/>
          <w:vertAlign w:val="baseline"/>
        </w:rPr>
        <w:footnoteRef/>
      </w:r>
      <w:r w:rsidRPr="00EF30EB">
        <w:rPr>
          <w:rFonts w:ascii="IPT.Zar" w:hAnsi="IPT.Zar"/>
          <w:sz w:val="18"/>
          <w:szCs w:val="18"/>
        </w:rPr>
        <w:sym w:font="IPT.Zar" w:char="F02E"/>
      </w:r>
      <w:r>
        <w:rPr>
          <w:rFonts w:ascii="IPT.Zar" w:hAnsi="IPT.Zar" w:hint="cs"/>
          <w:sz w:val="18"/>
          <w:szCs w:val="18"/>
          <w:rtl/>
        </w:rPr>
        <w:t xml:space="preserve"> </w:t>
      </w:r>
      <w:r w:rsidRPr="00EF30EB">
        <w:rPr>
          <w:sz w:val="18"/>
          <w:szCs w:val="18"/>
        </w:rPr>
        <w:t>Shankara: Vedanta Sutra Bhasiya, Tr with Text, Benarus, 1937, Introduction</w:t>
      </w:r>
    </w:p>
  </w:footnote>
  <w:footnote w:id="470">
    <w:p w:rsidR="00C8559C" w:rsidRPr="006A4F74" w:rsidP="008375F7">
      <w:pPr>
        <w:pStyle w:val="FootnoteText"/>
        <w:spacing w:line="240" w:lineRule="auto"/>
        <w:ind w:left="0" w:right="0"/>
        <w:jc w:val="right"/>
      </w:pPr>
      <w:r w:rsidRPr="00EF30EB">
        <w:rPr>
          <w:rStyle w:val="FootnoteReference"/>
          <w:sz w:val="18"/>
          <w:szCs w:val="18"/>
          <w:vertAlign w:val="baseline"/>
        </w:rPr>
        <w:footnoteRef/>
      </w:r>
      <w:r>
        <w:rPr>
          <w:sz w:val="18"/>
          <w:szCs w:val="18"/>
        </w:rPr>
        <w:t xml:space="preserve"> </w:t>
      </w:r>
      <w:r w:rsidRPr="00EF30EB">
        <w:rPr>
          <w:sz w:val="18"/>
          <w:szCs w:val="18"/>
        </w:rPr>
        <w:t xml:space="preserve">  Radhakshnan</w:t>
      </w:r>
      <w:r>
        <w:rPr>
          <w:sz w:val="18"/>
          <w:szCs w:val="18"/>
        </w:rPr>
        <w:t>, Dr S:  The Indian Philosophy,</w:t>
      </w:r>
      <w:r w:rsidRPr="00EF30EB">
        <w:rPr>
          <w:sz w:val="18"/>
          <w:szCs w:val="18"/>
        </w:rPr>
        <w:t xml:space="preserve"> p 21</w:t>
      </w:r>
    </w:p>
  </w:footnote>
  <w:footnote w:id="471">
    <w:p w:rsidR="00C8559C" w:rsidRPr="006A4F74">
      <w:pPr>
        <w:pStyle w:val="FootnoteText"/>
        <w:ind w:left="0" w:right="0"/>
        <w:jc w:val="both"/>
        <w:rPr>
          <w:rFonts w:cs="B Zar"/>
        </w:rPr>
      </w:pPr>
      <w:r w:rsidRPr="006A4F74">
        <w:rPr>
          <w:rStyle w:val="FootnoteReference"/>
          <w:rFonts w:ascii="IPT.Zar" w:hAnsi="IPT.Zar" w:cs="B Zar"/>
          <w:sz w:val="24"/>
          <w:szCs w:val="24"/>
          <w:vertAlign w:val="baseline"/>
        </w:rPr>
        <w:footnoteRef/>
      </w:r>
      <w:r w:rsidRPr="006A4F74">
        <w:rPr>
          <w:rFonts w:cs="B Zar"/>
        </w:rPr>
        <w:t xml:space="preserve"> </w:t>
      </w:r>
      <w:r w:rsidRPr="006A4F74">
        <w:rPr>
          <w:rFonts w:cs="B Zar" w:hint="cs"/>
          <w:rtl/>
        </w:rPr>
        <w:t>.</w:t>
      </w:r>
      <w:r>
        <w:rPr>
          <w:rFonts w:cs="B Zar" w:hint="cs"/>
          <w:rtl/>
        </w:rPr>
        <w:t xml:space="preserve">  </w:t>
      </w:r>
      <w:r w:rsidRPr="006A4F74">
        <w:rPr>
          <w:rFonts w:cs="B Zar" w:hint="cs"/>
          <w:rtl/>
        </w:rPr>
        <w:t xml:space="preserve"> جون داوسون: ص 326 </w:t>
      </w:r>
    </w:p>
  </w:footnote>
  <w:footnote w:id="472">
    <w:p w:rsidR="00C8559C" w:rsidRPr="008375F7" w:rsidP="00CC3AC3">
      <w:pPr>
        <w:pStyle w:val="FootnoteText"/>
        <w:bidi w:val="0"/>
        <w:spacing w:line="240" w:lineRule="auto"/>
        <w:ind w:left="227" w:hanging="227"/>
        <w:rPr>
          <w:sz w:val="18"/>
          <w:szCs w:val="18"/>
        </w:rPr>
      </w:pPr>
      <w:r w:rsidRPr="008375F7">
        <w:rPr>
          <w:rStyle w:val="FootnoteReference"/>
          <w:rFonts w:cs="Times New Roman"/>
          <w:sz w:val="18"/>
          <w:szCs w:val="18"/>
          <w:vertAlign w:val="baseline"/>
        </w:rPr>
        <w:footnoteRef/>
      </w:r>
      <w:r>
        <w:rPr>
          <w:rFonts w:cs="Times New Roman"/>
          <w:sz w:val="18"/>
          <w:szCs w:val="18"/>
        </w:rPr>
        <w:t>.</w:t>
      </w:r>
      <w:r w:rsidRPr="008375F7">
        <w:rPr>
          <w:rFonts w:cs="Times New Roman"/>
          <w:sz w:val="18"/>
          <w:szCs w:val="18"/>
        </w:rPr>
        <w:t xml:space="preserve"> </w:t>
      </w:r>
      <w:r>
        <w:rPr>
          <w:rFonts w:cs="Yagut"/>
          <w:sz w:val="18"/>
          <w:szCs w:val="18"/>
        </w:rPr>
        <w:tab/>
      </w:r>
      <w:r w:rsidRPr="008375F7">
        <w:rPr>
          <w:rFonts w:cs="Yagut"/>
          <w:sz w:val="18"/>
          <w:szCs w:val="18"/>
        </w:rPr>
        <w:t xml:space="preserve">Keith, Arthur: The Religion &amp; Philosophy of the Veda and Upanishad,  </w:t>
      </w:r>
      <w:smartTag w:uri="urn:schemas-microsoft-com:office:smarttags" w:element="place">
        <w:smartTag w:uri="urn:schemas-microsoft-com:office:smarttags" w:element="City">
          <w:r w:rsidRPr="008375F7">
            <w:rPr>
              <w:rFonts w:cs="Yagut"/>
              <w:sz w:val="18"/>
              <w:szCs w:val="18"/>
            </w:rPr>
            <w:t>New Delhi</w:t>
          </w:r>
        </w:smartTag>
      </w:smartTag>
      <w:r w:rsidRPr="008375F7">
        <w:rPr>
          <w:rFonts w:cs="Yagut"/>
          <w:sz w:val="18"/>
          <w:szCs w:val="18"/>
        </w:rPr>
        <w:t xml:space="preserve">, 1969, </w:t>
      </w:r>
      <w:r w:rsidRPr="008375F7">
        <w:rPr>
          <w:sz w:val="18"/>
          <w:szCs w:val="18"/>
        </w:rPr>
        <w:t>p 492</w:t>
      </w:r>
    </w:p>
  </w:footnote>
  <w:footnote w:id="473">
    <w:p w:rsidR="00C8559C" w:rsidRPr="008375F7" w:rsidP="00CC3AC3">
      <w:pPr>
        <w:pStyle w:val="FootnoteText"/>
        <w:spacing w:line="240" w:lineRule="auto"/>
        <w:ind w:left="227" w:right="0" w:hanging="227"/>
        <w:jc w:val="right"/>
        <w:rPr>
          <w:sz w:val="18"/>
          <w:szCs w:val="18"/>
        </w:rPr>
      </w:pPr>
      <w:r w:rsidRPr="008375F7">
        <w:rPr>
          <w:rStyle w:val="FootnoteReference"/>
          <w:sz w:val="18"/>
          <w:szCs w:val="18"/>
          <w:vertAlign w:val="baseline"/>
        </w:rPr>
        <w:footnoteRef/>
      </w:r>
      <w:r>
        <w:rPr>
          <w:sz w:val="18"/>
          <w:szCs w:val="18"/>
        </w:rPr>
        <w:t>.</w:t>
      </w:r>
      <w:r w:rsidRPr="008375F7">
        <w:rPr>
          <w:sz w:val="18"/>
          <w:szCs w:val="18"/>
        </w:rPr>
        <w:t xml:space="preserve">  Radhakshnan, Dr S:  The Indian Philosophy, p 21</w:t>
      </w:r>
    </w:p>
  </w:footnote>
  <w:footnote w:id="474">
    <w:p w:rsidR="00C8559C" w:rsidRPr="008375F7" w:rsidP="00CC3AC3">
      <w:pPr>
        <w:pStyle w:val="FootnoteText"/>
        <w:bidi w:val="0"/>
        <w:spacing w:line="240" w:lineRule="auto"/>
        <w:ind w:left="227" w:hanging="227"/>
        <w:rPr>
          <w:sz w:val="18"/>
          <w:szCs w:val="18"/>
          <w:rtl/>
        </w:rPr>
      </w:pPr>
      <w:r w:rsidRPr="008375F7">
        <w:rPr>
          <w:rStyle w:val="FootnoteReference"/>
          <w:sz w:val="18"/>
          <w:szCs w:val="18"/>
          <w:vertAlign w:val="baseline"/>
        </w:rPr>
        <w:footnoteRef/>
      </w:r>
      <w:r w:rsidRPr="008375F7">
        <w:rPr>
          <w:sz w:val="18"/>
          <w:szCs w:val="18"/>
        </w:rPr>
        <w:t xml:space="preserve">. </w:t>
      </w:r>
      <w:r>
        <w:rPr>
          <w:rFonts w:cs="Yagut"/>
          <w:sz w:val="18"/>
          <w:szCs w:val="18"/>
        </w:rPr>
        <w:tab/>
      </w:r>
      <w:r w:rsidRPr="008375F7">
        <w:rPr>
          <w:rFonts w:cs="Yagut"/>
          <w:sz w:val="18"/>
          <w:szCs w:val="18"/>
        </w:rPr>
        <w:t xml:space="preserve">Dutta, N.K.: Vedantic Philosophy, </w:t>
      </w:r>
      <w:smartTag w:uri="urn:schemas-microsoft-com:office:smarttags" w:element="place">
        <w:smartTag w:uri="urn:schemas-microsoft-com:office:smarttags" w:element="PlaceName">
          <w:r w:rsidRPr="008375F7">
            <w:rPr>
              <w:rFonts w:cs="Yagut"/>
              <w:sz w:val="18"/>
              <w:szCs w:val="18"/>
            </w:rPr>
            <w:t>Calcutta</w:t>
          </w:r>
        </w:smartTag>
        <w:r w:rsidRPr="008375F7">
          <w:rPr>
            <w:rFonts w:cs="Yagut"/>
            <w:sz w:val="18"/>
            <w:szCs w:val="18"/>
          </w:rPr>
          <w:t xml:space="preserve"> </w:t>
        </w:r>
        <w:smartTag w:uri="urn:schemas-microsoft-com:office:smarttags" w:element="PlaceType">
          <w:r w:rsidRPr="008375F7">
            <w:rPr>
              <w:rFonts w:cs="Yagut"/>
              <w:sz w:val="18"/>
              <w:szCs w:val="18"/>
            </w:rPr>
            <w:t>University</w:t>
          </w:r>
        </w:smartTag>
      </w:smartTag>
      <w:r w:rsidRPr="008375F7">
        <w:rPr>
          <w:rFonts w:cs="Yagut"/>
          <w:sz w:val="18"/>
          <w:szCs w:val="18"/>
        </w:rPr>
        <w:t>, 1945</w:t>
      </w:r>
      <w:r w:rsidRPr="008375F7">
        <w:rPr>
          <w:sz w:val="18"/>
          <w:szCs w:val="18"/>
        </w:rPr>
        <w:t xml:space="preserve">, P 58 </w:t>
      </w:r>
    </w:p>
  </w:footnote>
  <w:footnote w:id="475">
    <w:p w:rsidR="00C8559C" w:rsidRPr="006A4F74" w:rsidP="00CC3AC3">
      <w:pPr>
        <w:pStyle w:val="FootnoteText"/>
        <w:bidi w:val="0"/>
        <w:spacing w:line="240" w:lineRule="auto"/>
        <w:ind w:left="227" w:hanging="227"/>
        <w:rPr>
          <w:rtl/>
        </w:rPr>
      </w:pPr>
      <w:r w:rsidRPr="008375F7">
        <w:rPr>
          <w:rStyle w:val="FootnoteReference"/>
          <w:sz w:val="18"/>
          <w:szCs w:val="18"/>
          <w:vertAlign w:val="baseline"/>
        </w:rPr>
        <w:footnoteRef/>
      </w:r>
      <w:r w:rsidRPr="008375F7">
        <w:rPr>
          <w:sz w:val="18"/>
          <w:szCs w:val="18"/>
        </w:rPr>
        <w:t xml:space="preserve">. </w:t>
      </w:r>
      <w:r>
        <w:rPr>
          <w:sz w:val="18"/>
          <w:szCs w:val="18"/>
        </w:rPr>
        <w:tab/>
      </w:r>
      <w:r w:rsidRPr="008375F7">
        <w:rPr>
          <w:sz w:val="18"/>
          <w:szCs w:val="18"/>
        </w:rPr>
        <w:t xml:space="preserve">Muller, Max: History of Sanskrit Literature, </w:t>
      </w:r>
      <w:smartTag w:uri="urn:schemas-microsoft-com:office:smarttags" w:element="place">
        <w:smartTag w:uri="urn:schemas-microsoft-com:office:smarttags" w:element="City">
          <w:r w:rsidRPr="008375F7">
            <w:rPr>
              <w:sz w:val="18"/>
              <w:szCs w:val="18"/>
            </w:rPr>
            <w:t>London</w:t>
          </w:r>
        </w:smartTag>
      </w:smartTag>
      <w:r w:rsidRPr="008375F7">
        <w:rPr>
          <w:sz w:val="18"/>
          <w:szCs w:val="18"/>
        </w:rPr>
        <w:t>, 1956, P 114</w:t>
      </w:r>
      <w:r w:rsidRPr="006A4F74">
        <w:t xml:space="preserve"> </w:t>
      </w:r>
    </w:p>
  </w:footnote>
  <w:footnote w:id="476">
    <w:p w:rsidR="00C8559C" w:rsidRPr="006A4F74" w:rsidP="005C6A3A">
      <w:pPr>
        <w:pStyle w:val="FootnoteText"/>
        <w:ind w:left="227" w:right="0" w:hanging="227"/>
        <w:jc w:val="both"/>
        <w:rPr>
          <w:rFonts w:cs="B Zar" w:hint="cs"/>
          <w:rtl/>
        </w:rPr>
      </w:pPr>
      <w:r w:rsidRPr="006A4F74">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برهدارن ياكا اوپانيشاد: 14:5</w:t>
      </w:r>
    </w:p>
  </w:footnote>
  <w:footnote w:id="477">
    <w:p w:rsidR="00C8559C" w:rsidRPr="00CC3AC3" w:rsidP="00F72269">
      <w:pPr>
        <w:pStyle w:val="FootnoteText"/>
        <w:ind w:left="0" w:right="0"/>
        <w:jc w:val="right"/>
        <w:rPr>
          <w:sz w:val="18"/>
          <w:szCs w:val="18"/>
        </w:rPr>
      </w:pPr>
      <w:r w:rsidRPr="00CC3AC3">
        <w:rPr>
          <w:rStyle w:val="FootnoteReference"/>
          <w:sz w:val="18"/>
          <w:szCs w:val="18"/>
          <w:vertAlign w:val="baseline"/>
        </w:rPr>
        <w:footnoteRef/>
      </w:r>
      <w:r>
        <w:rPr>
          <w:sz w:val="18"/>
          <w:szCs w:val="18"/>
        </w:rPr>
        <w:t>.</w:t>
      </w:r>
      <w:r w:rsidRPr="00CC3AC3">
        <w:rPr>
          <w:sz w:val="18"/>
          <w:szCs w:val="18"/>
        </w:rPr>
        <w:t xml:space="preserve">  </w:t>
      </w:r>
      <w:r w:rsidRPr="00CC3AC3">
        <w:rPr>
          <w:rFonts w:cs="Yagut"/>
          <w:sz w:val="18"/>
          <w:szCs w:val="18"/>
        </w:rPr>
        <w:t xml:space="preserve">Dutta, N.K.: Vedantic Philosophy, </w:t>
      </w:r>
      <w:smartTag w:uri="urn:schemas-microsoft-com:office:smarttags" w:element="place">
        <w:smartTag w:uri="urn:schemas-microsoft-com:office:smarttags" w:element="PlaceName">
          <w:r w:rsidRPr="00CC3AC3">
            <w:rPr>
              <w:rFonts w:cs="Yagut"/>
              <w:sz w:val="18"/>
              <w:szCs w:val="18"/>
            </w:rPr>
            <w:t>Calcutta</w:t>
          </w:r>
        </w:smartTag>
        <w:r w:rsidRPr="00CC3AC3">
          <w:rPr>
            <w:rFonts w:cs="Yagut"/>
            <w:sz w:val="18"/>
            <w:szCs w:val="18"/>
          </w:rPr>
          <w:t xml:space="preserve"> </w:t>
        </w:r>
        <w:smartTag w:uri="urn:schemas-microsoft-com:office:smarttags" w:element="PlaceType">
          <w:r w:rsidRPr="00CC3AC3">
            <w:rPr>
              <w:rFonts w:cs="Yagut"/>
              <w:sz w:val="18"/>
              <w:szCs w:val="18"/>
            </w:rPr>
            <w:t>University</w:t>
          </w:r>
        </w:smartTag>
      </w:smartTag>
      <w:r w:rsidRPr="00CC3AC3">
        <w:rPr>
          <w:rFonts w:cs="Yagut"/>
          <w:sz w:val="18"/>
          <w:szCs w:val="18"/>
        </w:rPr>
        <w:t>, 1945, p 58</w:t>
      </w:r>
    </w:p>
  </w:footnote>
  <w:footnote w:id="478">
    <w:p w:rsidR="00C8559C" w:rsidRPr="00805B9C" w:rsidP="00805B9C">
      <w:pPr>
        <w:pStyle w:val="FootnoteText"/>
        <w:bidi w:val="0"/>
        <w:spacing w:line="240" w:lineRule="auto"/>
        <w:ind w:left="227" w:hanging="227"/>
        <w:rPr>
          <w:rFonts w:cs="Times New Roman"/>
          <w:sz w:val="18"/>
          <w:szCs w:val="18"/>
          <w:rtl/>
        </w:rPr>
      </w:pPr>
      <w:r w:rsidRPr="00805B9C">
        <w:rPr>
          <w:rStyle w:val="FootnoteReference"/>
          <w:rFonts w:cs="Times New Roman"/>
          <w:sz w:val="18"/>
          <w:szCs w:val="18"/>
          <w:vertAlign w:val="baseline"/>
        </w:rPr>
        <w:footnoteRef/>
      </w:r>
      <w:r w:rsidRPr="00805B9C">
        <w:rPr>
          <w:rFonts w:cs="Times New Roman"/>
          <w:sz w:val="18"/>
          <w:szCs w:val="18"/>
          <w:rtl/>
        </w:rPr>
        <w:t>.</w:t>
      </w:r>
      <w:r w:rsidRPr="00805B9C">
        <w:rPr>
          <w:rFonts w:cs="Times New Roman"/>
          <w:sz w:val="18"/>
          <w:szCs w:val="18"/>
        </w:rPr>
        <w:t xml:space="preserve"> </w:t>
      </w:r>
      <w:r w:rsidRPr="00805B9C">
        <w:rPr>
          <w:rFonts w:cs="Times New Roman"/>
          <w:sz w:val="18"/>
          <w:szCs w:val="18"/>
          <w:rtl/>
        </w:rPr>
        <w:t xml:space="preserve"> </w:t>
      </w:r>
      <w:r w:rsidRPr="00805B9C">
        <w:rPr>
          <w:rFonts w:cs="Times New Roman"/>
          <w:sz w:val="18"/>
          <w:szCs w:val="18"/>
        </w:rPr>
        <w:t xml:space="preserve">Rapson, H..: The Ancient India, </w:t>
      </w:r>
      <w:smartTag w:uri="urn:schemas-microsoft-com:office:smarttags" w:element="place">
        <w:smartTag w:uri="urn:schemas-microsoft-com:office:smarttags" w:element="City">
          <w:r w:rsidRPr="00805B9C">
            <w:rPr>
              <w:rFonts w:cs="Times New Roman"/>
              <w:sz w:val="18"/>
              <w:szCs w:val="18"/>
            </w:rPr>
            <w:t>Delhi</w:t>
          </w:r>
        </w:smartTag>
      </w:smartTag>
      <w:r w:rsidRPr="00805B9C">
        <w:rPr>
          <w:rFonts w:cs="Times New Roman"/>
          <w:sz w:val="18"/>
          <w:szCs w:val="18"/>
        </w:rPr>
        <w:t>,  1975</w:t>
      </w:r>
      <w:r w:rsidRPr="00805B9C">
        <w:rPr>
          <w:rFonts w:cs="Times New Roman"/>
          <w:sz w:val="18"/>
          <w:szCs w:val="18"/>
          <w:rtl/>
        </w:rPr>
        <w:t xml:space="preserve">، هند باستان: ص </w:t>
      </w:r>
      <w:r w:rsidRPr="00805B9C">
        <w:rPr>
          <w:rFonts w:cs="Times New Roman"/>
          <w:sz w:val="18"/>
          <w:szCs w:val="18"/>
        </w:rPr>
        <w:t xml:space="preserve">, P 181 </w:t>
      </w:r>
    </w:p>
  </w:footnote>
  <w:footnote w:id="479">
    <w:p w:rsidR="00C8559C" w:rsidRPr="00805B9C" w:rsidP="00805B9C">
      <w:pPr>
        <w:pStyle w:val="FootnoteText"/>
        <w:spacing w:line="240" w:lineRule="auto"/>
        <w:ind w:left="227" w:right="0" w:hanging="227"/>
        <w:jc w:val="right"/>
        <w:rPr>
          <w:rFonts w:cs="Times New Roman"/>
          <w:sz w:val="18"/>
          <w:szCs w:val="18"/>
        </w:rPr>
      </w:pPr>
      <w:r w:rsidR="00FF7E11">
        <w:rPr>
          <w:rStyle w:val="FootnoteReference"/>
          <w:rFonts w:cs="Times New Roman"/>
          <w:sz w:val="18"/>
          <w:szCs w:val="18"/>
          <w:vertAlign w:val="baseline"/>
        </w:rPr>
        <w:t>2</w:t>
      </w:r>
      <w:r>
        <w:rPr>
          <w:rFonts w:cs="Times New Roman"/>
          <w:sz w:val="18"/>
          <w:szCs w:val="18"/>
        </w:rPr>
        <w:t>.</w:t>
      </w:r>
      <w:r w:rsidRPr="00805B9C">
        <w:rPr>
          <w:rFonts w:cs="Times New Roman"/>
          <w:sz w:val="18"/>
          <w:szCs w:val="18"/>
        </w:rPr>
        <w:t xml:space="preserve">  </w:t>
      </w:r>
      <w:r>
        <w:rPr>
          <w:rFonts w:cs="Times New Roman"/>
          <w:sz w:val="18"/>
          <w:szCs w:val="18"/>
        </w:rPr>
        <w:t xml:space="preserve"> </w:t>
      </w:r>
      <w:r w:rsidRPr="00805B9C">
        <w:rPr>
          <w:rFonts w:cs="Times New Roman"/>
          <w:sz w:val="18"/>
          <w:szCs w:val="18"/>
        </w:rPr>
        <w:t>Dutta, N.K.: Vedantic Philosophy, p 42</w:t>
      </w:r>
    </w:p>
  </w:footnote>
  <w:footnote w:id="480">
    <w:p w:rsidR="00C8559C" w:rsidRPr="00805B9C" w:rsidP="005C6A3A">
      <w:pPr>
        <w:pStyle w:val="FootnoteText"/>
        <w:bidi w:val="0"/>
        <w:spacing w:line="240" w:lineRule="auto"/>
        <w:ind w:left="227" w:hanging="227"/>
        <w:jc w:val="left"/>
        <w:rPr>
          <w:rFonts w:cs="Times New Roman"/>
          <w:sz w:val="18"/>
          <w:szCs w:val="18"/>
          <w:rtl/>
        </w:rPr>
      </w:pPr>
      <w:r w:rsidRPr="00805B9C">
        <w:rPr>
          <w:rStyle w:val="FootnoteReference"/>
          <w:rFonts w:cs="Times New Roman"/>
          <w:sz w:val="18"/>
          <w:szCs w:val="18"/>
          <w:vertAlign w:val="baseline"/>
        </w:rPr>
        <w:footnoteRef/>
      </w:r>
      <w:r>
        <w:rPr>
          <w:rFonts w:cs="Times New Roman"/>
          <w:sz w:val="18"/>
          <w:szCs w:val="18"/>
        </w:rPr>
        <w:t xml:space="preserve">. </w:t>
        <w:tab/>
      </w:r>
      <w:r w:rsidRPr="00805B9C">
        <w:rPr>
          <w:rFonts w:cs="Times New Roman"/>
          <w:sz w:val="18"/>
          <w:szCs w:val="18"/>
        </w:rPr>
        <w:t xml:space="preserve">Aldenberg, J: The Buddhist Religion, </w:t>
      </w:r>
      <w:smartTag w:uri="urn:schemas-microsoft-com:office:smarttags" w:element="place">
        <w:smartTag w:uri="urn:schemas-microsoft-com:office:smarttags" w:element="City">
          <w:r w:rsidRPr="00805B9C">
            <w:rPr>
              <w:rFonts w:cs="Times New Roman"/>
              <w:sz w:val="18"/>
              <w:szCs w:val="18"/>
            </w:rPr>
            <w:t>Calcutta</w:t>
          </w:r>
        </w:smartTag>
      </w:smartTag>
      <w:r w:rsidRPr="00805B9C">
        <w:rPr>
          <w:rFonts w:cs="Times New Roman"/>
          <w:sz w:val="18"/>
          <w:szCs w:val="18"/>
        </w:rPr>
        <w:t xml:space="preserve">, 1952, P 18  </w:t>
      </w:r>
    </w:p>
  </w:footnote>
  <w:footnote w:id="481">
    <w:p w:rsidR="00C8559C" w:rsidRPr="00805B9C" w:rsidP="005C6A3A">
      <w:pPr>
        <w:pStyle w:val="FootnoteText"/>
        <w:bidi w:val="0"/>
        <w:spacing w:line="240" w:lineRule="auto"/>
        <w:ind w:left="227" w:hanging="227"/>
        <w:jc w:val="left"/>
        <w:rPr>
          <w:rFonts w:cs="Times New Roman"/>
          <w:sz w:val="18"/>
          <w:szCs w:val="18"/>
          <w:rtl/>
        </w:rPr>
      </w:pPr>
      <w:r w:rsidRPr="00805B9C">
        <w:rPr>
          <w:rStyle w:val="FootnoteReference"/>
          <w:rFonts w:cs="Times New Roman"/>
          <w:sz w:val="18"/>
          <w:szCs w:val="18"/>
          <w:vertAlign w:val="baseline"/>
        </w:rPr>
        <w:footnoteRef/>
      </w:r>
      <w:r w:rsidRPr="00805B9C">
        <w:rPr>
          <w:rFonts w:cs="Times New Roman"/>
          <w:sz w:val="18"/>
          <w:szCs w:val="18"/>
        </w:rPr>
        <w:t xml:space="preserve">. </w:t>
      </w:r>
      <w:r>
        <w:rPr>
          <w:rFonts w:cs="Times New Roman"/>
          <w:sz w:val="18"/>
          <w:szCs w:val="18"/>
        </w:rPr>
        <w:tab/>
      </w:r>
      <w:r w:rsidRPr="00805B9C">
        <w:rPr>
          <w:rFonts w:cs="Times New Roman"/>
          <w:sz w:val="18"/>
          <w:szCs w:val="18"/>
        </w:rPr>
        <w:t xml:space="preserve">Muller, Max: Six Schools of the Indian Philosophy, reprint, </w:t>
      </w:r>
      <w:smartTag w:uri="urn:schemas-microsoft-com:office:smarttags" w:element="place">
        <w:smartTag w:uri="urn:schemas-microsoft-com:office:smarttags" w:element="City">
          <w:r w:rsidRPr="00805B9C">
            <w:rPr>
              <w:rFonts w:cs="Times New Roman"/>
              <w:sz w:val="18"/>
              <w:szCs w:val="18"/>
            </w:rPr>
            <w:t>Delhi</w:t>
          </w:r>
        </w:smartTag>
      </w:smartTag>
      <w:r w:rsidRPr="00805B9C">
        <w:rPr>
          <w:rFonts w:cs="Times New Roman"/>
          <w:sz w:val="18"/>
          <w:szCs w:val="18"/>
        </w:rPr>
        <w:t>, 1975, P 6</w:t>
      </w:r>
    </w:p>
  </w:footnote>
  <w:footnote w:id="482">
    <w:p w:rsidR="00C8559C" w:rsidRPr="006A4F74" w:rsidP="005C6A3A">
      <w:pPr>
        <w:pStyle w:val="FootnoteText"/>
        <w:bidi w:val="0"/>
        <w:spacing w:line="240" w:lineRule="auto"/>
        <w:ind w:left="227" w:hanging="227"/>
        <w:jc w:val="left"/>
      </w:pPr>
      <w:r w:rsidRPr="00805B9C">
        <w:rPr>
          <w:rStyle w:val="FootnoteReference"/>
          <w:rFonts w:cs="Times New Roman"/>
          <w:sz w:val="18"/>
          <w:szCs w:val="18"/>
          <w:vertAlign w:val="baseline"/>
        </w:rPr>
        <w:footnoteRef/>
      </w:r>
      <w:r>
        <w:rPr>
          <w:rFonts w:cs="Times New Roman"/>
          <w:sz w:val="18"/>
          <w:szCs w:val="18"/>
        </w:rPr>
        <w:t>.</w:t>
      </w:r>
      <w:r w:rsidRPr="00805B9C">
        <w:rPr>
          <w:rFonts w:cs="Times New Roman"/>
          <w:sz w:val="18"/>
          <w:szCs w:val="18"/>
        </w:rPr>
        <w:t xml:space="preserve"> </w:t>
      </w:r>
      <w:r>
        <w:rPr>
          <w:rFonts w:cs="Times New Roman"/>
          <w:sz w:val="18"/>
          <w:szCs w:val="18"/>
        </w:rPr>
        <w:tab/>
      </w:r>
      <w:r w:rsidRPr="00805B9C">
        <w:rPr>
          <w:rFonts w:cs="Times New Roman"/>
          <w:sz w:val="18"/>
          <w:szCs w:val="18"/>
        </w:rPr>
        <w:t>The Principle Upanishads, ed and tr by Dr Radhakrishnan, p 122</w:t>
      </w:r>
    </w:p>
  </w:footnote>
  <w:footnote w:id="483">
    <w:p w:rsidR="00C8559C" w:rsidRPr="00490746" w:rsidP="00F72269">
      <w:pPr>
        <w:pStyle w:val="FootnoteText"/>
        <w:ind w:left="0" w:right="0"/>
        <w:jc w:val="right"/>
        <w:rPr>
          <w:sz w:val="18"/>
          <w:szCs w:val="18"/>
        </w:rPr>
      </w:pPr>
      <w:r w:rsidRPr="00490746">
        <w:rPr>
          <w:rStyle w:val="FootnoteReference"/>
          <w:sz w:val="18"/>
          <w:szCs w:val="18"/>
          <w:vertAlign w:val="baseline"/>
        </w:rPr>
        <w:footnoteRef/>
      </w:r>
      <w:r w:rsidRPr="00490746">
        <w:rPr>
          <w:sz w:val="18"/>
          <w:szCs w:val="18"/>
        </w:rPr>
        <w:t xml:space="preserve">  Das Gupta, S:  History of the Indian Philosophy,v 1, p 38</w:t>
      </w:r>
    </w:p>
  </w:footnote>
  <w:footnote w:id="484">
    <w:p w:rsidR="00C8559C" w:rsidRPr="006A4F74" w:rsidP="000B2482">
      <w:pPr>
        <w:pStyle w:val="FootnoteText"/>
        <w:ind w:left="227" w:right="0" w:hanging="227"/>
        <w:jc w:val="both"/>
        <w:rPr>
          <w:rFonts w:cs="B Zar" w:hint="cs"/>
          <w:rtl/>
        </w:rPr>
      </w:pPr>
      <w:r w:rsidRPr="006A4F74">
        <w:rPr>
          <w:rStyle w:val="FootnoteReference"/>
          <w:rFonts w:ascii="IPT.Zar" w:hAnsi="IPT.Zar" w:cs="B Zar"/>
          <w:sz w:val="24"/>
          <w:szCs w:val="24"/>
          <w:vertAlign w:val="baseline"/>
        </w:rPr>
        <w:footnoteRef/>
      </w:r>
      <w:r w:rsidRPr="006A4F74">
        <w:rPr>
          <w:rFonts w:cs="B Zar" w:hint="cs"/>
          <w:rtl/>
        </w:rPr>
        <w:t xml:space="preserve">. </w:t>
      </w:r>
      <w:r>
        <w:rPr>
          <w:rFonts w:cs="B Zar" w:hint="cs"/>
          <w:rtl/>
        </w:rPr>
        <w:t xml:space="preserve"> </w:t>
      </w:r>
      <w:r w:rsidRPr="006A4F74">
        <w:rPr>
          <w:rFonts w:cs="B Zar" w:hint="cs"/>
          <w:rtl/>
        </w:rPr>
        <w:t>رجوع شود: ابونصر السراج: كتاب اللمع في التصوف، اعتقاد پرس، باب 35 به بعد، نيز: شيخ ابونجيب سهروردي: آداب المريدين، نيز: ابوحفص عمربن محمد شهاب الدين سهروردي: عوارف المعارف</w:t>
      </w:r>
    </w:p>
  </w:footnote>
  <w:footnote w:id="485">
    <w:p w:rsidR="00C8559C" w:rsidRPr="000B2482" w:rsidP="00F72269">
      <w:pPr>
        <w:pStyle w:val="FootnoteText"/>
        <w:ind w:left="0" w:right="0"/>
        <w:jc w:val="right"/>
        <w:rPr>
          <w:sz w:val="18"/>
          <w:szCs w:val="18"/>
        </w:rPr>
      </w:pPr>
      <w:r w:rsidRPr="000B2482">
        <w:rPr>
          <w:rStyle w:val="FootnoteReference"/>
          <w:sz w:val="18"/>
          <w:szCs w:val="18"/>
          <w:vertAlign w:val="baseline"/>
        </w:rPr>
        <w:footnoteRef/>
      </w:r>
      <w:r w:rsidRPr="000B2482">
        <w:rPr>
          <w:sz w:val="18"/>
          <w:szCs w:val="18"/>
        </w:rPr>
        <w:t xml:space="preserve">  Das Gupta, S:  History of the Indian Philosophy, v1. p 28</w:t>
      </w:r>
    </w:p>
  </w:footnote>
  <w:footnote w:id="486">
    <w:p w:rsidR="00C8559C" w:rsidRPr="006A4F74" w:rsidP="009712BF">
      <w:pPr>
        <w:pStyle w:val="FootnoteText"/>
        <w:ind w:left="227" w:right="0" w:hanging="227"/>
        <w:jc w:val="both"/>
        <w:rPr>
          <w:rFonts w:cs="B Zar" w:hint="cs"/>
          <w:rtl/>
        </w:rPr>
      </w:pPr>
      <w:r w:rsidRPr="006A4F74">
        <w:rPr>
          <w:rStyle w:val="FootnoteReference"/>
          <w:rFonts w:ascii="IPT.Zar" w:hAnsi="IPT.Zar" w:cs="B Zar"/>
          <w:sz w:val="24"/>
          <w:szCs w:val="24"/>
          <w:vertAlign w:val="baseline"/>
        </w:rPr>
        <w:footnoteRef/>
      </w:r>
      <w:r w:rsidRPr="006A4F74">
        <w:rPr>
          <w:rFonts w:cs="B Zar" w:hint="cs"/>
          <w:rtl/>
        </w:rPr>
        <w:t xml:space="preserve">. </w:t>
      </w:r>
      <w:r>
        <w:rPr>
          <w:rFonts w:cs="B Zar" w:hint="cs"/>
          <w:rtl/>
        </w:rPr>
        <w:t xml:space="preserve"> </w:t>
      </w:r>
      <w:r w:rsidRPr="006A4F74">
        <w:rPr>
          <w:rFonts w:cs="B Zar" w:hint="cs"/>
          <w:rtl/>
        </w:rPr>
        <w:t>براي آشنايي با آثار مسلمين در اين زمينه، رجوع شود به: ابن نديم: الفهرست، شيخ طوسي: اختبار معرفه الرجال، دانشگاه مشهد 1348، ابوالعباس النجاشي: رجال النجاشي، قم، 1407</w:t>
      </w:r>
    </w:p>
  </w:footnote>
  <w:footnote w:id="487">
    <w:p w:rsidR="00C8559C" w:rsidRPr="009712BF" w:rsidP="00F72269">
      <w:pPr>
        <w:pStyle w:val="FootnoteText"/>
        <w:ind w:left="0" w:right="0"/>
        <w:jc w:val="right"/>
        <w:rPr>
          <w:rFonts w:hint="cs"/>
          <w:sz w:val="18"/>
          <w:szCs w:val="18"/>
          <w:rtl/>
        </w:rPr>
      </w:pPr>
      <w:r w:rsidRPr="009712BF">
        <w:rPr>
          <w:rStyle w:val="FootnoteReference"/>
          <w:sz w:val="18"/>
          <w:szCs w:val="18"/>
          <w:vertAlign w:val="baseline"/>
        </w:rPr>
        <w:footnoteRef/>
      </w:r>
      <w:r w:rsidRPr="009712BF">
        <w:rPr>
          <w:sz w:val="18"/>
          <w:szCs w:val="18"/>
        </w:rPr>
        <w:t xml:space="preserve">  </w:t>
      </w:r>
      <w:r>
        <w:rPr>
          <w:rFonts w:cs="Yagut"/>
          <w:sz w:val="18"/>
          <w:szCs w:val="18"/>
        </w:rPr>
        <w:t xml:space="preserve"> </w:t>
      </w:r>
      <w:r w:rsidRPr="009712BF">
        <w:rPr>
          <w:rFonts w:cs="Yagut"/>
          <w:sz w:val="18"/>
          <w:szCs w:val="18"/>
        </w:rPr>
        <w:t>The Principle Upanishads, ed and tr by Dr Radhakrishnan, p 22</w:t>
      </w:r>
    </w:p>
  </w:footnote>
  <w:footnote w:id="488">
    <w:p w:rsidR="00C8559C" w:rsidRPr="00120DD7" w:rsidP="00F72269">
      <w:pPr>
        <w:pStyle w:val="FootnoteText"/>
        <w:ind w:left="0" w:right="0"/>
        <w:jc w:val="right"/>
        <w:rPr>
          <w:sz w:val="18"/>
          <w:szCs w:val="18"/>
        </w:rPr>
      </w:pPr>
      <w:r w:rsidRPr="00120DD7">
        <w:rPr>
          <w:rStyle w:val="FootnoteReference"/>
          <w:sz w:val="18"/>
          <w:szCs w:val="18"/>
          <w:vertAlign w:val="baseline"/>
        </w:rPr>
        <w:footnoteRef/>
      </w:r>
      <w:r>
        <w:rPr>
          <w:sz w:val="18"/>
          <w:szCs w:val="18"/>
        </w:rPr>
        <w:t>.</w:t>
      </w:r>
      <w:r w:rsidRPr="00120DD7">
        <w:rPr>
          <w:sz w:val="18"/>
          <w:szCs w:val="18"/>
        </w:rPr>
        <w:t xml:space="preserve">  Radhakshnan, Dr S:  The Indian Philosophy, v1, p 142</w:t>
      </w:r>
    </w:p>
  </w:footnote>
  <w:footnote w:id="489">
    <w:p w:rsidR="00C8559C" w:rsidRPr="006A4F74" w:rsidP="00D83C60">
      <w:pPr>
        <w:pStyle w:val="FootnoteText"/>
        <w:ind w:left="0" w:right="0"/>
        <w:jc w:val="both"/>
        <w:rPr>
          <w:rFonts w:cs="B Zar" w:hint="cs"/>
          <w:rtl/>
        </w:rPr>
      </w:pPr>
      <w:r>
        <w:rPr>
          <w:rFonts w:cs="B Zar"/>
        </w:rPr>
        <w:t>.</w:t>
      </w:r>
      <w:r w:rsidRPr="006A4F74">
        <w:rPr>
          <w:rStyle w:val="FootnoteReference"/>
          <w:rFonts w:ascii="IPT.Zar" w:hAnsi="IPT.Zar" w:cs="B Zar"/>
          <w:sz w:val="24"/>
          <w:szCs w:val="24"/>
          <w:vertAlign w:val="baseline"/>
        </w:rPr>
        <w:footnoteRef/>
      </w:r>
      <w:r w:rsidRPr="006A4F74">
        <w:rPr>
          <w:rFonts w:cs="B Zar" w:hint="cs"/>
          <w:rtl/>
        </w:rPr>
        <w:t xml:space="preserve"> </w:t>
      </w:r>
      <w:r>
        <w:rPr>
          <w:rFonts w:cs="B Zar" w:hint="cs"/>
          <w:rtl/>
        </w:rPr>
        <w:t xml:space="preserve"> </w:t>
      </w:r>
      <w:r w:rsidRPr="006A4F74">
        <w:rPr>
          <w:rFonts w:cs="B Zar" w:hint="cs"/>
          <w:rtl/>
        </w:rPr>
        <w:t>سات پاتا برهمانا: 10: 1:6</w:t>
      </w:r>
    </w:p>
  </w:footnote>
  <w:footnote w:id="490">
    <w:p w:rsidR="00C8559C" w:rsidRPr="006A4F74" w:rsidP="00D83C60">
      <w:pPr>
        <w:pStyle w:val="FootnoteText"/>
        <w:ind w:left="227" w:right="0" w:hanging="227"/>
        <w:jc w:val="both"/>
        <w:rPr>
          <w:rFonts w:cs="B Zar" w:hint="cs"/>
          <w:rtl/>
        </w:rPr>
      </w:pPr>
      <w:r w:rsidRPr="006A4F74">
        <w:rPr>
          <w:rStyle w:val="FootnoteReference"/>
          <w:rFonts w:ascii="IPT.Lotus" w:hAnsi="IPT.Lotus" w:cs="B Zar"/>
          <w:sz w:val="24"/>
          <w:szCs w:val="24"/>
          <w:vertAlign w:val="baseline"/>
        </w:rPr>
        <w:footnoteRef/>
      </w:r>
      <w:r w:rsidRPr="006A4F74">
        <w:rPr>
          <w:rFonts w:cs="B Zar" w:hint="cs"/>
          <w:rtl/>
        </w:rPr>
        <w:t xml:space="preserve">. </w:t>
      </w:r>
      <w:r>
        <w:rPr>
          <w:rFonts w:cs="B Zar" w:hint="cs"/>
          <w:rtl/>
        </w:rPr>
        <w:tab/>
      </w:r>
      <w:r w:rsidRPr="006A4F74">
        <w:rPr>
          <w:rFonts w:cs="B Zar" w:hint="cs"/>
          <w:rtl/>
        </w:rPr>
        <w:t>برهدارن ياكا اوپانيشاد: 2-1-7</w:t>
      </w:r>
    </w:p>
  </w:footnote>
  <w:footnote w:id="491">
    <w:p w:rsidR="00C8559C" w:rsidRPr="006A4F74" w:rsidP="00D83C60">
      <w:pPr>
        <w:pStyle w:val="FootnoteText"/>
        <w:ind w:left="227" w:right="0" w:hanging="227"/>
        <w:jc w:val="both"/>
        <w:rPr>
          <w:rFonts w:cs="B Zar" w:hint="cs"/>
          <w:rtl/>
        </w:rPr>
      </w:pPr>
      <w:r w:rsidRPr="006A4F74">
        <w:rPr>
          <w:rStyle w:val="FootnoteReference"/>
          <w:rFonts w:ascii="IPT.Lotus" w:hAnsi="IPT.Lotus" w:cs="B Zar"/>
          <w:sz w:val="24"/>
          <w:szCs w:val="24"/>
          <w:vertAlign w:val="baseline"/>
        </w:rPr>
        <w:footnoteRef/>
      </w:r>
      <w:r w:rsidRPr="002031AC">
        <w:rPr>
          <w:rFonts w:ascii="IPT.Zar" w:hAnsi="IPT.Zar" w:cs="B Zar" w:hint="cs"/>
          <w:sz w:val="24"/>
          <w:rtl/>
        </w:rPr>
        <w:t>.</w:t>
      </w:r>
      <w:r w:rsidRPr="006A4F74">
        <w:rPr>
          <w:rFonts w:cs="B Zar" w:hint="cs"/>
          <w:rtl/>
        </w:rPr>
        <w:t xml:space="preserve"> </w:t>
      </w:r>
      <w:r>
        <w:rPr>
          <w:rFonts w:cs="B Zar" w:hint="cs"/>
          <w:rtl/>
        </w:rPr>
        <w:tab/>
      </w:r>
      <w:r w:rsidRPr="006A4F74">
        <w:rPr>
          <w:rFonts w:cs="B Zar" w:hint="cs"/>
          <w:rtl/>
        </w:rPr>
        <w:t>همان: 1:2 :15-20</w:t>
      </w:r>
    </w:p>
  </w:footnote>
  <w:footnote w:id="492">
    <w:p w:rsidR="00C8559C" w:rsidRPr="006A4F74" w:rsidP="00D83C60">
      <w:pPr>
        <w:pStyle w:val="FootnoteText"/>
        <w:ind w:left="227" w:right="0" w:hanging="227"/>
        <w:jc w:val="both"/>
        <w:rPr>
          <w:rFonts w:hint="cs"/>
          <w:rtl/>
        </w:rPr>
      </w:pPr>
      <w:r w:rsidRPr="006A4F74">
        <w:rPr>
          <w:rStyle w:val="FootnoteReference"/>
          <w:rFonts w:ascii="IPT.Lotus" w:hAnsi="IPT.Lotus" w:cs="B Zar"/>
          <w:sz w:val="24"/>
          <w:szCs w:val="24"/>
          <w:vertAlign w:val="baseline"/>
        </w:rPr>
        <w:footnoteRef/>
      </w:r>
      <w:r w:rsidRPr="002031AC">
        <w:rPr>
          <w:rFonts w:ascii="IPT.Zar" w:hAnsi="IPT.Zar" w:cs="B Zar" w:hint="cs"/>
          <w:sz w:val="24"/>
          <w:rtl/>
        </w:rPr>
        <w:t>.</w:t>
      </w:r>
      <w:r w:rsidRPr="006A4F74">
        <w:rPr>
          <w:rFonts w:cs="B Zar" w:hint="cs"/>
          <w:rtl/>
        </w:rPr>
        <w:t xml:space="preserve"> </w:t>
      </w:r>
      <w:r>
        <w:rPr>
          <w:rFonts w:cs="B Zar" w:hint="cs"/>
          <w:rtl/>
        </w:rPr>
        <w:tab/>
      </w:r>
      <w:r w:rsidRPr="006A4F74">
        <w:rPr>
          <w:rFonts w:cs="B Zar" w:hint="cs"/>
          <w:rtl/>
        </w:rPr>
        <w:t>كاوسيتاكي اوپانيشاد: 1:4 تا 17</w:t>
      </w:r>
    </w:p>
  </w:footnote>
  <w:footnote w:id="493">
    <w:p w:rsidR="00C8559C" w:rsidRPr="00120DD7" w:rsidP="00120DD7">
      <w:pPr>
        <w:pStyle w:val="FootnoteText"/>
        <w:spacing w:line="240" w:lineRule="auto"/>
        <w:ind w:left="0" w:right="0"/>
        <w:jc w:val="right"/>
        <w:rPr>
          <w:sz w:val="18"/>
          <w:szCs w:val="18"/>
        </w:rPr>
      </w:pPr>
      <w:r w:rsidRPr="00120DD7">
        <w:rPr>
          <w:rStyle w:val="FootnoteReference"/>
          <w:sz w:val="18"/>
          <w:szCs w:val="18"/>
          <w:vertAlign w:val="baseline"/>
        </w:rPr>
        <w:footnoteRef/>
      </w:r>
      <w:r>
        <w:rPr>
          <w:sz w:val="18"/>
          <w:szCs w:val="18"/>
        </w:rPr>
        <w:t>.</w:t>
      </w:r>
      <w:r w:rsidRPr="00120DD7">
        <w:rPr>
          <w:sz w:val="18"/>
          <w:szCs w:val="18"/>
        </w:rPr>
        <w:t xml:space="preserve">  Garbe: Hindu Monism, P68</w:t>
      </w:r>
    </w:p>
  </w:footnote>
  <w:footnote w:id="494">
    <w:p w:rsidR="00C8559C" w:rsidRPr="00120DD7" w:rsidP="00F72269">
      <w:pPr>
        <w:pStyle w:val="FootnoteText"/>
        <w:ind w:left="0" w:right="0"/>
        <w:jc w:val="right"/>
        <w:rPr>
          <w:sz w:val="18"/>
          <w:szCs w:val="18"/>
        </w:rPr>
      </w:pPr>
      <w:r w:rsidRPr="00120DD7">
        <w:rPr>
          <w:rStyle w:val="FootnoteReference"/>
          <w:sz w:val="18"/>
          <w:szCs w:val="18"/>
          <w:vertAlign w:val="baseline"/>
        </w:rPr>
        <w:footnoteRef/>
      </w:r>
      <w:r>
        <w:rPr>
          <w:sz w:val="18"/>
          <w:szCs w:val="18"/>
        </w:rPr>
        <w:t>.</w:t>
      </w:r>
      <w:r w:rsidRPr="00120DD7">
        <w:rPr>
          <w:sz w:val="18"/>
          <w:szCs w:val="18"/>
        </w:rPr>
        <w:t xml:space="preserve">  Das Gupta, S:  History of the Indian Philosophy, V 1, P 34</w:t>
      </w:r>
    </w:p>
  </w:footnote>
  <w:footnote w:id="495">
    <w:p w:rsidR="00C8559C" w:rsidRPr="006A4F74" w:rsidP="00D83C60">
      <w:pPr>
        <w:pStyle w:val="FootnoteText"/>
        <w:ind w:left="0" w:right="0"/>
        <w:jc w:val="both"/>
        <w:rPr>
          <w:rFonts w:cs="B Zar" w:hint="cs"/>
          <w:rtl/>
        </w:rPr>
      </w:pPr>
      <w:r w:rsidRPr="00D83C60">
        <w:rPr>
          <w:rStyle w:val="FootnoteReference"/>
          <w:rFonts w:ascii="IPT.Zar" w:hAnsi="IPT.Zar" w:cs="B Zar"/>
          <w:sz w:val="24"/>
          <w:szCs w:val="24"/>
          <w:vertAlign w:val="baseline"/>
        </w:rPr>
        <w:footnoteRef/>
      </w:r>
      <w:r w:rsidRPr="00D83C60">
        <w:rPr>
          <w:rFonts w:ascii="IPT.Zar" w:hAnsi="IPT.Zar" w:cs="B Zar"/>
          <w:sz w:val="24"/>
          <w:szCs w:val="24"/>
        </w:rPr>
        <w:sym w:font="IPT.Zar" w:char="F020"/>
      </w:r>
      <w:r>
        <w:rPr>
          <w:rFonts w:cs="B Zar" w:hint="cs"/>
          <w:rtl/>
        </w:rPr>
        <w:t xml:space="preserve"> </w:t>
      </w:r>
      <w:r w:rsidRPr="006A4F74">
        <w:rPr>
          <w:rFonts w:cs="B Zar" w:hint="cs"/>
          <w:rtl/>
        </w:rPr>
        <w:t xml:space="preserve"> همان: ج پ، ص 35</w:t>
      </w:r>
    </w:p>
  </w:footnote>
  <w:footnote w:id="496">
    <w:p w:rsidR="00C8559C" w:rsidRPr="006A4F74" w:rsidP="00D83C60">
      <w:pPr>
        <w:pStyle w:val="FootnoteText"/>
        <w:ind w:left="227" w:right="0" w:hanging="227"/>
        <w:jc w:val="both"/>
        <w:rPr>
          <w:rFonts w:ascii="IPT.Lotus" w:hAnsi="IPT.Lotus" w:cs="B Zar" w:hint="cs"/>
          <w:rtl/>
        </w:rPr>
      </w:pPr>
      <w:r w:rsidRPr="006A4F74">
        <w:rPr>
          <w:rStyle w:val="FootnoteReference"/>
          <w:rFonts w:ascii="IPT.Lotus" w:hAnsi="IPT.Lotus" w:cs="B Zar"/>
          <w:sz w:val="24"/>
          <w:szCs w:val="24"/>
          <w:vertAlign w:val="baseline"/>
        </w:rPr>
        <w:footnoteRef/>
      </w:r>
      <w:r w:rsidRPr="006A4F74">
        <w:rPr>
          <w:rFonts w:ascii="IPT.Lotus" w:hAnsi="IPT.Lotus" w:cs="B Zar" w:hint="cs"/>
          <w:rtl/>
        </w:rPr>
        <w:t xml:space="preserve">. </w:t>
      </w:r>
      <w:r>
        <w:rPr>
          <w:rFonts w:ascii="IPT.Lotus" w:hAnsi="IPT.Lotus" w:cs="B Zar" w:hint="cs"/>
          <w:rtl/>
        </w:rPr>
        <w:tab/>
      </w:r>
      <w:r w:rsidRPr="006A4F74">
        <w:rPr>
          <w:rFonts w:ascii="IPT.Lotus" w:hAnsi="IPT.Lotus" w:cs="B Zar" w:hint="cs"/>
          <w:rtl/>
        </w:rPr>
        <w:t>راجع به اين بحث رجوع شود به :</w:t>
      </w:r>
    </w:p>
  </w:footnote>
  <w:footnote w:id="497">
    <w:p w:rsidR="00C8559C" w:rsidRPr="006A4F74" w:rsidP="00D83C60">
      <w:pPr>
        <w:pStyle w:val="FootnoteText"/>
        <w:ind w:left="227" w:right="0" w:hanging="227"/>
        <w:jc w:val="both"/>
        <w:rPr>
          <w:rFonts w:ascii="IPT.Lotus" w:hAnsi="IPT.Lotus" w:cs="B Zar" w:hint="cs"/>
          <w:rtl/>
        </w:rPr>
      </w:pPr>
      <w:r w:rsidRPr="006A4F74">
        <w:rPr>
          <w:rStyle w:val="FootnoteReference"/>
          <w:rFonts w:ascii="IPT.Lotus" w:hAnsi="IPT.Lotus" w:cs="B Zar"/>
          <w:sz w:val="24"/>
          <w:szCs w:val="24"/>
          <w:vertAlign w:val="baseline"/>
        </w:rPr>
        <w:footnoteRef/>
      </w:r>
      <w:r w:rsidRPr="006A4F74">
        <w:rPr>
          <w:rFonts w:ascii="IPT.Lotus" w:hAnsi="IPT.Lotus" w:cs="B Zar" w:hint="cs"/>
          <w:rtl/>
        </w:rPr>
        <w:t>.</w:t>
      </w:r>
      <w:r>
        <w:rPr>
          <w:rFonts w:ascii="IPT.Lotus" w:hAnsi="IPT.Lotus" w:cs="B Zar" w:hint="cs"/>
          <w:rtl/>
        </w:rPr>
        <w:tab/>
      </w:r>
      <w:r w:rsidRPr="006A4F74">
        <w:rPr>
          <w:rFonts w:ascii="IPT.Lotus" w:hAnsi="IPT.Lotus" w:cs="B Zar" w:hint="cs"/>
          <w:rtl/>
        </w:rPr>
        <w:t xml:space="preserve"> سويتاسواتارا اوپانيشاد: 21:6</w:t>
      </w:r>
    </w:p>
  </w:footnote>
  <w:footnote w:id="498">
    <w:p w:rsidR="00C8559C" w:rsidRPr="006A4F74" w:rsidP="00D83C60">
      <w:pPr>
        <w:pStyle w:val="FootnoteText"/>
        <w:ind w:left="227" w:right="0" w:hanging="227"/>
        <w:jc w:val="both"/>
        <w:rPr>
          <w:rFonts w:ascii="IPT.Lotus" w:hAnsi="IPT.Lotus" w:hint="cs"/>
          <w:rtl/>
        </w:rPr>
      </w:pPr>
      <w:r w:rsidRPr="006A4F74">
        <w:rPr>
          <w:rStyle w:val="FootnoteReference"/>
          <w:rFonts w:ascii="IPT.Lotus" w:hAnsi="IPT.Lotus" w:cs="B Zar"/>
          <w:sz w:val="24"/>
          <w:szCs w:val="24"/>
          <w:vertAlign w:val="baseline"/>
        </w:rPr>
        <w:footnoteRef/>
      </w:r>
      <w:r w:rsidRPr="006A4F74">
        <w:rPr>
          <w:rFonts w:ascii="IPT.Lotus" w:hAnsi="IPT.Lotus" w:cs="B Zar" w:hint="cs"/>
          <w:rtl/>
        </w:rPr>
        <w:t>.</w:t>
      </w:r>
      <w:r>
        <w:rPr>
          <w:rFonts w:ascii="IPT.Lotus" w:hAnsi="IPT.Lotus" w:cs="B Zar" w:hint="cs"/>
          <w:rtl/>
        </w:rPr>
        <w:tab/>
      </w:r>
      <w:r w:rsidRPr="006A4F74">
        <w:rPr>
          <w:rFonts w:ascii="IPT.Lotus" w:hAnsi="IPT.Lotus" w:cs="B Zar" w:hint="cs"/>
          <w:rtl/>
        </w:rPr>
        <w:t xml:space="preserve"> نقل از رادا كريشنان: مقدمه بر تفسير اوپانيشادهاي اصلي ، ص 239</w:t>
      </w:r>
    </w:p>
  </w:footnote>
  <w:footnote w:id="499">
    <w:p w:rsidR="00C8559C" w:rsidRPr="006A4F74">
      <w:pPr>
        <w:pStyle w:val="FootnoteText"/>
        <w:ind w:left="0" w:right="0"/>
        <w:jc w:val="both"/>
        <w:rPr>
          <w:rFonts w:ascii="IPT.Lotus" w:hAnsi="IPT.Lotus" w:cs="B Zar" w:hint="cs"/>
          <w:rtl/>
        </w:rPr>
      </w:pPr>
      <w:r w:rsidRPr="00ED097F">
        <w:rPr>
          <w:rStyle w:val="FootnoteReference"/>
          <w:rFonts w:ascii="IPT.Zar" w:hAnsi="IPT.Zar" w:cs="B Zar"/>
          <w:sz w:val="24"/>
          <w:szCs w:val="24"/>
          <w:vertAlign w:val="baseline"/>
        </w:rPr>
        <w:footnoteRef/>
      </w:r>
      <w:r w:rsidRPr="00ED097F">
        <w:rPr>
          <w:rFonts w:ascii="IPT.Zar" w:hAnsi="IPT.Zar" w:cs="B Zar"/>
          <w:sz w:val="24"/>
          <w:szCs w:val="24"/>
        </w:rPr>
        <w:sym w:font="IPT.Zar" w:char="F020"/>
      </w:r>
      <w:r w:rsidRPr="006A4F74">
        <w:rPr>
          <w:rFonts w:ascii="IPT.Lotus" w:hAnsi="IPT.Lotus" w:cs="B Zar" w:hint="cs"/>
          <w:rtl/>
        </w:rPr>
        <w:t>.</w:t>
      </w:r>
      <w:r>
        <w:rPr>
          <w:rFonts w:ascii="IPT.Lotus" w:hAnsi="IPT.Lotus" w:cs="B Zar" w:hint="cs"/>
          <w:rtl/>
        </w:rPr>
        <w:t xml:space="preserve">  </w:t>
      </w:r>
      <w:r w:rsidRPr="006A4F74">
        <w:rPr>
          <w:rFonts w:ascii="IPT.Lotus" w:hAnsi="IPT.Lotus" w:cs="B Zar" w:hint="cs"/>
          <w:rtl/>
        </w:rPr>
        <w:t xml:space="preserve"> رجوع شود: برهدارن ياكا اوپانيشاد: 2: 101؛ رگ ودا : 10: 9:90؛ مهاناراين اوپانيشاد: 2: 6:1</w:t>
      </w:r>
    </w:p>
  </w:footnote>
  <w:footnote w:id="500">
    <w:p w:rsidR="00C8559C" w:rsidRPr="00D074BA" w:rsidP="00D074BA">
      <w:pPr>
        <w:pStyle w:val="FootnoteText"/>
        <w:spacing w:line="240" w:lineRule="auto"/>
        <w:ind w:left="0" w:right="0"/>
        <w:jc w:val="right"/>
        <w:rPr>
          <w:sz w:val="18"/>
          <w:szCs w:val="18"/>
        </w:rPr>
      </w:pPr>
      <w:r w:rsidRPr="00D074BA">
        <w:rPr>
          <w:rStyle w:val="FootnoteReference"/>
          <w:sz w:val="18"/>
          <w:szCs w:val="18"/>
          <w:vertAlign w:val="baseline"/>
        </w:rPr>
        <w:footnoteRef/>
      </w:r>
      <w:r>
        <w:rPr>
          <w:sz w:val="18"/>
          <w:szCs w:val="18"/>
        </w:rPr>
        <w:t>.</w:t>
      </w:r>
      <w:r w:rsidRPr="00D074BA">
        <w:rPr>
          <w:sz w:val="18"/>
          <w:szCs w:val="18"/>
        </w:rPr>
        <w:t xml:space="preserve">  Das Gupta, S:  History of the Indian Philosophy,V1, P 8</w:t>
      </w:r>
    </w:p>
  </w:footnote>
  <w:footnote w:id="501">
    <w:p w:rsidR="00C8559C" w:rsidRPr="006A4F74" w:rsidP="00D074BA">
      <w:pPr>
        <w:pStyle w:val="FootnoteText"/>
        <w:spacing w:line="240" w:lineRule="auto"/>
        <w:ind w:left="0" w:right="0"/>
        <w:jc w:val="right"/>
      </w:pPr>
      <w:r w:rsidRPr="00D074BA">
        <w:rPr>
          <w:rStyle w:val="FootnoteReference"/>
          <w:sz w:val="18"/>
          <w:szCs w:val="18"/>
          <w:vertAlign w:val="baseline"/>
        </w:rPr>
        <w:footnoteRef/>
      </w:r>
      <w:r>
        <w:rPr>
          <w:sz w:val="18"/>
          <w:szCs w:val="18"/>
        </w:rPr>
        <w:t>.</w:t>
      </w:r>
      <w:r w:rsidRPr="00D074BA">
        <w:rPr>
          <w:sz w:val="18"/>
          <w:szCs w:val="18"/>
        </w:rPr>
        <w:t xml:space="preserve">  Radhakshnan, Dr</w:t>
      </w:r>
      <w:r>
        <w:rPr>
          <w:sz w:val="18"/>
          <w:szCs w:val="18"/>
        </w:rPr>
        <w:t>.</w:t>
      </w:r>
      <w:r w:rsidRPr="00D074BA">
        <w:rPr>
          <w:sz w:val="18"/>
          <w:szCs w:val="18"/>
        </w:rPr>
        <w:t xml:space="preserve"> S:  T</w:t>
      </w:r>
      <w:r>
        <w:rPr>
          <w:sz w:val="18"/>
          <w:szCs w:val="18"/>
        </w:rPr>
        <w:t>he Indian Philosophy</w:t>
      </w:r>
      <w:r w:rsidRPr="00D074BA">
        <w:rPr>
          <w:sz w:val="18"/>
          <w:szCs w:val="18"/>
        </w:rPr>
        <w:t>, v.1, P 155</w:t>
      </w:r>
    </w:p>
  </w:footnote>
  <w:footnote w:id="502">
    <w:p w:rsidR="00C8559C" w:rsidRPr="00992FF6" w:rsidP="00992FF6">
      <w:pPr>
        <w:pStyle w:val="FootnoteText"/>
        <w:spacing w:line="240" w:lineRule="auto"/>
        <w:ind w:left="0" w:right="0"/>
        <w:jc w:val="right"/>
        <w:rPr>
          <w:rFonts w:hint="cs"/>
          <w:sz w:val="18"/>
          <w:szCs w:val="18"/>
          <w:rtl/>
        </w:rPr>
      </w:pPr>
      <w:r w:rsidRPr="00992FF6">
        <w:rPr>
          <w:rStyle w:val="FootnoteReference"/>
          <w:sz w:val="18"/>
          <w:szCs w:val="18"/>
          <w:vertAlign w:val="baseline"/>
        </w:rPr>
        <w:footnoteRef/>
      </w:r>
      <w:r>
        <w:rPr>
          <w:sz w:val="18"/>
          <w:szCs w:val="18"/>
        </w:rPr>
        <w:t>.</w:t>
      </w:r>
      <w:r w:rsidRPr="00992FF6">
        <w:rPr>
          <w:sz w:val="18"/>
          <w:szCs w:val="18"/>
        </w:rPr>
        <w:t xml:space="preserve">  Radhakshnan, Dr S:  The Indian Philosophy, v1, p 140</w:t>
      </w:r>
    </w:p>
  </w:footnote>
  <w:footnote w:id="503">
    <w:p w:rsidR="00C8559C" w:rsidRPr="00992FF6" w:rsidP="00F72269">
      <w:pPr>
        <w:pStyle w:val="FootnoteText"/>
        <w:ind w:left="0" w:right="0"/>
        <w:jc w:val="right"/>
        <w:rPr>
          <w:sz w:val="18"/>
          <w:szCs w:val="18"/>
        </w:rPr>
      </w:pPr>
      <w:r w:rsidRPr="00992FF6">
        <w:rPr>
          <w:rStyle w:val="FootnoteReference"/>
          <w:sz w:val="18"/>
          <w:szCs w:val="18"/>
          <w:vertAlign w:val="baseline"/>
        </w:rPr>
        <w:footnoteRef/>
      </w:r>
      <w:r>
        <w:rPr>
          <w:sz w:val="18"/>
          <w:szCs w:val="18"/>
        </w:rPr>
        <w:t>.</w:t>
      </w:r>
      <w:r w:rsidRPr="00992FF6">
        <w:rPr>
          <w:sz w:val="18"/>
          <w:szCs w:val="18"/>
        </w:rPr>
        <w:t xml:space="preserve">  </w:t>
      </w:r>
      <w:r w:rsidRPr="00992FF6">
        <w:rPr>
          <w:rFonts w:cs="Yagut"/>
          <w:sz w:val="18"/>
          <w:szCs w:val="18"/>
        </w:rPr>
        <w:t xml:space="preserve">Dutta, N.K.: Vedantic Philosophy, </w:t>
      </w:r>
      <w:smartTag w:uri="urn:schemas-microsoft-com:office:smarttags" w:element="place">
        <w:smartTag w:uri="urn:schemas-microsoft-com:office:smarttags" w:element="PlaceName">
          <w:r w:rsidRPr="00992FF6">
            <w:rPr>
              <w:rFonts w:cs="Yagut"/>
              <w:sz w:val="18"/>
              <w:szCs w:val="18"/>
            </w:rPr>
            <w:t>Calcutta</w:t>
          </w:r>
        </w:smartTag>
        <w:r w:rsidRPr="00992FF6">
          <w:rPr>
            <w:rFonts w:cs="Yagut"/>
            <w:sz w:val="18"/>
            <w:szCs w:val="18"/>
          </w:rPr>
          <w:t xml:space="preserve"> </w:t>
        </w:r>
        <w:smartTag w:uri="urn:schemas-microsoft-com:office:smarttags" w:element="PlaceType">
          <w:r w:rsidRPr="00992FF6">
            <w:rPr>
              <w:rFonts w:cs="Yagut"/>
              <w:sz w:val="18"/>
              <w:szCs w:val="18"/>
            </w:rPr>
            <w:t>University</w:t>
          </w:r>
        </w:smartTag>
      </w:smartTag>
      <w:r w:rsidRPr="00992FF6">
        <w:rPr>
          <w:rFonts w:cs="Yagut"/>
          <w:sz w:val="18"/>
          <w:szCs w:val="18"/>
        </w:rPr>
        <w:t>, 1945, pp 15-16</w:t>
      </w:r>
    </w:p>
  </w:footnote>
  <w:footnote w:id="504">
    <w:p w:rsidR="00C8559C" w:rsidRPr="00992FF6" w:rsidP="00992FF6">
      <w:pPr>
        <w:pStyle w:val="FootnoteText"/>
        <w:spacing w:line="240" w:lineRule="auto"/>
        <w:ind w:left="0" w:right="0"/>
        <w:jc w:val="right"/>
        <w:rPr>
          <w:sz w:val="18"/>
          <w:szCs w:val="18"/>
        </w:rPr>
      </w:pPr>
      <w:r w:rsidRPr="00992FF6">
        <w:rPr>
          <w:rStyle w:val="FootnoteReference"/>
          <w:sz w:val="18"/>
          <w:szCs w:val="18"/>
          <w:vertAlign w:val="baseline"/>
        </w:rPr>
        <w:footnoteRef/>
      </w:r>
      <w:r>
        <w:rPr>
          <w:sz w:val="18"/>
          <w:szCs w:val="18"/>
        </w:rPr>
        <w:t>.</w:t>
      </w:r>
      <w:r w:rsidRPr="00992FF6">
        <w:rPr>
          <w:sz w:val="18"/>
          <w:szCs w:val="18"/>
        </w:rPr>
        <w:t xml:space="preserve">  Radhakshnan, Dr S:  The Indian Philosophy,v.1.p 14</w:t>
      </w:r>
    </w:p>
  </w:footnote>
  <w:footnote w:id="505">
    <w:p w:rsidR="00C8559C" w:rsidRPr="006A4F74" w:rsidP="00992FF6">
      <w:pPr>
        <w:pStyle w:val="FootnoteText"/>
        <w:spacing w:line="240" w:lineRule="auto"/>
        <w:ind w:left="0" w:right="0"/>
        <w:jc w:val="right"/>
      </w:pPr>
      <w:r w:rsidRPr="00992FF6">
        <w:rPr>
          <w:rStyle w:val="FootnoteReference"/>
          <w:sz w:val="18"/>
          <w:szCs w:val="18"/>
          <w:vertAlign w:val="baseline"/>
        </w:rPr>
        <w:footnoteRef/>
      </w:r>
      <w:r>
        <w:rPr>
          <w:sz w:val="18"/>
          <w:szCs w:val="18"/>
        </w:rPr>
        <w:t>.</w:t>
      </w:r>
      <w:r w:rsidRPr="00992FF6">
        <w:rPr>
          <w:sz w:val="18"/>
          <w:szCs w:val="18"/>
        </w:rPr>
        <w:t xml:space="preserve">  </w:t>
      </w:r>
      <w:r w:rsidRPr="00992FF6">
        <w:rPr>
          <w:rFonts w:cs="Yagut"/>
          <w:sz w:val="18"/>
          <w:szCs w:val="18"/>
        </w:rPr>
        <w:t>Dutta, N.K.: Vedantic Philosophy,, pp 15-16</w:t>
      </w:r>
    </w:p>
  </w:footnote>
  <w:footnote w:id="506">
    <w:p w:rsidR="00C8559C" w:rsidRPr="00992FF6" w:rsidP="007733E3">
      <w:pPr>
        <w:pStyle w:val="FootnoteText"/>
        <w:ind w:left="227" w:right="0" w:hanging="227"/>
        <w:jc w:val="both"/>
        <w:rPr>
          <w:rFonts w:ascii="IPT.Zar" w:hAnsi="IPT.Zar" w:cs="B Zar"/>
          <w:rtl/>
        </w:rPr>
      </w:pPr>
      <w:r w:rsidRPr="00992FF6">
        <w:rPr>
          <w:rStyle w:val="FootnoteReference"/>
          <w:rFonts w:ascii="IPT.Zar" w:hAnsi="IPT.Zar" w:cs="B Zar"/>
          <w:sz w:val="24"/>
          <w:szCs w:val="24"/>
          <w:vertAlign w:val="baseline"/>
        </w:rPr>
        <w:footnoteRef/>
      </w:r>
      <w:r w:rsidRPr="00992FF6">
        <w:rPr>
          <w:rFonts w:ascii="IPT.Zar" w:hAnsi="IPT.Zar" w:cs="B Zar"/>
          <w:rtl/>
        </w:rPr>
        <w:t xml:space="preserve">. </w:t>
      </w:r>
      <w:r>
        <w:rPr>
          <w:rFonts w:ascii="IPT.Zar" w:hAnsi="IPT.Zar" w:cs="B Zar" w:hint="cs"/>
          <w:rtl/>
        </w:rPr>
        <w:tab/>
      </w:r>
      <w:r w:rsidRPr="00992FF6">
        <w:rPr>
          <w:rFonts w:ascii="IPT.Zar" w:hAnsi="IPT.Zar" w:cs="B Zar"/>
          <w:rtl/>
        </w:rPr>
        <w:t>شيخ ابن بابويه صدوق: التوحيد ص 81</w:t>
      </w:r>
    </w:p>
  </w:footnote>
  <w:footnote w:id="507">
    <w:p w:rsidR="00C8559C" w:rsidRPr="00992FF6" w:rsidP="007733E3">
      <w:pPr>
        <w:pStyle w:val="FootnoteText"/>
        <w:ind w:left="227" w:right="0" w:hanging="227"/>
        <w:jc w:val="both"/>
        <w:rPr>
          <w:rFonts w:ascii="IPT.Zar" w:hAnsi="IPT.Zar" w:cs="B Zar"/>
          <w:rtl/>
        </w:rPr>
      </w:pPr>
      <w:r w:rsidRPr="00992FF6">
        <w:rPr>
          <w:rStyle w:val="FootnoteReference"/>
          <w:rFonts w:ascii="IPT.Zar" w:hAnsi="IPT.Zar" w:cs="B Zar"/>
          <w:sz w:val="24"/>
          <w:szCs w:val="24"/>
          <w:vertAlign w:val="baseline"/>
        </w:rPr>
        <w:footnoteRef/>
      </w:r>
      <w:r w:rsidRPr="00992FF6">
        <w:rPr>
          <w:rFonts w:ascii="IPT.Zar" w:hAnsi="IPT.Zar" w:cs="B Zar"/>
          <w:rtl/>
        </w:rPr>
        <w:t xml:space="preserve">. </w:t>
      </w:r>
      <w:r>
        <w:rPr>
          <w:rFonts w:ascii="IPT.Zar" w:hAnsi="IPT.Zar" w:cs="B Zar" w:hint="cs"/>
          <w:rtl/>
        </w:rPr>
        <w:tab/>
      </w:r>
      <w:r w:rsidRPr="00992FF6">
        <w:rPr>
          <w:rFonts w:ascii="IPT.Zar" w:hAnsi="IPT.Zar" w:cs="B Zar"/>
          <w:rtl/>
        </w:rPr>
        <w:t>ابوالحسن الاشعري: كتاب اللمع ص 7 شماره 7</w:t>
      </w:r>
    </w:p>
  </w:footnote>
  <w:footnote w:id="508">
    <w:p w:rsidR="00C8559C" w:rsidRPr="006A4F74" w:rsidP="007733E3">
      <w:pPr>
        <w:pStyle w:val="FootnoteText"/>
        <w:ind w:left="227" w:right="0" w:hanging="227"/>
        <w:jc w:val="both"/>
        <w:rPr>
          <w:rFonts w:ascii="IPT.Lotus" w:hAnsi="IPT.Lotus" w:hint="cs"/>
          <w:rtl/>
        </w:rPr>
      </w:pPr>
      <w:r w:rsidRPr="00992FF6">
        <w:rPr>
          <w:rStyle w:val="FootnoteReference"/>
          <w:rFonts w:ascii="IPT.Zar" w:hAnsi="IPT.Zar" w:cs="B Zar"/>
          <w:sz w:val="24"/>
          <w:szCs w:val="24"/>
          <w:vertAlign w:val="baseline"/>
        </w:rPr>
        <w:footnoteRef/>
      </w:r>
      <w:r w:rsidRPr="00992FF6">
        <w:rPr>
          <w:rFonts w:ascii="IPT.Zar" w:hAnsi="IPT.Zar" w:cs="B Zar"/>
          <w:rtl/>
        </w:rPr>
        <w:t xml:space="preserve">. </w:t>
      </w:r>
      <w:r>
        <w:rPr>
          <w:rFonts w:ascii="IPT.Zar" w:hAnsi="IPT.Zar" w:cs="B Zar" w:hint="cs"/>
          <w:rtl/>
        </w:rPr>
        <w:tab/>
      </w:r>
      <w:r w:rsidRPr="00992FF6">
        <w:rPr>
          <w:rFonts w:ascii="IPT.Zar" w:hAnsi="IPT.Zar" w:cs="B Zar"/>
          <w:rtl/>
        </w:rPr>
        <w:t>الاشعري: مقالات الاسلامين و اختلاف المصلين ص 81</w:t>
      </w:r>
    </w:p>
  </w:footnote>
  <w:footnote w:id="509">
    <w:p w:rsidR="00C8559C" w:rsidRPr="00992FF6" w:rsidP="007733E3">
      <w:pPr>
        <w:pStyle w:val="FootnoteText"/>
        <w:ind w:left="0" w:right="0"/>
        <w:jc w:val="both"/>
        <w:rPr>
          <w:rFonts w:ascii="IPT.Zar" w:hAnsi="IPT.Zar" w:cs="B Zar"/>
          <w:rtl/>
        </w:rPr>
      </w:pPr>
      <w:r w:rsidR="00FF7E11">
        <w:rPr>
          <w:rFonts w:ascii="IPT.Zar" w:hAnsi="IPT.Zar" w:cs="B Zar"/>
        </w:rPr>
        <w:sym w:font="IPT.Zar" w:char="F020"/>
      </w:r>
      <w:r w:rsidRPr="007733E3">
        <w:rPr>
          <w:rStyle w:val="FootnoteReference"/>
          <w:rFonts w:ascii="IPT.Zar" w:hAnsi="IPT.Zar" w:cs="B Zar"/>
          <w:sz w:val="24"/>
          <w:szCs w:val="24"/>
          <w:vertAlign w:val="baseline"/>
        </w:rPr>
        <w:footnoteRef/>
      </w:r>
      <w:r>
        <w:rPr>
          <w:rFonts w:ascii="IPT.Zar" w:hAnsi="IPT.Zar" w:cs="B Zar" w:hint="cs"/>
          <w:rtl/>
        </w:rPr>
        <w:t xml:space="preserve">  </w:t>
      </w:r>
      <w:r w:rsidRPr="00992FF6">
        <w:rPr>
          <w:rFonts w:ascii="IPT.Zar" w:hAnsi="IPT.Zar" w:cs="B Zar"/>
          <w:rtl/>
        </w:rPr>
        <w:t xml:space="preserve"> ابوالحسن الاشعري: مقالات الاسلامين ص 109-110 الفصل الثامن</w:t>
      </w:r>
    </w:p>
  </w:footnote>
  <w:footnote w:id="510">
    <w:p w:rsidR="00C8559C" w:rsidRPr="00992FF6" w:rsidP="00894EB5">
      <w:pPr>
        <w:pStyle w:val="FootnoteText"/>
        <w:ind w:left="0" w:right="0"/>
        <w:jc w:val="both"/>
        <w:rPr>
          <w:rFonts w:ascii="IPT.Zar" w:hAnsi="IPT.Zar" w:cs="B Zar"/>
          <w:rtl/>
        </w:rPr>
      </w:pPr>
      <w:r w:rsidRPr="00894EB5">
        <w:rPr>
          <w:rStyle w:val="FootnoteReference"/>
          <w:rFonts w:ascii="IPT.Zar" w:hAnsi="IPT.Zar" w:cs="B Zar"/>
          <w:sz w:val="24"/>
          <w:szCs w:val="24"/>
          <w:vertAlign w:val="baseline"/>
        </w:rPr>
        <w:footnoteRef/>
      </w:r>
      <w:r w:rsidRPr="00992FF6">
        <w:rPr>
          <w:rFonts w:ascii="IPT.Zar" w:hAnsi="IPT.Zar" w:cs="B Zar"/>
          <w:rtl/>
        </w:rPr>
        <w:t xml:space="preserve">. </w:t>
      </w:r>
      <w:r>
        <w:rPr>
          <w:rFonts w:ascii="IPT.Zar" w:hAnsi="IPT.Zar" w:cs="B Zar" w:hint="cs"/>
          <w:rtl/>
        </w:rPr>
        <w:t xml:space="preserve">  </w:t>
      </w:r>
      <w:r w:rsidRPr="00992FF6">
        <w:rPr>
          <w:rFonts w:ascii="IPT.Zar" w:hAnsi="IPT.Zar" w:cs="B Zar"/>
          <w:rtl/>
        </w:rPr>
        <w:t>تاريخ فلسفه، ص 102</w:t>
      </w:r>
    </w:p>
  </w:footnote>
  <w:footnote w:id="511">
    <w:p w:rsidR="00C8559C" w:rsidRPr="00992FF6" w:rsidP="00FF7E11">
      <w:pPr>
        <w:pStyle w:val="FootnoteText"/>
        <w:ind w:left="227" w:right="0" w:hanging="227"/>
        <w:jc w:val="both"/>
        <w:rPr>
          <w:rFonts w:ascii="IPT.Zar" w:hAnsi="IPT.Zar" w:cs="B Zar"/>
          <w:rtl/>
        </w:rPr>
      </w:pPr>
      <w:r w:rsidRPr="00894EB5">
        <w:rPr>
          <w:rStyle w:val="FootnoteReference"/>
          <w:rFonts w:ascii="IPT.Zar" w:hAnsi="IPT.Zar" w:cs="B Zar"/>
          <w:sz w:val="24"/>
          <w:szCs w:val="24"/>
          <w:vertAlign w:val="baseline"/>
        </w:rPr>
        <w:footnoteRef/>
      </w:r>
      <w:r w:rsidRPr="00992FF6">
        <w:rPr>
          <w:rFonts w:ascii="IPT.Zar" w:hAnsi="IPT.Zar" w:cs="B Zar"/>
        </w:rPr>
        <w:sym w:font="IPT.Zar" w:char="F020"/>
      </w:r>
      <w:r w:rsidRPr="00992FF6">
        <w:rPr>
          <w:rFonts w:ascii="IPT.Zar" w:hAnsi="IPT.Zar" w:cs="B Zar"/>
          <w:rtl/>
        </w:rPr>
        <w:t>. تذكره غوثيه: بحث وحدت الوجود</w:t>
      </w:r>
    </w:p>
  </w:footnote>
  <w:footnote w:id="512">
    <w:p w:rsidR="00C8559C" w:rsidRPr="00992FF6" w:rsidP="008D1CD1">
      <w:pPr>
        <w:pStyle w:val="FootnoteText"/>
        <w:ind w:left="227" w:right="0" w:hanging="227"/>
        <w:jc w:val="both"/>
        <w:rPr>
          <w:rFonts w:ascii="IPT.Zar" w:hAnsi="IPT.Zar" w:cs="B Zar"/>
          <w:rtl/>
        </w:rPr>
      </w:pPr>
      <w:r w:rsidRPr="008D1CD1">
        <w:rPr>
          <w:rStyle w:val="FootnoteReference"/>
          <w:rFonts w:ascii="IPT.Zar" w:hAnsi="IPT.Zar" w:cs="B Zar"/>
          <w:sz w:val="24"/>
          <w:szCs w:val="24"/>
          <w:vertAlign w:val="baseline"/>
        </w:rPr>
        <w:footnoteRef/>
      </w:r>
      <w:r w:rsidRPr="00992FF6">
        <w:rPr>
          <w:rFonts w:ascii="IPT.Zar" w:hAnsi="IPT.Zar" w:cs="B Zar"/>
          <w:rtl/>
        </w:rPr>
        <w:t xml:space="preserve">. </w:t>
      </w:r>
      <w:r>
        <w:rPr>
          <w:rFonts w:ascii="IPT.Zar" w:hAnsi="IPT.Zar" w:cs="B Zar" w:hint="cs"/>
          <w:rtl/>
        </w:rPr>
        <w:tab/>
      </w:r>
      <w:r w:rsidRPr="00992FF6">
        <w:rPr>
          <w:rFonts w:ascii="IPT.Zar" w:hAnsi="IPT.Zar" w:cs="B Zar"/>
          <w:rtl/>
        </w:rPr>
        <w:t>ويل دورانت: تاريخ فلسفه ص 240-236</w:t>
      </w:r>
    </w:p>
  </w:footnote>
  <w:footnote w:id="513">
    <w:p w:rsidR="00C8559C" w:rsidRPr="006A4F74" w:rsidP="008D1CD1">
      <w:pPr>
        <w:pStyle w:val="FootnoteText"/>
        <w:ind w:left="227" w:right="0" w:hanging="227"/>
        <w:jc w:val="both"/>
        <w:rPr>
          <w:rFonts w:ascii="IPT.Lotus" w:hAnsi="IPT.Lotus" w:hint="cs"/>
          <w:rtl/>
        </w:rPr>
      </w:pPr>
      <w:r w:rsidRPr="008D1CD1">
        <w:rPr>
          <w:rStyle w:val="FootnoteReference"/>
          <w:rFonts w:ascii="IPT.Zar" w:hAnsi="IPT.Zar" w:cs="B Zar"/>
          <w:sz w:val="24"/>
          <w:szCs w:val="24"/>
          <w:vertAlign w:val="baseline"/>
        </w:rPr>
        <w:footnoteRef/>
      </w:r>
      <w:r w:rsidRPr="00992FF6">
        <w:rPr>
          <w:rFonts w:ascii="IPT.Zar" w:hAnsi="IPT.Zar" w:cs="B Zar"/>
          <w:rtl/>
        </w:rPr>
        <w:t xml:space="preserve">. </w:t>
      </w:r>
      <w:r>
        <w:rPr>
          <w:rFonts w:ascii="IPT.Zar" w:hAnsi="IPT.Zar" w:cs="B Zar" w:hint="cs"/>
          <w:rtl/>
        </w:rPr>
        <w:tab/>
      </w:r>
      <w:r w:rsidRPr="00992FF6">
        <w:rPr>
          <w:rFonts w:ascii="IPT.Zar" w:hAnsi="IPT.Zar" w:cs="B Zar"/>
          <w:rtl/>
        </w:rPr>
        <w:t>كاتها اوپانيشاد: 14:2</w:t>
      </w:r>
    </w:p>
  </w:footnote>
  <w:footnote w:id="514">
    <w:p w:rsidR="00C8559C" w:rsidRPr="006A4F74" w:rsidP="003B069E">
      <w:pPr>
        <w:pStyle w:val="FootnoteText"/>
        <w:ind w:left="227" w:right="0" w:hanging="227"/>
        <w:jc w:val="both"/>
        <w:rPr>
          <w:rFonts w:cs="B Zar" w:hint="cs"/>
          <w:rtl/>
        </w:rPr>
      </w:pPr>
      <w:r w:rsidRPr="006A4F74">
        <w:rPr>
          <w:rStyle w:val="FootnoteReference"/>
          <w:rFonts w:ascii="IPT.Lotus" w:hAnsi="IPT.Lotus" w:cs="B Zar"/>
          <w:sz w:val="24"/>
          <w:szCs w:val="24"/>
          <w:vertAlign w:val="baseline"/>
        </w:rPr>
        <w:footnoteRef/>
      </w:r>
      <w:r w:rsidRPr="006A4F74">
        <w:rPr>
          <w:rFonts w:ascii="IPT.Lotus" w:hAnsi="IPT.Lotus" w:cs="B Zar" w:hint="cs"/>
          <w:rtl/>
        </w:rPr>
        <w:t xml:space="preserve">. </w:t>
      </w:r>
      <w:r>
        <w:rPr>
          <w:rFonts w:ascii="IPT.Lotus" w:hAnsi="IPT.Lotus" w:cs="B Zar" w:hint="cs"/>
          <w:rtl/>
        </w:rPr>
        <w:tab/>
      </w:r>
      <w:r w:rsidRPr="006A4F74">
        <w:rPr>
          <w:rFonts w:ascii="IPT.Lotus" w:hAnsi="IPT.Lotus" w:cs="B Zar" w:hint="cs"/>
          <w:rtl/>
        </w:rPr>
        <w:t>تايتيريي</w:t>
      </w:r>
      <w:r w:rsidRPr="006A4F74">
        <w:rPr>
          <w:rFonts w:ascii="IPT.Lotus" w:hAnsi="IPT.Lotus" w:cs="B Zar" w:hint="cs"/>
          <w:szCs w:val="28"/>
          <w:rtl/>
        </w:rPr>
        <w:t>ا</w:t>
      </w:r>
      <w:r w:rsidRPr="006A4F74">
        <w:rPr>
          <w:rFonts w:ascii="IPT.Lotus" w:hAnsi="IPT.Lotus" w:cs="B Zar" w:hint="cs"/>
          <w:rtl/>
        </w:rPr>
        <w:t xml:space="preserve"> اوپانيشاد: ايشا: 7</w:t>
      </w:r>
    </w:p>
  </w:footnote>
  <w:footnote w:id="515">
    <w:p w:rsidR="00C8559C" w:rsidRPr="006A4F74" w:rsidP="003B069E">
      <w:pPr>
        <w:pStyle w:val="FootnoteText"/>
        <w:ind w:left="227" w:right="0" w:hanging="227"/>
        <w:jc w:val="both"/>
        <w:rPr>
          <w:rFonts w:ascii="IPT.Lotus" w:hAnsi="IPT.Lotus" w:hint="cs"/>
          <w:rtl/>
        </w:rPr>
      </w:pPr>
      <w:r w:rsidRPr="006A4F74">
        <w:rPr>
          <w:rStyle w:val="FootnoteReference"/>
          <w:rFonts w:ascii="IPT.Lotus" w:hAnsi="IPT.Lotus" w:cs="B Zar"/>
          <w:sz w:val="24"/>
          <w:szCs w:val="24"/>
          <w:vertAlign w:val="baseline"/>
        </w:rPr>
        <w:footnoteRef/>
      </w:r>
      <w:r w:rsidRPr="006A4F74">
        <w:rPr>
          <w:rFonts w:ascii="IPT.Lotus" w:hAnsi="IPT.Lotus" w:cs="B Zar" w:hint="cs"/>
          <w:rtl/>
        </w:rPr>
        <w:t xml:space="preserve">. </w:t>
      </w:r>
      <w:r>
        <w:rPr>
          <w:rFonts w:ascii="IPT.Lotus" w:hAnsi="IPT.Lotus" w:cs="B Zar" w:hint="cs"/>
          <w:rtl/>
        </w:rPr>
        <w:tab/>
      </w:r>
      <w:r w:rsidRPr="006A4F74">
        <w:rPr>
          <w:rFonts w:ascii="IPT.Lotus" w:hAnsi="IPT.Lotus" w:cs="B Zar" w:hint="cs"/>
          <w:rtl/>
        </w:rPr>
        <w:t>ريگ ودا</w:t>
      </w:r>
    </w:p>
  </w:footnote>
  <w:footnote w:id="516">
    <w:p w:rsidR="00C8559C" w:rsidRPr="006A4F74" w:rsidP="00FF7E11">
      <w:pPr>
        <w:pStyle w:val="FootnoteText"/>
        <w:ind w:left="227" w:right="0" w:hanging="227"/>
        <w:jc w:val="both"/>
        <w:rPr>
          <w:rFonts w:ascii="IPT.Lotus" w:hAnsi="IPT.Lotus" w:cs="B Zar" w:hint="cs"/>
          <w:rtl/>
        </w:rPr>
      </w:pPr>
      <w:r w:rsidRPr="003B069E">
        <w:rPr>
          <w:rStyle w:val="FootnoteReference"/>
          <w:rFonts w:ascii="IPT.Zar" w:hAnsi="IPT.Zar" w:cs="B Zar"/>
          <w:sz w:val="24"/>
          <w:szCs w:val="24"/>
          <w:vertAlign w:val="baseline"/>
        </w:rPr>
        <w:footnoteRef/>
      </w:r>
      <w:r w:rsidRPr="002031AC">
        <w:rPr>
          <w:rFonts w:ascii="IPT.Lotus" w:hAnsi="IPT.Lotus" w:cs="B Zar"/>
          <w:sz w:val="24"/>
          <w:szCs w:val="24"/>
        </w:rPr>
        <w:sym w:font="IPT.Lotus" w:char="F020"/>
      </w:r>
      <w:r w:rsidRPr="006A4F74">
        <w:rPr>
          <w:rFonts w:ascii="IPT.Lotus" w:hAnsi="IPT.Lotus" w:cs="B Zar" w:hint="cs"/>
          <w:rtl/>
        </w:rPr>
        <w:t>. محي الدين ابن عربي: فصوص الحكم: فصّ آدميه، جزء الاول</w:t>
      </w:r>
    </w:p>
  </w:footnote>
  <w:footnote w:id="517">
    <w:p w:rsidR="00C8559C" w:rsidRPr="006A4F74" w:rsidP="003B069E">
      <w:pPr>
        <w:pStyle w:val="FootnoteText"/>
        <w:ind w:left="227" w:right="0" w:hanging="227"/>
        <w:jc w:val="both"/>
        <w:rPr>
          <w:rFonts w:ascii="IPT.Lotus" w:hAnsi="IPT.Lotus" w:hint="cs"/>
          <w:rtl/>
        </w:rPr>
      </w:pPr>
      <w:r w:rsidRPr="003B069E">
        <w:rPr>
          <w:rStyle w:val="FootnoteReference"/>
          <w:rFonts w:ascii="IPT.Zar" w:hAnsi="IPT.Zar" w:cs="B Zar"/>
          <w:sz w:val="24"/>
          <w:szCs w:val="24"/>
          <w:vertAlign w:val="baseline"/>
        </w:rPr>
        <w:footnoteRef/>
      </w:r>
      <w:r w:rsidRPr="006A4F74">
        <w:rPr>
          <w:rFonts w:ascii="IPT.Lotus" w:hAnsi="IPT.Lotus" w:cs="B Zar" w:hint="cs"/>
          <w:rtl/>
        </w:rPr>
        <w:t xml:space="preserve">. </w:t>
      </w:r>
      <w:r>
        <w:rPr>
          <w:rFonts w:ascii="IPT.Lotus" w:hAnsi="IPT.Lotus" w:cs="B Zar" w:hint="cs"/>
          <w:rtl/>
        </w:rPr>
        <w:tab/>
      </w:r>
      <w:r w:rsidRPr="006A4F74">
        <w:rPr>
          <w:rFonts w:ascii="IPT.Lotus" w:hAnsi="IPT.Lotus" w:cs="B Zar" w:hint="cs"/>
          <w:rtl/>
        </w:rPr>
        <w:t>نورالدين جامي: كتاب لوايح ص 9 ، چاپ لاهور</w:t>
      </w:r>
    </w:p>
  </w:footnote>
  <w:footnote w:id="518">
    <w:p w:rsidR="00C8559C" w:rsidRPr="006A4F74" w:rsidP="003B069E">
      <w:pPr>
        <w:pStyle w:val="FootnoteText"/>
        <w:ind w:left="227" w:right="0" w:hanging="227"/>
        <w:jc w:val="both"/>
        <w:rPr>
          <w:rFonts w:ascii="IPT.Yagut" w:hAnsi="IPT.Yagut" w:cs="B Zar" w:hint="cs"/>
          <w:rtl/>
        </w:rPr>
      </w:pPr>
      <w:r w:rsidRPr="003B069E">
        <w:rPr>
          <w:rStyle w:val="FootnoteReference"/>
          <w:rFonts w:ascii="IPT.Zar" w:hAnsi="IPT.Zar" w:cs="B Zar"/>
          <w:sz w:val="24"/>
          <w:szCs w:val="24"/>
          <w:vertAlign w:val="baseline"/>
        </w:rPr>
        <w:footnoteRef/>
      </w:r>
      <w:r w:rsidRPr="006A4F74">
        <w:rPr>
          <w:rFonts w:ascii="IPT.Lotus" w:hAnsi="IPT.Lotus" w:cs="B Zar" w:hint="cs"/>
          <w:rtl/>
        </w:rPr>
        <w:t xml:space="preserve">. </w:t>
      </w:r>
      <w:r>
        <w:rPr>
          <w:rFonts w:ascii="IPT.Lotus" w:hAnsi="IPT.Lotus" w:cs="B Zar" w:hint="cs"/>
          <w:rtl/>
        </w:rPr>
        <w:tab/>
      </w:r>
      <w:r w:rsidRPr="006A4F74">
        <w:rPr>
          <w:rFonts w:ascii="IPT.Lotus" w:hAnsi="IPT.Lotus" w:cs="B Zar" w:hint="cs"/>
          <w:rtl/>
        </w:rPr>
        <w:t>همان، ص 8 -37</w:t>
      </w:r>
    </w:p>
  </w:footnote>
  <w:footnote w:id="519">
    <w:p w:rsidR="00C8559C" w:rsidRPr="006A4F74" w:rsidP="002146DE">
      <w:pPr>
        <w:pStyle w:val="FootnoteText"/>
        <w:ind w:left="227" w:right="0" w:hanging="227"/>
        <w:jc w:val="both"/>
        <w:rPr>
          <w:rFonts w:ascii="IPT.Lotus" w:hAnsi="IPT.Lotus" w:cs="B Zar" w:hint="cs"/>
          <w:rtl/>
        </w:rPr>
      </w:pPr>
      <w:r>
        <w:rPr>
          <w:rFonts w:cs="B Zar"/>
        </w:rPr>
        <w:t>.</w:t>
      </w:r>
      <w:r w:rsidRPr="0064019B">
        <w:rPr>
          <w:rStyle w:val="FootnoteReference"/>
          <w:rFonts w:ascii="IPT.Zar" w:hAnsi="IPT.Zar" w:cs="B Zar"/>
          <w:sz w:val="24"/>
          <w:szCs w:val="24"/>
          <w:vertAlign w:val="baseline"/>
        </w:rPr>
        <w:footnoteRef/>
      </w:r>
      <w:r w:rsidRPr="006A4F74">
        <w:rPr>
          <w:rFonts w:ascii="IPT.Lotus" w:hAnsi="IPT.Lotus" w:cs="B Zar" w:hint="cs"/>
          <w:rtl/>
        </w:rPr>
        <w:t xml:space="preserve"> </w:t>
      </w:r>
      <w:r>
        <w:rPr>
          <w:rFonts w:ascii="IPT.Lotus" w:hAnsi="IPT.Lotus" w:cs="B Zar" w:hint="cs"/>
          <w:rtl/>
        </w:rPr>
        <w:tab/>
      </w:r>
      <w:r w:rsidRPr="006A4F74">
        <w:rPr>
          <w:rFonts w:ascii="IPT.Lotus" w:hAnsi="IPT.Lotus" w:cs="B Zar" w:hint="cs"/>
          <w:rtl/>
        </w:rPr>
        <w:t xml:space="preserve">دكتر غلامحسين ابراهيمي دينائي: فلسفه سهروردي ص 287 </w:t>
      </w:r>
      <w:r w:rsidRPr="006A4F74">
        <w:rPr>
          <w:rFonts w:ascii="IPT.Lotus" w:hAnsi="IPT.Lotus"/>
          <w:rtl/>
        </w:rPr>
        <w:t>–</w:t>
      </w:r>
      <w:r w:rsidRPr="006A4F74">
        <w:rPr>
          <w:rFonts w:ascii="IPT.Lotus" w:hAnsi="IPT.Lotus" w:cs="B Zar" w:hint="cs"/>
          <w:rtl/>
        </w:rPr>
        <w:t>283: انتشارات حكمت تهران 1366</w:t>
      </w:r>
    </w:p>
  </w:footnote>
  <w:footnote w:id="520">
    <w:p w:rsidR="00C8559C" w:rsidRPr="006A4F74" w:rsidP="00FF7E11">
      <w:pPr>
        <w:pStyle w:val="FootnoteText"/>
        <w:ind w:left="227" w:right="0" w:hanging="227"/>
        <w:jc w:val="both"/>
        <w:rPr>
          <w:rFonts w:ascii="IPT.Lotus" w:hAnsi="IPT.Lotus" w:cs="B Zar" w:hint="cs"/>
          <w:rtl/>
        </w:rPr>
      </w:pPr>
      <w:r>
        <w:rPr>
          <w:rFonts w:cs="B Zar"/>
        </w:rPr>
        <w:t>.</w:t>
      </w:r>
      <w:r w:rsidRPr="008F7148">
        <w:rPr>
          <w:rStyle w:val="FootnoteReference"/>
          <w:rFonts w:ascii="IPT.Zar" w:hAnsi="IPT.Zar" w:cs="B Zar"/>
          <w:sz w:val="24"/>
          <w:szCs w:val="24"/>
          <w:vertAlign w:val="baseline"/>
        </w:rPr>
        <w:footnoteRef/>
      </w:r>
      <w:r w:rsidRPr="006A4F74">
        <w:rPr>
          <w:rFonts w:ascii="IPT.Lotus" w:hAnsi="IPT.Lotus" w:cs="B Zar"/>
        </w:rPr>
        <w:sym w:font="IPT.Lotus" w:char="F020"/>
      </w:r>
      <w:r w:rsidRPr="006A4F74">
        <w:rPr>
          <w:rFonts w:ascii="IPT.Lotus" w:hAnsi="IPT.Lotus" w:cs="B Zar" w:hint="cs"/>
          <w:rtl/>
        </w:rPr>
        <w:t xml:space="preserve"> تايتيرييا اوپانيشاد 3: جزء سوم: بهرگ بلي 7-1</w:t>
      </w:r>
    </w:p>
  </w:footnote>
  <w:footnote w:id="521">
    <w:p w:rsidR="00C8559C" w:rsidRPr="006A4F74" w:rsidP="008F7148">
      <w:pPr>
        <w:pStyle w:val="FootnoteText"/>
        <w:ind w:left="227" w:right="0" w:hanging="227"/>
        <w:jc w:val="both"/>
        <w:rPr>
          <w:rFonts w:ascii="IPT.Lotus" w:hAnsi="IPT.Lotus" w:cs="B Zar" w:hint="cs"/>
          <w:rtl/>
        </w:rPr>
      </w:pPr>
      <w:r w:rsidRPr="008F7148">
        <w:rPr>
          <w:rStyle w:val="FootnoteReference"/>
          <w:rFonts w:ascii="IPT.Lotus" w:hAnsi="IPT.Lotus" w:cs="B Zar"/>
          <w:sz w:val="24"/>
          <w:szCs w:val="24"/>
          <w:vertAlign w:val="baseline"/>
        </w:rPr>
        <w:footnoteRef/>
      </w:r>
      <w:r w:rsidRPr="006A4F74">
        <w:rPr>
          <w:rFonts w:ascii="IPT.Lotus" w:hAnsi="IPT.Lotus" w:cs="B Zar" w:hint="cs"/>
          <w:rtl/>
        </w:rPr>
        <w:t xml:space="preserve">. </w:t>
      </w:r>
      <w:r>
        <w:rPr>
          <w:rFonts w:ascii="IPT.Lotus" w:hAnsi="IPT.Lotus" w:cs="B Zar" w:hint="cs"/>
          <w:rtl/>
        </w:rPr>
        <w:tab/>
      </w:r>
      <w:r w:rsidRPr="006A4F74">
        <w:rPr>
          <w:rFonts w:ascii="IPT.Lotus" w:hAnsi="IPT.Lotus" w:cs="B Zar" w:hint="cs"/>
          <w:rtl/>
        </w:rPr>
        <w:t>پوروشاسكوتا اوپانيشاد: 2</w:t>
      </w:r>
    </w:p>
  </w:footnote>
  <w:footnote w:id="522">
    <w:p w:rsidR="00C8559C" w:rsidRPr="006A4F74" w:rsidP="008F7148">
      <w:pPr>
        <w:pStyle w:val="FootnoteText"/>
        <w:ind w:left="227" w:right="0" w:hanging="227"/>
        <w:jc w:val="both"/>
        <w:rPr>
          <w:rFonts w:hint="cs"/>
          <w:rtl/>
        </w:rPr>
      </w:pPr>
      <w:r w:rsidRPr="008F7148">
        <w:rPr>
          <w:rStyle w:val="FootnoteReference"/>
          <w:rFonts w:ascii="IPT.Lotus" w:hAnsi="IPT.Lotus" w:cs="B Zar"/>
          <w:sz w:val="24"/>
          <w:szCs w:val="24"/>
          <w:vertAlign w:val="baseline"/>
        </w:rPr>
        <w:footnoteRef/>
      </w:r>
      <w:r w:rsidRPr="006A4F74">
        <w:rPr>
          <w:rFonts w:ascii="IPT.Lotus" w:hAnsi="IPT.Lotus" w:cs="B Zar" w:hint="cs"/>
          <w:rtl/>
        </w:rPr>
        <w:t xml:space="preserve">. </w:t>
      </w:r>
      <w:r>
        <w:rPr>
          <w:rFonts w:ascii="IPT.Lotus" w:hAnsi="IPT.Lotus" w:cs="B Zar" w:hint="cs"/>
          <w:rtl/>
        </w:rPr>
        <w:tab/>
      </w:r>
      <w:r w:rsidRPr="006A4F74">
        <w:rPr>
          <w:rFonts w:ascii="IPT.Lotus" w:hAnsi="IPT.Lotus" w:cs="B Zar" w:hint="cs"/>
          <w:rtl/>
        </w:rPr>
        <w:t>برهدارن ياكا اوپانيشاد: 1: 9:3</w:t>
      </w:r>
    </w:p>
  </w:footnote>
  <w:footnote w:id="523">
    <w:p w:rsidR="00C8559C" w:rsidRPr="006A4F74" w:rsidP="00FF7E11">
      <w:pPr>
        <w:pStyle w:val="FootnoteText"/>
        <w:ind w:left="227" w:right="0" w:hanging="227"/>
        <w:jc w:val="both"/>
        <w:rPr>
          <w:rFonts w:ascii="IPT.Lotus" w:hAnsi="IPT.Lotus" w:cs="B Zar" w:hint="cs"/>
          <w:rtl/>
        </w:rPr>
      </w:pPr>
      <w:r>
        <w:rPr>
          <w:rFonts w:cs="B Zar"/>
        </w:rPr>
        <w:t>.</w:t>
      </w:r>
      <w:r w:rsidRPr="008F7148">
        <w:rPr>
          <w:rStyle w:val="FootnoteReference"/>
          <w:rFonts w:ascii="IPT.Lotus" w:hAnsi="IPT.Lotus" w:cs="B Zar"/>
          <w:sz w:val="24"/>
          <w:szCs w:val="24"/>
          <w:vertAlign w:val="baseline"/>
        </w:rPr>
        <w:footnoteRef/>
      </w:r>
      <w:r w:rsidRPr="006A4F74">
        <w:rPr>
          <w:rFonts w:ascii="IPT.Lotus" w:hAnsi="IPT.Lotus" w:cs="B Zar"/>
        </w:rPr>
        <w:sym w:font="IPT.Lotus" w:char="F020"/>
      </w:r>
      <w:r w:rsidRPr="006A4F74">
        <w:rPr>
          <w:rFonts w:ascii="IPT.Lotus" w:hAnsi="IPT.Lotus" w:cs="B Zar" w:hint="cs"/>
          <w:rtl/>
        </w:rPr>
        <w:t xml:space="preserve"> مونداكا ا اوپانيشاد: برهمان اول، كهانداول: 6</w:t>
      </w:r>
    </w:p>
  </w:footnote>
  <w:footnote w:id="524">
    <w:p w:rsidR="00C8559C" w:rsidRPr="006A4F74" w:rsidP="008F7148">
      <w:pPr>
        <w:pStyle w:val="FootnoteText"/>
        <w:ind w:left="227" w:right="0" w:hanging="227"/>
        <w:jc w:val="both"/>
        <w:rPr>
          <w:rFonts w:ascii="IPT.Lotus" w:hAnsi="IPT.Lotus" w:hint="cs"/>
          <w:rtl/>
        </w:rPr>
      </w:pPr>
      <w:r w:rsidRPr="008F7148">
        <w:rPr>
          <w:rStyle w:val="FootnoteReference"/>
          <w:rFonts w:ascii="IPT.Lotus" w:hAnsi="IPT.Lotus" w:cs="B Zar"/>
          <w:sz w:val="24"/>
          <w:szCs w:val="24"/>
          <w:vertAlign w:val="baseline"/>
        </w:rPr>
        <w:footnoteRef/>
      </w:r>
      <w:r w:rsidRPr="006A4F74">
        <w:rPr>
          <w:rFonts w:ascii="IPT.Lotus" w:hAnsi="IPT.Lotus" w:cs="B Zar" w:hint="cs"/>
          <w:rtl/>
        </w:rPr>
        <w:t xml:space="preserve">. </w:t>
      </w:r>
      <w:r>
        <w:rPr>
          <w:rFonts w:ascii="IPT.Lotus" w:hAnsi="IPT.Lotus" w:cs="B Zar" w:hint="cs"/>
          <w:rtl/>
        </w:rPr>
        <w:tab/>
      </w:r>
      <w:r w:rsidRPr="006A4F74">
        <w:rPr>
          <w:rFonts w:ascii="IPT.Lotus" w:hAnsi="IPT.Lotus" w:cs="B Zar" w:hint="cs"/>
          <w:rtl/>
        </w:rPr>
        <w:t>همان: براهمن دوم: كهاند اول: 2</w:t>
      </w:r>
    </w:p>
  </w:footnote>
  <w:footnote w:id="525">
    <w:p w:rsidR="00C8559C" w:rsidRPr="006A4F74" w:rsidP="008F7148">
      <w:pPr>
        <w:pStyle w:val="FootnoteText"/>
        <w:ind w:left="227" w:right="0" w:hanging="227"/>
        <w:jc w:val="both"/>
        <w:rPr>
          <w:rFonts w:ascii="IPT.Lotus" w:hAnsi="IPT.Lotus" w:cs="B Zar" w:hint="cs"/>
          <w:rtl/>
        </w:rPr>
      </w:pPr>
      <w:r w:rsidRPr="008F7148">
        <w:rPr>
          <w:rStyle w:val="FootnoteReference"/>
          <w:rFonts w:ascii="IPT.Zar" w:hAnsi="IPT.Zar" w:cs="B Zar"/>
          <w:sz w:val="24"/>
          <w:szCs w:val="24"/>
          <w:vertAlign w:val="baseline"/>
        </w:rPr>
        <w:footnoteRef/>
      </w:r>
      <w:r w:rsidRPr="006A4F74">
        <w:rPr>
          <w:rFonts w:ascii="IPT.Lotus" w:hAnsi="IPT.Lotus" w:cs="B Zar" w:hint="cs"/>
          <w:rtl/>
        </w:rPr>
        <w:t>.</w:t>
      </w:r>
      <w:r>
        <w:rPr>
          <w:rFonts w:ascii="IPT.Lotus" w:hAnsi="IPT.Lotus" w:cs="B Zar" w:hint="cs"/>
          <w:rtl/>
        </w:rPr>
        <w:tab/>
      </w:r>
      <w:r w:rsidRPr="006A4F74">
        <w:rPr>
          <w:rFonts w:ascii="IPT.Lotus" w:hAnsi="IPT.Lotus" w:cs="B Zar" w:hint="cs"/>
          <w:rtl/>
        </w:rPr>
        <w:t>همان: برهمان دوم: 12-11</w:t>
      </w:r>
    </w:p>
  </w:footnote>
  <w:footnote w:id="526">
    <w:p w:rsidR="00C8559C" w:rsidRPr="006A4F74" w:rsidP="008F7148">
      <w:pPr>
        <w:pStyle w:val="FootnoteText"/>
        <w:ind w:left="227" w:right="0" w:hanging="227"/>
        <w:jc w:val="both"/>
        <w:rPr>
          <w:rFonts w:hint="cs"/>
          <w:rtl/>
        </w:rPr>
      </w:pPr>
      <w:r w:rsidRPr="008F7148">
        <w:rPr>
          <w:rStyle w:val="FootnoteReference"/>
          <w:rFonts w:ascii="IPT.Zar" w:hAnsi="IPT.Zar" w:cs="B Zar"/>
          <w:sz w:val="24"/>
          <w:szCs w:val="24"/>
          <w:vertAlign w:val="baseline"/>
        </w:rPr>
        <w:footnoteRef/>
      </w:r>
      <w:r w:rsidRPr="006A4F74">
        <w:rPr>
          <w:rFonts w:ascii="IPT.Lotus" w:hAnsi="IPT.Lotus" w:cs="B Zar" w:hint="cs"/>
          <w:rtl/>
        </w:rPr>
        <w:t xml:space="preserve">. </w:t>
      </w:r>
      <w:r>
        <w:rPr>
          <w:rFonts w:ascii="IPT.Lotus" w:hAnsi="IPT.Lotus" w:cs="B Zar" w:hint="cs"/>
          <w:rtl/>
        </w:rPr>
        <w:tab/>
      </w:r>
      <w:r w:rsidRPr="006A4F74">
        <w:rPr>
          <w:rFonts w:ascii="IPT.Lotus" w:hAnsi="IPT.Lotus" w:cs="B Zar" w:hint="cs"/>
          <w:rtl/>
        </w:rPr>
        <w:t>مونداكا اوپانيشاد: برهمانا سوم: كهند اول: 8-7</w:t>
      </w:r>
    </w:p>
  </w:footnote>
  <w:footnote w:id="527">
    <w:p w:rsidR="00C8559C" w:rsidRPr="006A4F74" w:rsidP="00A31735">
      <w:pPr>
        <w:pStyle w:val="FootnoteText"/>
        <w:ind w:left="227" w:right="0" w:hanging="227"/>
        <w:jc w:val="both"/>
        <w:rPr>
          <w:rFonts w:ascii="IPT.Lotus" w:hAnsi="IPT.Lotus" w:cs="B Zar" w:hint="cs"/>
          <w:rtl/>
        </w:rPr>
      </w:pPr>
      <w:r w:rsidRPr="00A31735">
        <w:rPr>
          <w:rStyle w:val="FootnoteReference"/>
          <w:rFonts w:ascii="IPT.Zar" w:hAnsi="IPT.Zar" w:cs="B Zar"/>
          <w:sz w:val="24"/>
          <w:szCs w:val="24"/>
          <w:vertAlign w:val="baseline"/>
        </w:rPr>
        <w:footnoteRef/>
      </w:r>
      <w:r w:rsidRPr="006A4F74">
        <w:rPr>
          <w:rFonts w:ascii="IPT.Lotus" w:hAnsi="IPT.Lotus" w:cs="B Zar" w:hint="cs"/>
          <w:rtl/>
        </w:rPr>
        <w:t xml:space="preserve">. </w:t>
      </w:r>
      <w:r>
        <w:rPr>
          <w:rFonts w:ascii="IPT.Lotus" w:hAnsi="IPT.Lotus" w:cs="B Zar" w:hint="cs"/>
          <w:rtl/>
        </w:rPr>
        <w:tab/>
      </w:r>
      <w:r w:rsidRPr="006A4F74">
        <w:rPr>
          <w:rFonts w:ascii="IPT.Lotus" w:hAnsi="IPT.Lotus" w:cs="B Zar" w:hint="cs"/>
          <w:rtl/>
        </w:rPr>
        <w:t>مونداكا  اوپانبشاد: 2 11:2</w:t>
      </w:r>
    </w:p>
  </w:footnote>
  <w:footnote w:id="528">
    <w:p w:rsidR="00C8559C" w:rsidRPr="006A4F74" w:rsidP="00A31735">
      <w:pPr>
        <w:pStyle w:val="FootnoteText"/>
        <w:ind w:left="227" w:right="0" w:hanging="227"/>
        <w:jc w:val="both"/>
        <w:rPr>
          <w:rFonts w:ascii="IPT.Lotus" w:hAnsi="IPT.Lotus" w:cs="B Zar" w:hint="cs"/>
          <w:rtl/>
        </w:rPr>
      </w:pPr>
      <w:r w:rsidRPr="00A31735">
        <w:rPr>
          <w:rStyle w:val="FootnoteReference"/>
          <w:rFonts w:ascii="IPT.Zar" w:hAnsi="IPT.Zar" w:cs="B Zar"/>
          <w:sz w:val="24"/>
          <w:szCs w:val="24"/>
          <w:vertAlign w:val="baseline"/>
        </w:rPr>
        <w:footnoteRef/>
      </w:r>
      <w:r w:rsidRPr="006A4F74">
        <w:rPr>
          <w:rFonts w:ascii="IPT.Lotus" w:hAnsi="IPT.Lotus" w:cs="B Zar" w:hint="cs"/>
          <w:rtl/>
        </w:rPr>
        <w:t>.</w:t>
      </w:r>
      <w:r>
        <w:rPr>
          <w:rFonts w:ascii="IPT.Lotus" w:hAnsi="IPT.Lotus" w:cs="B Zar" w:hint="cs"/>
          <w:rtl/>
        </w:rPr>
        <w:tab/>
      </w:r>
      <w:r w:rsidRPr="006A4F74">
        <w:rPr>
          <w:rFonts w:ascii="IPT.Lotus" w:hAnsi="IPT.Lotus" w:cs="B Zar" w:hint="cs"/>
          <w:rtl/>
        </w:rPr>
        <w:t>همان: 2: 12:2</w:t>
      </w:r>
    </w:p>
  </w:footnote>
  <w:footnote w:id="529">
    <w:p w:rsidR="00C8559C" w:rsidRPr="006A4F74" w:rsidP="00A31735">
      <w:pPr>
        <w:pStyle w:val="FootnoteText"/>
        <w:ind w:left="227" w:right="0" w:hanging="227"/>
        <w:jc w:val="both"/>
        <w:rPr>
          <w:rFonts w:ascii="IPT.Lotus" w:hAnsi="IPT.Lotus" w:hint="cs"/>
          <w:rtl/>
        </w:rPr>
      </w:pPr>
      <w:r w:rsidRPr="00A31735">
        <w:rPr>
          <w:rStyle w:val="FootnoteReference"/>
          <w:rFonts w:ascii="IPT.Zar" w:hAnsi="IPT.Zar" w:cs="B Zar"/>
          <w:sz w:val="24"/>
          <w:szCs w:val="24"/>
          <w:vertAlign w:val="baseline"/>
        </w:rPr>
        <w:footnoteRef/>
      </w:r>
      <w:r w:rsidRPr="006A4F74">
        <w:rPr>
          <w:rFonts w:ascii="IPT.Lotus" w:hAnsi="IPT.Lotus" w:cs="B Zar" w:hint="cs"/>
          <w:rtl/>
        </w:rPr>
        <w:t xml:space="preserve">. </w:t>
      </w:r>
      <w:r>
        <w:rPr>
          <w:rFonts w:ascii="IPT.Lotus" w:hAnsi="IPT.Lotus" w:cs="B Zar" w:hint="cs"/>
          <w:rtl/>
        </w:rPr>
        <w:tab/>
      </w:r>
      <w:r w:rsidRPr="006A4F74">
        <w:rPr>
          <w:rFonts w:ascii="IPT.Lotus" w:hAnsi="IPT.Lotus" w:cs="B Zar" w:hint="cs"/>
          <w:rtl/>
        </w:rPr>
        <w:t>همان: 3: 7:1</w:t>
      </w:r>
    </w:p>
  </w:footnote>
  <w:footnote w:id="530">
    <w:p w:rsidR="00C8559C" w:rsidRPr="007372FF" w:rsidP="00FF7E11">
      <w:pPr>
        <w:pStyle w:val="FootnoteText"/>
        <w:ind w:left="227" w:right="0" w:hanging="227"/>
        <w:jc w:val="both"/>
        <w:rPr>
          <w:rFonts w:cs="B Zar" w:hint="cs"/>
          <w:rtl/>
        </w:rPr>
      </w:pPr>
      <w:r w:rsidRPr="007372FF">
        <w:rPr>
          <w:rStyle w:val="FootnoteReference"/>
          <w:rFonts w:ascii="IPT.Lotus" w:hAnsi="IPT.Lotus" w:cs="B Zar"/>
          <w:vertAlign w:val="baseline"/>
        </w:rPr>
        <w:footnoteRef/>
      </w:r>
      <w:r w:rsidRPr="007372FF">
        <w:rPr>
          <w:rFonts w:ascii="IPT.Lotus" w:hAnsi="IPT.Lotus" w:cs="B Zar"/>
        </w:rPr>
        <w:sym w:font="IPT.Lotus" w:char="F020"/>
      </w:r>
      <w:r w:rsidRPr="007372FF">
        <w:rPr>
          <w:rFonts w:cs="B Zar" w:hint="cs"/>
          <w:rtl/>
        </w:rPr>
        <w:t>. تايتاريا اوپانيشاد: 7: نارايش</w:t>
      </w:r>
    </w:p>
  </w:footnote>
  <w:footnote w:id="531">
    <w:p w:rsidR="00C8559C" w:rsidRPr="007372FF" w:rsidP="00FF7E11">
      <w:pPr>
        <w:pStyle w:val="FootnoteText"/>
        <w:ind w:left="227" w:right="0" w:hanging="227"/>
        <w:jc w:val="both"/>
        <w:rPr>
          <w:rFonts w:cs="B Zar" w:hint="cs"/>
          <w:rtl/>
        </w:rPr>
      </w:pPr>
      <w:r w:rsidRPr="007372FF">
        <w:rPr>
          <w:rStyle w:val="FootnoteReference"/>
          <w:rFonts w:ascii="IPT.Lotus" w:hAnsi="IPT.Lotus" w:cs="B Zar"/>
          <w:vertAlign w:val="baseline"/>
        </w:rPr>
        <w:footnoteRef/>
      </w:r>
      <w:r w:rsidRPr="007372FF">
        <w:rPr>
          <w:rFonts w:ascii="IPT.Lotus" w:hAnsi="IPT.Lotus" w:cs="B Zar"/>
        </w:rPr>
        <w:sym w:font="IPT.Lotus" w:char="F020"/>
      </w:r>
      <w:r w:rsidRPr="007372FF">
        <w:rPr>
          <w:rFonts w:cs="B Zar" w:hint="cs"/>
          <w:rtl/>
        </w:rPr>
        <w:t>. كاتها اوپانيشاد: 14:2</w:t>
      </w:r>
    </w:p>
  </w:footnote>
  <w:footnote w:id="532">
    <w:p w:rsidR="00C8559C" w:rsidRPr="007372FF" w:rsidP="00FF7E11">
      <w:pPr>
        <w:pStyle w:val="FootnoteText"/>
        <w:ind w:left="227" w:right="0" w:hanging="227"/>
        <w:jc w:val="both"/>
        <w:rPr>
          <w:rFonts w:cs="B Zar" w:hint="cs"/>
          <w:rtl/>
        </w:rPr>
      </w:pPr>
      <w:r w:rsidRPr="007372FF">
        <w:rPr>
          <w:rStyle w:val="FootnoteReference"/>
          <w:rFonts w:ascii="IPT.Lotus" w:hAnsi="IPT.Lotus" w:cs="B Zar"/>
          <w:vertAlign w:val="baseline"/>
        </w:rPr>
        <w:footnoteRef/>
      </w:r>
      <w:r w:rsidRPr="007372FF">
        <w:rPr>
          <w:rFonts w:ascii="IPT.Lotus" w:hAnsi="IPT.Lotus" w:cs="B Zar"/>
        </w:rPr>
        <w:sym w:font="IPT.Lotus" w:char="F020"/>
      </w:r>
      <w:r w:rsidRPr="007372FF">
        <w:rPr>
          <w:rFonts w:cs="B Zar" w:hint="cs"/>
          <w:rtl/>
        </w:rPr>
        <w:t>. برهدارانياكا اوپانيشاد: 4: 4: 16-15</w:t>
      </w:r>
    </w:p>
  </w:footnote>
  <w:footnote w:id="533">
    <w:p w:rsidR="00C8559C" w:rsidRPr="006A4F74" w:rsidP="00FF7E11">
      <w:pPr>
        <w:pStyle w:val="FootnoteText"/>
        <w:ind w:left="227" w:right="0" w:hanging="227"/>
        <w:jc w:val="both"/>
        <w:rPr>
          <w:rFonts w:cs="B Zar" w:hint="cs"/>
          <w:rtl/>
        </w:rPr>
      </w:pPr>
      <w:r w:rsidRPr="007372FF">
        <w:rPr>
          <w:rStyle w:val="FootnoteReference"/>
          <w:rFonts w:ascii="IPT.Lotus" w:hAnsi="IPT.Lotus" w:cs="B Zar"/>
          <w:vertAlign w:val="baseline"/>
        </w:rPr>
        <w:footnoteRef/>
      </w:r>
      <w:r w:rsidRPr="007372FF">
        <w:rPr>
          <w:rFonts w:ascii="IPT.Lotus" w:hAnsi="IPT.Lotus" w:cs="B Zar"/>
        </w:rPr>
        <w:sym w:font="IPT.Lotus" w:char="F020"/>
      </w:r>
      <w:r w:rsidRPr="007372FF">
        <w:rPr>
          <w:rFonts w:cs="B Zar" w:hint="cs"/>
          <w:rtl/>
        </w:rPr>
        <w:t>. صدرالمتالهين: شواهد الربويه، مشهد اول، شاهد سوم، شراق دوم»</w:t>
      </w:r>
    </w:p>
  </w:footnote>
  <w:footnote w:id="534">
    <w:p w:rsidR="00C8559C" w:rsidRPr="007372FF" w:rsidP="00FF7E11">
      <w:pPr>
        <w:pStyle w:val="FootnoteText"/>
        <w:ind w:left="227" w:right="0" w:hanging="227"/>
        <w:jc w:val="both"/>
        <w:rPr>
          <w:rFonts w:cs="B Zar" w:hint="cs"/>
          <w:rtl/>
        </w:rPr>
      </w:pPr>
      <w:r>
        <w:rPr>
          <w:rFonts w:cs="B Zar"/>
        </w:rPr>
        <w:t>.</w:t>
      </w:r>
      <w:r w:rsidRPr="00DA266C">
        <w:rPr>
          <w:rStyle w:val="FootnoteReference"/>
          <w:rFonts w:ascii="IPT.Zar" w:hAnsi="IPT.Zar" w:cs="B Zar"/>
          <w:sz w:val="24"/>
          <w:szCs w:val="24"/>
          <w:vertAlign w:val="baseline"/>
        </w:rPr>
        <w:footnoteRef/>
      </w:r>
      <w:r w:rsidRPr="007372FF">
        <w:rPr>
          <w:rFonts w:ascii="IPT.Lotus" w:hAnsi="IPT.Lotus" w:cs="B Zar"/>
        </w:rPr>
        <w:sym w:font="IPT.Lotus" w:char="F020"/>
      </w:r>
      <w:r w:rsidRPr="007372FF">
        <w:rPr>
          <w:rFonts w:cs="B Zar" w:hint="cs"/>
          <w:rtl/>
        </w:rPr>
        <w:t xml:space="preserve"> همان: مشهد اول، شاهد دوم، شراق سوم</w:t>
      </w:r>
    </w:p>
  </w:footnote>
  <w:footnote w:id="535">
    <w:p w:rsidR="00C8559C" w:rsidRPr="007372FF" w:rsidP="00DA266C">
      <w:pPr>
        <w:pStyle w:val="FootnoteText"/>
        <w:ind w:left="227" w:right="0" w:hanging="227"/>
        <w:jc w:val="both"/>
        <w:rPr>
          <w:rFonts w:cs="B Zar" w:hint="cs"/>
          <w:rtl/>
        </w:rPr>
      </w:pPr>
      <w:r w:rsidRPr="00DA266C">
        <w:rPr>
          <w:rStyle w:val="FootnoteReference"/>
          <w:rFonts w:ascii="IPT.Zar" w:hAnsi="IPT.Zar" w:cs="B Zar"/>
          <w:sz w:val="24"/>
          <w:szCs w:val="24"/>
          <w:vertAlign w:val="baseline"/>
        </w:rPr>
        <w:footnoteRef/>
      </w:r>
      <w:r w:rsidRPr="007372FF">
        <w:rPr>
          <w:rFonts w:cs="B Zar" w:hint="cs"/>
          <w:rtl/>
        </w:rPr>
        <w:t xml:space="preserve">. </w:t>
      </w:r>
      <w:r>
        <w:rPr>
          <w:rFonts w:cs="B Zar" w:hint="cs"/>
          <w:rtl/>
        </w:rPr>
        <w:tab/>
      </w:r>
      <w:r w:rsidRPr="007372FF">
        <w:rPr>
          <w:rFonts w:cs="B Zar" w:hint="cs"/>
          <w:rtl/>
        </w:rPr>
        <w:t>مايترايانا اوپانيشاد: 17:6</w:t>
      </w:r>
    </w:p>
  </w:footnote>
  <w:footnote w:id="536">
    <w:p w:rsidR="00C8559C" w:rsidRPr="007372FF" w:rsidP="00DA266C">
      <w:pPr>
        <w:pStyle w:val="FootnoteText"/>
        <w:ind w:left="227" w:right="0" w:hanging="227"/>
        <w:jc w:val="both"/>
        <w:rPr>
          <w:rFonts w:cs="B Zar" w:hint="cs"/>
          <w:rtl/>
        </w:rPr>
      </w:pPr>
      <w:r w:rsidRPr="00DA266C">
        <w:rPr>
          <w:rStyle w:val="FootnoteReference"/>
          <w:rFonts w:ascii="IPT.Zar" w:hAnsi="IPT.Zar" w:cs="B Zar"/>
          <w:sz w:val="24"/>
          <w:szCs w:val="24"/>
          <w:vertAlign w:val="baseline"/>
        </w:rPr>
        <w:footnoteRef/>
      </w:r>
      <w:r w:rsidRPr="007372FF">
        <w:rPr>
          <w:rFonts w:cs="B Zar" w:hint="cs"/>
          <w:rtl/>
        </w:rPr>
        <w:t xml:space="preserve">. </w:t>
      </w:r>
      <w:r>
        <w:rPr>
          <w:rFonts w:cs="B Zar" w:hint="cs"/>
          <w:rtl/>
        </w:rPr>
        <w:tab/>
      </w:r>
      <w:r w:rsidRPr="007372FF">
        <w:rPr>
          <w:rFonts w:cs="B Zar" w:hint="cs"/>
          <w:rtl/>
        </w:rPr>
        <w:t>چاندوگيا اوپانيشاد: 3: 2:14</w:t>
      </w:r>
    </w:p>
  </w:footnote>
  <w:footnote w:id="537">
    <w:p w:rsidR="00C8559C" w:rsidRPr="006A4F74" w:rsidP="00DA266C">
      <w:pPr>
        <w:pStyle w:val="FootnoteText"/>
        <w:ind w:left="227" w:right="0" w:hanging="227"/>
        <w:jc w:val="both"/>
        <w:rPr>
          <w:rFonts w:cs="B Zar" w:hint="cs"/>
          <w:rtl/>
        </w:rPr>
      </w:pPr>
      <w:r w:rsidRPr="00DA266C">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برهدارن يك اوپانيشاد: 4: 22:4</w:t>
      </w:r>
    </w:p>
  </w:footnote>
  <w:footnote w:id="538">
    <w:p w:rsidR="00C8559C" w:rsidRPr="006A4F74" w:rsidP="00DA266C">
      <w:pPr>
        <w:pStyle w:val="FootnoteText"/>
        <w:ind w:left="227" w:right="0" w:hanging="227"/>
        <w:jc w:val="both"/>
        <w:rPr>
          <w:rFonts w:hint="cs"/>
          <w:rtl/>
        </w:rPr>
      </w:pPr>
      <w:r w:rsidRPr="00DA266C">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تايتيرييا  اوپانيشاد: 1:3</w:t>
      </w:r>
    </w:p>
  </w:footnote>
  <w:footnote w:id="539">
    <w:p w:rsidR="00C8559C" w:rsidRPr="006A4F74" w:rsidP="00DA266C">
      <w:pPr>
        <w:pStyle w:val="FootnoteText"/>
        <w:ind w:left="227" w:right="0" w:hanging="227"/>
        <w:jc w:val="both"/>
        <w:rPr>
          <w:rFonts w:cs="B Zar" w:hint="cs"/>
          <w:rtl/>
        </w:rPr>
      </w:pPr>
      <w:r w:rsidRPr="00DA266C">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مونداكا اوپانيشاد: برهمان سوم: كهانداول</w:t>
      </w:r>
    </w:p>
  </w:footnote>
  <w:footnote w:id="540">
    <w:p w:rsidR="00C8559C" w:rsidRPr="006A4F74" w:rsidP="00FF7E11">
      <w:pPr>
        <w:pStyle w:val="FootnoteText"/>
        <w:ind w:left="227" w:right="0" w:hanging="227"/>
        <w:jc w:val="both"/>
        <w:rPr>
          <w:rFonts w:hint="cs"/>
          <w:rtl/>
        </w:rPr>
      </w:pPr>
      <w:r w:rsidRPr="00DC5DDB">
        <w:rPr>
          <w:rStyle w:val="FootnoteReference"/>
          <w:rFonts w:ascii="IPT.Zar" w:hAnsi="IPT.Zar" w:cs="B Zar"/>
          <w:sz w:val="24"/>
          <w:szCs w:val="24"/>
          <w:vertAlign w:val="baseline"/>
        </w:rPr>
        <w:footnoteRef/>
      </w:r>
      <w:r w:rsidRPr="006A4F74">
        <w:rPr>
          <w:rFonts w:ascii="IPT.Lotus" w:hAnsi="IPT.Lotus" w:cs="B Zar"/>
        </w:rPr>
        <w:sym w:font="IPT.Lotus" w:char="F020"/>
      </w:r>
      <w:r w:rsidRPr="006A4F74">
        <w:rPr>
          <w:rFonts w:cs="B Zar" w:hint="cs"/>
          <w:rtl/>
        </w:rPr>
        <w:t>. ملاصدرا: شواهد الربوبيه: مشهد اول، اشراق سوم</w:t>
      </w:r>
    </w:p>
  </w:footnote>
  <w:footnote w:id="541">
    <w:p w:rsidR="00C8559C" w:rsidRPr="006A4F74" w:rsidP="00DC5DDB">
      <w:pPr>
        <w:pStyle w:val="FootnoteText"/>
        <w:ind w:left="227" w:right="0" w:hanging="227"/>
        <w:jc w:val="both"/>
        <w:rPr>
          <w:rFonts w:cs="B Zar" w:hint="cs"/>
          <w:rtl/>
        </w:rPr>
      </w:pPr>
      <w:r w:rsidRPr="00DC5DDB">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كاوسيتاكي اوپانيشاد: 1: 6:1</w:t>
      </w:r>
    </w:p>
  </w:footnote>
  <w:footnote w:id="542">
    <w:p w:rsidR="00C8559C" w:rsidRPr="006A4F74" w:rsidP="00DC5DDB">
      <w:pPr>
        <w:pStyle w:val="FootnoteText"/>
        <w:ind w:left="227" w:right="0" w:hanging="227"/>
        <w:jc w:val="both"/>
        <w:rPr>
          <w:rFonts w:cs="B Zar" w:hint="cs"/>
          <w:rtl/>
        </w:rPr>
      </w:pPr>
      <w:r w:rsidRPr="00DC5DDB">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تايتيرييا اوپانيشاد: 6:3</w:t>
      </w:r>
    </w:p>
  </w:footnote>
  <w:footnote w:id="543">
    <w:p w:rsidR="00C8559C" w:rsidRPr="006A4F74" w:rsidP="00DC5DDB">
      <w:pPr>
        <w:pStyle w:val="FootnoteText"/>
        <w:ind w:left="227" w:right="0" w:hanging="227"/>
        <w:jc w:val="both"/>
        <w:rPr>
          <w:rFonts w:cs="B Zar"/>
          <w:rtl/>
        </w:rPr>
      </w:pPr>
      <w:r w:rsidRPr="00DC5DDB">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 xml:space="preserve">رجوع شود: دوم بكر: عرفان مسيحي ص 59 </w:t>
      </w:r>
      <w:r w:rsidRPr="006A4F74">
        <w:rPr>
          <w:rFonts w:cs="B Zar"/>
        </w:rPr>
        <w:t>(Dom c Butler: Western) Mysticiim</w:t>
      </w:r>
    </w:p>
  </w:footnote>
  <w:footnote w:id="544">
    <w:p w:rsidR="00C8559C" w:rsidRPr="006A4F74" w:rsidP="00DC5DDB">
      <w:pPr>
        <w:pStyle w:val="FootnoteText"/>
        <w:ind w:left="227" w:right="0" w:hanging="227"/>
        <w:jc w:val="both"/>
        <w:rPr>
          <w:rFonts w:cs="B Zar" w:hint="cs"/>
          <w:rtl/>
        </w:rPr>
      </w:pPr>
      <w:r w:rsidRPr="00DC5DDB">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ابن سينا: اشارات و تشبيهات: الخط الثامن: الفصل السادس عشر</w:t>
      </w:r>
    </w:p>
  </w:footnote>
  <w:footnote w:id="545">
    <w:p w:rsidR="00C8559C" w:rsidRPr="006A4F74" w:rsidP="00DC5DDB">
      <w:pPr>
        <w:pStyle w:val="FootnoteText"/>
        <w:ind w:left="227" w:right="0" w:hanging="227"/>
        <w:jc w:val="both"/>
        <w:rPr>
          <w:rFonts w:hint="cs"/>
          <w:rtl/>
        </w:rPr>
      </w:pPr>
      <w:r w:rsidRPr="00DC5DDB">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تايتيرييا اوپانيشاد:  2: 6-5</w:t>
      </w:r>
    </w:p>
  </w:footnote>
  <w:footnote w:id="546">
    <w:p w:rsidR="00C8559C" w:rsidRPr="006A4F74" w:rsidP="00DC5DDB">
      <w:pPr>
        <w:pStyle w:val="FootnoteText"/>
        <w:ind w:left="227" w:right="0" w:hanging="227"/>
        <w:jc w:val="both"/>
        <w:rPr>
          <w:rFonts w:cs="B Zar" w:hint="cs"/>
          <w:rtl/>
        </w:rPr>
      </w:pPr>
      <w:r w:rsidRPr="00DC5DDB">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چاندوگيا اوپانيشاد: 10:4</w:t>
      </w:r>
    </w:p>
  </w:footnote>
  <w:footnote w:id="547">
    <w:p w:rsidR="00C8559C" w:rsidRPr="006A4F74" w:rsidP="00DC5DDB">
      <w:pPr>
        <w:pStyle w:val="FootnoteText"/>
        <w:ind w:left="227" w:right="0" w:hanging="227"/>
        <w:jc w:val="both"/>
        <w:rPr>
          <w:rFonts w:hint="cs"/>
          <w:rtl/>
        </w:rPr>
      </w:pPr>
      <w:r w:rsidRPr="00DC5DDB">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برهدارانياكا اوپانيشاد: 3:4</w:t>
      </w:r>
    </w:p>
  </w:footnote>
  <w:footnote w:id="548">
    <w:p w:rsidR="00C8559C" w:rsidRPr="00233ED2" w:rsidP="00F72269">
      <w:pPr>
        <w:pStyle w:val="FootnoteText"/>
        <w:ind w:left="0" w:right="0"/>
        <w:jc w:val="right"/>
        <w:rPr>
          <w:rFonts w:hint="cs"/>
          <w:sz w:val="18"/>
          <w:szCs w:val="18"/>
          <w:rtl/>
        </w:rPr>
      </w:pPr>
      <w:r w:rsidRPr="00233ED2">
        <w:rPr>
          <w:rStyle w:val="FootnoteReference"/>
          <w:sz w:val="18"/>
          <w:szCs w:val="18"/>
          <w:vertAlign w:val="baseline"/>
        </w:rPr>
        <w:footnoteRef/>
      </w:r>
      <w:r w:rsidRPr="00233ED2">
        <w:rPr>
          <w:sz w:val="18"/>
          <w:szCs w:val="18"/>
        </w:rPr>
        <w:t xml:space="preserve">  Radhakshnan, Dr S:  The Indian Philosophy, v1, p 166</w:t>
      </w:r>
    </w:p>
  </w:footnote>
  <w:footnote w:id="549">
    <w:p w:rsidR="00C8559C" w:rsidRPr="006A4F74" w:rsidP="00FF7E11">
      <w:pPr>
        <w:pStyle w:val="FootnoteText"/>
        <w:ind w:left="227" w:right="0" w:hanging="227"/>
        <w:jc w:val="both"/>
        <w:rPr>
          <w:rFonts w:cs="B Zar" w:hint="cs"/>
          <w:rtl/>
        </w:rPr>
      </w:pPr>
      <w:r>
        <w:rPr>
          <w:rFonts w:cs="B Zar"/>
        </w:rPr>
        <w:t>.</w:t>
      </w:r>
      <w:r w:rsidRPr="002C4386">
        <w:rPr>
          <w:rStyle w:val="FootnoteReference"/>
          <w:rFonts w:ascii="IPT.Zar" w:hAnsi="IPT.Zar" w:cs="B Zar"/>
          <w:sz w:val="24"/>
          <w:szCs w:val="24"/>
          <w:vertAlign w:val="baseline"/>
        </w:rPr>
        <w:footnoteRef/>
      </w:r>
      <w:r w:rsidRPr="006A4F74">
        <w:rPr>
          <w:rFonts w:ascii="IPT.Lotus" w:hAnsi="IPT.Lotus" w:cs="B Zar"/>
        </w:rPr>
        <w:sym w:font="IPT.Lotus" w:char="F020"/>
      </w:r>
      <w:r w:rsidRPr="006A4F74">
        <w:rPr>
          <w:rFonts w:cs="B Zar" w:hint="cs"/>
          <w:rtl/>
        </w:rPr>
        <w:t xml:space="preserve"> برهدارانياكا اوپانيشاد: 2: 7:4</w:t>
      </w:r>
    </w:p>
  </w:footnote>
  <w:footnote w:id="550">
    <w:p w:rsidR="00C8559C" w:rsidRPr="006A4F74" w:rsidP="002C4386">
      <w:pPr>
        <w:pStyle w:val="FootnoteText"/>
        <w:ind w:left="227" w:right="0" w:hanging="227"/>
        <w:jc w:val="both"/>
        <w:rPr>
          <w:rFonts w:hint="cs"/>
          <w:rtl/>
        </w:rPr>
      </w:pPr>
      <w:r w:rsidRPr="002C4386">
        <w:rPr>
          <w:rStyle w:val="FootnoteReference"/>
          <w:rFonts w:ascii="IPT.Zar" w:hAnsi="IPT.Zar" w:cs="B Zar"/>
          <w:sz w:val="24"/>
          <w:szCs w:val="24"/>
          <w:vertAlign w:val="baseline"/>
        </w:rPr>
        <w:footnoteRef/>
      </w:r>
      <w:r w:rsidRPr="006A4F74">
        <w:rPr>
          <w:rFonts w:cs="B Zar" w:hint="cs"/>
          <w:rtl/>
        </w:rPr>
        <w:t>.</w:t>
      </w:r>
      <w:r>
        <w:rPr>
          <w:rFonts w:cs="B Zar" w:hint="cs"/>
          <w:rtl/>
        </w:rPr>
        <w:tab/>
      </w:r>
      <w:r w:rsidRPr="006A4F74">
        <w:rPr>
          <w:rFonts w:cs="B Zar" w:hint="cs"/>
          <w:rtl/>
        </w:rPr>
        <w:t>همان: 2: 8:2 - 9</w:t>
      </w:r>
    </w:p>
  </w:footnote>
  <w:footnote w:id="551">
    <w:p w:rsidR="00C8559C" w:rsidRPr="006A4F74" w:rsidP="002C4386">
      <w:pPr>
        <w:pStyle w:val="FootnoteText"/>
        <w:ind w:left="227" w:right="0" w:hanging="227"/>
        <w:jc w:val="both"/>
        <w:rPr>
          <w:rFonts w:cs="B Zar" w:hint="cs"/>
          <w:rtl/>
        </w:rPr>
      </w:pPr>
      <w:r w:rsidRPr="002C4386">
        <w:rPr>
          <w:rStyle w:val="FootnoteReference"/>
          <w:rFonts w:ascii="IPT.Zar" w:hAnsi="IPT.Zar" w:cs="B Zar"/>
          <w:sz w:val="24"/>
          <w:szCs w:val="24"/>
          <w:vertAlign w:val="baseline"/>
        </w:rPr>
        <w:footnoteRef/>
      </w:r>
      <w:r w:rsidRPr="006A4F74">
        <w:rPr>
          <w:rFonts w:cs="B Zar" w:hint="cs"/>
          <w:rtl/>
        </w:rPr>
        <w:t>.</w:t>
      </w:r>
      <w:r>
        <w:rPr>
          <w:rFonts w:cs="B Zar" w:hint="cs"/>
          <w:rtl/>
        </w:rPr>
        <w:tab/>
      </w:r>
      <w:r w:rsidRPr="006A4F74">
        <w:rPr>
          <w:rFonts w:cs="B Zar" w:hint="cs"/>
          <w:rtl/>
        </w:rPr>
        <w:t>همان: 2: 10:4</w:t>
      </w:r>
    </w:p>
  </w:footnote>
  <w:footnote w:id="552">
    <w:p w:rsidR="00C8559C" w:rsidRPr="006A4F74" w:rsidP="002C4386">
      <w:pPr>
        <w:pStyle w:val="FootnoteText"/>
        <w:ind w:left="227" w:right="0" w:hanging="227"/>
        <w:jc w:val="both"/>
        <w:rPr>
          <w:rFonts w:hint="cs"/>
          <w:rtl/>
        </w:rPr>
      </w:pPr>
      <w:r w:rsidRPr="002C4386">
        <w:rPr>
          <w:rStyle w:val="FootnoteReference"/>
          <w:rFonts w:ascii="IPT.Zar" w:hAnsi="IPT.Zar" w:cs="B Zar"/>
          <w:sz w:val="24"/>
          <w:szCs w:val="24"/>
          <w:vertAlign w:val="baseline"/>
        </w:rPr>
        <w:footnoteRef/>
      </w:r>
      <w:r w:rsidRPr="006A4F74">
        <w:rPr>
          <w:rFonts w:cs="B Zar" w:hint="cs"/>
          <w:rtl/>
        </w:rPr>
        <w:t>.</w:t>
      </w:r>
      <w:r>
        <w:rPr>
          <w:rFonts w:cs="B Zar" w:hint="cs"/>
          <w:rtl/>
        </w:rPr>
        <w:tab/>
      </w:r>
      <w:r w:rsidRPr="006A4F74">
        <w:rPr>
          <w:rFonts w:cs="B Zar" w:hint="cs"/>
          <w:rtl/>
        </w:rPr>
        <w:t>برهدارانياكا اوپانيشاد: 2: 4: 12</w:t>
      </w:r>
    </w:p>
  </w:footnote>
  <w:footnote w:id="553">
    <w:p w:rsidR="00C8559C" w:rsidRPr="006A4F74" w:rsidP="002C4386">
      <w:pPr>
        <w:pStyle w:val="FootnoteText"/>
        <w:ind w:left="0" w:right="0"/>
        <w:jc w:val="both"/>
        <w:rPr>
          <w:rFonts w:cs="B Zar" w:hint="cs"/>
          <w:rtl/>
        </w:rPr>
      </w:pPr>
      <w:r w:rsidRPr="002C4386">
        <w:rPr>
          <w:rStyle w:val="FootnoteReference"/>
          <w:rFonts w:ascii="IPT.Zar" w:hAnsi="IPT.Zar" w:cs="B Zar"/>
          <w:sz w:val="24"/>
          <w:szCs w:val="24"/>
          <w:vertAlign w:val="baseline"/>
        </w:rPr>
        <w:footnoteRef/>
      </w:r>
      <w:r>
        <w:rPr>
          <w:rFonts w:cs="B Zar" w:hint="cs"/>
          <w:rtl/>
        </w:rPr>
        <w:t xml:space="preserve">  </w:t>
      </w:r>
      <w:r w:rsidRPr="006A4F74">
        <w:rPr>
          <w:rFonts w:cs="B Zar" w:hint="cs"/>
          <w:rtl/>
        </w:rPr>
        <w:t xml:space="preserve"> مونداكا اوپانيشاد: 1: 7:1</w:t>
      </w:r>
    </w:p>
  </w:footnote>
  <w:footnote w:id="554">
    <w:p w:rsidR="00C8559C" w:rsidRPr="00233ED2" w:rsidP="0016468D">
      <w:pPr>
        <w:pStyle w:val="FootnoteText"/>
        <w:spacing w:line="240" w:lineRule="auto"/>
        <w:ind w:left="227" w:right="0" w:hanging="227"/>
        <w:jc w:val="both"/>
        <w:rPr>
          <w:rFonts w:cs="B Zar" w:hint="cs"/>
          <w:rtl/>
        </w:rPr>
      </w:pPr>
      <w:r w:rsidRPr="0016468D">
        <w:rPr>
          <w:rStyle w:val="FootnoteReference"/>
          <w:rFonts w:ascii="IPT.Zar" w:hAnsi="IPT.Zar" w:cs="B Zar"/>
          <w:sz w:val="24"/>
          <w:szCs w:val="24"/>
          <w:vertAlign w:val="baseline"/>
        </w:rPr>
        <w:footnoteRef/>
      </w:r>
      <w:r w:rsidRPr="00233ED2">
        <w:rPr>
          <w:rFonts w:cs="B Zar" w:hint="cs"/>
          <w:rtl/>
        </w:rPr>
        <w:t>.</w:t>
      </w:r>
      <w:r>
        <w:rPr>
          <w:rFonts w:cs="B Zar" w:hint="cs"/>
          <w:rtl/>
        </w:rPr>
        <w:tab/>
      </w:r>
      <w:r w:rsidRPr="00233ED2">
        <w:rPr>
          <w:rFonts w:cs="B Zar" w:hint="cs"/>
          <w:rtl/>
        </w:rPr>
        <w:t>همان: 2: 1 :9</w:t>
      </w:r>
    </w:p>
  </w:footnote>
  <w:footnote w:id="555">
    <w:p w:rsidR="00C8559C" w:rsidRPr="00233ED2" w:rsidP="0016468D">
      <w:pPr>
        <w:pStyle w:val="FootnoteText"/>
        <w:spacing w:line="240" w:lineRule="auto"/>
        <w:ind w:left="227" w:right="0" w:hanging="227"/>
        <w:jc w:val="both"/>
        <w:rPr>
          <w:rFonts w:cs="B Zar" w:hint="cs"/>
          <w:rtl/>
        </w:rPr>
      </w:pPr>
      <w:r w:rsidRPr="0016468D">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همان:  2: 1، 2، 5</w:t>
      </w:r>
    </w:p>
  </w:footnote>
  <w:footnote w:id="556">
    <w:p w:rsidR="00C8559C" w:rsidRPr="00233ED2" w:rsidP="0016468D">
      <w:pPr>
        <w:pStyle w:val="FootnoteText"/>
        <w:spacing w:line="240" w:lineRule="auto"/>
        <w:ind w:left="227" w:right="0" w:hanging="227"/>
        <w:jc w:val="both"/>
        <w:rPr>
          <w:rFonts w:cs="B Zar" w:hint="cs"/>
          <w:rtl/>
        </w:rPr>
      </w:pPr>
      <w:r w:rsidRPr="0016468D">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همان: 2: 5:2</w:t>
      </w:r>
    </w:p>
  </w:footnote>
  <w:footnote w:id="557">
    <w:p w:rsidR="00C8559C" w:rsidRPr="00233ED2" w:rsidP="00F72269">
      <w:pPr>
        <w:pStyle w:val="FootnoteText"/>
        <w:ind w:left="0" w:right="0"/>
        <w:jc w:val="right"/>
        <w:rPr>
          <w:sz w:val="18"/>
          <w:szCs w:val="18"/>
        </w:rPr>
      </w:pPr>
      <w:r w:rsidRPr="00233ED2">
        <w:rPr>
          <w:rStyle w:val="FootnoteReference"/>
          <w:sz w:val="18"/>
          <w:szCs w:val="18"/>
          <w:vertAlign w:val="baseline"/>
        </w:rPr>
        <w:footnoteRef/>
      </w:r>
      <w:r w:rsidRPr="00233ED2">
        <w:rPr>
          <w:sz w:val="18"/>
          <w:szCs w:val="18"/>
        </w:rPr>
        <w:t xml:space="preserve">  Radhakshnan, Dr S:  The Indian Philosophy, v1, p 187</w:t>
      </w:r>
    </w:p>
  </w:footnote>
  <w:footnote w:id="558">
    <w:p w:rsidR="00C8559C" w:rsidRPr="006A4F74" w:rsidP="00514B17">
      <w:pPr>
        <w:pStyle w:val="FootnoteText"/>
        <w:ind w:left="227" w:right="0" w:hanging="227"/>
        <w:jc w:val="both"/>
        <w:rPr>
          <w:rFonts w:cs="B Zar" w:hint="cs"/>
          <w:rtl/>
        </w:rPr>
      </w:pPr>
      <w:r w:rsidRPr="00514B17">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كاتها اوپانيشاد: 3: 2: 8-7</w:t>
      </w:r>
    </w:p>
  </w:footnote>
  <w:footnote w:id="559">
    <w:p w:rsidR="00C8559C" w:rsidRPr="00233ED2" w:rsidP="00514B17">
      <w:pPr>
        <w:pStyle w:val="FootnoteText"/>
        <w:ind w:left="227" w:right="0" w:hanging="227"/>
        <w:jc w:val="both"/>
        <w:rPr>
          <w:rFonts w:cs="B Zar"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همان: 3: 2: 8-7</w:t>
      </w:r>
    </w:p>
  </w:footnote>
  <w:footnote w:id="560">
    <w:p w:rsidR="00C8559C" w:rsidRPr="00233ED2" w:rsidP="00514B17">
      <w:pPr>
        <w:pStyle w:val="FootnoteText"/>
        <w:ind w:left="227" w:right="0" w:hanging="227"/>
        <w:jc w:val="both"/>
        <w:rPr>
          <w:rFonts w:cs="B Zar"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ريگ ودا: 10: 2:129</w:t>
      </w:r>
    </w:p>
  </w:footnote>
  <w:footnote w:id="561">
    <w:p w:rsidR="00C8559C" w:rsidRPr="00233ED2" w:rsidP="00514B17">
      <w:pPr>
        <w:pStyle w:val="FootnoteText"/>
        <w:ind w:left="227" w:right="0" w:hanging="227"/>
        <w:jc w:val="both"/>
        <w:rPr>
          <w:rFonts w:cs="B Zar"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همان: 10: 1:121</w:t>
      </w:r>
    </w:p>
  </w:footnote>
  <w:footnote w:id="562">
    <w:p w:rsidR="00C8559C" w:rsidRPr="006A4F74">
      <w:pPr>
        <w:pStyle w:val="FootnoteText"/>
        <w:ind w:left="0" w:right="0"/>
        <w:jc w:val="both"/>
        <w:rPr>
          <w:rFonts w:hint="cs"/>
          <w:rtl/>
        </w:rPr>
      </w:pPr>
      <w:r w:rsidRPr="00514B17">
        <w:rPr>
          <w:rStyle w:val="FootnoteReference"/>
          <w:rFonts w:ascii="IPT.Zar" w:hAnsi="IPT.Zar" w:cs="B Zar"/>
          <w:sz w:val="24"/>
          <w:szCs w:val="24"/>
          <w:vertAlign w:val="baseline"/>
        </w:rPr>
        <w:footnoteRef/>
      </w:r>
      <w:r w:rsidRPr="00233ED2">
        <w:rPr>
          <w:rFonts w:ascii="IPT.Lotus" w:hAnsi="IPT.Lotus" w:cs="B Zar"/>
        </w:rPr>
        <w:sym w:font="IPT.Lotus" w:char="F020"/>
      </w:r>
      <w:r w:rsidRPr="00233ED2">
        <w:rPr>
          <w:rFonts w:cs="B Zar" w:hint="cs"/>
          <w:rtl/>
        </w:rPr>
        <w:t xml:space="preserve">. </w:t>
      </w:r>
      <w:r>
        <w:rPr>
          <w:rFonts w:cs="B Zar" w:hint="cs"/>
          <w:rtl/>
        </w:rPr>
        <w:t xml:space="preserve">  </w:t>
      </w:r>
      <w:r w:rsidRPr="00233ED2">
        <w:rPr>
          <w:rFonts w:cs="B Zar" w:hint="cs"/>
          <w:rtl/>
        </w:rPr>
        <w:t>پرسنا اوپانيشاد: 1-8</w:t>
      </w:r>
    </w:p>
  </w:footnote>
  <w:footnote w:id="563">
    <w:p w:rsidR="00C8559C" w:rsidRPr="00233ED2" w:rsidP="00514B17">
      <w:pPr>
        <w:pStyle w:val="FootnoteText"/>
        <w:ind w:left="227" w:right="0" w:hanging="227"/>
        <w:jc w:val="both"/>
        <w:rPr>
          <w:rFonts w:cs="B Zar"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مانداكا اوپانيشاد: 1: 9:1</w:t>
      </w:r>
    </w:p>
  </w:footnote>
  <w:footnote w:id="564">
    <w:p w:rsidR="00C8559C" w:rsidRPr="00233ED2" w:rsidP="00514B17">
      <w:pPr>
        <w:pStyle w:val="FootnoteText"/>
        <w:ind w:left="227" w:right="0" w:hanging="227"/>
        <w:jc w:val="both"/>
        <w:rPr>
          <w:rFonts w:cs="B Zar" w:hint="cs"/>
          <w:rtl/>
        </w:rPr>
      </w:pPr>
      <w:r w:rsidRPr="00514B17">
        <w:rPr>
          <w:rStyle w:val="FootnoteReference"/>
          <w:rFonts w:ascii="IPT.Zar" w:hAnsi="IPT.Zar" w:cs="B Zar"/>
          <w:sz w:val="24"/>
          <w:szCs w:val="24"/>
          <w:vertAlign w:val="baseline"/>
        </w:rPr>
        <w:footnoteRef/>
      </w:r>
      <w:r w:rsidRPr="00233ED2">
        <w:rPr>
          <w:rFonts w:cs="B Zar" w:hint="cs"/>
          <w:rtl/>
        </w:rPr>
        <w:t>.</w:t>
      </w:r>
      <w:r>
        <w:rPr>
          <w:rFonts w:cs="B Zar" w:hint="cs"/>
          <w:rtl/>
        </w:rPr>
        <w:tab/>
      </w:r>
      <w:r w:rsidRPr="00233ED2">
        <w:rPr>
          <w:rFonts w:cs="B Zar" w:hint="cs"/>
          <w:rtl/>
        </w:rPr>
        <w:t xml:space="preserve"> همان: 2: 2:1</w:t>
      </w:r>
    </w:p>
  </w:footnote>
  <w:footnote w:id="565">
    <w:p w:rsidR="00C8559C" w:rsidRPr="006A4F74" w:rsidP="00514B17">
      <w:pPr>
        <w:pStyle w:val="FootnoteText"/>
        <w:ind w:left="227" w:right="0" w:hanging="227"/>
        <w:jc w:val="both"/>
        <w:rPr>
          <w:rFonts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كاتها اوپانيشاد: 2: 1: 7-6</w:t>
      </w:r>
      <w:r w:rsidRPr="006A4F74">
        <w:rPr>
          <w:rFonts w:hint="cs"/>
          <w:rtl/>
        </w:rPr>
        <w:t xml:space="preserve"> </w:t>
      </w:r>
    </w:p>
  </w:footnote>
  <w:footnote w:id="566">
    <w:p w:rsidR="00C8559C" w:rsidRPr="00233ED2" w:rsidP="00F72269">
      <w:pPr>
        <w:pStyle w:val="FootnoteText"/>
        <w:ind w:left="0" w:right="0"/>
        <w:jc w:val="right"/>
        <w:rPr>
          <w:sz w:val="18"/>
          <w:szCs w:val="18"/>
        </w:rPr>
      </w:pPr>
      <w:r w:rsidRPr="00233ED2">
        <w:rPr>
          <w:rStyle w:val="FootnoteReference"/>
          <w:sz w:val="18"/>
          <w:szCs w:val="18"/>
          <w:vertAlign w:val="baseline"/>
        </w:rPr>
        <w:footnoteRef/>
      </w:r>
      <w:r w:rsidRPr="00233ED2">
        <w:rPr>
          <w:sz w:val="18"/>
          <w:szCs w:val="18"/>
        </w:rPr>
        <w:t xml:space="preserve">  Radhakshnan, Dr</w:t>
      </w:r>
      <w:r>
        <w:rPr>
          <w:sz w:val="18"/>
          <w:szCs w:val="18"/>
        </w:rPr>
        <w:t>.</w:t>
      </w:r>
      <w:r w:rsidRPr="00233ED2">
        <w:rPr>
          <w:sz w:val="18"/>
          <w:szCs w:val="18"/>
        </w:rPr>
        <w:t xml:space="preserve"> S:  The Indian Philosophy, v1, p 120</w:t>
      </w:r>
    </w:p>
  </w:footnote>
  <w:footnote w:id="567">
    <w:p w:rsidR="00C8559C" w:rsidRPr="00233ED2" w:rsidP="00514B17">
      <w:pPr>
        <w:pStyle w:val="FootnoteText"/>
        <w:ind w:left="227" w:right="0" w:hanging="227"/>
        <w:jc w:val="both"/>
        <w:rPr>
          <w:rFonts w:cs="B Zar" w:hint="cs"/>
          <w:rtl/>
        </w:rPr>
      </w:pPr>
      <w:r w:rsidRPr="00514B17">
        <w:rPr>
          <w:rStyle w:val="FootnoteReference"/>
          <w:rFonts w:ascii="IPT.Zar" w:hAnsi="IPT.Zar" w:cs="B Zar"/>
          <w:sz w:val="24"/>
          <w:szCs w:val="24"/>
          <w:vertAlign w:val="baseline"/>
        </w:rPr>
        <w:footnoteRef/>
      </w:r>
      <w:r w:rsidRPr="00233ED2">
        <w:rPr>
          <w:rFonts w:cs="B Zar" w:hint="cs"/>
          <w:rtl/>
        </w:rPr>
        <w:t>.</w:t>
      </w:r>
      <w:r>
        <w:rPr>
          <w:rFonts w:cs="B Zar" w:hint="cs"/>
          <w:rtl/>
        </w:rPr>
        <w:tab/>
      </w:r>
      <w:r w:rsidRPr="00233ED2">
        <w:rPr>
          <w:rFonts w:cs="B Zar" w:hint="cs"/>
          <w:rtl/>
        </w:rPr>
        <w:t>برهدارانياكا اوپانيشاد: 2: 1: 20</w:t>
      </w:r>
    </w:p>
  </w:footnote>
  <w:footnote w:id="568">
    <w:p w:rsidR="00C8559C" w:rsidRPr="006A4F74" w:rsidP="00514B17">
      <w:pPr>
        <w:pStyle w:val="FootnoteText"/>
        <w:ind w:left="227" w:right="0" w:hanging="227"/>
        <w:jc w:val="both"/>
        <w:rPr>
          <w:rFonts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همان: 7:4</w:t>
      </w:r>
    </w:p>
  </w:footnote>
  <w:footnote w:id="569">
    <w:p w:rsidR="00C8559C" w:rsidRPr="00233ED2" w:rsidP="00514B17">
      <w:pPr>
        <w:pStyle w:val="FootnoteText"/>
        <w:ind w:left="227" w:right="0" w:hanging="227"/>
        <w:jc w:val="both"/>
        <w:rPr>
          <w:rFonts w:cs="B Zar"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ريگ ودا: 10: 9: 10:1</w:t>
      </w:r>
    </w:p>
  </w:footnote>
  <w:footnote w:id="570">
    <w:p w:rsidR="00C8559C" w:rsidRPr="006A4F74" w:rsidP="00514B17">
      <w:pPr>
        <w:pStyle w:val="FootnoteText"/>
        <w:ind w:left="227" w:right="0" w:hanging="227"/>
        <w:jc w:val="both"/>
        <w:rPr>
          <w:rFonts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كاتها اوپانيشاد: 1:2: 10-12</w:t>
      </w:r>
    </w:p>
  </w:footnote>
  <w:footnote w:id="571">
    <w:p w:rsidR="00C8559C" w:rsidRPr="00233ED2" w:rsidP="00514B17">
      <w:pPr>
        <w:pStyle w:val="FootnoteText"/>
        <w:ind w:left="227" w:right="0" w:hanging="227"/>
        <w:jc w:val="both"/>
        <w:rPr>
          <w:rFonts w:cs="B Zar"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سويتاسواتارا اوپانيشاد: 4: 7-8</w:t>
      </w:r>
    </w:p>
  </w:footnote>
  <w:footnote w:id="572">
    <w:p w:rsidR="00C8559C" w:rsidRPr="00233ED2" w:rsidP="00514B17">
      <w:pPr>
        <w:pStyle w:val="FootnoteText"/>
        <w:ind w:left="227" w:right="0" w:hanging="227"/>
        <w:jc w:val="both"/>
        <w:rPr>
          <w:rFonts w:cs="B Zar"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ايتاريا آرن ياكا: 1:1</w:t>
      </w:r>
    </w:p>
  </w:footnote>
  <w:footnote w:id="573">
    <w:p w:rsidR="00C8559C" w:rsidRPr="00233ED2" w:rsidP="00514B17">
      <w:pPr>
        <w:pStyle w:val="FootnoteText"/>
        <w:ind w:left="227" w:right="0" w:hanging="227"/>
        <w:jc w:val="both"/>
        <w:rPr>
          <w:rFonts w:cs="B Zar"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مهانارايانا اوپانيشاد: 20:10</w:t>
      </w:r>
    </w:p>
  </w:footnote>
  <w:footnote w:id="574">
    <w:p w:rsidR="00C8559C" w:rsidRPr="006A4F74" w:rsidP="00514B17">
      <w:pPr>
        <w:pStyle w:val="FootnoteText"/>
        <w:ind w:left="227" w:right="0" w:hanging="227"/>
        <w:jc w:val="both"/>
        <w:rPr>
          <w:rFonts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كاتها اوپانيشاد: 2: 6: 7، 2: 6: 8</w:t>
      </w:r>
    </w:p>
  </w:footnote>
  <w:footnote w:id="575">
    <w:p w:rsidR="00C8559C" w:rsidRPr="00233ED2" w:rsidP="00514B17">
      <w:pPr>
        <w:pStyle w:val="FootnoteText"/>
        <w:ind w:left="227" w:right="0" w:hanging="227"/>
        <w:jc w:val="both"/>
        <w:rPr>
          <w:rFonts w:cs="B Zar"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چاندوگيا اوپانيشاد: 2: 2:1</w:t>
      </w:r>
    </w:p>
  </w:footnote>
  <w:footnote w:id="576">
    <w:p w:rsidR="00C8559C" w:rsidRPr="00233ED2" w:rsidP="00514B17">
      <w:pPr>
        <w:pStyle w:val="FootnoteText"/>
        <w:ind w:left="227" w:right="0" w:hanging="227"/>
        <w:jc w:val="both"/>
        <w:rPr>
          <w:rFonts w:cs="B Zar" w:hint="cs"/>
          <w:rtl/>
        </w:rPr>
      </w:pPr>
      <w:r w:rsidRPr="00514B17">
        <w:rPr>
          <w:rStyle w:val="FootnoteReference"/>
          <w:rFonts w:ascii="IPT.Zar" w:hAnsi="IPT.Zar" w:cs="B Zar"/>
          <w:sz w:val="24"/>
          <w:szCs w:val="24"/>
          <w:vertAlign w:val="baseline"/>
        </w:rPr>
        <w:footnoteRef/>
      </w:r>
      <w:r w:rsidRPr="00233ED2">
        <w:rPr>
          <w:rFonts w:cs="B Zar" w:hint="cs"/>
          <w:rtl/>
        </w:rPr>
        <w:t xml:space="preserve">. </w:t>
      </w:r>
      <w:r>
        <w:rPr>
          <w:rFonts w:cs="B Zar" w:hint="cs"/>
          <w:rtl/>
        </w:rPr>
        <w:tab/>
      </w:r>
      <w:r w:rsidRPr="00233ED2">
        <w:rPr>
          <w:rFonts w:cs="B Zar" w:hint="cs"/>
          <w:rtl/>
        </w:rPr>
        <w:t>همان: 4: 7:3</w:t>
      </w:r>
    </w:p>
  </w:footnote>
  <w:footnote w:id="577">
    <w:p w:rsidR="00C8559C" w:rsidRPr="006A4F74" w:rsidP="00514B17">
      <w:pPr>
        <w:pStyle w:val="FootnoteText"/>
        <w:ind w:left="227" w:right="0" w:hanging="227"/>
        <w:jc w:val="both"/>
        <w:rPr>
          <w:rFonts w:hint="cs"/>
          <w:rtl/>
        </w:rPr>
      </w:pPr>
      <w:r w:rsidRPr="00514B17">
        <w:rPr>
          <w:rStyle w:val="FootnoteReference"/>
          <w:rFonts w:ascii="IPT.Zar" w:hAnsi="IPT.Zar" w:cs="B Zar"/>
          <w:sz w:val="24"/>
          <w:szCs w:val="24"/>
          <w:vertAlign w:val="baseline"/>
        </w:rPr>
        <w:footnoteRef/>
      </w:r>
      <w:r>
        <w:rPr>
          <w:rFonts w:cs="B Zar" w:hint="cs"/>
          <w:rtl/>
        </w:rPr>
        <w:t>.</w:t>
      </w:r>
      <w:r w:rsidRPr="00233ED2">
        <w:rPr>
          <w:rFonts w:cs="B Zar" w:hint="cs"/>
          <w:rtl/>
        </w:rPr>
        <w:t xml:space="preserve"> </w:t>
      </w:r>
      <w:r>
        <w:rPr>
          <w:rFonts w:cs="B Zar" w:hint="cs"/>
          <w:rtl/>
        </w:rPr>
        <w:tab/>
      </w:r>
      <w:r w:rsidRPr="00233ED2">
        <w:rPr>
          <w:rFonts w:cs="B Zar" w:hint="cs"/>
          <w:rtl/>
        </w:rPr>
        <w:t>برهدارانياكا اوپانيشاد: 4: 3:2</w:t>
      </w:r>
    </w:p>
  </w:footnote>
  <w:footnote w:id="578">
    <w:p w:rsidR="00C8559C" w:rsidRPr="00233ED2" w:rsidP="00F72269">
      <w:pPr>
        <w:pStyle w:val="FootnoteText"/>
        <w:ind w:left="0" w:right="0"/>
        <w:jc w:val="right"/>
        <w:rPr>
          <w:sz w:val="18"/>
          <w:szCs w:val="18"/>
        </w:rPr>
      </w:pPr>
      <w:r w:rsidRPr="00233ED2">
        <w:rPr>
          <w:rStyle w:val="FootnoteReference"/>
          <w:sz w:val="18"/>
          <w:szCs w:val="18"/>
          <w:vertAlign w:val="baseline"/>
        </w:rPr>
        <w:footnoteRef/>
      </w:r>
      <w:r w:rsidRPr="00233ED2">
        <w:rPr>
          <w:sz w:val="18"/>
          <w:szCs w:val="18"/>
        </w:rPr>
        <w:t xml:space="preserve">  Radhakshnan, Dr S:  The Indian Philosophy, v1, pp 177-78</w:t>
      </w:r>
    </w:p>
  </w:footnote>
  <w:footnote w:id="579">
    <w:p w:rsidR="00C8559C" w:rsidRPr="00A5616D" w:rsidP="00FF7E11">
      <w:pPr>
        <w:pStyle w:val="FootnoteText"/>
        <w:ind w:left="227" w:right="0" w:hanging="227"/>
        <w:jc w:val="both"/>
        <w:rPr>
          <w:rFonts w:cs="B Zar" w:hint="cs"/>
          <w:rtl/>
        </w:rPr>
      </w:pPr>
      <w:r>
        <w:rPr>
          <w:rFonts w:cs="B Zar"/>
        </w:rPr>
        <w:t>.</w:t>
      </w:r>
      <w:r w:rsidRPr="00514B17">
        <w:rPr>
          <w:rStyle w:val="FootnoteReference"/>
          <w:rFonts w:ascii="IPT.Zar" w:hAnsi="IPT.Zar" w:cs="B Zar"/>
          <w:sz w:val="24"/>
          <w:szCs w:val="24"/>
          <w:vertAlign w:val="baseline"/>
        </w:rPr>
        <w:footnoteRef/>
      </w:r>
      <w:r w:rsidRPr="00A5616D">
        <w:rPr>
          <w:rFonts w:ascii="IPT.Lotus" w:hAnsi="IPT.Lotus" w:cs="B Zar"/>
        </w:rPr>
        <w:sym w:font="IPT.Lotus" w:char="F020"/>
      </w:r>
      <w:r w:rsidRPr="00A5616D">
        <w:rPr>
          <w:rFonts w:cs="B Zar" w:hint="cs"/>
          <w:rtl/>
        </w:rPr>
        <w:t xml:space="preserve"> رجوع شود به: پرسنا اوپانيشاد: 8:4 ، ايتاريا اوپانيشاد: 3:2، كته اوپانيشاد: 15:2</w:t>
      </w:r>
    </w:p>
  </w:footnote>
  <w:footnote w:id="580">
    <w:p w:rsidR="00C8559C" w:rsidRPr="00A5616D" w:rsidP="00F72269">
      <w:pPr>
        <w:pStyle w:val="FootnoteText"/>
        <w:ind w:left="0" w:right="0"/>
        <w:jc w:val="right"/>
        <w:rPr>
          <w:sz w:val="18"/>
          <w:szCs w:val="18"/>
        </w:rPr>
      </w:pPr>
      <w:r w:rsidRPr="00A5616D">
        <w:rPr>
          <w:rStyle w:val="FootnoteReference"/>
          <w:sz w:val="18"/>
          <w:szCs w:val="18"/>
          <w:vertAlign w:val="baseline"/>
        </w:rPr>
        <w:footnoteRef/>
      </w:r>
      <w:r w:rsidRPr="00A5616D">
        <w:rPr>
          <w:sz w:val="18"/>
          <w:szCs w:val="18"/>
        </w:rPr>
        <w:t xml:space="preserve">  Radhakshnan, Dr S:  The Indian Philosophy, v1. pp 200-1</w:t>
      </w:r>
    </w:p>
  </w:footnote>
  <w:footnote w:id="581">
    <w:p w:rsidR="00C8559C" w:rsidRPr="00A5616D" w:rsidP="008B7DA7">
      <w:pPr>
        <w:pStyle w:val="FootnoteText"/>
        <w:spacing w:line="240" w:lineRule="auto"/>
        <w:ind w:left="0" w:right="0"/>
        <w:jc w:val="right"/>
        <w:rPr>
          <w:sz w:val="18"/>
          <w:szCs w:val="18"/>
        </w:rPr>
      </w:pPr>
      <w:r w:rsidRPr="00A5616D">
        <w:rPr>
          <w:rStyle w:val="FootnoteReference"/>
          <w:sz w:val="18"/>
          <w:szCs w:val="18"/>
          <w:vertAlign w:val="baseline"/>
        </w:rPr>
        <w:footnoteRef/>
      </w:r>
      <w:r w:rsidRPr="00A5616D">
        <w:rPr>
          <w:sz w:val="18"/>
          <w:szCs w:val="18"/>
        </w:rPr>
        <w:t xml:space="preserve">  </w:t>
      </w:r>
      <w:r w:rsidRPr="00A5616D">
        <w:rPr>
          <w:rFonts w:cs="Yagut"/>
          <w:sz w:val="18"/>
          <w:szCs w:val="18"/>
        </w:rPr>
        <w:t>Sixty Upanishads of Veda, ed and Tr by Paul Deusson,v1, p 291</w:t>
      </w:r>
    </w:p>
  </w:footnote>
  <w:footnote w:id="582">
    <w:p w:rsidR="00C8559C" w:rsidRPr="006A4F74" w:rsidP="008B7DA7">
      <w:pPr>
        <w:pStyle w:val="FootnoteText"/>
        <w:spacing w:line="240" w:lineRule="auto"/>
        <w:ind w:left="0" w:right="0"/>
        <w:jc w:val="right"/>
      </w:pPr>
      <w:r w:rsidRPr="00A5616D">
        <w:rPr>
          <w:rStyle w:val="FootnoteReference"/>
          <w:sz w:val="18"/>
          <w:szCs w:val="18"/>
          <w:vertAlign w:val="baseline"/>
        </w:rPr>
        <w:footnoteRef/>
      </w:r>
      <w:r w:rsidRPr="00A5616D">
        <w:rPr>
          <w:sz w:val="18"/>
          <w:szCs w:val="18"/>
        </w:rPr>
        <w:t xml:space="preserve">  Radhakshnan, Dr S:  The Indian Philosophy, v1, p 183</w:t>
      </w:r>
    </w:p>
  </w:footnote>
  <w:footnote w:id="583">
    <w:p w:rsidR="00C8559C" w:rsidRPr="006A4F74" w:rsidP="008B7DA7">
      <w:pPr>
        <w:pStyle w:val="FootnoteText"/>
        <w:ind w:left="227" w:right="0" w:hanging="227"/>
        <w:jc w:val="both"/>
        <w:rPr>
          <w:rFonts w:cs="B Zar" w:hint="cs"/>
          <w:rtl/>
        </w:rPr>
      </w:pPr>
      <w:r>
        <w:rPr>
          <w:rFonts w:cs="B Zar"/>
        </w:rPr>
        <w:t>.</w:t>
      </w:r>
      <w:r w:rsidRPr="008B7DA7">
        <w:rPr>
          <w:rStyle w:val="FootnoteReference"/>
          <w:rFonts w:ascii="IPT.Zar" w:hAnsi="IPT.Zar" w:cs="B Zar"/>
          <w:sz w:val="24"/>
          <w:szCs w:val="24"/>
          <w:vertAlign w:val="baseline"/>
        </w:rPr>
        <w:footnoteRef/>
      </w:r>
      <w:r w:rsidRPr="006A4F74">
        <w:rPr>
          <w:rFonts w:cs="B Zar" w:hint="cs"/>
          <w:rtl/>
        </w:rPr>
        <w:t xml:space="preserve"> </w:t>
      </w:r>
      <w:r>
        <w:rPr>
          <w:rFonts w:cs="B Zar" w:hint="cs"/>
          <w:rtl/>
        </w:rPr>
        <w:tab/>
      </w:r>
      <w:r w:rsidRPr="006A4F74">
        <w:rPr>
          <w:rFonts w:cs="B Zar" w:hint="cs"/>
          <w:rtl/>
        </w:rPr>
        <w:t>س ـ همان</w:t>
      </w:r>
      <w:r w:rsidRPr="006A4F74">
        <w:rPr>
          <w:rFonts w:cs="B Zar"/>
          <w:rtl/>
        </w:rPr>
        <w:t>'</w:t>
      </w:r>
      <w:r w:rsidRPr="006A4F74">
        <w:rPr>
          <w:rFonts w:cs="B Zar" w:hint="cs"/>
          <w:rtl/>
        </w:rPr>
        <w:t>، ج 1، ص 185</w:t>
      </w:r>
    </w:p>
  </w:footnote>
  <w:footnote w:id="584">
    <w:p w:rsidR="00C8559C" w:rsidRPr="00A5616D" w:rsidP="008B7DA7">
      <w:pPr>
        <w:pStyle w:val="FootnoteText"/>
        <w:ind w:left="227" w:right="0" w:hanging="227"/>
        <w:jc w:val="both"/>
        <w:rPr>
          <w:rFonts w:ascii="IPT.Zar" w:hAnsi="IPT.Zar" w:cs="B Zar"/>
          <w:rtl/>
        </w:rPr>
      </w:pPr>
      <w:r w:rsidRPr="008B7DA7">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رادا كريشنان: همان  ج 1، ص 74</w:t>
      </w:r>
    </w:p>
  </w:footnote>
  <w:footnote w:id="585">
    <w:p w:rsidR="00C8559C" w:rsidRPr="00A5616D" w:rsidP="008B7DA7">
      <w:pPr>
        <w:pStyle w:val="FootnoteText"/>
        <w:ind w:left="227" w:right="0" w:hanging="227"/>
        <w:jc w:val="both"/>
        <w:rPr>
          <w:rFonts w:ascii="IPT.Zar" w:hAnsi="IPT.Zar" w:cs="B Zar"/>
          <w:rtl/>
        </w:rPr>
      </w:pPr>
      <w:r w:rsidRPr="008B7DA7">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ريگ ودا: 4: 3:21</w:t>
      </w:r>
    </w:p>
  </w:footnote>
  <w:footnote w:id="586">
    <w:p w:rsidR="00C8559C" w:rsidRPr="00A5616D" w:rsidP="008B7DA7">
      <w:pPr>
        <w:pStyle w:val="FootnoteText"/>
        <w:ind w:left="227" w:right="0" w:hanging="227"/>
        <w:jc w:val="both"/>
        <w:rPr>
          <w:rFonts w:ascii="IPT.Zar" w:hAnsi="IPT.Zar" w:cs="B Zar"/>
          <w:rtl/>
        </w:rPr>
      </w:pPr>
      <w:r w:rsidRPr="008B7DA7">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همان: 1: 3:156</w:t>
      </w:r>
    </w:p>
  </w:footnote>
  <w:footnote w:id="587">
    <w:p w:rsidR="00C8559C" w:rsidRPr="00A5616D" w:rsidP="008B7DA7">
      <w:pPr>
        <w:pStyle w:val="FootnoteText"/>
        <w:ind w:left="227" w:right="0" w:hanging="227"/>
        <w:jc w:val="both"/>
        <w:rPr>
          <w:rFonts w:ascii="IPT.Zar" w:hAnsi="IPT.Zar" w:cs="B Zar"/>
          <w:rtl/>
        </w:rPr>
      </w:pPr>
      <w:r w:rsidRPr="008B7DA7">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همان: 10: 1:121</w:t>
      </w:r>
    </w:p>
  </w:footnote>
  <w:footnote w:id="588">
    <w:p w:rsidR="00C8559C" w:rsidRPr="006A4F74" w:rsidP="008B7DA7">
      <w:pPr>
        <w:pStyle w:val="FootnoteText"/>
        <w:ind w:left="227" w:right="0" w:hanging="227"/>
        <w:jc w:val="both"/>
        <w:rPr>
          <w:rFonts w:ascii="IPT Lotus" w:hAnsi="IPT Lotus" w:hint="cs"/>
          <w:rtl/>
        </w:rPr>
      </w:pPr>
      <w:r w:rsidRPr="008B7DA7">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ريگ ودا: 6: 18:47</w:t>
      </w:r>
    </w:p>
  </w:footnote>
  <w:footnote w:id="589">
    <w:p w:rsidR="00C8559C" w:rsidRPr="006A4F74" w:rsidP="008B7DA7">
      <w:pPr>
        <w:pStyle w:val="FootnoteText"/>
        <w:ind w:left="227" w:right="0" w:hanging="227"/>
        <w:jc w:val="both"/>
        <w:rPr>
          <w:rFonts w:ascii="IPT.Zar" w:hAnsi="IPT.Zar" w:cs="B Zar"/>
          <w:rtl/>
        </w:rPr>
      </w:pPr>
      <w:r w:rsidRPr="008B7DA7">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برهدارانياكا اوپانيشاد: 2: 19:5</w:t>
      </w:r>
    </w:p>
  </w:footnote>
  <w:footnote w:id="590">
    <w:p w:rsidR="00C8559C" w:rsidRPr="006A4F74" w:rsidP="008B7DA7">
      <w:pPr>
        <w:pStyle w:val="FootnoteText"/>
        <w:ind w:left="227" w:right="0" w:hanging="227"/>
        <w:jc w:val="both"/>
        <w:rPr>
          <w:rFonts w:hint="cs"/>
          <w:rtl/>
        </w:rPr>
      </w:pPr>
      <w:r w:rsidRPr="008B7DA7">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براي منشعبات ديگر اين كلمه رجوع شود به: سر مونير وليامز: قاموس سانسكريت</w:t>
      </w:r>
    </w:p>
  </w:footnote>
  <w:footnote w:id="591">
    <w:p w:rsidR="00C8559C" w:rsidRPr="00A5616D" w:rsidP="00F72269">
      <w:pPr>
        <w:pStyle w:val="FootnoteText"/>
        <w:ind w:left="0" w:right="0"/>
        <w:jc w:val="right"/>
        <w:rPr>
          <w:sz w:val="18"/>
          <w:szCs w:val="18"/>
        </w:rPr>
      </w:pPr>
      <w:r w:rsidRPr="00A5616D">
        <w:rPr>
          <w:rStyle w:val="FootnoteReference"/>
          <w:sz w:val="18"/>
          <w:szCs w:val="18"/>
          <w:vertAlign w:val="baseline"/>
        </w:rPr>
        <w:footnoteRef/>
      </w:r>
      <w:r w:rsidRPr="00A5616D">
        <w:rPr>
          <w:sz w:val="18"/>
          <w:szCs w:val="18"/>
        </w:rPr>
        <w:t xml:space="preserve">  </w:t>
      </w:r>
      <w:r w:rsidRPr="00A5616D">
        <w:rPr>
          <w:rFonts w:cs="Yagut"/>
          <w:sz w:val="18"/>
          <w:szCs w:val="18"/>
        </w:rPr>
        <w:t xml:space="preserve">Deusson, Paul: Philosophy of Upanishad, </w:t>
      </w:r>
      <w:smartTag w:uri="urn:schemas-microsoft-com:office:smarttags" w:element="place">
        <w:smartTag w:uri="urn:schemas-microsoft-com:office:smarttags" w:element="City">
          <w:r w:rsidRPr="00A5616D">
            <w:rPr>
              <w:rFonts w:cs="Yagut"/>
              <w:sz w:val="18"/>
              <w:szCs w:val="18"/>
            </w:rPr>
            <w:t>London</w:t>
          </w:r>
        </w:smartTag>
      </w:smartTag>
      <w:r w:rsidRPr="00A5616D">
        <w:rPr>
          <w:rFonts w:cs="Yagut"/>
          <w:sz w:val="18"/>
          <w:szCs w:val="18"/>
        </w:rPr>
        <w:t>, 1957, 134</w:t>
      </w:r>
    </w:p>
  </w:footnote>
  <w:footnote w:id="592">
    <w:p w:rsidR="00C8559C" w:rsidRPr="006A4F74" w:rsidP="008B7DA7">
      <w:pPr>
        <w:pStyle w:val="FootnoteText"/>
        <w:ind w:left="227" w:right="0" w:hanging="227"/>
        <w:jc w:val="both"/>
        <w:rPr>
          <w:rFonts w:ascii="IPT.Zar" w:hAnsi="IPT.Zar" w:cs="B Zar"/>
          <w:rtl/>
        </w:rPr>
      </w:pPr>
      <w:r w:rsidRPr="008B7DA7">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همان ، ص 235-236</w:t>
      </w:r>
    </w:p>
  </w:footnote>
  <w:footnote w:id="593">
    <w:p w:rsidR="00C8559C" w:rsidRPr="00A5616D" w:rsidP="008B7DA7">
      <w:pPr>
        <w:pStyle w:val="FootnoteText"/>
        <w:ind w:left="227" w:right="0" w:hanging="227"/>
        <w:jc w:val="both"/>
        <w:rPr>
          <w:rFonts w:ascii="IPT.Zar" w:hAnsi="IPT.Zar" w:cs="B Zar"/>
          <w:rtl/>
        </w:rPr>
      </w:pPr>
      <w:r w:rsidRPr="008B7DA7">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همان: ص 237</w:t>
      </w:r>
    </w:p>
  </w:footnote>
  <w:footnote w:id="594">
    <w:p w:rsidR="00C8559C" w:rsidRPr="00A5616D" w:rsidP="008B7DA7">
      <w:pPr>
        <w:pStyle w:val="FootnoteText"/>
        <w:ind w:left="227" w:right="0" w:hanging="227"/>
        <w:jc w:val="both"/>
        <w:rPr>
          <w:rFonts w:ascii="IPT.Zar" w:hAnsi="IPT.Zar" w:cs="B Zar"/>
          <w:rtl/>
        </w:rPr>
      </w:pPr>
      <w:r w:rsidRPr="008B7DA7">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چاندوگيا اوپانيشاد: 2: 26:4</w:t>
      </w:r>
    </w:p>
  </w:footnote>
  <w:footnote w:id="595">
    <w:p w:rsidR="00C8559C" w:rsidRPr="00A5616D" w:rsidP="008B7DA7">
      <w:pPr>
        <w:pStyle w:val="FootnoteText"/>
        <w:ind w:left="227" w:right="0" w:hanging="227"/>
        <w:jc w:val="both"/>
        <w:rPr>
          <w:rFonts w:ascii="IPT.Zar" w:hAnsi="IPT.Zar" w:cs="B Zar"/>
          <w:rtl/>
        </w:rPr>
      </w:pPr>
      <w:r w:rsidRPr="008B7DA7">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مونداكا اوپانيشاد: 2: 11:2</w:t>
      </w:r>
    </w:p>
  </w:footnote>
  <w:footnote w:id="596">
    <w:p w:rsidR="00C8559C" w:rsidRPr="006A4F74" w:rsidP="00FC395A">
      <w:pPr>
        <w:pStyle w:val="FootnoteText"/>
        <w:ind w:left="227" w:right="0" w:hanging="227"/>
        <w:jc w:val="both"/>
        <w:rPr>
          <w:rFonts w:hint="cs"/>
          <w:rtl/>
        </w:rPr>
      </w:pPr>
      <w:r w:rsidRPr="007D7C0A">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تايتيرييا اوپانيشاد: 3: 1:1-10</w:t>
      </w:r>
    </w:p>
  </w:footnote>
  <w:footnote w:id="597">
    <w:p w:rsidR="00C8559C" w:rsidRPr="00A5616D" w:rsidP="00FC395A">
      <w:pPr>
        <w:pStyle w:val="FootnoteText"/>
        <w:ind w:left="227" w:right="0" w:hanging="227"/>
        <w:jc w:val="both"/>
        <w:rPr>
          <w:rFonts w:ascii="IPT.Zar" w:hAnsi="IPT.Zar" w:cs="B Zar"/>
          <w:rtl/>
        </w:rPr>
      </w:pPr>
      <w:r w:rsidRPr="007D7C0A">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برهدارانياكا اوپانيشاد: 2: 6:4</w:t>
      </w:r>
    </w:p>
  </w:footnote>
  <w:footnote w:id="598">
    <w:p w:rsidR="00C8559C" w:rsidRPr="00A5616D" w:rsidP="00FC395A">
      <w:pPr>
        <w:pStyle w:val="FootnoteText"/>
        <w:ind w:left="227" w:right="0" w:hanging="227"/>
        <w:jc w:val="both"/>
        <w:rPr>
          <w:rFonts w:ascii="IPT.Zar" w:hAnsi="IPT.Zar" w:cs="B Zar"/>
          <w:rtl/>
        </w:rPr>
      </w:pPr>
      <w:r w:rsidRPr="007D7C0A">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چاندوگيا اوپانيشاد: 14:3 : ترجمه داراشكوه ج 1، ص 109-110</w:t>
      </w:r>
    </w:p>
  </w:footnote>
  <w:footnote w:id="599">
    <w:p w:rsidR="00C8559C" w:rsidRPr="006A4F74" w:rsidP="00FC395A">
      <w:pPr>
        <w:pStyle w:val="FootnoteText"/>
        <w:ind w:left="227" w:right="0" w:hanging="227"/>
        <w:jc w:val="left"/>
        <w:rPr>
          <w:rFonts w:ascii="IPT Lotus" w:hAnsi="IPT Lotus" w:hint="cs"/>
          <w:rtl/>
        </w:rPr>
      </w:pPr>
      <w:r w:rsidRPr="007D7C0A">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چاندوگيا اوپانيشاد: 3: 14: 2، 4</w:t>
      </w:r>
    </w:p>
  </w:footnote>
  <w:footnote w:id="600">
    <w:p w:rsidR="00C8559C" w:rsidRPr="00A5616D" w:rsidP="00F72269">
      <w:pPr>
        <w:pStyle w:val="FootnoteText"/>
        <w:ind w:left="0" w:right="0"/>
        <w:jc w:val="right"/>
        <w:rPr>
          <w:sz w:val="18"/>
          <w:szCs w:val="18"/>
        </w:rPr>
      </w:pPr>
      <w:r w:rsidRPr="00A5616D">
        <w:rPr>
          <w:rStyle w:val="FootnoteReference"/>
          <w:sz w:val="18"/>
          <w:szCs w:val="18"/>
          <w:vertAlign w:val="baseline"/>
        </w:rPr>
        <w:footnoteRef/>
      </w:r>
      <w:r w:rsidRPr="00A5616D">
        <w:rPr>
          <w:sz w:val="18"/>
          <w:szCs w:val="18"/>
        </w:rPr>
        <w:t xml:space="preserve">  </w:t>
      </w:r>
      <w:r w:rsidRPr="00A5616D">
        <w:rPr>
          <w:rFonts w:cs="Yagut"/>
          <w:sz w:val="18"/>
          <w:szCs w:val="18"/>
        </w:rPr>
        <w:t xml:space="preserve">Deusson, Paul: Philosophy of Upanishad, </w:t>
      </w:r>
      <w:smartTag w:uri="urn:schemas-microsoft-com:office:smarttags" w:element="place">
        <w:smartTag w:uri="urn:schemas-microsoft-com:office:smarttags" w:element="City">
          <w:r w:rsidRPr="00A5616D">
            <w:rPr>
              <w:rFonts w:cs="Yagut"/>
              <w:sz w:val="18"/>
              <w:szCs w:val="18"/>
            </w:rPr>
            <w:t>London</w:t>
          </w:r>
        </w:smartTag>
      </w:smartTag>
      <w:r w:rsidRPr="00A5616D">
        <w:rPr>
          <w:rFonts w:cs="Yagut"/>
          <w:sz w:val="18"/>
          <w:szCs w:val="18"/>
        </w:rPr>
        <w:t>, 1957, p 235</w:t>
      </w:r>
    </w:p>
  </w:footnote>
  <w:footnote w:id="601">
    <w:p w:rsidR="00C8559C" w:rsidRPr="00A5616D" w:rsidP="007D7C0A">
      <w:pPr>
        <w:pStyle w:val="FootnoteText"/>
        <w:ind w:left="227" w:right="0" w:hanging="227"/>
        <w:jc w:val="both"/>
        <w:rPr>
          <w:rFonts w:ascii="IPT.Zar" w:hAnsi="IPT.Zar" w:cs="B Zar"/>
          <w:rtl/>
        </w:rPr>
      </w:pPr>
      <w:r w:rsidRPr="007D7C0A">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سويتاسواتارا اوپانيشاد: 10:1</w:t>
      </w:r>
    </w:p>
  </w:footnote>
  <w:footnote w:id="602">
    <w:p w:rsidR="00C8559C" w:rsidRPr="00A5616D" w:rsidP="007D7C0A">
      <w:pPr>
        <w:pStyle w:val="FootnoteText"/>
        <w:ind w:left="227" w:right="0" w:hanging="227"/>
        <w:jc w:val="both"/>
        <w:rPr>
          <w:rFonts w:ascii="IPT.Zar" w:hAnsi="IPT.Zar" w:cs="B Zar"/>
          <w:rtl/>
        </w:rPr>
      </w:pPr>
      <w:r w:rsidRPr="007D7C0A">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مايتارايا اوپانيشاد: 2:4</w:t>
      </w:r>
    </w:p>
  </w:footnote>
  <w:footnote w:id="603">
    <w:p w:rsidR="00C8559C" w:rsidRPr="00A5616D" w:rsidP="007D7C0A">
      <w:pPr>
        <w:pStyle w:val="FootnoteText"/>
        <w:ind w:left="227" w:right="0" w:hanging="227"/>
        <w:jc w:val="both"/>
        <w:rPr>
          <w:rFonts w:ascii="IPT.Zar" w:hAnsi="IPT.Zar" w:cs="B Zar"/>
          <w:rtl/>
        </w:rPr>
      </w:pPr>
      <w:r w:rsidRPr="007D7C0A">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پاراسنا اوپانيشاد: 3:2</w:t>
      </w:r>
    </w:p>
  </w:footnote>
  <w:footnote w:id="604">
    <w:p w:rsidR="00C8559C" w:rsidRPr="006A4F74" w:rsidP="007D7C0A">
      <w:pPr>
        <w:pStyle w:val="FootnoteText"/>
        <w:ind w:left="227" w:right="0" w:hanging="227"/>
        <w:jc w:val="both"/>
        <w:rPr>
          <w:rFonts w:ascii="IPT Lotus" w:hAnsi="IPT Lotus" w:hint="cs"/>
          <w:rtl/>
        </w:rPr>
      </w:pPr>
      <w:r w:rsidRPr="007D7C0A">
        <w:rPr>
          <w:rStyle w:val="FootnoteReference"/>
          <w:rFonts w:ascii="IPT.Zar" w:hAnsi="IPT.Zar" w:cs="B Zar"/>
          <w:sz w:val="24"/>
          <w:szCs w:val="24"/>
          <w:vertAlign w:val="baseline"/>
        </w:rPr>
        <w:footnoteRef/>
      </w:r>
      <w:r w:rsidRPr="00A5616D">
        <w:rPr>
          <w:rFonts w:ascii="IPT.Zar" w:hAnsi="IPT.Zar" w:cs="B Zar"/>
          <w:rtl/>
        </w:rPr>
        <w:t xml:space="preserve">. </w:t>
      </w:r>
      <w:r>
        <w:rPr>
          <w:rFonts w:ascii="IPT.Zar" w:hAnsi="IPT.Zar" w:cs="B Zar" w:hint="cs"/>
          <w:rtl/>
        </w:rPr>
        <w:tab/>
      </w:r>
      <w:r w:rsidRPr="00A5616D">
        <w:rPr>
          <w:rFonts w:ascii="IPT.Zar" w:hAnsi="IPT.Zar" w:cs="B Zar"/>
          <w:rtl/>
        </w:rPr>
        <w:t>كيواليا اوپانيشاد: 12</w:t>
      </w:r>
    </w:p>
  </w:footnote>
  <w:footnote w:id="605">
    <w:p w:rsidR="00C8559C" w:rsidRPr="00A5616D" w:rsidP="00A5616D">
      <w:pPr>
        <w:pStyle w:val="FootnoteText"/>
        <w:ind w:left="0" w:right="0"/>
        <w:jc w:val="right"/>
        <w:rPr>
          <w:sz w:val="18"/>
          <w:szCs w:val="18"/>
        </w:rPr>
      </w:pPr>
      <w:r w:rsidRPr="00A5616D">
        <w:rPr>
          <w:rStyle w:val="FootnoteReference"/>
          <w:sz w:val="18"/>
          <w:szCs w:val="18"/>
          <w:vertAlign w:val="baseline"/>
        </w:rPr>
        <w:footnoteRef/>
      </w:r>
      <w:r w:rsidRPr="00A5616D">
        <w:rPr>
          <w:sz w:val="18"/>
          <w:szCs w:val="18"/>
        </w:rPr>
        <w:t xml:space="preserve">  Radhakshnan, Dr S:  The Indian Philosophy,v1, p</w:t>
      </w:r>
      <w:r>
        <w:rPr>
          <w:sz w:val="18"/>
          <w:szCs w:val="18"/>
        </w:rPr>
        <w:t xml:space="preserve"> </w:t>
      </w:r>
      <w:r w:rsidRPr="00A5616D">
        <w:rPr>
          <w:sz w:val="18"/>
          <w:szCs w:val="18"/>
        </w:rPr>
        <w:t>190</w:t>
      </w:r>
    </w:p>
  </w:footnote>
  <w:footnote w:id="606">
    <w:p w:rsidR="00C8559C" w:rsidRPr="006A4F74" w:rsidP="00FF7E11">
      <w:pPr>
        <w:pStyle w:val="FootnoteText"/>
        <w:ind w:left="227" w:right="0" w:hanging="227"/>
        <w:jc w:val="both"/>
        <w:rPr>
          <w:rFonts w:ascii="IPT.Zar" w:hAnsi="IPT.Zar" w:cs="B Zar"/>
          <w:rtl/>
        </w:rPr>
      </w:pPr>
      <w:r w:rsidRPr="004A33D0">
        <w:rPr>
          <w:rStyle w:val="FootnoteReference"/>
          <w:rFonts w:ascii="IPT.Zar" w:hAnsi="IPT.Zar" w:cs="B Zar"/>
          <w:sz w:val="24"/>
          <w:szCs w:val="24"/>
          <w:vertAlign w:val="baseline"/>
        </w:rPr>
        <w:footnoteRef/>
      </w:r>
      <w:r w:rsidRPr="006A4F74">
        <w:rPr>
          <w:rFonts w:ascii="IPT.Zar" w:hAnsi="IPT.Zar" w:cs="B Zar"/>
        </w:rPr>
        <w:sym w:font="IPT.Zar" w:char="F020"/>
      </w:r>
      <w:r w:rsidRPr="006A4F74">
        <w:rPr>
          <w:rFonts w:ascii="IPT.Zar" w:hAnsi="IPT.Zar" w:cs="B Zar"/>
          <w:rtl/>
        </w:rPr>
        <w:t>.</w:t>
      </w:r>
      <w:r w:rsidR="00FF7E11">
        <w:rPr>
          <w:rFonts w:ascii="IPT.Zar" w:hAnsi="IPT.Zar" w:cs="B Zar"/>
        </w:rPr>
        <w:sym w:font="IPT.Zar" w:char="F020"/>
      </w:r>
      <w:r w:rsidRPr="006A4F74">
        <w:rPr>
          <w:rFonts w:ascii="IPT.Zar" w:hAnsi="IPT.Zar" w:cs="B Zar"/>
          <w:rtl/>
        </w:rPr>
        <w:t>همان: ص 191</w:t>
      </w:r>
    </w:p>
  </w:footnote>
  <w:footnote w:id="607">
    <w:p w:rsidR="00C8559C" w:rsidRPr="006A4F74" w:rsidP="00FF137D">
      <w:pPr>
        <w:pStyle w:val="FootnoteText"/>
        <w:ind w:left="227" w:right="0" w:hanging="227"/>
        <w:jc w:val="both"/>
        <w:rPr>
          <w:rFonts w:ascii="IPT.Zar" w:hAnsi="IPT.Zar" w:cs="B Zar"/>
          <w:rtl/>
        </w:rPr>
      </w:pPr>
      <w:r w:rsidRPr="00FF137D">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سويتاسواتارا اوپانيشاد ، مجموعه داراشكوه ج 1، ص 195-196</w:t>
      </w:r>
    </w:p>
  </w:footnote>
  <w:footnote w:id="608">
    <w:p w:rsidR="00C8559C" w:rsidRPr="00410D1B" w:rsidP="00FF137D">
      <w:pPr>
        <w:pStyle w:val="FootnoteText"/>
        <w:ind w:left="227" w:right="0" w:hanging="227"/>
        <w:jc w:val="both"/>
        <w:rPr>
          <w:rFonts w:ascii="IPT.Zar" w:hAnsi="IPT.Zar" w:cs="B Zar"/>
          <w:rtl/>
        </w:rPr>
      </w:pPr>
      <w:r w:rsidRPr="00FF137D">
        <w:rPr>
          <w:rStyle w:val="FootnoteReference"/>
          <w:rFonts w:ascii="IPT.Zar" w:hAnsi="IPT.Zar" w:cs="B Zar"/>
          <w:sz w:val="24"/>
          <w:szCs w:val="24"/>
          <w:vertAlign w:val="baseline"/>
        </w:rPr>
        <w:footnoteRef/>
      </w:r>
      <w:r w:rsidRPr="00410D1B">
        <w:rPr>
          <w:rFonts w:ascii="IPT.Zar" w:hAnsi="IPT.Zar" w:cs="B Zar"/>
          <w:rtl/>
        </w:rPr>
        <w:t xml:space="preserve">. </w:t>
      </w:r>
      <w:r>
        <w:rPr>
          <w:rFonts w:ascii="IPT.Zar" w:hAnsi="IPT.Zar" w:cs="B Zar" w:hint="cs"/>
          <w:rtl/>
        </w:rPr>
        <w:tab/>
      </w:r>
      <w:r w:rsidRPr="00410D1B">
        <w:rPr>
          <w:rFonts w:ascii="IPT.Zar" w:hAnsi="IPT.Zar" w:cs="B Zar"/>
          <w:rtl/>
        </w:rPr>
        <w:t>داراشكوه:ترجمه اوپانيشاد: ج 1، ص 197</w:t>
      </w:r>
    </w:p>
  </w:footnote>
  <w:footnote w:id="609">
    <w:p w:rsidR="00C8559C" w:rsidRPr="006A4F74" w:rsidP="00FF137D">
      <w:pPr>
        <w:pStyle w:val="FootnoteText"/>
        <w:ind w:left="227" w:right="0" w:hanging="227"/>
        <w:jc w:val="both"/>
        <w:rPr>
          <w:rFonts w:hint="cs"/>
          <w:rtl/>
        </w:rPr>
      </w:pPr>
      <w:r w:rsidRPr="00FF137D">
        <w:rPr>
          <w:rStyle w:val="FootnoteReference"/>
          <w:rFonts w:ascii="IPT.Zar" w:hAnsi="IPT.Zar" w:cs="B Zar"/>
          <w:sz w:val="24"/>
          <w:szCs w:val="24"/>
          <w:vertAlign w:val="baseline"/>
        </w:rPr>
        <w:footnoteRef/>
      </w:r>
      <w:r w:rsidRPr="00410D1B">
        <w:rPr>
          <w:rFonts w:ascii="IPT.Zar" w:hAnsi="IPT.Zar" w:cs="B Zar"/>
          <w:rtl/>
        </w:rPr>
        <w:t xml:space="preserve">. </w:t>
      </w:r>
      <w:r>
        <w:rPr>
          <w:rFonts w:ascii="IPT.Zar" w:hAnsi="IPT.Zar" w:cs="B Zar" w:hint="cs"/>
          <w:rtl/>
        </w:rPr>
        <w:tab/>
      </w:r>
      <w:r w:rsidRPr="00410D1B">
        <w:rPr>
          <w:rFonts w:ascii="IPT.Zar" w:hAnsi="IPT.Zar" w:cs="B Zar"/>
          <w:rtl/>
        </w:rPr>
        <w:t>دكتر تاراچند: مقدمه انگليسي كتاب فوق</w:t>
      </w:r>
    </w:p>
  </w:footnote>
  <w:footnote w:id="610">
    <w:p w:rsidR="00C8559C" w:rsidRPr="006A4F74" w:rsidP="00282DE3">
      <w:pPr>
        <w:pStyle w:val="FootnoteText"/>
        <w:ind w:left="227" w:right="0" w:hanging="227"/>
        <w:jc w:val="both"/>
        <w:rPr>
          <w:rFonts w:ascii="IPT.Zar" w:hAnsi="IPT.Zar" w:cs="B Zar"/>
          <w:rtl/>
        </w:rPr>
      </w:pPr>
      <w:r w:rsidRPr="00282DE3">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سام ودا: 2: 147:2</w:t>
      </w:r>
    </w:p>
  </w:footnote>
  <w:footnote w:id="611">
    <w:p w:rsidR="00C8559C" w:rsidRPr="006A4F74" w:rsidP="00282DE3">
      <w:pPr>
        <w:pStyle w:val="FootnoteText"/>
        <w:ind w:left="227" w:right="0" w:hanging="227"/>
        <w:jc w:val="both"/>
        <w:rPr>
          <w:rFonts w:ascii="IPT Lotus" w:hAnsi="IPT Lotus" w:hint="cs"/>
          <w:rtl/>
        </w:rPr>
      </w:pPr>
      <w:r w:rsidRPr="00282DE3">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همان: 2: 151:2</w:t>
      </w:r>
    </w:p>
  </w:footnote>
  <w:footnote w:id="612">
    <w:p w:rsidR="00C8559C" w:rsidRPr="006A4F74" w:rsidP="00D6371B">
      <w:pPr>
        <w:pStyle w:val="FootnoteText"/>
        <w:ind w:left="227" w:right="0" w:hanging="227"/>
        <w:jc w:val="both"/>
        <w:rPr>
          <w:rFonts w:ascii="IPT.Zar" w:hAnsi="IPT.Zar" w:cs="B Zar"/>
          <w:rtl/>
        </w:rPr>
      </w:pPr>
      <w:r w:rsidRPr="00D466CC">
        <w:rPr>
          <w:rStyle w:val="FootnoteReference"/>
          <w:rFonts w:ascii="IPT.Zar" w:hAnsi="IPT.Zar" w:cs="B Zar"/>
          <w:sz w:val="24"/>
          <w:szCs w:val="24"/>
          <w:vertAlign w:val="baseline"/>
        </w:rPr>
        <w:footnoteRef/>
      </w:r>
      <w:r w:rsidRPr="006A4F74">
        <w:rPr>
          <w:rFonts w:ascii="IPT.Zar" w:hAnsi="IPT.Zar" w:cs="B Zar"/>
        </w:rPr>
        <w:sym w:font="IPT.Zar" w:char="F020"/>
      </w:r>
      <w:r w:rsidRPr="006A4F74">
        <w:rPr>
          <w:rFonts w:ascii="IPT.Zar" w:hAnsi="IPT.Zar" w:cs="B Zar"/>
          <w:rtl/>
        </w:rPr>
        <w:t>. چاندوگيا اوپانيشاد: 8: 7: 1-3</w:t>
      </w:r>
    </w:p>
  </w:footnote>
  <w:footnote w:id="613">
    <w:p w:rsidR="00C8559C" w:rsidRPr="006A4F74" w:rsidP="00D466CC">
      <w:pPr>
        <w:pStyle w:val="FootnoteText"/>
        <w:ind w:left="227" w:right="0" w:hanging="227"/>
        <w:jc w:val="both"/>
        <w:rPr>
          <w:rFonts w:hint="cs"/>
          <w:rtl/>
        </w:rPr>
      </w:pPr>
      <w:r w:rsidRPr="00D466CC">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همان: 8: 9: 1-3</w:t>
      </w:r>
    </w:p>
  </w:footnote>
  <w:footnote w:id="614">
    <w:p w:rsidR="00C8559C" w:rsidRPr="006A4F74" w:rsidP="00D466CC">
      <w:pPr>
        <w:pStyle w:val="FootnoteText"/>
        <w:ind w:left="227" w:right="0" w:hanging="227"/>
        <w:jc w:val="both"/>
        <w:rPr>
          <w:rFonts w:ascii="IPT.Zar" w:hAnsi="IPT.Zar" w:cs="B Zar"/>
          <w:rtl/>
        </w:rPr>
      </w:pPr>
      <w:r w:rsidRPr="00D466CC">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همان: 8: 9: 1-3</w:t>
      </w:r>
    </w:p>
  </w:footnote>
  <w:footnote w:id="615">
    <w:p w:rsidR="00C8559C" w:rsidRPr="006A4F74" w:rsidP="00A85796">
      <w:pPr>
        <w:pStyle w:val="FootnoteText"/>
        <w:ind w:left="227" w:right="0" w:hanging="227"/>
        <w:jc w:val="both"/>
        <w:rPr>
          <w:rFonts w:ascii="IPT.Zar" w:hAnsi="IPT.Zar" w:cs="B Zar"/>
          <w:rtl/>
        </w:rPr>
      </w:pPr>
      <w:r w:rsidRPr="00A85796">
        <w:rPr>
          <w:rStyle w:val="FootnoteReference"/>
          <w:rFonts w:ascii="IPT.Zar" w:hAnsi="IPT.Zar" w:cs="B Zar"/>
          <w:sz w:val="24"/>
          <w:szCs w:val="24"/>
          <w:vertAlign w:val="baseline"/>
        </w:rPr>
        <w:footnoteRef/>
      </w:r>
      <w:r w:rsidRPr="006A4F74">
        <w:rPr>
          <w:rFonts w:ascii="IPT.Zar" w:hAnsi="IPT.Zar" w:cs="B Zar"/>
          <w:rtl/>
        </w:rPr>
        <w:t>.</w:t>
      </w:r>
      <w:r>
        <w:rPr>
          <w:rFonts w:ascii="IPT.Zar" w:hAnsi="IPT.Zar" w:cs="B Zar" w:hint="cs"/>
          <w:rtl/>
        </w:rPr>
        <w:tab/>
      </w:r>
      <w:r w:rsidRPr="006A4F74">
        <w:rPr>
          <w:rFonts w:ascii="IPT.Zar" w:hAnsi="IPT.Zar" w:cs="B Zar"/>
          <w:rtl/>
        </w:rPr>
        <w:t>ملاصدرا: شواهد الربوبيه شرح جواد مصلح، ص 330-331</w:t>
      </w:r>
    </w:p>
  </w:footnote>
  <w:footnote w:id="616">
    <w:p w:rsidR="00C8559C" w:rsidRPr="006A4F74" w:rsidP="00A85796">
      <w:pPr>
        <w:pStyle w:val="FootnoteText"/>
        <w:ind w:left="227" w:right="0" w:hanging="227"/>
        <w:jc w:val="both"/>
        <w:rPr>
          <w:rFonts w:ascii="IPT Lotus" w:hAnsi="IPT Lotus" w:hint="cs"/>
          <w:rtl/>
        </w:rPr>
      </w:pPr>
      <w:r w:rsidRPr="00A85796">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برهدارانياكا اوپانيشاد: 3:4 :7-37</w:t>
      </w:r>
    </w:p>
  </w:footnote>
  <w:footnote w:id="617">
    <w:p w:rsidR="00C8559C" w:rsidRPr="006A4F74" w:rsidP="00A85796">
      <w:pPr>
        <w:pStyle w:val="FootnoteText"/>
        <w:ind w:left="227" w:right="0" w:hanging="227"/>
        <w:jc w:val="both"/>
        <w:rPr>
          <w:rFonts w:ascii="IPT.Zar" w:hAnsi="IPT.Zar" w:cs="B Zar"/>
          <w:rtl/>
        </w:rPr>
      </w:pPr>
      <w:r w:rsidRPr="00A85796">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كاوسيتاكي اوپانيشاد: 4:4</w:t>
      </w:r>
    </w:p>
  </w:footnote>
  <w:footnote w:id="618">
    <w:p w:rsidR="00C8559C" w:rsidRPr="006A4F74" w:rsidP="002D5815">
      <w:pPr>
        <w:pStyle w:val="FootnoteText"/>
        <w:ind w:left="227" w:right="0" w:hanging="227"/>
        <w:jc w:val="both"/>
        <w:rPr>
          <w:rFonts w:ascii="IPT.Zar" w:hAnsi="IPT.Zar" w:cs="B Zar"/>
          <w:rtl/>
        </w:rPr>
      </w:pPr>
      <w:r w:rsidRPr="002D5815">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پرسنا اوپانيشاد: 5:4 ترجمه داراشكوه ج 1، ص 181</w:t>
      </w:r>
    </w:p>
  </w:footnote>
  <w:footnote w:id="619">
    <w:p w:rsidR="00C8559C" w:rsidRPr="006A4F74" w:rsidP="00D6371B">
      <w:pPr>
        <w:pStyle w:val="FootnoteText"/>
        <w:ind w:left="227" w:right="0" w:hanging="227"/>
        <w:jc w:val="both"/>
        <w:rPr>
          <w:rFonts w:ascii="IPT Lotus" w:hAnsi="IPT Lotus" w:hint="cs"/>
          <w:rtl/>
        </w:rPr>
      </w:pPr>
      <w:r w:rsidRPr="002D5815">
        <w:rPr>
          <w:rStyle w:val="FootnoteReference"/>
          <w:rFonts w:ascii="IPT.Zar" w:hAnsi="IPT.Zar" w:cs="B Zar"/>
          <w:sz w:val="24"/>
          <w:szCs w:val="24"/>
          <w:vertAlign w:val="baseline"/>
        </w:rPr>
        <w:footnoteRef/>
      </w:r>
      <w:r w:rsidRPr="006A4F74">
        <w:rPr>
          <w:rFonts w:ascii="IPT.Zar" w:hAnsi="IPT.Zar" w:cs="B Zar"/>
        </w:rPr>
        <w:sym w:font="IPT.Zar" w:char="F020"/>
      </w:r>
      <w:r w:rsidRPr="006A4F74">
        <w:rPr>
          <w:rFonts w:ascii="IPT.Zar" w:hAnsi="IPT.Zar" w:cs="B Zar"/>
          <w:rtl/>
        </w:rPr>
        <w:t>. چاندوگيا اوپانيشاد: 10:8 –2-4</w:t>
      </w:r>
    </w:p>
  </w:footnote>
  <w:footnote w:id="620">
    <w:p w:rsidR="00C8559C" w:rsidRPr="006A4F74" w:rsidP="00D6371B">
      <w:pPr>
        <w:pStyle w:val="FootnoteText"/>
        <w:ind w:left="227" w:right="0" w:hanging="227"/>
        <w:jc w:val="both"/>
        <w:rPr>
          <w:rFonts w:ascii="IPT.Zar" w:hAnsi="IPT.Zar" w:cs="B Zar"/>
          <w:rtl/>
        </w:rPr>
      </w:pPr>
      <w:r w:rsidRPr="002D5815">
        <w:rPr>
          <w:rStyle w:val="FootnoteReference"/>
          <w:rFonts w:ascii="IPT.Zar" w:hAnsi="IPT.Zar" w:cs="B Zar"/>
          <w:sz w:val="24"/>
          <w:szCs w:val="24"/>
          <w:vertAlign w:val="baseline"/>
        </w:rPr>
        <w:footnoteRef/>
      </w:r>
      <w:r w:rsidRPr="006A4F74">
        <w:rPr>
          <w:rFonts w:ascii="IPT.Zar" w:hAnsi="IPT.Zar" w:cs="B Zar"/>
        </w:rPr>
        <w:sym w:font="IPT.Zar" w:char="F020"/>
      </w:r>
      <w:r w:rsidRPr="006A4F74">
        <w:rPr>
          <w:rFonts w:ascii="IPT.Zar" w:hAnsi="IPT.Zar" w:cs="B Zar"/>
          <w:rtl/>
        </w:rPr>
        <w:t>. همان: 8: 1:11</w:t>
      </w:r>
    </w:p>
  </w:footnote>
  <w:footnote w:id="621">
    <w:p w:rsidR="00C8559C" w:rsidRPr="006A4F74" w:rsidP="00050C7B">
      <w:pPr>
        <w:pStyle w:val="FootnoteText"/>
        <w:ind w:left="227" w:right="0" w:hanging="227"/>
        <w:jc w:val="both"/>
        <w:rPr>
          <w:rFonts w:ascii="IPT.Zar" w:hAnsi="IPT.Zar" w:cs="B Zar"/>
          <w:rtl/>
        </w:rPr>
      </w:pPr>
      <w:r w:rsidRPr="00050C7B">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برهدارانياكا اوپانيشاد اوپانيشاد: 3:4</w:t>
      </w:r>
    </w:p>
  </w:footnote>
  <w:footnote w:id="622">
    <w:p w:rsidR="00C8559C" w:rsidRPr="006A4F74" w:rsidP="00050C7B">
      <w:pPr>
        <w:pStyle w:val="FootnoteText"/>
        <w:ind w:left="227" w:right="0" w:hanging="227"/>
        <w:jc w:val="both"/>
        <w:rPr>
          <w:rFonts w:ascii="IPT Lotus" w:hAnsi="IPT Lotus" w:hint="cs"/>
          <w:rtl/>
        </w:rPr>
      </w:pPr>
      <w:r w:rsidRPr="00050C7B">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پرسنا اوپانيشاد: 6:4ـ 7 ترجمه داراشكوه ج 1، ص 181</w:t>
      </w:r>
    </w:p>
  </w:footnote>
  <w:footnote w:id="623">
    <w:p w:rsidR="00C8559C" w:rsidRPr="006A4F74" w:rsidP="00FF7E11">
      <w:pPr>
        <w:pStyle w:val="FootnoteText"/>
        <w:ind w:left="227" w:right="0" w:hanging="227"/>
        <w:jc w:val="both"/>
        <w:rPr>
          <w:rFonts w:ascii="IPT.Zar" w:hAnsi="IPT.Zar" w:cs="B Zar"/>
          <w:rtl/>
        </w:rPr>
      </w:pPr>
      <w:r w:rsidRPr="00050C7B">
        <w:rPr>
          <w:rStyle w:val="FootnoteReference"/>
          <w:rFonts w:ascii="IPT.Zar" w:hAnsi="IPT.Zar" w:cs="B Zar"/>
          <w:sz w:val="24"/>
          <w:szCs w:val="24"/>
          <w:vertAlign w:val="baseline"/>
        </w:rPr>
        <w:footnoteRef/>
      </w:r>
      <w:r w:rsidRPr="006A4F74">
        <w:rPr>
          <w:rFonts w:ascii="IPT.Zar" w:hAnsi="IPT.Zar" w:cs="B Zar"/>
        </w:rPr>
        <w:sym w:font="IPT.Zar" w:char="F020"/>
      </w:r>
      <w:r w:rsidRPr="006A4F74">
        <w:rPr>
          <w:rFonts w:ascii="IPT.Zar" w:hAnsi="IPT.Zar" w:cs="B Zar"/>
          <w:rtl/>
        </w:rPr>
        <w:t>. چاندوگيا اوپانيشاد: 11:8: 1</w:t>
      </w:r>
    </w:p>
  </w:footnote>
  <w:footnote w:id="624">
    <w:p w:rsidR="00C8559C" w:rsidRPr="00410D1B" w:rsidP="00050C7B">
      <w:pPr>
        <w:pStyle w:val="FootnoteText"/>
        <w:ind w:left="227" w:right="0" w:hanging="227"/>
        <w:jc w:val="both"/>
        <w:rPr>
          <w:rFonts w:ascii="IPT.Zar" w:hAnsi="IPT.Zar" w:cs="B Zar"/>
          <w:rtl/>
        </w:rPr>
      </w:pPr>
      <w:r w:rsidRPr="00050C7B">
        <w:rPr>
          <w:rStyle w:val="FootnoteReference"/>
          <w:rFonts w:ascii="IPT.Zar" w:hAnsi="IPT.Zar" w:cs="B Zar"/>
          <w:sz w:val="24"/>
          <w:szCs w:val="24"/>
          <w:vertAlign w:val="baseline"/>
        </w:rPr>
        <w:footnoteRef/>
      </w:r>
      <w:r w:rsidRPr="00410D1B">
        <w:rPr>
          <w:rFonts w:ascii="IPT.Zar" w:hAnsi="IPT.Zar" w:cs="B Zar"/>
          <w:rtl/>
        </w:rPr>
        <w:t xml:space="preserve">. </w:t>
      </w:r>
      <w:r>
        <w:rPr>
          <w:rFonts w:ascii="IPT.Zar" w:hAnsi="IPT.Zar" w:cs="B Zar" w:hint="cs"/>
          <w:rtl/>
        </w:rPr>
        <w:tab/>
      </w:r>
      <w:r w:rsidRPr="00410D1B">
        <w:rPr>
          <w:rFonts w:ascii="IPT.Zar" w:hAnsi="IPT.Zar" w:cs="B Zar"/>
          <w:rtl/>
        </w:rPr>
        <w:t>س ـ رادا كريشنان: فلسفه هند ج 1، ص 160</w:t>
      </w:r>
    </w:p>
  </w:footnote>
  <w:footnote w:id="625">
    <w:p w:rsidR="00C8559C" w:rsidRPr="006A4F74" w:rsidP="00050C7B">
      <w:pPr>
        <w:pStyle w:val="FootnoteText"/>
        <w:ind w:left="227" w:right="0" w:hanging="227"/>
        <w:jc w:val="both"/>
        <w:rPr>
          <w:rFonts w:ascii="IPT Lotus" w:hAnsi="IPT Lotus" w:hint="cs"/>
          <w:rtl/>
        </w:rPr>
      </w:pPr>
      <w:r>
        <w:rPr>
          <w:rFonts w:cs="B Zar"/>
        </w:rPr>
        <w:t>.</w:t>
      </w:r>
      <w:r w:rsidRPr="00050C7B">
        <w:rPr>
          <w:rStyle w:val="FootnoteReference"/>
          <w:rFonts w:ascii="IPT.Zar" w:hAnsi="IPT.Zar" w:cs="B Zar"/>
          <w:sz w:val="24"/>
          <w:szCs w:val="24"/>
          <w:vertAlign w:val="baseline"/>
        </w:rPr>
        <w:footnoteRef/>
      </w:r>
      <w:r w:rsidRPr="00410D1B">
        <w:rPr>
          <w:rFonts w:ascii="IPT.Zar" w:hAnsi="IPT.Zar" w:cs="B Zar"/>
          <w:rtl/>
        </w:rPr>
        <w:t xml:space="preserve"> </w:t>
      </w:r>
      <w:r>
        <w:rPr>
          <w:rFonts w:ascii="IPT.Zar" w:hAnsi="IPT.Zar" w:cs="B Zar" w:hint="cs"/>
          <w:rtl/>
        </w:rPr>
        <w:tab/>
      </w:r>
      <w:r w:rsidRPr="00410D1B">
        <w:rPr>
          <w:rFonts w:ascii="IPT.Zar" w:hAnsi="IPT.Zar" w:cs="B Zar"/>
          <w:rtl/>
        </w:rPr>
        <w:t>چاندوگيا اوپانيشاد: 8: 12: 1 ترجمه داراشكوه ج 1، ص 165</w:t>
      </w:r>
    </w:p>
  </w:footnote>
  <w:footnote w:id="626">
    <w:p w:rsidR="00C8559C" w:rsidRPr="006A4F74" w:rsidP="00FF7E11">
      <w:pPr>
        <w:pStyle w:val="FootnoteText"/>
        <w:ind w:left="227" w:right="0" w:hanging="227"/>
        <w:jc w:val="both"/>
        <w:rPr>
          <w:rFonts w:ascii="IPT.Zar" w:hAnsi="IPT.Zar" w:cs="B Zar"/>
          <w:rtl/>
        </w:rPr>
      </w:pPr>
      <w:r w:rsidRPr="003A183A">
        <w:rPr>
          <w:rStyle w:val="FootnoteReference"/>
          <w:rFonts w:ascii="IPT.Zar" w:hAnsi="IPT.Zar" w:cs="B Zar"/>
          <w:sz w:val="24"/>
          <w:szCs w:val="24"/>
          <w:vertAlign w:val="baseline"/>
        </w:rPr>
        <w:footnoteRef/>
      </w:r>
      <w:r w:rsidRPr="006A4F74">
        <w:rPr>
          <w:rFonts w:ascii="IPT.Zar" w:hAnsi="IPT.Zar" w:cs="B Zar"/>
        </w:rPr>
        <w:sym w:font="IPT.Zar" w:char="F020"/>
      </w:r>
      <w:r w:rsidRPr="006A4F74">
        <w:rPr>
          <w:rFonts w:ascii="IPT.Zar" w:hAnsi="IPT.Zar" w:cs="B Zar"/>
          <w:rtl/>
        </w:rPr>
        <w:t>.همان: 13:8 :1-5 ترجمه داراشكوه، ج 1، ص 165-166</w:t>
      </w:r>
    </w:p>
  </w:footnote>
  <w:footnote w:id="627">
    <w:p w:rsidR="00C8559C" w:rsidRPr="00410D1B" w:rsidP="00F72269">
      <w:pPr>
        <w:pStyle w:val="FootnoteText"/>
        <w:ind w:left="0" w:right="0"/>
        <w:jc w:val="right"/>
        <w:rPr>
          <w:rFonts w:hint="cs"/>
          <w:sz w:val="18"/>
          <w:szCs w:val="18"/>
          <w:rtl/>
        </w:rPr>
      </w:pPr>
      <w:r w:rsidRPr="00410D1B">
        <w:rPr>
          <w:rStyle w:val="FootnoteReference"/>
          <w:sz w:val="18"/>
          <w:szCs w:val="18"/>
          <w:vertAlign w:val="baseline"/>
        </w:rPr>
        <w:footnoteRef/>
      </w:r>
      <w:r w:rsidRPr="00410D1B">
        <w:rPr>
          <w:sz w:val="18"/>
          <w:szCs w:val="18"/>
        </w:rPr>
        <w:t xml:space="preserve">  </w:t>
      </w:r>
      <w:r w:rsidRPr="00410D1B">
        <w:rPr>
          <w:rFonts w:cs="Yagut"/>
          <w:sz w:val="18"/>
          <w:szCs w:val="18"/>
        </w:rPr>
        <w:t>Sixty Upanishads of Veda, ed and Tr by Paul Deusson, v 2, p 605</w:t>
      </w:r>
    </w:p>
  </w:footnote>
  <w:footnote w:id="628">
    <w:p w:rsidR="00C8559C" w:rsidRPr="006A4F74" w:rsidP="00FF7E11">
      <w:pPr>
        <w:pStyle w:val="FootnoteText"/>
        <w:ind w:left="227" w:right="0" w:hanging="227"/>
        <w:jc w:val="both"/>
        <w:rPr>
          <w:rFonts w:ascii="IPT.Zar" w:hAnsi="IPT.Zar" w:cs="B Zar"/>
          <w:rtl/>
        </w:rPr>
      </w:pPr>
      <w:r w:rsidRPr="00C6681E">
        <w:rPr>
          <w:rStyle w:val="FootnoteReference"/>
          <w:rFonts w:ascii="IPT.Zar" w:hAnsi="IPT.Zar" w:cs="B Zar"/>
          <w:sz w:val="24"/>
          <w:szCs w:val="24"/>
          <w:vertAlign w:val="baseline"/>
        </w:rPr>
        <w:footnoteRef/>
      </w:r>
      <w:r w:rsidRPr="00C6681E">
        <w:rPr>
          <w:rFonts w:ascii="IPT.Zar" w:hAnsi="IPT.Zar" w:cs="B Zar"/>
          <w:sz w:val="24"/>
          <w:szCs w:val="24"/>
        </w:rPr>
        <w:sym w:font="IPT.Zar" w:char="F020"/>
      </w:r>
      <w:r w:rsidRPr="006A4F74">
        <w:rPr>
          <w:rFonts w:ascii="IPT.Zar" w:hAnsi="IPT.Zar" w:cs="B Zar"/>
          <w:rtl/>
        </w:rPr>
        <w:t>. سروا اوپانيشاد: 8، ديوسن ص 658</w:t>
      </w:r>
    </w:p>
  </w:footnote>
  <w:footnote w:id="629">
    <w:p w:rsidR="00C8559C" w:rsidRPr="00410D1B" w:rsidP="00F72269">
      <w:pPr>
        <w:pStyle w:val="FootnoteText"/>
        <w:ind w:left="0" w:right="0"/>
        <w:jc w:val="right"/>
        <w:rPr>
          <w:sz w:val="18"/>
          <w:szCs w:val="18"/>
        </w:rPr>
      </w:pPr>
      <w:r w:rsidRPr="00410D1B">
        <w:rPr>
          <w:rStyle w:val="FootnoteReference"/>
          <w:sz w:val="18"/>
          <w:szCs w:val="18"/>
          <w:vertAlign w:val="baseline"/>
        </w:rPr>
        <w:footnoteRef/>
      </w:r>
      <w:r w:rsidRPr="00410D1B">
        <w:rPr>
          <w:sz w:val="18"/>
          <w:szCs w:val="18"/>
        </w:rPr>
        <w:t xml:space="preserve">  </w:t>
      </w:r>
      <w:r w:rsidRPr="00410D1B">
        <w:rPr>
          <w:rFonts w:cs="B Zar"/>
          <w:sz w:val="18"/>
          <w:szCs w:val="18"/>
        </w:rPr>
        <w:t xml:space="preserve">Williams, Sir Monier : Sanskrit Laxicon, </w:t>
      </w:r>
      <w:smartTag w:uri="urn:schemas-microsoft-com:office:smarttags" w:element="place">
        <w:smartTag w:uri="urn:schemas-microsoft-com:office:smarttags" w:element="City">
          <w:r w:rsidRPr="00410D1B">
            <w:rPr>
              <w:rFonts w:cs="B Zar"/>
              <w:sz w:val="18"/>
              <w:szCs w:val="18"/>
            </w:rPr>
            <w:t>New Delhi</w:t>
          </w:r>
        </w:smartTag>
      </w:smartTag>
      <w:r w:rsidRPr="00410D1B">
        <w:rPr>
          <w:rFonts w:cs="B Zar"/>
          <w:sz w:val="18"/>
          <w:szCs w:val="18"/>
        </w:rPr>
        <w:t>. 1965, p 135</w:t>
      </w:r>
    </w:p>
  </w:footnote>
  <w:footnote w:id="630">
    <w:p w:rsidR="00C8559C" w:rsidRPr="006A4F74" w:rsidP="00292991">
      <w:pPr>
        <w:pStyle w:val="FootnoteText"/>
        <w:ind w:left="227" w:right="0" w:hanging="227"/>
        <w:jc w:val="both"/>
        <w:rPr>
          <w:rFonts w:ascii="IPT.Zar" w:hAnsi="IPT.Zar" w:cs="B Zar"/>
          <w:rtl/>
        </w:rPr>
      </w:pPr>
      <w:r w:rsidRPr="00292991">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ريگ ودا: 97:10 :11</w:t>
      </w:r>
    </w:p>
  </w:footnote>
  <w:footnote w:id="631">
    <w:p w:rsidR="00C8559C" w:rsidRPr="006A4F74" w:rsidP="00292991">
      <w:pPr>
        <w:pStyle w:val="FootnoteText"/>
        <w:ind w:left="227" w:right="0" w:hanging="227"/>
        <w:jc w:val="both"/>
        <w:rPr>
          <w:rFonts w:ascii="IPT.Zar" w:hAnsi="IPT.Zar" w:cs="B Zar"/>
          <w:rtl/>
        </w:rPr>
      </w:pPr>
      <w:r w:rsidRPr="00292991">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سات پات برهمانا: 1</w:t>
      </w:r>
    </w:p>
  </w:footnote>
  <w:footnote w:id="632">
    <w:p w:rsidR="00C8559C" w:rsidRPr="006A4F74" w:rsidP="00292991">
      <w:pPr>
        <w:pStyle w:val="FootnoteText"/>
        <w:ind w:left="227" w:right="0" w:hanging="227"/>
        <w:jc w:val="both"/>
        <w:rPr>
          <w:rFonts w:ascii="IPT.Zar" w:hAnsi="IPT.Zar" w:cs="B Zar"/>
          <w:rtl/>
        </w:rPr>
      </w:pPr>
      <w:r w:rsidRPr="00292991">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مانو: دهرم شاستر 46:7</w:t>
      </w:r>
    </w:p>
  </w:footnote>
  <w:footnote w:id="633">
    <w:p w:rsidR="00C8559C" w:rsidRPr="006A4F74" w:rsidP="00FF7E11">
      <w:pPr>
        <w:pStyle w:val="FootnoteText"/>
        <w:ind w:left="227" w:right="0" w:hanging="227"/>
        <w:jc w:val="both"/>
        <w:rPr>
          <w:rFonts w:ascii="IPT.Zar" w:hAnsi="IPT.Zar" w:cs="B Zar"/>
          <w:rtl/>
        </w:rPr>
      </w:pPr>
      <w:r w:rsidRPr="00292991">
        <w:rPr>
          <w:rStyle w:val="FootnoteReference"/>
          <w:rFonts w:ascii="IPT.Zar" w:hAnsi="IPT.Zar" w:cs="B Zar"/>
          <w:sz w:val="24"/>
          <w:szCs w:val="24"/>
          <w:vertAlign w:val="baseline"/>
        </w:rPr>
        <w:footnoteRef/>
      </w:r>
      <w:r w:rsidRPr="006A4F74">
        <w:rPr>
          <w:rFonts w:ascii="IPT.Zar" w:hAnsi="IPT.Zar" w:cs="B Zar"/>
        </w:rPr>
        <w:sym w:font="IPT.Zar" w:char="F020"/>
      </w:r>
      <w:r w:rsidRPr="006A4F74">
        <w:rPr>
          <w:rFonts w:ascii="IPT.Zar" w:hAnsi="IPT.Zar" w:cs="B Zar"/>
          <w:rtl/>
        </w:rPr>
        <w:t>. چاندوگيا اوپانيشاد: 3:4 :2</w:t>
      </w:r>
    </w:p>
  </w:footnote>
  <w:footnote w:id="634">
    <w:p w:rsidR="00C8559C" w:rsidRPr="006A4F74" w:rsidP="00FF7E11">
      <w:pPr>
        <w:pStyle w:val="FootnoteText"/>
        <w:ind w:left="227" w:right="0" w:hanging="227"/>
        <w:jc w:val="both"/>
        <w:rPr>
          <w:rFonts w:ascii="IPT.Zar" w:hAnsi="IPT.Zar" w:cs="B Zar"/>
          <w:rtl/>
        </w:rPr>
      </w:pPr>
      <w:r w:rsidRPr="00292991">
        <w:rPr>
          <w:rStyle w:val="FootnoteReference"/>
          <w:rFonts w:ascii="IPT.Zar" w:hAnsi="IPT.Zar" w:cs="B Zar"/>
          <w:sz w:val="24"/>
          <w:szCs w:val="24"/>
          <w:vertAlign w:val="baseline"/>
        </w:rPr>
        <w:footnoteRef/>
      </w:r>
      <w:r w:rsidRPr="006A4F74">
        <w:rPr>
          <w:rFonts w:ascii="IPT.Zar" w:hAnsi="IPT.Zar" w:cs="B Zar"/>
        </w:rPr>
        <w:sym w:font="IPT.Zar" w:char="F020"/>
      </w:r>
      <w:r w:rsidRPr="006A4F74">
        <w:rPr>
          <w:rFonts w:ascii="IPT.Zar" w:hAnsi="IPT.Zar" w:cs="B Zar"/>
          <w:rtl/>
        </w:rPr>
        <w:t>. همان: 7:1 : 2</w:t>
      </w:r>
    </w:p>
  </w:footnote>
  <w:footnote w:id="635">
    <w:p w:rsidR="00C8559C" w:rsidRPr="006A4F74" w:rsidP="00D6371B">
      <w:pPr>
        <w:pStyle w:val="FootnoteText"/>
        <w:ind w:left="227" w:right="0" w:hanging="227"/>
        <w:jc w:val="both"/>
        <w:rPr>
          <w:rFonts w:ascii="IPT.Zar" w:hAnsi="IPT.Zar" w:cs="B Zar"/>
          <w:rtl/>
        </w:rPr>
      </w:pPr>
      <w:r w:rsidRPr="00292991">
        <w:rPr>
          <w:rStyle w:val="FootnoteReference"/>
          <w:rFonts w:ascii="IPT.Zar" w:hAnsi="IPT.Zar" w:cs="B Zar"/>
          <w:sz w:val="24"/>
          <w:szCs w:val="24"/>
          <w:vertAlign w:val="baseline"/>
        </w:rPr>
        <w:footnoteRef/>
      </w:r>
      <w:r w:rsidRPr="006A4F74">
        <w:rPr>
          <w:rFonts w:ascii="IPT.Zar" w:hAnsi="IPT.Zar" w:cs="B Zar"/>
        </w:rPr>
        <w:sym w:font="IPT.Zar" w:char="F020"/>
      </w:r>
      <w:r w:rsidRPr="006A4F74">
        <w:rPr>
          <w:rFonts w:ascii="IPT.Zar" w:hAnsi="IPT.Zar" w:cs="B Zar"/>
          <w:rtl/>
        </w:rPr>
        <w:t>. برهدارانياكا اوپانيشاد: 1: 10:5</w:t>
      </w:r>
    </w:p>
  </w:footnote>
  <w:footnote w:id="636">
    <w:p w:rsidR="00C8559C" w:rsidRPr="006A4F74" w:rsidP="00D6371B">
      <w:pPr>
        <w:pStyle w:val="FootnoteText"/>
        <w:ind w:left="227" w:right="0" w:hanging="227"/>
        <w:jc w:val="both"/>
        <w:rPr>
          <w:rFonts w:ascii="IPT Lotus" w:hAnsi="IPT Lotus" w:hint="cs"/>
          <w:rtl/>
        </w:rPr>
      </w:pPr>
      <w:r w:rsidRPr="00292991">
        <w:rPr>
          <w:rStyle w:val="FootnoteReference"/>
          <w:rFonts w:ascii="IPT.Zar" w:hAnsi="IPT.Zar" w:cs="B Zar"/>
          <w:sz w:val="24"/>
          <w:szCs w:val="24"/>
          <w:vertAlign w:val="baseline"/>
        </w:rPr>
        <w:footnoteRef/>
      </w:r>
      <w:r w:rsidRPr="006A4F74">
        <w:rPr>
          <w:rFonts w:ascii="IPT.Zar" w:hAnsi="IPT.Zar" w:cs="B Zar"/>
        </w:rPr>
        <w:sym w:font="IPT.Zar" w:char="F020"/>
      </w:r>
      <w:r w:rsidRPr="006A4F74">
        <w:rPr>
          <w:rFonts w:ascii="IPT.Zar" w:hAnsi="IPT.Zar" w:cs="B Zar"/>
          <w:rtl/>
        </w:rPr>
        <w:t>. چاندوگيا اوپانيشاد: 13:1 : 1</w:t>
      </w:r>
    </w:p>
  </w:footnote>
  <w:footnote w:id="637">
    <w:p w:rsidR="00C8559C" w:rsidRPr="006A4F74" w:rsidP="00292991">
      <w:pPr>
        <w:pStyle w:val="FootnoteText"/>
        <w:ind w:left="227" w:right="0" w:hanging="227"/>
        <w:jc w:val="both"/>
        <w:rPr>
          <w:rFonts w:ascii="IPT.Zar" w:hAnsi="IPT.Zar" w:cs="B Zar"/>
          <w:rtl/>
        </w:rPr>
      </w:pPr>
      <w:r w:rsidRPr="00292991">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آتاريا اوپانيشاد: 2:2 :1</w:t>
      </w:r>
    </w:p>
  </w:footnote>
  <w:footnote w:id="638">
    <w:p w:rsidR="00C8559C" w:rsidRPr="006A4F74" w:rsidP="00292991">
      <w:pPr>
        <w:pStyle w:val="FootnoteText"/>
        <w:ind w:left="227" w:right="0" w:hanging="227"/>
        <w:jc w:val="both"/>
        <w:rPr>
          <w:rFonts w:ascii="IPT.Zar" w:hAnsi="IPT.Zar" w:cs="B Zar"/>
          <w:rtl/>
        </w:rPr>
      </w:pPr>
      <w:r w:rsidRPr="00292991">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كاوسيتاكي اوپانيشاد: 8:3</w:t>
      </w:r>
    </w:p>
  </w:footnote>
  <w:footnote w:id="639">
    <w:p w:rsidR="00C8559C" w:rsidRPr="006A4F74" w:rsidP="00292991">
      <w:pPr>
        <w:pStyle w:val="FootnoteText"/>
        <w:ind w:left="227" w:right="0" w:hanging="227"/>
        <w:jc w:val="both"/>
        <w:rPr>
          <w:rFonts w:ascii="IPT.Zar" w:hAnsi="IPT.Zar" w:cs="B Zar"/>
          <w:rtl/>
        </w:rPr>
      </w:pPr>
      <w:r w:rsidRPr="00292991">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كاتها اوپانيشاد: 1: 12:2</w:t>
      </w:r>
    </w:p>
  </w:footnote>
  <w:footnote w:id="640">
    <w:p w:rsidR="00C8559C" w:rsidRPr="006A4F74" w:rsidP="00292991">
      <w:pPr>
        <w:pStyle w:val="FootnoteText"/>
        <w:ind w:left="227" w:right="0" w:hanging="227"/>
        <w:jc w:val="both"/>
        <w:rPr>
          <w:rFonts w:ascii="IPT Lotus" w:hAnsi="IPT Lotus" w:hint="cs"/>
          <w:rtl/>
        </w:rPr>
      </w:pPr>
      <w:r w:rsidRPr="006A4F74">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چاندوگيا اوپانيشاد: 3: 3:4</w:t>
      </w:r>
    </w:p>
  </w:footnote>
  <w:footnote w:id="641">
    <w:p w:rsidR="00C8559C" w:rsidRPr="006A4F74" w:rsidP="00292991">
      <w:pPr>
        <w:pStyle w:val="FootnoteText"/>
        <w:ind w:left="227" w:right="0" w:hanging="227"/>
        <w:jc w:val="both"/>
        <w:rPr>
          <w:rFonts w:ascii="IPT.Zar" w:hAnsi="IPT.Zar" w:cs="B Zar"/>
          <w:rtl/>
        </w:rPr>
      </w:pPr>
      <w:r w:rsidRPr="006A4F74">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پرسنا اوپانيشاد: 7:1</w:t>
      </w:r>
    </w:p>
  </w:footnote>
  <w:footnote w:id="642">
    <w:p w:rsidR="00C8559C" w:rsidRPr="006A4F74" w:rsidP="00292991">
      <w:pPr>
        <w:pStyle w:val="FootnoteText"/>
        <w:ind w:left="227" w:right="0" w:hanging="227"/>
        <w:jc w:val="both"/>
        <w:rPr>
          <w:rFonts w:ascii="IPT.Zar" w:hAnsi="IPT.Zar" w:cs="B Zar"/>
          <w:rtl/>
        </w:rPr>
      </w:pPr>
      <w:r w:rsidRPr="006A4F74">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چاندوگيا اوپانيشاد: 14:3</w:t>
      </w:r>
    </w:p>
  </w:footnote>
  <w:footnote w:id="643">
    <w:p w:rsidR="00C8559C" w:rsidRPr="006A4F74" w:rsidP="00292991">
      <w:pPr>
        <w:pStyle w:val="FootnoteText"/>
        <w:ind w:left="227" w:right="0" w:hanging="227"/>
        <w:jc w:val="both"/>
        <w:rPr>
          <w:rFonts w:ascii="IPT Lotus" w:hAnsi="IPT Lotus" w:hint="cs"/>
          <w:rtl/>
        </w:rPr>
      </w:pPr>
      <w:r w:rsidRPr="00292991">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همان: 91:1</w:t>
      </w:r>
    </w:p>
  </w:footnote>
  <w:footnote w:id="644">
    <w:p w:rsidR="00C8559C" w:rsidRPr="006A4F74" w:rsidP="002D2796">
      <w:pPr>
        <w:pStyle w:val="FootnoteText"/>
        <w:ind w:left="227" w:right="0" w:hanging="227"/>
        <w:jc w:val="both"/>
        <w:rPr>
          <w:rFonts w:ascii="IPT.Zar" w:hAnsi="IPT.Zar" w:cs="B Zar"/>
          <w:rtl/>
        </w:rPr>
      </w:pPr>
      <w:r w:rsidRPr="00292991">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مونداكا اوپانيشاد: 1:1</w:t>
      </w:r>
    </w:p>
  </w:footnote>
  <w:footnote w:id="645">
    <w:p w:rsidR="00C8559C" w:rsidRPr="00410D1B" w:rsidP="004E3AA0">
      <w:pPr>
        <w:pStyle w:val="FootnoteText"/>
        <w:bidi w:val="0"/>
        <w:spacing w:line="240" w:lineRule="auto"/>
        <w:rPr>
          <w:rFonts w:ascii="IPT.Zar" w:hAnsi="IPT.Zar" w:hint="cs"/>
          <w:sz w:val="18"/>
          <w:szCs w:val="18"/>
          <w:rtl/>
        </w:rPr>
      </w:pPr>
      <w:r w:rsidRPr="00410D1B">
        <w:rPr>
          <w:rStyle w:val="FootnoteReference"/>
          <w:rFonts w:cs="Times New Roman"/>
          <w:sz w:val="18"/>
          <w:szCs w:val="18"/>
          <w:vertAlign w:val="baseline"/>
        </w:rPr>
        <w:footnoteRef/>
      </w:r>
      <w:r w:rsidRPr="00410D1B">
        <w:rPr>
          <w:rFonts w:cs="Times New Roman"/>
          <w:sz w:val="18"/>
          <w:szCs w:val="18"/>
        </w:rPr>
        <w:t xml:space="preserve">. </w:t>
      </w:r>
      <w:r w:rsidRPr="00410D1B">
        <w:rPr>
          <w:sz w:val="18"/>
          <w:szCs w:val="18"/>
        </w:rPr>
        <w:t>Tilak, Bal Ganga Dhar: Gita- Rahasya, Poone, 1932</w:t>
      </w:r>
    </w:p>
  </w:footnote>
  <w:footnote w:id="646">
    <w:p w:rsidR="00C8559C" w:rsidRPr="006A4F74" w:rsidP="00A95085">
      <w:pPr>
        <w:pStyle w:val="FootnoteText"/>
        <w:ind w:left="227" w:right="0" w:hanging="227"/>
        <w:jc w:val="both"/>
        <w:rPr>
          <w:rFonts w:ascii="IPT.Zar" w:hAnsi="IPT.Zar" w:cs="B Zar"/>
          <w:rtl/>
        </w:rPr>
      </w:pPr>
      <w:r w:rsidRPr="00A95085">
        <w:rPr>
          <w:rStyle w:val="FootnoteReference"/>
          <w:rFonts w:ascii="IPT.Zar" w:hAnsi="IPT.Zar" w:cs="B Zar"/>
          <w:sz w:val="24"/>
          <w:szCs w:val="24"/>
          <w:vertAlign w:val="baseline"/>
        </w:rPr>
        <w:footnoteRef/>
      </w:r>
      <w:r w:rsidRPr="006A4F74">
        <w:rPr>
          <w:rFonts w:ascii="IPT.Zar" w:hAnsi="IPT.Zar" w:cs="B Zar"/>
          <w:rtl/>
        </w:rPr>
        <w:t>.</w:t>
      </w:r>
      <w:r>
        <w:rPr>
          <w:rFonts w:ascii="IPT.Zar" w:hAnsi="IPT.Zar" w:cs="B Zar" w:hint="cs"/>
          <w:rtl/>
        </w:rPr>
        <w:tab/>
      </w:r>
      <w:r w:rsidRPr="006A4F74">
        <w:rPr>
          <w:rFonts w:ascii="IPT.Zar" w:hAnsi="IPT.Zar" w:cs="B Zar"/>
          <w:rtl/>
        </w:rPr>
        <w:t xml:space="preserve"> همان</w:t>
      </w:r>
    </w:p>
  </w:footnote>
  <w:footnote w:id="647">
    <w:p w:rsidR="00C8559C" w:rsidRPr="006A4F74" w:rsidP="00A95085">
      <w:pPr>
        <w:pStyle w:val="FootnoteText"/>
        <w:ind w:left="227" w:right="0" w:hanging="227"/>
        <w:jc w:val="both"/>
        <w:rPr>
          <w:rFonts w:ascii="IPT.Zar" w:hAnsi="IPT.Zar" w:hint="cs"/>
          <w:rtl/>
        </w:rPr>
      </w:pPr>
      <w:r w:rsidRPr="00A95085">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همان</w:t>
      </w:r>
    </w:p>
  </w:footnote>
  <w:footnote w:id="648">
    <w:p w:rsidR="00C8559C" w:rsidRPr="006A4F74" w:rsidP="003F3D74">
      <w:pPr>
        <w:pStyle w:val="FootnoteText"/>
        <w:ind w:left="227" w:right="0" w:hanging="227"/>
        <w:jc w:val="both"/>
        <w:rPr>
          <w:rFonts w:ascii="IPT.Zar" w:hAnsi="IPT.Zar" w:cs="B Zar" w:hint="cs"/>
          <w:rtl/>
        </w:rPr>
      </w:pPr>
      <w:r w:rsidRPr="003F3D74">
        <w:rPr>
          <w:rStyle w:val="FootnoteReference"/>
          <w:rFonts w:ascii="IPT.Zar" w:hAnsi="IPT.Zar" w:cs="B Zar"/>
          <w:sz w:val="24"/>
          <w:szCs w:val="24"/>
          <w:vertAlign w:val="baseline"/>
        </w:rPr>
        <w:footnoteRef/>
      </w:r>
      <w:r w:rsidRPr="006A4F74">
        <w:rPr>
          <w:rFonts w:ascii="IPT.Zar" w:hAnsi="IPT.Zar" w:cs="B Zar" w:hint="cs"/>
          <w:rtl/>
        </w:rPr>
        <w:t xml:space="preserve">. </w:t>
      </w:r>
      <w:r>
        <w:rPr>
          <w:rFonts w:ascii="IPT.Zar" w:hAnsi="IPT.Zar" w:cs="B Zar" w:hint="cs"/>
          <w:rtl/>
        </w:rPr>
        <w:tab/>
      </w:r>
      <w:r w:rsidRPr="006A4F74">
        <w:rPr>
          <w:rFonts w:ascii="IPT.Zar" w:hAnsi="IPT.Zar" w:cs="B Zar" w:hint="cs"/>
          <w:rtl/>
        </w:rPr>
        <w:t>ريگ ودا: 164:1، 10: 5:115</w:t>
      </w:r>
    </w:p>
  </w:footnote>
  <w:footnote w:id="649">
    <w:p w:rsidR="00C8559C" w:rsidRPr="006A4F74" w:rsidP="003F3D74">
      <w:pPr>
        <w:pStyle w:val="FootnoteText"/>
        <w:ind w:left="227" w:right="0" w:hanging="227"/>
        <w:jc w:val="both"/>
        <w:rPr>
          <w:rFonts w:ascii="IPT.Zar" w:hAnsi="IPT.Zar" w:hint="cs"/>
          <w:rtl/>
        </w:rPr>
      </w:pPr>
      <w:r w:rsidRPr="003F3D74">
        <w:rPr>
          <w:rStyle w:val="FootnoteReference"/>
          <w:rFonts w:ascii="IPT.Zar" w:hAnsi="IPT.Zar" w:cs="B Zar"/>
          <w:sz w:val="24"/>
          <w:szCs w:val="24"/>
          <w:vertAlign w:val="baseline"/>
        </w:rPr>
        <w:footnoteRef/>
      </w:r>
      <w:r w:rsidRPr="006A4F74">
        <w:rPr>
          <w:rFonts w:ascii="IPT.Zar" w:hAnsi="IPT.Zar" w:cs="B Zar" w:hint="cs"/>
          <w:rtl/>
        </w:rPr>
        <w:t xml:space="preserve">. </w:t>
      </w:r>
      <w:r>
        <w:rPr>
          <w:rFonts w:ascii="IPT.Zar" w:hAnsi="IPT.Zar" w:cs="B Zar" w:hint="cs"/>
          <w:rtl/>
        </w:rPr>
        <w:tab/>
      </w:r>
      <w:r w:rsidRPr="006A4F74">
        <w:rPr>
          <w:rFonts w:ascii="IPT.Zar" w:hAnsi="IPT.Zar" w:cs="B Zar" w:hint="cs"/>
          <w:rtl/>
        </w:rPr>
        <w:t>تيلاك: گيتا رهسيه: ج 1، ص 1</w:t>
      </w:r>
    </w:p>
  </w:footnote>
  <w:footnote w:id="650">
    <w:p w:rsidR="00C8559C" w:rsidRPr="00C978A0" w:rsidP="003F3D74">
      <w:pPr>
        <w:pStyle w:val="FootnoteText"/>
        <w:bidi w:val="0"/>
        <w:ind w:left="180" w:hanging="180"/>
        <w:jc w:val="left"/>
        <w:rPr>
          <w:rFonts w:ascii="IPT.Zar" w:hAnsi="IPT.Zar" w:hint="cs"/>
          <w:sz w:val="18"/>
          <w:szCs w:val="18"/>
          <w:rtl/>
        </w:rPr>
      </w:pPr>
      <w:r>
        <w:rPr>
          <w:sz w:val="18"/>
          <w:szCs w:val="18"/>
        </w:rPr>
        <w:t xml:space="preserve">1. </w:t>
      </w:r>
      <w:r w:rsidRPr="00C978A0">
        <w:rPr>
          <w:sz w:val="18"/>
          <w:szCs w:val="18"/>
        </w:rPr>
        <w:t xml:space="preserve">Radhakrishnan, Dr:  Interpretation of Gita, </w:t>
      </w:r>
      <w:smartTag w:uri="urn:schemas-microsoft-com:office:smarttags" w:element="place">
        <w:smartTag w:uri="urn:schemas-microsoft-com:office:smarttags" w:element="City">
          <w:r w:rsidRPr="00C978A0">
            <w:rPr>
              <w:sz w:val="18"/>
              <w:szCs w:val="18"/>
            </w:rPr>
            <w:t>Oxford</w:t>
          </w:r>
        </w:smartTag>
      </w:smartTag>
      <w:r w:rsidRPr="00C978A0">
        <w:rPr>
          <w:sz w:val="18"/>
          <w:szCs w:val="18"/>
        </w:rPr>
        <w:t>, 1958, p 43</w:t>
      </w:r>
    </w:p>
  </w:footnote>
  <w:footnote w:id="651">
    <w:p w:rsidR="00C8559C" w:rsidRPr="00C978A0" w:rsidP="00C978A0">
      <w:pPr>
        <w:pStyle w:val="FootnoteText"/>
        <w:spacing w:line="240" w:lineRule="auto"/>
        <w:ind w:left="0" w:right="0"/>
        <w:jc w:val="right"/>
        <w:rPr>
          <w:sz w:val="18"/>
          <w:szCs w:val="18"/>
        </w:rPr>
      </w:pPr>
      <w:r w:rsidRPr="00C978A0">
        <w:rPr>
          <w:rStyle w:val="FootnoteReference"/>
          <w:sz w:val="18"/>
          <w:szCs w:val="18"/>
          <w:vertAlign w:val="baseline"/>
        </w:rPr>
        <w:footnoteRef/>
      </w:r>
      <w:r w:rsidRPr="00C978A0">
        <w:rPr>
          <w:sz w:val="18"/>
          <w:szCs w:val="18"/>
        </w:rPr>
        <w:t xml:space="preserve">  Radhakrishnan, Dr:  Interpretation of Gita, </w:t>
      </w:r>
      <w:smartTag w:uri="urn:schemas-microsoft-com:office:smarttags" w:element="place">
        <w:smartTag w:uri="urn:schemas-microsoft-com:office:smarttags" w:element="City">
          <w:r w:rsidRPr="00C978A0">
            <w:rPr>
              <w:sz w:val="18"/>
              <w:szCs w:val="18"/>
            </w:rPr>
            <w:t>Oxford</w:t>
          </w:r>
        </w:smartTag>
      </w:smartTag>
      <w:r w:rsidRPr="00C978A0">
        <w:rPr>
          <w:sz w:val="18"/>
          <w:szCs w:val="18"/>
        </w:rPr>
        <w:t>, 1958, p 11</w:t>
      </w:r>
    </w:p>
  </w:footnote>
  <w:footnote w:id="652">
    <w:p w:rsidR="00C8559C" w:rsidRPr="006A4F74" w:rsidP="004E3AA0">
      <w:pPr>
        <w:pStyle w:val="FootnoteText"/>
        <w:spacing w:line="240" w:lineRule="auto"/>
        <w:ind w:left="0" w:right="0"/>
        <w:jc w:val="right"/>
      </w:pPr>
      <w:r w:rsidRPr="00C978A0">
        <w:rPr>
          <w:rStyle w:val="FootnoteReference"/>
          <w:sz w:val="18"/>
          <w:szCs w:val="18"/>
          <w:vertAlign w:val="baseline"/>
        </w:rPr>
        <w:footnoteRef/>
      </w:r>
      <w:r w:rsidRPr="00C978A0">
        <w:rPr>
          <w:sz w:val="18"/>
          <w:szCs w:val="18"/>
        </w:rPr>
        <w:t xml:space="preserve">  Tilak, Bal Ganga Dhar: Gita- Rahasya, Poone, 1932, p 4</w:t>
      </w:r>
    </w:p>
  </w:footnote>
  <w:footnote w:id="653">
    <w:p w:rsidR="00C8559C" w:rsidRPr="006A4F74" w:rsidP="00EA6A51">
      <w:pPr>
        <w:pStyle w:val="FootnoteText"/>
        <w:ind w:left="227" w:right="0" w:hanging="227"/>
        <w:jc w:val="both"/>
        <w:rPr>
          <w:rFonts w:ascii="IPT.Zar" w:hAnsi="IPT.Zar" w:cs="B Zar" w:hint="cs"/>
          <w:rtl/>
        </w:rPr>
      </w:pPr>
      <w:r w:rsidRPr="003F3D74">
        <w:rPr>
          <w:rStyle w:val="FootnoteReference"/>
          <w:rFonts w:ascii="IPT.Zar" w:hAnsi="IPT.Zar" w:cs="B Zar"/>
          <w:sz w:val="24"/>
          <w:szCs w:val="24"/>
          <w:vertAlign w:val="baseline"/>
        </w:rPr>
        <w:footnoteRef/>
      </w:r>
      <w:r w:rsidRPr="006A4F74">
        <w:rPr>
          <w:rFonts w:ascii="IPT.Zar" w:hAnsi="IPT.Zar" w:cs="B Zar"/>
        </w:rPr>
        <w:sym w:font="IPT.Zar" w:char="F020"/>
      </w:r>
      <w:r w:rsidRPr="006A4F74">
        <w:rPr>
          <w:rFonts w:ascii="IPT.Zar" w:hAnsi="IPT.Zar" w:cs="B Zar" w:hint="cs"/>
          <w:rtl/>
        </w:rPr>
        <w:t>. مهاتماگاندي</w:t>
      </w:r>
    </w:p>
  </w:footnote>
  <w:footnote w:id="654">
    <w:p w:rsidR="00C8559C" w:rsidRPr="00C978A0" w:rsidP="004E3AA0">
      <w:pPr>
        <w:pStyle w:val="FootnoteText"/>
        <w:bidi w:val="0"/>
        <w:spacing w:line="240" w:lineRule="auto"/>
        <w:rPr>
          <w:rFonts w:cs="Times New Roman"/>
          <w:sz w:val="18"/>
          <w:szCs w:val="18"/>
          <w:rtl/>
        </w:rPr>
      </w:pPr>
      <w:r w:rsidRPr="00C978A0">
        <w:rPr>
          <w:rStyle w:val="FootnoteReference"/>
          <w:rFonts w:cs="Times New Roman"/>
          <w:sz w:val="18"/>
          <w:szCs w:val="18"/>
          <w:vertAlign w:val="baseline"/>
        </w:rPr>
        <w:footnoteRef/>
      </w:r>
      <w:r w:rsidRPr="00C978A0">
        <w:rPr>
          <w:rFonts w:cs="Times New Roman"/>
          <w:sz w:val="18"/>
          <w:szCs w:val="18"/>
          <w:rtl/>
        </w:rPr>
        <w:t>.</w:t>
      </w:r>
      <w:r w:rsidRPr="00C978A0">
        <w:rPr>
          <w:rFonts w:cs="Times New Roman"/>
          <w:sz w:val="18"/>
          <w:szCs w:val="18"/>
        </w:rPr>
        <w:t xml:space="preserve"> </w:t>
      </w:r>
      <w:r w:rsidRPr="00C978A0">
        <w:rPr>
          <w:rFonts w:cs="Times New Roman"/>
          <w:sz w:val="18"/>
          <w:szCs w:val="18"/>
          <w:rtl/>
        </w:rPr>
        <w:t xml:space="preserve"> </w:t>
      </w:r>
      <w:r w:rsidRPr="00C978A0">
        <w:rPr>
          <w:rFonts w:cs="Times New Roman"/>
          <w:sz w:val="18"/>
          <w:szCs w:val="18"/>
        </w:rPr>
        <w:t xml:space="preserve">Huxley, A: Gita, </w:t>
      </w:r>
      <w:smartTag w:uri="urn:schemas-microsoft-com:office:smarttags" w:element="place">
        <w:smartTag w:uri="urn:schemas-microsoft-com:office:smarttags" w:element="City">
          <w:r w:rsidRPr="00C978A0">
            <w:rPr>
              <w:rFonts w:cs="Times New Roman"/>
              <w:sz w:val="18"/>
              <w:szCs w:val="18"/>
            </w:rPr>
            <w:t>Cambridge</w:t>
          </w:r>
        </w:smartTag>
      </w:smartTag>
      <w:r w:rsidRPr="00C978A0">
        <w:rPr>
          <w:rFonts w:cs="Times New Roman"/>
          <w:sz w:val="18"/>
          <w:szCs w:val="18"/>
        </w:rPr>
        <w:t>, 1946</w:t>
      </w:r>
      <w:r w:rsidRPr="00C978A0">
        <w:rPr>
          <w:rFonts w:cs="Times New Roman"/>
          <w:sz w:val="18"/>
          <w:szCs w:val="18"/>
          <w:rtl/>
        </w:rPr>
        <w:t xml:space="preserve"> </w:t>
      </w:r>
      <w:r w:rsidRPr="00C978A0">
        <w:rPr>
          <w:rFonts w:cs="Times New Roman"/>
          <w:sz w:val="18"/>
          <w:szCs w:val="18"/>
        </w:rPr>
        <w:t>P 8</w:t>
      </w:r>
    </w:p>
  </w:footnote>
  <w:footnote w:id="655">
    <w:p w:rsidR="00C8559C" w:rsidRPr="006A4F74" w:rsidP="00EA6A51">
      <w:pPr>
        <w:pStyle w:val="FootnoteText"/>
        <w:ind w:left="227" w:right="0" w:hanging="227"/>
        <w:jc w:val="both"/>
        <w:rPr>
          <w:rFonts w:cs="B Zar" w:hint="cs"/>
          <w:rtl/>
        </w:rPr>
      </w:pPr>
      <w:r w:rsidRPr="008054E6">
        <w:rPr>
          <w:rStyle w:val="FootnoteReference"/>
          <w:rFonts w:ascii="IPT.Zar" w:hAnsi="IPT.Zar" w:cs="B Zar"/>
          <w:sz w:val="24"/>
          <w:szCs w:val="24"/>
          <w:vertAlign w:val="baseline"/>
        </w:rPr>
        <w:footnoteRef/>
      </w:r>
      <w:r w:rsidRPr="006A4F74">
        <w:rPr>
          <w:rFonts w:ascii="IPT.Lotus" w:hAnsi="IPT.Lotus" w:cs="B Zar"/>
        </w:rPr>
        <w:sym w:font="IPT.Lotus" w:char="F020"/>
      </w:r>
      <w:r w:rsidRPr="006A4F74">
        <w:rPr>
          <w:rFonts w:ascii="IPT.Lotus" w:hAnsi="IPT.Lotus" w:cs="B Zar" w:hint="cs"/>
          <w:rtl/>
        </w:rPr>
        <w:t>.</w:t>
      </w:r>
      <w:r w:rsidRPr="006A4F74">
        <w:rPr>
          <w:rFonts w:cs="B Zar" w:hint="cs"/>
          <w:rtl/>
        </w:rPr>
        <w:t xml:space="preserve"> مهاتما گاندي: مجموعه سخنراني ها: نقل از گيتا رهسيه ج 1، ص 71</w:t>
      </w:r>
    </w:p>
  </w:footnote>
  <w:footnote w:id="656">
    <w:p w:rsidR="00C8559C" w:rsidRPr="001B3410" w:rsidP="004E3AA0">
      <w:pPr>
        <w:pStyle w:val="FootnoteText"/>
        <w:bidi w:val="0"/>
        <w:spacing w:line="240" w:lineRule="auto"/>
        <w:rPr>
          <w:sz w:val="18"/>
          <w:szCs w:val="18"/>
        </w:rPr>
      </w:pPr>
      <w:r w:rsidRPr="001B3410">
        <w:rPr>
          <w:rStyle w:val="FootnoteReference"/>
          <w:rFonts w:cs="Times New Roman"/>
          <w:sz w:val="18"/>
          <w:szCs w:val="18"/>
          <w:vertAlign w:val="baseline"/>
        </w:rPr>
        <w:footnoteRef/>
      </w:r>
      <w:r w:rsidRPr="001B3410">
        <w:rPr>
          <w:rFonts w:cs="Times New Roman"/>
          <w:sz w:val="18"/>
          <w:szCs w:val="18"/>
        </w:rPr>
        <w:t>.</w:t>
      </w:r>
      <w:r w:rsidRPr="001B3410">
        <w:rPr>
          <w:sz w:val="18"/>
          <w:szCs w:val="18"/>
        </w:rPr>
        <w:t xml:space="preserve"> Edward Dimmock: The Lecture of </w:t>
      </w:r>
      <w:smartTag w:uri="urn:schemas-microsoft-com:office:smarttags" w:element="country-region">
        <w:r w:rsidRPr="001B3410">
          <w:rPr>
            <w:sz w:val="18"/>
            <w:szCs w:val="18"/>
          </w:rPr>
          <w:t>India</w:t>
        </w:r>
      </w:smartTag>
      <w:r w:rsidRPr="001B3410">
        <w:rPr>
          <w:sz w:val="18"/>
          <w:szCs w:val="18"/>
        </w:rPr>
        <w:t xml:space="preserve">, </w:t>
      </w:r>
      <w:smartTag w:uri="urn:schemas-microsoft-com:office:smarttags" w:element="place">
        <w:smartTag w:uri="urn:schemas-microsoft-com:office:smarttags" w:element="PlaceName">
          <w:r w:rsidRPr="001B3410">
            <w:rPr>
              <w:sz w:val="18"/>
              <w:szCs w:val="18"/>
            </w:rPr>
            <w:t>Chicago</w:t>
          </w:r>
        </w:smartTag>
        <w:r w:rsidRPr="001B3410">
          <w:rPr>
            <w:sz w:val="18"/>
            <w:szCs w:val="18"/>
          </w:rPr>
          <w:t xml:space="preserve"> </w:t>
        </w:r>
        <w:smartTag w:uri="urn:schemas-microsoft-com:office:smarttags" w:element="PlaceType">
          <w:r w:rsidRPr="001B3410">
            <w:rPr>
              <w:sz w:val="18"/>
              <w:szCs w:val="18"/>
            </w:rPr>
            <w:t>University</w:t>
          </w:r>
        </w:smartTag>
      </w:smartTag>
      <w:r w:rsidRPr="001B3410">
        <w:rPr>
          <w:sz w:val="18"/>
          <w:szCs w:val="18"/>
        </w:rPr>
        <w:t xml:space="preserve"> Press 1973</w:t>
      </w:r>
    </w:p>
  </w:footnote>
  <w:footnote w:id="657">
    <w:p w:rsidR="00C8559C" w:rsidRPr="006A4F74" w:rsidP="001E1D96">
      <w:pPr>
        <w:pStyle w:val="FootnoteText"/>
        <w:ind w:left="227" w:right="0" w:hanging="227"/>
        <w:jc w:val="both"/>
        <w:rPr>
          <w:rFonts w:cs="B Zar" w:hint="cs"/>
          <w:rtl/>
        </w:rPr>
      </w:pPr>
      <w:r w:rsidRPr="008054E6">
        <w:rPr>
          <w:rStyle w:val="FootnoteReference"/>
          <w:rFonts w:ascii="IPT.Zar" w:hAnsi="IPT.Zar" w:cs="B Zar"/>
          <w:sz w:val="24"/>
          <w:szCs w:val="24"/>
          <w:vertAlign w:val="baseline"/>
        </w:rPr>
        <w:footnoteRef/>
      </w:r>
      <w:r w:rsidRPr="006A4F74">
        <w:rPr>
          <w:rFonts w:cs="B Zar"/>
        </w:rPr>
        <w:t xml:space="preserve"> </w:t>
      </w:r>
      <w:r w:rsidRPr="006A4F74">
        <w:rPr>
          <w:rFonts w:cs="B Zar" w:hint="cs"/>
          <w:rtl/>
        </w:rPr>
        <w:t>.</w:t>
      </w:r>
      <w:r>
        <w:rPr>
          <w:rFonts w:cs="B Zar" w:hint="cs"/>
          <w:rtl/>
        </w:rPr>
        <w:t xml:space="preserve"> </w:t>
      </w:r>
      <w:r w:rsidRPr="006A4F74">
        <w:rPr>
          <w:rFonts w:cs="B Zar" w:hint="cs"/>
          <w:rtl/>
        </w:rPr>
        <w:t xml:space="preserve"> مهابهاراتا: 1: 36:56</w:t>
      </w:r>
    </w:p>
  </w:footnote>
  <w:footnote w:id="658">
    <w:p w:rsidR="00C8559C" w:rsidRPr="001B3410" w:rsidP="009B2C3A">
      <w:pPr>
        <w:pStyle w:val="FootnoteText"/>
        <w:bidi w:val="0"/>
        <w:spacing w:line="240" w:lineRule="auto"/>
        <w:rPr>
          <w:rFonts w:hint="cs"/>
          <w:sz w:val="18"/>
          <w:szCs w:val="18"/>
          <w:rtl/>
        </w:rPr>
      </w:pPr>
      <w:r w:rsidRPr="001B3410">
        <w:rPr>
          <w:rStyle w:val="FootnoteReference"/>
          <w:rFonts w:cs="Times New Roman"/>
          <w:sz w:val="18"/>
          <w:szCs w:val="18"/>
          <w:vertAlign w:val="baseline"/>
        </w:rPr>
        <w:footnoteRef/>
      </w:r>
      <w:r w:rsidRPr="001B3410">
        <w:rPr>
          <w:rFonts w:cs="Times New Roman" w:hint="cs"/>
          <w:sz w:val="18"/>
          <w:szCs w:val="18"/>
          <w:rtl/>
        </w:rPr>
        <w:t>.</w:t>
      </w:r>
      <w:r w:rsidRPr="001B3410">
        <w:rPr>
          <w:rFonts w:cs="Times New Roman"/>
          <w:sz w:val="18"/>
          <w:szCs w:val="18"/>
        </w:rPr>
        <w:t xml:space="preserve"> </w:t>
      </w:r>
      <w:r w:rsidRPr="001B3410">
        <w:rPr>
          <w:sz w:val="18"/>
          <w:szCs w:val="18"/>
        </w:rPr>
        <w:t>Von Buitenon: Mahabharata, Chicago, 1974, P 16-24</w:t>
      </w:r>
    </w:p>
  </w:footnote>
  <w:footnote w:id="659">
    <w:p w:rsidR="00C8559C" w:rsidRPr="006A4F74" w:rsidP="00EA6A51">
      <w:pPr>
        <w:pStyle w:val="FootnoteText"/>
        <w:ind w:left="227" w:right="0" w:hanging="227"/>
        <w:jc w:val="both"/>
        <w:rPr>
          <w:rFonts w:cs="B Zar" w:hint="cs"/>
          <w:rtl/>
        </w:rPr>
      </w:pPr>
      <w:r w:rsidRPr="008054E6">
        <w:rPr>
          <w:rStyle w:val="FootnoteReference"/>
          <w:rFonts w:ascii="IPT.Zar" w:hAnsi="IPT.Zar" w:cs="B Zar"/>
          <w:sz w:val="24"/>
          <w:szCs w:val="24"/>
          <w:vertAlign w:val="baseline"/>
        </w:rPr>
        <w:footnoteRef/>
      </w:r>
      <w:r w:rsidRPr="006A4F74">
        <w:rPr>
          <w:rFonts w:ascii="IPT.Lotus" w:hAnsi="IPT.Lotus" w:cs="B Zar"/>
        </w:rPr>
        <w:sym w:font="IPT.Lotus" w:char="F020"/>
      </w:r>
      <w:r w:rsidRPr="006A4F74">
        <w:rPr>
          <w:rFonts w:cs="B Zar" w:hint="cs"/>
          <w:rtl/>
        </w:rPr>
        <w:t xml:space="preserve">. زاهنر </w:t>
      </w:r>
      <w:r w:rsidRPr="006A4F74">
        <w:rPr>
          <w:rFonts w:cs="B Zar"/>
        </w:rPr>
        <w:t>(Zahener)</w:t>
      </w:r>
      <w:r w:rsidRPr="006A4F74">
        <w:rPr>
          <w:rFonts w:cs="B Zar" w:hint="cs"/>
          <w:rtl/>
        </w:rPr>
        <w:t xml:space="preserve"> : بگوت گيتا ص 2</w:t>
      </w:r>
    </w:p>
  </w:footnote>
  <w:footnote w:id="660">
    <w:p w:rsidR="00C8559C" w:rsidRPr="001B3410">
      <w:pPr>
        <w:pStyle w:val="FootnoteText"/>
        <w:bidi w:val="0"/>
        <w:rPr>
          <w:rFonts w:ascii="IPT.Zar" w:hAnsi="IPT.Zar" w:hint="cs"/>
          <w:sz w:val="18"/>
          <w:szCs w:val="18"/>
          <w:rtl/>
        </w:rPr>
      </w:pPr>
      <w:r w:rsidRPr="001B3410">
        <w:rPr>
          <w:rStyle w:val="FootnoteReference"/>
          <w:rFonts w:cs="Times New Roman"/>
          <w:sz w:val="18"/>
          <w:szCs w:val="18"/>
          <w:vertAlign w:val="baseline"/>
        </w:rPr>
        <w:footnoteRef/>
      </w:r>
      <w:r w:rsidRPr="001B3410">
        <w:rPr>
          <w:rFonts w:cs="Times New Roman"/>
          <w:sz w:val="18"/>
          <w:szCs w:val="18"/>
        </w:rPr>
        <w:t xml:space="preserve">. </w:t>
      </w:r>
      <w:r w:rsidRPr="001B3410">
        <w:rPr>
          <w:sz w:val="18"/>
          <w:szCs w:val="18"/>
        </w:rPr>
        <w:t>Robert Minor: Commentary on Gita, Chicag, 1975, P25</w:t>
      </w:r>
      <w:r w:rsidRPr="001B3410">
        <w:rPr>
          <w:rFonts w:ascii="IPT.Zar" w:hAnsi="IPT.Zar" w:hint="cs"/>
          <w:sz w:val="18"/>
          <w:szCs w:val="18"/>
          <w:rtl/>
        </w:rPr>
        <w:t xml:space="preserve"> </w:t>
      </w:r>
    </w:p>
  </w:footnote>
  <w:footnote w:id="661">
    <w:p w:rsidR="00C8559C" w:rsidRPr="001B3410" w:rsidP="00731F08">
      <w:pPr>
        <w:pStyle w:val="FootnoteText"/>
        <w:bidi w:val="0"/>
        <w:spacing w:line="240" w:lineRule="auto"/>
        <w:ind w:left="227" w:hanging="227"/>
        <w:rPr>
          <w:sz w:val="18"/>
          <w:szCs w:val="18"/>
        </w:rPr>
      </w:pPr>
      <w:r w:rsidRPr="001B3410">
        <w:rPr>
          <w:rStyle w:val="FootnoteReference"/>
          <w:rFonts w:cs="Times New Roman"/>
          <w:sz w:val="18"/>
          <w:szCs w:val="18"/>
          <w:vertAlign w:val="baseline"/>
        </w:rPr>
        <w:footnoteRef/>
      </w:r>
      <w:r w:rsidRPr="001B3410">
        <w:rPr>
          <w:rFonts w:cs="Times New Roman"/>
          <w:sz w:val="18"/>
          <w:szCs w:val="18"/>
        </w:rPr>
        <w:t xml:space="preserve">. </w:t>
      </w:r>
      <w:r>
        <w:rPr>
          <w:sz w:val="18"/>
          <w:szCs w:val="18"/>
        </w:rPr>
        <w:tab/>
      </w:r>
      <w:r w:rsidRPr="001B3410">
        <w:rPr>
          <w:sz w:val="18"/>
          <w:szCs w:val="18"/>
        </w:rPr>
        <w:t xml:space="preserve">Telang, K.T. Bhagavadgita with the Sanatsujatiya and Anugita, S.B.E. Seies, </w:t>
      </w:r>
      <w:smartTag w:uri="urn:schemas-microsoft-com:office:smarttags" w:element="place">
        <w:smartTag w:uri="urn:schemas-microsoft-com:office:smarttags" w:element="City">
          <w:r w:rsidRPr="001B3410">
            <w:rPr>
              <w:sz w:val="18"/>
              <w:szCs w:val="18"/>
            </w:rPr>
            <w:t>Delhi</w:t>
          </w:r>
        </w:smartTag>
      </w:smartTag>
      <w:r w:rsidRPr="001B3410">
        <w:rPr>
          <w:sz w:val="18"/>
          <w:szCs w:val="18"/>
        </w:rPr>
        <w:t>. 1973</w:t>
      </w:r>
    </w:p>
  </w:footnote>
  <w:footnote w:id="662">
    <w:p w:rsidR="00C8559C" w:rsidRPr="006A4F74" w:rsidP="00731F08">
      <w:pPr>
        <w:pStyle w:val="FootnoteText"/>
        <w:bidi w:val="0"/>
        <w:spacing w:line="240" w:lineRule="auto"/>
        <w:ind w:left="227" w:hanging="227"/>
      </w:pPr>
      <w:r w:rsidRPr="001B3410">
        <w:rPr>
          <w:rStyle w:val="FootnoteReference"/>
          <w:rFonts w:cs="Times New Roman"/>
          <w:sz w:val="18"/>
          <w:szCs w:val="18"/>
          <w:vertAlign w:val="baseline"/>
        </w:rPr>
        <w:footnoteRef/>
      </w:r>
      <w:r w:rsidRPr="001B3410">
        <w:rPr>
          <w:rFonts w:cs="Times New Roman"/>
          <w:sz w:val="18"/>
          <w:szCs w:val="18"/>
        </w:rPr>
        <w:t>.</w:t>
      </w:r>
      <w:r w:rsidRPr="001B3410">
        <w:rPr>
          <w:rFonts w:hint="cs"/>
          <w:sz w:val="18"/>
          <w:szCs w:val="18"/>
          <w:rtl/>
        </w:rPr>
        <w:t xml:space="preserve"> </w:t>
      </w:r>
      <w:r w:rsidRPr="001B3410">
        <w:rPr>
          <w:sz w:val="18"/>
          <w:szCs w:val="18"/>
        </w:rPr>
        <w:t xml:space="preserve">Dandekar, A: Hinduism and Gita: A Reassessment, </w:t>
      </w:r>
      <w:smartTag w:uri="urn:schemas-microsoft-com:office:smarttags" w:element="place">
        <w:smartTag w:uri="urn:schemas-microsoft-com:office:smarttags" w:element="City">
          <w:r w:rsidRPr="001B3410">
            <w:rPr>
              <w:sz w:val="18"/>
              <w:szCs w:val="18"/>
            </w:rPr>
            <w:t>Calcutta</w:t>
          </w:r>
        </w:smartTag>
      </w:smartTag>
      <w:r w:rsidRPr="001B3410">
        <w:rPr>
          <w:sz w:val="18"/>
          <w:szCs w:val="18"/>
        </w:rPr>
        <w:t>, 1964, p 79</w:t>
      </w:r>
    </w:p>
  </w:footnote>
  <w:footnote w:id="663">
    <w:p w:rsidR="00C8559C" w:rsidRPr="00731F08" w:rsidP="00E42842">
      <w:pPr>
        <w:pStyle w:val="FootnoteText"/>
        <w:ind w:left="0" w:right="0"/>
        <w:jc w:val="right"/>
        <w:rPr>
          <w:sz w:val="18"/>
          <w:szCs w:val="18"/>
        </w:rPr>
      </w:pPr>
      <w:r w:rsidRPr="00731F08">
        <w:rPr>
          <w:rStyle w:val="FootnoteReference"/>
          <w:sz w:val="18"/>
          <w:szCs w:val="18"/>
          <w:vertAlign w:val="baseline"/>
        </w:rPr>
        <w:footnoteRef/>
      </w:r>
      <w:r w:rsidRPr="00731F08">
        <w:rPr>
          <w:sz w:val="18"/>
          <w:szCs w:val="18"/>
        </w:rPr>
        <w:t xml:space="preserve">  Minor, Robert: Commentary on Gita, Chicago, 1975, 32</w:t>
      </w:r>
    </w:p>
  </w:footnote>
  <w:footnote w:id="664">
    <w:p w:rsidR="00C8559C" w:rsidRPr="00731F08" w:rsidP="00731F08">
      <w:pPr>
        <w:pStyle w:val="FootnoteText"/>
        <w:bidi w:val="0"/>
        <w:spacing w:line="240" w:lineRule="auto"/>
        <w:rPr>
          <w:sz w:val="18"/>
          <w:szCs w:val="18"/>
        </w:rPr>
      </w:pPr>
      <w:r w:rsidRPr="00731F08">
        <w:rPr>
          <w:rStyle w:val="FootnoteReference"/>
          <w:rFonts w:cs="Times New Roman"/>
          <w:sz w:val="18"/>
          <w:szCs w:val="18"/>
          <w:vertAlign w:val="baseline"/>
        </w:rPr>
        <w:footnoteRef/>
      </w:r>
      <w:r w:rsidRPr="00731F08">
        <w:rPr>
          <w:rFonts w:cs="Times New Roman"/>
          <w:sz w:val="18"/>
          <w:szCs w:val="18"/>
        </w:rPr>
        <w:t>.</w:t>
      </w:r>
      <w:r w:rsidRPr="00731F08">
        <w:rPr>
          <w:rFonts w:ascii="IPT.Zar" w:hAnsi="IPT.Zar" w:hint="cs"/>
          <w:sz w:val="18"/>
          <w:szCs w:val="18"/>
          <w:rtl/>
        </w:rPr>
        <w:t xml:space="preserve"> </w:t>
      </w:r>
      <w:r w:rsidRPr="00731F08">
        <w:rPr>
          <w:sz w:val="18"/>
          <w:szCs w:val="18"/>
        </w:rPr>
        <w:t xml:space="preserve">Upadhaya, N.K.: Buddhism and Bhagvata Gita, </w:t>
      </w:r>
      <w:smartTag w:uri="urn:schemas-microsoft-com:office:smarttags" w:element="place">
        <w:smartTag w:uri="urn:schemas-microsoft-com:office:smarttags" w:element="City">
          <w:r w:rsidRPr="00731F08">
            <w:rPr>
              <w:sz w:val="18"/>
              <w:szCs w:val="18"/>
            </w:rPr>
            <w:t>Delhi</w:t>
          </w:r>
        </w:smartTag>
      </w:smartTag>
      <w:r w:rsidRPr="00731F08">
        <w:rPr>
          <w:sz w:val="18"/>
          <w:szCs w:val="18"/>
        </w:rPr>
        <w:t>. 192, P 5</w:t>
      </w:r>
    </w:p>
  </w:footnote>
  <w:footnote w:id="665">
    <w:p w:rsidR="00C8559C" w:rsidRPr="006A4F74" w:rsidP="00731F08">
      <w:pPr>
        <w:pStyle w:val="FootnoteText"/>
        <w:spacing w:line="240" w:lineRule="auto"/>
        <w:ind w:left="0" w:right="0"/>
        <w:jc w:val="right"/>
      </w:pPr>
      <w:r w:rsidRPr="00731F08">
        <w:rPr>
          <w:rStyle w:val="FootnoteReference"/>
          <w:sz w:val="18"/>
          <w:szCs w:val="18"/>
          <w:vertAlign w:val="baseline"/>
        </w:rPr>
        <w:footnoteRef/>
      </w:r>
      <w:r w:rsidRPr="00731F08">
        <w:rPr>
          <w:sz w:val="18"/>
          <w:szCs w:val="18"/>
        </w:rPr>
        <w:t xml:space="preserve">  </w:t>
      </w:r>
      <w:r>
        <w:rPr>
          <w:sz w:val="18"/>
          <w:szCs w:val="18"/>
        </w:rPr>
        <w:t xml:space="preserve"> </w:t>
      </w:r>
      <w:r w:rsidRPr="00731F08">
        <w:rPr>
          <w:sz w:val="18"/>
          <w:szCs w:val="18"/>
        </w:rPr>
        <w:t>Tilak, Bal Ganga Dhar: Gita- Rahasya, Poone, 1932, v1, p 723</w:t>
      </w:r>
    </w:p>
  </w:footnote>
  <w:footnote w:id="666">
    <w:p w:rsidR="00C8559C" w:rsidRPr="006A4F74" w:rsidP="009B2C3A">
      <w:pPr>
        <w:pStyle w:val="FootnoteText"/>
        <w:ind w:left="227" w:right="0" w:hanging="227"/>
        <w:jc w:val="both"/>
        <w:rPr>
          <w:rFonts w:ascii="IPT.Zar" w:hAnsi="IPT.Zar" w:cs="B Zar" w:hint="cs"/>
          <w:rtl/>
        </w:rPr>
      </w:pPr>
      <w:r w:rsidRPr="00DD2538">
        <w:rPr>
          <w:rStyle w:val="FootnoteReference"/>
          <w:rFonts w:ascii="IPT.Lotus" w:hAnsi="IPT.Lotus" w:cs="B Zar"/>
          <w:sz w:val="24"/>
          <w:szCs w:val="24"/>
          <w:vertAlign w:val="baseline"/>
        </w:rPr>
        <w:footnoteRef/>
      </w:r>
      <w:r w:rsidRPr="006A4F74">
        <w:rPr>
          <w:rFonts w:ascii="IPT.Lotus" w:hAnsi="IPT.Lotus" w:cs="B Zar" w:hint="cs"/>
          <w:rtl/>
        </w:rPr>
        <w:t>.</w:t>
      </w:r>
      <w:r w:rsidRPr="006A4F74">
        <w:rPr>
          <w:rFonts w:ascii="IPT.Zar" w:hAnsi="IPT.Zar" w:cs="B Zar" w:hint="cs"/>
          <w:rtl/>
        </w:rPr>
        <w:t xml:space="preserve"> </w:t>
      </w:r>
      <w:r>
        <w:rPr>
          <w:rFonts w:ascii="IPT.Zar" w:hAnsi="IPT.Zar" w:cs="B Zar" w:hint="cs"/>
          <w:rtl/>
        </w:rPr>
        <w:tab/>
      </w:r>
      <w:r w:rsidRPr="006A4F74">
        <w:rPr>
          <w:rFonts w:ascii="IPT.Zar" w:hAnsi="IPT.Zar" w:cs="B Zar" w:hint="cs"/>
          <w:rtl/>
        </w:rPr>
        <w:t>همان ، ص 267</w:t>
      </w:r>
    </w:p>
  </w:footnote>
  <w:footnote w:id="667">
    <w:p w:rsidR="00C8559C" w:rsidRPr="006A4F74" w:rsidP="009B2C3A">
      <w:pPr>
        <w:pStyle w:val="FootnoteText"/>
        <w:ind w:left="227" w:right="0" w:hanging="227"/>
        <w:jc w:val="both"/>
        <w:rPr>
          <w:rFonts w:ascii="IPT.Zar" w:hAnsi="IPT.Zar" w:cs="B Zar" w:hint="cs"/>
          <w:rtl/>
        </w:rPr>
      </w:pPr>
      <w:r w:rsidRPr="00DD2538">
        <w:rPr>
          <w:rStyle w:val="FootnoteReference"/>
          <w:rFonts w:ascii="IPT.Lotus" w:hAnsi="IPT.Lotus" w:cs="B Zar"/>
          <w:sz w:val="24"/>
          <w:szCs w:val="24"/>
          <w:vertAlign w:val="baseline"/>
        </w:rPr>
        <w:footnoteRef/>
      </w:r>
      <w:r w:rsidRPr="006A4F74">
        <w:rPr>
          <w:rFonts w:ascii="IPT.Lotus" w:hAnsi="IPT.Lotus" w:cs="B Zar" w:hint="cs"/>
          <w:rtl/>
        </w:rPr>
        <w:t>.</w:t>
      </w:r>
      <w:r w:rsidRPr="006A4F74">
        <w:rPr>
          <w:rFonts w:ascii="IPT.Zar" w:hAnsi="IPT.Zar" w:cs="B Zar" w:hint="cs"/>
          <w:rtl/>
        </w:rPr>
        <w:t xml:space="preserve"> </w:t>
      </w:r>
      <w:r>
        <w:rPr>
          <w:rFonts w:ascii="IPT.Zar" w:hAnsi="IPT.Zar" w:cs="B Zar" w:hint="cs"/>
          <w:rtl/>
        </w:rPr>
        <w:tab/>
      </w:r>
      <w:r w:rsidRPr="006A4F74">
        <w:rPr>
          <w:rFonts w:ascii="IPT.Zar" w:hAnsi="IPT.Zar" w:cs="B Zar" w:hint="cs"/>
          <w:rtl/>
        </w:rPr>
        <w:t>همان ص 732، ج 2</w:t>
      </w:r>
    </w:p>
  </w:footnote>
  <w:footnote w:id="668">
    <w:p w:rsidR="00C8559C" w:rsidRPr="00731F08" w:rsidP="00731F08">
      <w:pPr>
        <w:pStyle w:val="FootnoteText"/>
        <w:bidi w:val="0"/>
        <w:spacing w:line="240" w:lineRule="auto"/>
        <w:ind w:left="227" w:hanging="227"/>
        <w:jc w:val="left"/>
        <w:rPr>
          <w:sz w:val="18"/>
          <w:szCs w:val="18"/>
        </w:rPr>
      </w:pPr>
      <w:r w:rsidRPr="00731F08">
        <w:rPr>
          <w:rStyle w:val="FootnoteReference"/>
          <w:sz w:val="18"/>
          <w:szCs w:val="18"/>
          <w:vertAlign w:val="baseline"/>
        </w:rPr>
        <w:footnoteRef/>
      </w:r>
      <w:r>
        <w:rPr>
          <w:sz w:val="18"/>
          <w:szCs w:val="18"/>
        </w:rPr>
        <w:t>.</w:t>
      </w:r>
      <w:r w:rsidRPr="00731F08">
        <w:rPr>
          <w:sz w:val="18"/>
          <w:szCs w:val="18"/>
        </w:rPr>
        <w:t xml:space="preserve"> </w:t>
      </w:r>
      <w:r>
        <w:rPr>
          <w:sz w:val="18"/>
          <w:szCs w:val="18"/>
        </w:rPr>
        <w:t xml:space="preserve"> </w:t>
      </w:r>
      <w:r w:rsidRPr="00731F08">
        <w:rPr>
          <w:sz w:val="18"/>
          <w:szCs w:val="18"/>
        </w:rPr>
        <w:t xml:space="preserve">Telang, K.T. Bhagavadgita with the Sanatsujatiya and Anugita, S.B.E. Seies, </w:t>
      </w:r>
      <w:smartTag w:uri="urn:schemas-microsoft-com:office:smarttags" w:element="place">
        <w:smartTag w:uri="urn:schemas-microsoft-com:office:smarttags" w:element="City">
          <w:r w:rsidRPr="00731F08">
            <w:rPr>
              <w:sz w:val="18"/>
              <w:szCs w:val="18"/>
            </w:rPr>
            <w:t>Delhi</w:t>
          </w:r>
        </w:smartTag>
      </w:smartTag>
      <w:r w:rsidRPr="00731F08">
        <w:rPr>
          <w:sz w:val="18"/>
          <w:szCs w:val="18"/>
        </w:rPr>
        <w:t>. 1973, p 6</w:t>
      </w:r>
    </w:p>
  </w:footnote>
  <w:footnote w:id="669">
    <w:p w:rsidR="00C8559C" w:rsidRPr="00731F08" w:rsidP="00E42842">
      <w:pPr>
        <w:pStyle w:val="FootnoteText"/>
        <w:ind w:left="0" w:right="0"/>
        <w:jc w:val="right"/>
        <w:rPr>
          <w:sz w:val="18"/>
          <w:szCs w:val="18"/>
        </w:rPr>
      </w:pPr>
      <w:r w:rsidRPr="00731F08">
        <w:rPr>
          <w:rStyle w:val="FootnoteReference"/>
          <w:sz w:val="18"/>
          <w:szCs w:val="18"/>
          <w:vertAlign w:val="baseline"/>
        </w:rPr>
        <w:footnoteRef/>
      </w:r>
      <w:r w:rsidRPr="00731F08">
        <w:rPr>
          <w:sz w:val="18"/>
          <w:szCs w:val="18"/>
        </w:rPr>
        <w:t xml:space="preserve">  Minor, Robert: Commentary on Gita, p 31</w:t>
      </w:r>
    </w:p>
  </w:footnote>
  <w:footnote w:id="670">
    <w:p w:rsidR="00C8559C" w:rsidRPr="008E6451" w:rsidP="00EA6A51">
      <w:pPr>
        <w:pStyle w:val="FootnoteText"/>
        <w:ind w:left="227" w:right="0" w:hanging="227"/>
        <w:jc w:val="both"/>
        <w:rPr>
          <w:rFonts w:cs="B Zar" w:hint="cs"/>
          <w:sz w:val="18"/>
          <w:szCs w:val="18"/>
          <w:rtl/>
        </w:rPr>
      </w:pPr>
      <w:r w:rsidRPr="00DD2538">
        <w:rPr>
          <w:rStyle w:val="FootnoteReference"/>
          <w:rFonts w:ascii="IPT.Zar" w:hAnsi="IPT.Zar" w:cs="B Zar"/>
          <w:sz w:val="24"/>
          <w:szCs w:val="24"/>
          <w:vertAlign w:val="baseline"/>
        </w:rPr>
        <w:footnoteRef/>
      </w:r>
      <w:r w:rsidRPr="008E6451">
        <w:rPr>
          <w:rFonts w:ascii="IPT.Zar" w:hAnsi="IPT.Zar" w:cs="B Zar"/>
        </w:rPr>
        <w:sym w:font="IPT.Zar" w:char="F020"/>
      </w:r>
      <w:r w:rsidRPr="008E6451">
        <w:rPr>
          <w:rFonts w:ascii="IPT.Zar" w:hAnsi="IPT.Zar" w:cs="B Zar"/>
          <w:rtl/>
        </w:rPr>
        <w:t>.</w:t>
      </w:r>
      <w:r>
        <w:rPr>
          <w:rFonts w:ascii="IPT.Zar" w:hAnsi="IPT.Zar" w:cs="B Zar" w:hint="cs"/>
          <w:rtl/>
        </w:rPr>
        <w:t xml:space="preserve"> </w:t>
      </w:r>
      <w:r w:rsidRPr="008E6451">
        <w:rPr>
          <w:rFonts w:ascii="IPT.Zar" w:hAnsi="IPT.Zar" w:cs="B Zar"/>
          <w:rtl/>
        </w:rPr>
        <w:t xml:space="preserve"> همان: ص</w:t>
      </w:r>
      <w:r w:rsidRPr="006A4F74">
        <w:rPr>
          <w:rFonts w:cs="B Zar" w:hint="cs"/>
          <w:rtl/>
        </w:rPr>
        <w:t xml:space="preserve"> </w:t>
      </w:r>
      <w:r w:rsidRPr="008E6451">
        <w:rPr>
          <w:rFonts w:cs="B Zar"/>
          <w:sz w:val="18"/>
          <w:szCs w:val="18"/>
        </w:rPr>
        <w:t>XXXI</w:t>
      </w:r>
    </w:p>
  </w:footnote>
  <w:footnote w:id="671">
    <w:p w:rsidR="00C8559C" w:rsidRPr="008E6451" w:rsidP="00C8559C">
      <w:pPr>
        <w:pStyle w:val="FootnoteText"/>
        <w:bidi w:val="0"/>
        <w:ind w:left="227" w:hanging="227"/>
        <w:jc w:val="left"/>
        <w:rPr>
          <w:sz w:val="18"/>
          <w:szCs w:val="18"/>
        </w:rPr>
      </w:pPr>
      <w:r w:rsidRPr="008E6451">
        <w:rPr>
          <w:rStyle w:val="FootnoteReference"/>
          <w:sz w:val="18"/>
          <w:szCs w:val="18"/>
          <w:vertAlign w:val="baseline"/>
        </w:rPr>
        <w:footnoteRef/>
      </w:r>
      <w:r>
        <w:rPr>
          <w:sz w:val="18"/>
          <w:szCs w:val="18"/>
        </w:rPr>
        <w:t>.</w:t>
      </w:r>
      <w:r w:rsidRPr="008E6451">
        <w:rPr>
          <w:sz w:val="18"/>
          <w:szCs w:val="18"/>
        </w:rPr>
        <w:t xml:space="preserve">  Upadhaya, N.K.: Buddhism and Bhagvata Gita, </w:t>
      </w:r>
      <w:smartTag w:uri="urn:schemas-microsoft-com:office:smarttags" w:element="place">
        <w:smartTag w:uri="urn:schemas-microsoft-com:office:smarttags" w:element="City">
          <w:r w:rsidRPr="008E6451">
            <w:rPr>
              <w:sz w:val="18"/>
              <w:szCs w:val="18"/>
            </w:rPr>
            <w:t>Delhi</w:t>
          </w:r>
        </w:smartTag>
      </w:smartTag>
      <w:r w:rsidRPr="008E6451">
        <w:rPr>
          <w:sz w:val="18"/>
          <w:szCs w:val="18"/>
        </w:rPr>
        <w:t>, pp6-7</w:t>
      </w:r>
    </w:p>
  </w:footnote>
  <w:footnote w:id="672">
    <w:p w:rsidR="00C8559C" w:rsidRPr="008E6451" w:rsidP="00C8559C">
      <w:pPr>
        <w:pStyle w:val="FootnoteText"/>
        <w:ind w:left="227" w:right="0" w:hanging="227"/>
        <w:jc w:val="both"/>
        <w:rPr>
          <w:rFonts w:ascii="IPT.Zar" w:hAnsi="IPT.Zar" w:cs="B Zar"/>
          <w:rtl/>
        </w:rPr>
      </w:pPr>
      <w:r w:rsidRPr="00DD2538">
        <w:rPr>
          <w:rStyle w:val="FootnoteReference"/>
          <w:rFonts w:ascii="IPT.Zar" w:hAnsi="IPT.Zar" w:cs="B Zar"/>
          <w:sz w:val="24"/>
          <w:szCs w:val="24"/>
          <w:vertAlign w:val="baseline"/>
        </w:rPr>
        <w:footnoteRef/>
      </w:r>
      <w:r w:rsidRPr="008E6451">
        <w:rPr>
          <w:rFonts w:ascii="IPT.Zar" w:hAnsi="IPT.Zar" w:cs="B Zar"/>
          <w:rtl/>
        </w:rPr>
        <w:t xml:space="preserve">. </w:t>
      </w:r>
      <w:r>
        <w:rPr>
          <w:rFonts w:ascii="IPT.Zar" w:hAnsi="IPT.Zar" w:cs="B Zar" w:hint="cs"/>
          <w:rtl/>
        </w:rPr>
        <w:t xml:space="preserve"> </w:t>
        <w:tab/>
      </w:r>
      <w:r w:rsidRPr="008E6451">
        <w:rPr>
          <w:rFonts w:ascii="IPT.Zar" w:hAnsi="IPT.Zar" w:cs="B Zar"/>
          <w:rtl/>
        </w:rPr>
        <w:t>مهابهاراتا:  ادي پوروا: 69:2</w:t>
      </w:r>
    </w:p>
  </w:footnote>
  <w:footnote w:id="673">
    <w:p w:rsidR="00C8559C" w:rsidRPr="008E6451" w:rsidP="00C8559C">
      <w:pPr>
        <w:pStyle w:val="FootnoteText"/>
        <w:ind w:left="227" w:right="0" w:hanging="227"/>
        <w:jc w:val="both"/>
        <w:rPr>
          <w:rFonts w:ascii="IPT.Zar" w:hAnsi="IPT.Zar" w:cs="B Zar" w:hint="cs"/>
          <w:rtl/>
        </w:rPr>
      </w:pPr>
      <w:r w:rsidRPr="00DD2538">
        <w:rPr>
          <w:rStyle w:val="FootnoteReference"/>
          <w:rFonts w:ascii="IPT.Zar" w:hAnsi="IPT.Zar" w:cs="B Zar"/>
          <w:sz w:val="24"/>
          <w:szCs w:val="24"/>
          <w:vertAlign w:val="baseline"/>
        </w:rPr>
        <w:footnoteRef/>
      </w:r>
      <w:r w:rsidRPr="008E6451">
        <w:rPr>
          <w:rFonts w:ascii="IPT.Zar" w:hAnsi="IPT.Zar" w:cs="B Zar"/>
          <w:rtl/>
        </w:rPr>
        <w:t xml:space="preserve">. </w:t>
      </w:r>
      <w:r>
        <w:rPr>
          <w:rFonts w:ascii="IPT.Zar" w:hAnsi="IPT.Zar" w:cs="B Zar" w:hint="cs"/>
          <w:rtl/>
        </w:rPr>
        <w:tab/>
      </w:r>
      <w:r w:rsidRPr="008E6451">
        <w:rPr>
          <w:rFonts w:ascii="IPT.Zar" w:hAnsi="IPT.Zar" w:cs="B Zar"/>
          <w:rtl/>
        </w:rPr>
        <w:t>همان: 179:1</w:t>
      </w:r>
    </w:p>
  </w:footnote>
  <w:footnote w:id="674">
    <w:p w:rsidR="00C8559C" w:rsidRPr="006A4F74" w:rsidP="00C8559C">
      <w:pPr>
        <w:pStyle w:val="FootnoteText"/>
        <w:ind w:left="227" w:right="0" w:hanging="227"/>
        <w:jc w:val="both"/>
        <w:rPr>
          <w:rFonts w:ascii="IPT.Zar" w:hAnsi="IPT.Zar" w:hint="cs"/>
          <w:rtl/>
        </w:rPr>
      </w:pPr>
      <w:r w:rsidRPr="00DD2538">
        <w:rPr>
          <w:rStyle w:val="FootnoteReference"/>
          <w:rFonts w:ascii="IPT.Zar" w:hAnsi="IPT.Zar" w:cs="B Zar"/>
          <w:sz w:val="24"/>
          <w:szCs w:val="24"/>
          <w:vertAlign w:val="baseline"/>
        </w:rPr>
        <w:footnoteRef/>
      </w:r>
      <w:r w:rsidRPr="008E6451">
        <w:rPr>
          <w:rFonts w:ascii="IPT.Zar" w:hAnsi="IPT.Zar" w:cs="B Zar"/>
          <w:rtl/>
        </w:rPr>
        <w:t xml:space="preserve">. </w:t>
      </w:r>
      <w:r>
        <w:rPr>
          <w:rFonts w:ascii="IPT.Zar" w:hAnsi="IPT.Zar" w:cs="B Zar" w:hint="cs"/>
          <w:rtl/>
        </w:rPr>
        <w:tab/>
      </w:r>
      <w:r w:rsidRPr="008E6451">
        <w:rPr>
          <w:rFonts w:ascii="IPT.Zar" w:hAnsi="IPT.Zar" w:cs="B Zar"/>
          <w:rtl/>
        </w:rPr>
        <w:t>همان: 4:51</w:t>
      </w:r>
    </w:p>
  </w:footnote>
  <w:footnote w:id="675">
    <w:p w:rsidR="00C8559C" w:rsidRPr="008E6451" w:rsidP="008E6451">
      <w:pPr>
        <w:pStyle w:val="FootnoteText"/>
        <w:spacing w:line="240" w:lineRule="auto"/>
        <w:ind w:left="0" w:right="0"/>
        <w:jc w:val="right"/>
        <w:rPr>
          <w:sz w:val="18"/>
          <w:szCs w:val="18"/>
        </w:rPr>
      </w:pPr>
      <w:r w:rsidRPr="008E6451">
        <w:rPr>
          <w:rStyle w:val="FootnoteReference"/>
          <w:sz w:val="18"/>
          <w:szCs w:val="18"/>
          <w:vertAlign w:val="baseline"/>
        </w:rPr>
        <w:footnoteRef/>
      </w:r>
      <w:r>
        <w:rPr>
          <w:sz w:val="18"/>
          <w:szCs w:val="18"/>
        </w:rPr>
        <w:t>.</w:t>
      </w:r>
      <w:r w:rsidRPr="008E6451">
        <w:rPr>
          <w:sz w:val="18"/>
          <w:szCs w:val="18"/>
        </w:rPr>
        <w:t xml:space="preserve">  </w:t>
      </w:r>
      <w:r>
        <w:rPr>
          <w:sz w:val="18"/>
          <w:szCs w:val="18"/>
        </w:rPr>
        <w:t xml:space="preserve"> </w:t>
      </w:r>
      <w:r w:rsidRPr="008E6451">
        <w:rPr>
          <w:sz w:val="18"/>
          <w:szCs w:val="18"/>
        </w:rPr>
        <w:t>Tilak, Bal Ganga Dhar: Gita- Rahasya, p 5</w:t>
      </w:r>
    </w:p>
  </w:footnote>
  <w:footnote w:id="676">
    <w:p w:rsidR="00C8559C" w:rsidRPr="006A4F74" w:rsidP="008E6451">
      <w:pPr>
        <w:pStyle w:val="FootnoteText"/>
        <w:spacing w:line="240" w:lineRule="auto"/>
        <w:ind w:left="0" w:right="0"/>
        <w:jc w:val="right"/>
      </w:pPr>
      <w:r w:rsidRPr="008E6451">
        <w:rPr>
          <w:rStyle w:val="FootnoteReference"/>
          <w:sz w:val="18"/>
          <w:szCs w:val="18"/>
          <w:vertAlign w:val="baseline"/>
        </w:rPr>
        <w:footnoteRef/>
      </w:r>
      <w:r>
        <w:rPr>
          <w:sz w:val="18"/>
          <w:szCs w:val="18"/>
        </w:rPr>
        <w:t>.</w:t>
      </w:r>
      <w:r w:rsidRPr="008E6451">
        <w:rPr>
          <w:sz w:val="18"/>
          <w:szCs w:val="18"/>
        </w:rPr>
        <w:t xml:space="preserve">  </w:t>
      </w:r>
      <w:r>
        <w:rPr>
          <w:sz w:val="18"/>
          <w:szCs w:val="18"/>
        </w:rPr>
        <w:t xml:space="preserve"> </w:t>
      </w:r>
      <w:r w:rsidRPr="008E6451">
        <w:rPr>
          <w:sz w:val="18"/>
          <w:szCs w:val="18"/>
        </w:rPr>
        <w:t>Minor, Robert: Commentary on Gita, p 31</w:t>
      </w:r>
    </w:p>
  </w:footnote>
  <w:footnote w:id="677">
    <w:p w:rsidR="00C8559C" w:rsidRPr="006A4F74" w:rsidP="00EA6A51">
      <w:pPr>
        <w:pStyle w:val="FootnoteText"/>
        <w:ind w:left="227" w:right="0" w:hanging="227"/>
        <w:jc w:val="both"/>
        <w:rPr>
          <w:rFonts w:ascii="IPT.Zar" w:hAnsi="IPT.Zar" w:cs="B Zar" w:hint="cs"/>
          <w:rtl/>
        </w:rPr>
      </w:pPr>
      <w:r w:rsidRPr="00DD2538">
        <w:rPr>
          <w:rStyle w:val="FootnoteReference"/>
          <w:rFonts w:ascii="IPT.Zar" w:hAnsi="IPT.Zar" w:cs="B Zar"/>
          <w:sz w:val="24"/>
          <w:szCs w:val="24"/>
          <w:vertAlign w:val="baseline"/>
        </w:rPr>
        <w:footnoteRef/>
      </w:r>
      <w:r w:rsidRPr="006A4F74">
        <w:rPr>
          <w:rFonts w:ascii="IPT.Zar" w:hAnsi="IPT.Zar" w:cs="B Zar"/>
        </w:rPr>
        <w:sym w:font="IPT.Zar" w:char="F020"/>
      </w:r>
      <w:r w:rsidRPr="006A4F74">
        <w:rPr>
          <w:rFonts w:ascii="IPT.Zar" w:hAnsi="IPT.Zar" w:cs="B Zar" w:hint="cs"/>
          <w:rtl/>
        </w:rPr>
        <w:t>. همان: ص 32</w:t>
      </w:r>
    </w:p>
  </w:footnote>
  <w:footnote w:id="678">
    <w:p w:rsidR="00C8559C" w:rsidRPr="008E6451" w:rsidP="004E3AA0">
      <w:pPr>
        <w:pStyle w:val="FootnoteText"/>
        <w:bidi w:val="0"/>
        <w:spacing w:line="240" w:lineRule="auto"/>
        <w:ind w:left="227" w:hanging="227"/>
        <w:rPr>
          <w:sz w:val="18"/>
          <w:szCs w:val="18"/>
        </w:rPr>
      </w:pPr>
      <w:r w:rsidRPr="008E6451">
        <w:rPr>
          <w:rStyle w:val="FootnoteReference"/>
          <w:rFonts w:cs="Times New Roman"/>
          <w:sz w:val="18"/>
          <w:szCs w:val="18"/>
          <w:vertAlign w:val="baseline"/>
        </w:rPr>
        <w:footnoteRef/>
      </w:r>
      <w:r w:rsidRPr="008E6451">
        <w:rPr>
          <w:rFonts w:cs="Times New Roman"/>
          <w:sz w:val="18"/>
          <w:szCs w:val="18"/>
        </w:rPr>
        <w:t>.</w:t>
      </w:r>
      <w:r w:rsidRPr="008E6451">
        <w:rPr>
          <w:rFonts w:ascii="IPT.Zar" w:hAnsi="IPT.Zar" w:hint="cs"/>
          <w:sz w:val="18"/>
          <w:szCs w:val="18"/>
          <w:rtl/>
        </w:rPr>
        <w:t xml:space="preserve"> </w:t>
      </w:r>
      <w:r w:rsidRPr="008E6451">
        <w:rPr>
          <w:sz w:val="18"/>
          <w:szCs w:val="18"/>
        </w:rPr>
        <w:t>Sharma, B.K.: A Study and Analysis of the Grammatical Stucture of Gita, Bhind Magazine, 1967, N0 4, P288</w:t>
      </w:r>
    </w:p>
  </w:footnote>
  <w:footnote w:id="679">
    <w:p w:rsidR="00C8559C" w:rsidRPr="008E6451" w:rsidP="004E3AA0">
      <w:pPr>
        <w:pStyle w:val="FootnoteText"/>
        <w:bidi w:val="0"/>
        <w:spacing w:line="240" w:lineRule="auto"/>
        <w:rPr>
          <w:rFonts w:hint="cs"/>
          <w:sz w:val="18"/>
          <w:szCs w:val="18"/>
        </w:rPr>
      </w:pPr>
      <w:r w:rsidRPr="008E6451">
        <w:rPr>
          <w:rStyle w:val="FootnoteReference"/>
          <w:sz w:val="18"/>
          <w:szCs w:val="18"/>
          <w:vertAlign w:val="baseline"/>
        </w:rPr>
        <w:footnoteRef/>
      </w:r>
      <w:r w:rsidRPr="008E6451">
        <w:rPr>
          <w:sz w:val="18"/>
          <w:szCs w:val="18"/>
        </w:rPr>
        <w:t>.</w:t>
      </w:r>
      <w:r>
        <w:rPr>
          <w:rFonts w:hint="cs"/>
          <w:sz w:val="18"/>
          <w:szCs w:val="18"/>
          <w:rtl/>
        </w:rPr>
        <w:t xml:space="preserve"> </w:t>
      </w:r>
      <w:r w:rsidRPr="008E6451">
        <w:rPr>
          <w:rFonts w:cs="Times New Roman"/>
          <w:sz w:val="18"/>
          <w:szCs w:val="18"/>
        </w:rPr>
        <w:t xml:space="preserve">Dey, S.K.: Aspects of the Sanskrit Literature, </w:t>
      </w:r>
      <w:smartTag w:uri="urn:schemas-microsoft-com:office:smarttags" w:element="place">
        <w:smartTag w:uri="urn:schemas-microsoft-com:office:smarttags" w:element="City">
          <w:r w:rsidRPr="008E6451">
            <w:rPr>
              <w:rFonts w:cs="Times New Roman"/>
              <w:sz w:val="18"/>
              <w:szCs w:val="18"/>
            </w:rPr>
            <w:t>Calcutta</w:t>
          </w:r>
        </w:smartTag>
      </w:smartTag>
      <w:r w:rsidRPr="008E6451">
        <w:rPr>
          <w:rFonts w:cs="Times New Roman"/>
          <w:sz w:val="18"/>
          <w:szCs w:val="18"/>
        </w:rPr>
        <w:t>, 1976, P 47</w:t>
      </w:r>
    </w:p>
  </w:footnote>
  <w:footnote w:id="680">
    <w:p w:rsidR="00C8559C" w:rsidRPr="008E6451" w:rsidP="008E6451">
      <w:pPr>
        <w:pStyle w:val="FootnoteText"/>
        <w:spacing w:line="240" w:lineRule="auto"/>
        <w:ind w:left="0" w:right="0"/>
        <w:jc w:val="right"/>
        <w:rPr>
          <w:sz w:val="18"/>
          <w:szCs w:val="18"/>
        </w:rPr>
      </w:pPr>
      <w:r w:rsidR="00D6371B">
        <w:rPr>
          <w:rStyle w:val="FootnoteReference"/>
          <w:sz w:val="18"/>
          <w:szCs w:val="18"/>
          <w:vertAlign w:val="baseline"/>
        </w:rPr>
        <w:t>2</w:t>
      </w:r>
      <w:r>
        <w:rPr>
          <w:sz w:val="18"/>
          <w:szCs w:val="18"/>
        </w:rPr>
        <w:t>.</w:t>
      </w:r>
      <w:r w:rsidRPr="008E6451">
        <w:rPr>
          <w:sz w:val="18"/>
          <w:szCs w:val="18"/>
        </w:rPr>
        <w:t xml:space="preserve">  Auribindo, Sri: Essays in Gita, Pondicherri, 1974, p 9</w:t>
      </w:r>
    </w:p>
  </w:footnote>
  <w:footnote w:id="681">
    <w:p w:rsidR="00C8559C" w:rsidRPr="006A4F74" w:rsidP="008E6451">
      <w:pPr>
        <w:pStyle w:val="FootnoteText"/>
        <w:spacing w:line="240" w:lineRule="auto"/>
        <w:ind w:left="0" w:right="0"/>
        <w:jc w:val="right"/>
      </w:pPr>
      <w:r w:rsidRPr="008E6451">
        <w:rPr>
          <w:rStyle w:val="FootnoteReference"/>
          <w:sz w:val="18"/>
          <w:szCs w:val="18"/>
          <w:vertAlign w:val="baseline"/>
        </w:rPr>
        <w:footnoteRef/>
      </w:r>
      <w:r>
        <w:rPr>
          <w:sz w:val="18"/>
          <w:szCs w:val="18"/>
        </w:rPr>
        <w:t>.</w:t>
      </w:r>
      <w:r w:rsidRPr="008E6451">
        <w:rPr>
          <w:sz w:val="18"/>
          <w:szCs w:val="18"/>
        </w:rPr>
        <w:t xml:space="preserve">  Tilak, Bal Ganga Dhar: Gita- Rahasya, p 743</w:t>
      </w:r>
    </w:p>
  </w:footnote>
  <w:footnote w:id="682">
    <w:p w:rsidR="00C8559C" w:rsidRPr="008E6451" w:rsidP="00411993">
      <w:pPr>
        <w:pStyle w:val="FootnoteText"/>
        <w:spacing w:line="240" w:lineRule="auto"/>
        <w:ind w:left="0" w:right="0"/>
        <w:jc w:val="right"/>
        <w:rPr>
          <w:sz w:val="18"/>
          <w:szCs w:val="18"/>
        </w:rPr>
      </w:pPr>
      <w:r w:rsidRPr="008E6451">
        <w:rPr>
          <w:rStyle w:val="FootnoteReference"/>
          <w:sz w:val="18"/>
          <w:szCs w:val="18"/>
          <w:vertAlign w:val="baseline"/>
        </w:rPr>
        <w:footnoteRef/>
      </w:r>
      <w:r w:rsidRPr="008E6451">
        <w:rPr>
          <w:sz w:val="18"/>
          <w:szCs w:val="18"/>
        </w:rPr>
        <w:t>. Tilak, Bal Ganga Dhar: Gita- Rahasya, p 741</w:t>
      </w:r>
    </w:p>
  </w:footnote>
  <w:footnote w:id="683">
    <w:p w:rsidR="00C8559C" w:rsidRPr="006A4F74" w:rsidP="00411993">
      <w:pPr>
        <w:pStyle w:val="FootnoteText"/>
        <w:spacing w:line="240" w:lineRule="auto"/>
        <w:ind w:left="0" w:right="0"/>
        <w:jc w:val="right"/>
      </w:pPr>
      <w:r w:rsidRPr="008E6451">
        <w:rPr>
          <w:rStyle w:val="FootnoteReference"/>
          <w:sz w:val="18"/>
          <w:szCs w:val="18"/>
          <w:vertAlign w:val="baseline"/>
        </w:rPr>
        <w:footnoteRef/>
      </w:r>
      <w:r w:rsidRPr="008E6451">
        <w:rPr>
          <w:sz w:val="18"/>
          <w:szCs w:val="18"/>
        </w:rPr>
        <w:t>.  Radhakrishnan, Dr:  Interpretation of Gita, p 13</w:t>
      </w:r>
    </w:p>
  </w:footnote>
  <w:footnote w:id="684">
    <w:p w:rsidR="00C8559C" w:rsidRPr="00411993" w:rsidP="00EA6A51">
      <w:pPr>
        <w:pStyle w:val="FootnoteText"/>
        <w:ind w:left="227" w:right="0" w:hanging="227"/>
        <w:jc w:val="both"/>
        <w:rPr>
          <w:rFonts w:ascii="IPT.Zar" w:hAnsi="IPT.Zar"/>
          <w:rtl/>
        </w:rPr>
      </w:pPr>
      <w:r w:rsidRPr="009E666F">
        <w:rPr>
          <w:rStyle w:val="FootnoteReference"/>
          <w:rFonts w:ascii="IPT.Zar" w:hAnsi="IPT.Zar"/>
          <w:sz w:val="24"/>
          <w:szCs w:val="24"/>
          <w:vertAlign w:val="baseline"/>
        </w:rPr>
        <w:footnoteRef/>
      </w:r>
      <w:r w:rsidRPr="00411993">
        <w:rPr>
          <w:rFonts w:ascii="IPT.Zar" w:hAnsi="IPT.Zar"/>
        </w:rPr>
        <w:sym w:font="IPT.Zar" w:char="F020"/>
      </w:r>
      <w:r w:rsidRPr="00411993">
        <w:rPr>
          <w:rFonts w:ascii="IPT.Zar" w:hAnsi="IPT.Zar" w:cs="B Zar"/>
          <w:rtl/>
        </w:rPr>
        <w:t>. ماينر گيتا ص 33 مقدمه</w:t>
      </w:r>
    </w:p>
  </w:footnote>
  <w:footnote w:id="685">
    <w:p w:rsidR="00C8559C" w:rsidRPr="006A4F74">
      <w:pPr>
        <w:pStyle w:val="FootnoteText"/>
        <w:ind w:left="0" w:right="0"/>
        <w:jc w:val="both"/>
        <w:rPr>
          <w:rFonts w:ascii="IPT.Zar" w:hAnsi="IPT.Zar" w:cs="B Zar" w:hint="cs"/>
          <w:rtl/>
        </w:rPr>
      </w:pPr>
      <w:r w:rsidRPr="00906142">
        <w:rPr>
          <w:rStyle w:val="FootnoteReference"/>
          <w:rFonts w:ascii="IPT.Zar" w:hAnsi="IPT.Zar" w:cs="B Zar"/>
          <w:vertAlign w:val="baseline"/>
        </w:rPr>
        <w:footnoteRef/>
      </w:r>
      <w:r w:rsidRPr="00906142">
        <w:rPr>
          <w:rFonts w:ascii="IPT.Zar" w:hAnsi="IPT.Zar" w:cs="B Zar"/>
        </w:rPr>
        <w:sym w:font="IPT.Zar" w:char="F020"/>
      </w:r>
      <w:r w:rsidRPr="006A4F74">
        <w:rPr>
          <w:rFonts w:ascii="IPT.Zar" w:hAnsi="IPT.Zar" w:cs="B Zar" w:hint="cs"/>
          <w:rtl/>
        </w:rPr>
        <w:t>. تيلاك: گيتا رهسيه ص 2، ج 1</w:t>
      </w:r>
    </w:p>
  </w:footnote>
  <w:footnote w:id="686">
    <w:p w:rsidR="00C8559C" w:rsidRPr="006A4F74" w:rsidP="00EA6A51">
      <w:pPr>
        <w:pStyle w:val="FootnoteText"/>
        <w:spacing w:line="240" w:lineRule="auto"/>
        <w:ind w:left="227" w:right="0" w:hanging="227"/>
        <w:jc w:val="both"/>
        <w:rPr>
          <w:rFonts w:ascii="IPT.Zar" w:hAnsi="IPT.Zar" w:cs="B Zar" w:hint="cs"/>
          <w:rtl/>
        </w:rPr>
      </w:pPr>
      <w:r w:rsidRPr="00203D54">
        <w:rPr>
          <w:rStyle w:val="FootnoteReference"/>
          <w:rFonts w:ascii="IPT.Zar" w:hAnsi="IPT.Zar" w:cs="B Zar"/>
          <w:sz w:val="24"/>
          <w:szCs w:val="24"/>
          <w:vertAlign w:val="baseline"/>
        </w:rPr>
        <w:footnoteRef/>
      </w:r>
      <w:r w:rsidRPr="006A4F74">
        <w:rPr>
          <w:rFonts w:ascii="IPT.Zar" w:hAnsi="IPT.Zar" w:cs="B Zar"/>
        </w:rPr>
        <w:sym w:font="IPT.Zar" w:char="F020"/>
      </w:r>
      <w:r w:rsidRPr="006A4F74">
        <w:rPr>
          <w:rFonts w:ascii="IPT.Zar" w:hAnsi="IPT.Zar" w:cs="B Zar" w:hint="cs"/>
          <w:rtl/>
        </w:rPr>
        <w:t>. گيتا: 13:10</w:t>
      </w:r>
    </w:p>
  </w:footnote>
  <w:footnote w:id="687">
    <w:p w:rsidR="00C8559C" w:rsidRPr="002229DB" w:rsidP="00906142">
      <w:pPr>
        <w:pStyle w:val="FootnoteText"/>
        <w:spacing w:line="240" w:lineRule="auto"/>
        <w:ind w:left="0" w:right="0"/>
        <w:jc w:val="right"/>
        <w:rPr>
          <w:sz w:val="18"/>
          <w:szCs w:val="18"/>
        </w:rPr>
      </w:pPr>
      <w:r w:rsidRPr="002229DB">
        <w:rPr>
          <w:rStyle w:val="FootnoteReference"/>
          <w:sz w:val="18"/>
          <w:szCs w:val="18"/>
          <w:vertAlign w:val="baseline"/>
        </w:rPr>
        <w:footnoteRef/>
      </w:r>
      <w:r w:rsidRPr="002229DB">
        <w:rPr>
          <w:sz w:val="18"/>
          <w:szCs w:val="18"/>
        </w:rPr>
        <w:t xml:space="preserve">  Minor, Robert: Commentary on Gita, 35</w:t>
      </w:r>
    </w:p>
  </w:footnote>
  <w:footnote w:id="688">
    <w:p w:rsidR="00C8559C" w:rsidRPr="002229DB" w:rsidP="002229DB">
      <w:pPr>
        <w:pStyle w:val="FootnoteText"/>
        <w:bidi w:val="0"/>
        <w:spacing w:line="240" w:lineRule="auto"/>
        <w:rPr>
          <w:rFonts w:cs="Times New Roman"/>
          <w:sz w:val="18"/>
          <w:szCs w:val="18"/>
        </w:rPr>
      </w:pPr>
      <w:r w:rsidRPr="002229DB">
        <w:rPr>
          <w:rStyle w:val="FootnoteReference"/>
          <w:rFonts w:cs="Times New Roman"/>
          <w:sz w:val="18"/>
          <w:szCs w:val="18"/>
          <w:vertAlign w:val="baseline"/>
        </w:rPr>
        <w:footnoteRef/>
      </w:r>
      <w:r w:rsidRPr="002229DB">
        <w:rPr>
          <w:rFonts w:cs="Times New Roman"/>
          <w:sz w:val="18"/>
          <w:szCs w:val="18"/>
          <w:rtl/>
        </w:rPr>
        <w:t>.</w:t>
      </w:r>
      <w:r w:rsidRPr="002229DB">
        <w:rPr>
          <w:rFonts w:cs="Times New Roman"/>
          <w:sz w:val="18"/>
          <w:szCs w:val="18"/>
        </w:rPr>
        <w:t xml:space="preserve"> </w:t>
      </w:r>
      <w:r w:rsidRPr="002229DB">
        <w:rPr>
          <w:rFonts w:cs="Times New Roman"/>
          <w:sz w:val="18"/>
          <w:szCs w:val="18"/>
          <w:rtl/>
        </w:rPr>
        <w:t xml:space="preserve"> </w:t>
      </w:r>
      <w:r w:rsidRPr="002229DB">
        <w:rPr>
          <w:rFonts w:cs="Times New Roman"/>
          <w:sz w:val="18"/>
          <w:szCs w:val="18"/>
        </w:rPr>
        <w:t xml:space="preserve">G.B.Khair Quest for the Original Gita, </w:t>
      </w:r>
      <w:smartTag w:uri="urn:schemas-microsoft-com:office:smarttags" w:element="place">
        <w:smartTag w:uri="urn:schemas-microsoft-com:office:smarttags" w:element="City">
          <w:r w:rsidRPr="002229DB">
            <w:rPr>
              <w:rFonts w:cs="Times New Roman"/>
              <w:sz w:val="18"/>
              <w:szCs w:val="18"/>
            </w:rPr>
            <w:t>Allahabad</w:t>
          </w:r>
        </w:smartTag>
      </w:smartTag>
      <w:r w:rsidRPr="002229DB">
        <w:rPr>
          <w:rFonts w:cs="Times New Roman"/>
          <w:sz w:val="18"/>
          <w:szCs w:val="18"/>
        </w:rPr>
        <w:t>, 1961 p.113</w:t>
      </w:r>
    </w:p>
  </w:footnote>
  <w:footnote w:id="689">
    <w:p w:rsidR="00C8559C" w:rsidRPr="006A4F74" w:rsidP="002229DB">
      <w:pPr>
        <w:pStyle w:val="FootnoteText"/>
        <w:spacing w:line="240" w:lineRule="auto"/>
        <w:ind w:left="0" w:right="0"/>
        <w:jc w:val="right"/>
      </w:pPr>
      <w:r w:rsidRPr="002229DB">
        <w:rPr>
          <w:rStyle w:val="FootnoteReference"/>
          <w:rFonts w:cs="Times New Roman"/>
          <w:sz w:val="18"/>
          <w:szCs w:val="18"/>
          <w:vertAlign w:val="baseline"/>
        </w:rPr>
        <w:footnoteRef/>
      </w:r>
      <w:r>
        <w:rPr>
          <w:rFonts w:cs="Times New Roman"/>
          <w:sz w:val="18"/>
          <w:szCs w:val="18"/>
        </w:rPr>
        <w:t>.</w:t>
      </w:r>
      <w:r w:rsidRPr="002229DB">
        <w:rPr>
          <w:rFonts w:cs="Times New Roman"/>
          <w:sz w:val="18"/>
          <w:szCs w:val="18"/>
        </w:rPr>
        <w:t xml:space="preserve">  Minor, Robert: Commentary on Gita, p 40</w:t>
      </w:r>
    </w:p>
  </w:footnote>
  <w:footnote w:id="690">
    <w:p w:rsidR="00C8559C" w:rsidRPr="006A4F74" w:rsidP="00360CFB">
      <w:pPr>
        <w:pStyle w:val="FootnoteText"/>
        <w:ind w:left="227" w:right="0" w:hanging="227"/>
        <w:jc w:val="both"/>
        <w:rPr>
          <w:rFonts w:cs="B Zar" w:hint="cs"/>
          <w:rtl/>
        </w:rPr>
      </w:pPr>
      <w:r w:rsidRPr="00360CFB">
        <w:rPr>
          <w:rStyle w:val="FootnoteReference"/>
          <w:rFonts w:ascii="IPT.Zar" w:hAnsi="IPT.Zar" w:cs="B Zar"/>
          <w:sz w:val="24"/>
          <w:szCs w:val="24"/>
          <w:vertAlign w:val="baseline"/>
        </w:rPr>
        <w:footnoteRef/>
      </w:r>
      <w:r w:rsidRPr="006A4F74">
        <w:rPr>
          <w:rFonts w:cs="B Zar" w:hint="cs"/>
          <w:rtl/>
        </w:rPr>
        <w:t xml:space="preserve">. </w:t>
      </w:r>
      <w:r w:rsidR="00360CFB">
        <w:rPr>
          <w:rFonts w:cs="B Zar" w:hint="cs"/>
          <w:rtl/>
        </w:rPr>
        <w:tab/>
      </w:r>
      <w:r w:rsidRPr="006A4F74">
        <w:rPr>
          <w:rFonts w:cs="B Zar" w:hint="cs"/>
          <w:rtl/>
        </w:rPr>
        <w:t xml:space="preserve">همان </w:t>
      </w:r>
      <w:r w:rsidRPr="006A4F74">
        <w:rPr>
          <w:rFonts w:cs="B Zar"/>
        </w:rPr>
        <w:t xml:space="preserve"> </w:t>
      </w:r>
      <w:r w:rsidRPr="006A4F74">
        <w:rPr>
          <w:rFonts w:cs="B Zar" w:hint="cs"/>
          <w:rtl/>
        </w:rPr>
        <w:t>ص 41-42</w:t>
      </w:r>
    </w:p>
  </w:footnote>
  <w:footnote w:id="691">
    <w:p w:rsidR="00C8559C" w:rsidRPr="008F181D" w:rsidP="00906142">
      <w:pPr>
        <w:pStyle w:val="FootnoteText"/>
        <w:bidi w:val="0"/>
        <w:spacing w:line="240" w:lineRule="auto"/>
        <w:jc w:val="left"/>
        <w:rPr>
          <w:sz w:val="18"/>
          <w:szCs w:val="18"/>
        </w:rPr>
      </w:pPr>
      <w:r w:rsidRPr="008F181D">
        <w:rPr>
          <w:rStyle w:val="FootnoteReference"/>
          <w:sz w:val="18"/>
          <w:szCs w:val="18"/>
          <w:vertAlign w:val="baseline"/>
        </w:rPr>
        <w:footnoteRef/>
      </w:r>
      <w:r w:rsidRPr="008F181D">
        <w:rPr>
          <w:sz w:val="18"/>
          <w:szCs w:val="18"/>
        </w:rPr>
        <w:t>.  Radhakrishnan, Dr:  Interpretation of Gita, p 14</w:t>
      </w:r>
    </w:p>
  </w:footnote>
  <w:footnote w:id="692">
    <w:p w:rsidR="00C8559C" w:rsidRPr="008F181D" w:rsidP="00360CFB">
      <w:pPr>
        <w:pStyle w:val="FootnoteText"/>
        <w:spacing w:line="240" w:lineRule="auto"/>
        <w:ind w:left="227" w:right="0" w:hanging="227"/>
        <w:jc w:val="both"/>
        <w:rPr>
          <w:rFonts w:ascii="IPT.Zar" w:hAnsi="IPT.Zar" w:cs="B Zar"/>
          <w:rtl/>
        </w:rPr>
      </w:pPr>
      <w:r w:rsidRPr="009E666F">
        <w:rPr>
          <w:rStyle w:val="FootnoteReference"/>
          <w:rFonts w:ascii="IPT.Zar" w:hAnsi="IPT.Zar" w:cs="B Zar"/>
          <w:sz w:val="24"/>
          <w:szCs w:val="24"/>
          <w:vertAlign w:val="baseline"/>
        </w:rPr>
        <w:footnoteRef/>
      </w:r>
      <w:r w:rsidRPr="008F181D">
        <w:rPr>
          <w:rFonts w:ascii="IPT.Zar" w:hAnsi="IPT.Zar" w:cs="B Zar"/>
          <w:rtl/>
        </w:rPr>
        <w:t xml:space="preserve">. </w:t>
      </w:r>
      <w:r w:rsidR="00360CFB">
        <w:rPr>
          <w:rFonts w:ascii="IPT.Zar" w:hAnsi="IPT.Zar" w:cs="B Zar" w:hint="cs"/>
          <w:rtl/>
        </w:rPr>
        <w:tab/>
      </w:r>
      <w:r w:rsidRPr="008F181D">
        <w:rPr>
          <w:rFonts w:ascii="IPT.Zar" w:hAnsi="IPT.Zar" w:cs="B Zar"/>
          <w:rtl/>
        </w:rPr>
        <w:t>گيتا: 72:2</w:t>
      </w:r>
    </w:p>
  </w:footnote>
  <w:footnote w:id="693">
    <w:p w:rsidR="00C8559C" w:rsidRPr="008F181D" w:rsidP="00360CFB">
      <w:pPr>
        <w:pStyle w:val="FootnoteText"/>
        <w:spacing w:line="240" w:lineRule="auto"/>
        <w:ind w:left="227" w:right="0" w:hanging="227"/>
        <w:jc w:val="both"/>
        <w:rPr>
          <w:rFonts w:ascii="IPT.Zar" w:hAnsi="IPT.Zar" w:cs="B Zar"/>
          <w:rtl/>
        </w:rPr>
      </w:pPr>
      <w:r w:rsidRPr="009E666F">
        <w:rPr>
          <w:rStyle w:val="FootnoteReference"/>
          <w:rFonts w:ascii="IPT.Zar" w:hAnsi="IPT.Zar" w:cs="B Zar"/>
          <w:sz w:val="24"/>
          <w:szCs w:val="24"/>
          <w:vertAlign w:val="baseline"/>
        </w:rPr>
        <w:footnoteRef/>
      </w:r>
      <w:r w:rsidRPr="008F181D">
        <w:rPr>
          <w:rFonts w:ascii="IPT.Zar" w:hAnsi="IPT.Zar" w:cs="B Zar"/>
          <w:rtl/>
        </w:rPr>
        <w:t>.</w:t>
      </w:r>
      <w:r w:rsidR="00360CFB">
        <w:rPr>
          <w:rFonts w:ascii="IPT.Zar" w:hAnsi="IPT.Zar" w:cs="B Zar" w:hint="cs"/>
          <w:rtl/>
        </w:rPr>
        <w:tab/>
      </w:r>
      <w:r w:rsidRPr="008F181D">
        <w:rPr>
          <w:rFonts w:ascii="IPT.Zar" w:hAnsi="IPT.Zar" w:cs="B Zar"/>
          <w:rtl/>
        </w:rPr>
        <w:t>همان: 55:11</w:t>
      </w:r>
    </w:p>
  </w:footnote>
  <w:footnote w:id="694">
    <w:p w:rsidR="00C8559C" w:rsidRPr="006A4F74" w:rsidP="00360CFB">
      <w:pPr>
        <w:pStyle w:val="FootnoteText"/>
        <w:spacing w:line="240" w:lineRule="auto"/>
        <w:ind w:left="227" w:right="0" w:hanging="227"/>
        <w:jc w:val="both"/>
        <w:rPr>
          <w:rFonts w:hint="cs"/>
          <w:rtl/>
        </w:rPr>
      </w:pPr>
      <w:r w:rsidRPr="009E666F">
        <w:rPr>
          <w:rStyle w:val="FootnoteReference"/>
          <w:rFonts w:ascii="IPT.Zar" w:hAnsi="IPT.Zar" w:cs="B Zar"/>
          <w:sz w:val="24"/>
          <w:szCs w:val="24"/>
          <w:vertAlign w:val="baseline"/>
        </w:rPr>
        <w:footnoteRef/>
      </w:r>
      <w:r w:rsidRPr="008F181D">
        <w:rPr>
          <w:rFonts w:ascii="IPT.Zar" w:hAnsi="IPT.Zar" w:cs="B Zar"/>
          <w:rtl/>
        </w:rPr>
        <w:t xml:space="preserve">. </w:t>
      </w:r>
      <w:r w:rsidR="00360CFB">
        <w:rPr>
          <w:rFonts w:ascii="IPT.Zar" w:hAnsi="IPT.Zar" w:cs="B Zar" w:hint="cs"/>
          <w:rtl/>
        </w:rPr>
        <w:tab/>
      </w:r>
      <w:r w:rsidRPr="008F181D">
        <w:rPr>
          <w:rFonts w:ascii="IPT.Zar" w:hAnsi="IPT.Zar" w:cs="B Zar"/>
          <w:rtl/>
        </w:rPr>
        <w:t>همان: 13:12</w:t>
      </w:r>
    </w:p>
  </w:footnote>
  <w:footnote w:id="695">
    <w:p w:rsidR="00C8559C" w:rsidRPr="008F181D" w:rsidP="008F181D">
      <w:pPr>
        <w:pStyle w:val="FootnoteText"/>
        <w:bidi w:val="0"/>
        <w:spacing w:line="240" w:lineRule="auto"/>
        <w:rPr>
          <w:rFonts w:hint="cs"/>
          <w:sz w:val="18"/>
          <w:szCs w:val="18"/>
          <w:rtl/>
        </w:rPr>
      </w:pPr>
      <w:r w:rsidRPr="008F181D">
        <w:rPr>
          <w:rStyle w:val="FootnoteReference"/>
          <w:rFonts w:cs="Times New Roman"/>
          <w:sz w:val="18"/>
          <w:szCs w:val="18"/>
          <w:vertAlign w:val="baseline"/>
        </w:rPr>
        <w:footnoteRef/>
      </w:r>
      <w:r w:rsidRPr="008F181D">
        <w:rPr>
          <w:rFonts w:cs="Times New Roman"/>
          <w:sz w:val="18"/>
          <w:szCs w:val="18"/>
        </w:rPr>
        <w:t xml:space="preserve">. </w:t>
      </w:r>
      <w:r w:rsidR="00360CFB">
        <w:rPr>
          <w:rFonts w:cs="Times New Roman"/>
          <w:sz w:val="18"/>
          <w:szCs w:val="18"/>
        </w:rPr>
        <w:t xml:space="preserve"> </w:t>
      </w:r>
      <w:r w:rsidRPr="008F181D">
        <w:rPr>
          <w:sz w:val="18"/>
          <w:szCs w:val="18"/>
        </w:rPr>
        <w:t>Zahner, R .C.: Gita, New Yok, 1957, P 125</w:t>
      </w:r>
    </w:p>
  </w:footnote>
  <w:footnote w:id="696">
    <w:p w:rsidR="00C8559C" w:rsidRPr="006A4F74" w:rsidP="00DA2E75">
      <w:pPr>
        <w:pStyle w:val="FootnoteText"/>
        <w:ind w:left="27" w:right="0" w:hanging="27"/>
        <w:jc w:val="both"/>
        <w:rPr>
          <w:rFonts w:cs="B Zar" w:hint="cs"/>
          <w:rtl/>
        </w:rPr>
      </w:pPr>
      <w:r w:rsidRPr="00873CD4">
        <w:rPr>
          <w:rStyle w:val="FootnoteReference"/>
          <w:rFonts w:ascii="IPT.Zar" w:hAnsi="IPT.Zar" w:cs="B Zar"/>
          <w:sz w:val="24"/>
          <w:szCs w:val="24"/>
          <w:vertAlign w:val="baseline"/>
        </w:rPr>
        <w:footnoteRef/>
      </w:r>
      <w:r w:rsidRPr="006A4F74">
        <w:rPr>
          <w:rFonts w:cs="B Zar" w:hint="cs"/>
          <w:rtl/>
        </w:rPr>
        <w:t>.</w:t>
      </w:r>
      <w:r w:rsidRPr="006A4F74" w:rsidR="00DA2E75">
        <w:rPr>
          <w:rFonts w:ascii="IPT.Zar" w:hAnsi="IPT.Zar" w:cs="B Zar"/>
        </w:rPr>
        <w:sym w:font="IPT.Zar" w:char="F020"/>
      </w:r>
      <w:r w:rsidRPr="006A4F74">
        <w:rPr>
          <w:rFonts w:cs="B Zar" w:hint="cs"/>
          <w:rtl/>
        </w:rPr>
        <w:t>گيتا: 9 : 2:17</w:t>
      </w:r>
    </w:p>
  </w:footnote>
  <w:footnote w:id="697">
    <w:p w:rsidR="00C8559C" w:rsidRPr="008F181D" w:rsidP="00906142">
      <w:pPr>
        <w:pStyle w:val="FootnoteText"/>
        <w:ind w:left="0" w:right="0"/>
        <w:jc w:val="right"/>
        <w:rPr>
          <w:sz w:val="18"/>
          <w:szCs w:val="18"/>
        </w:rPr>
      </w:pPr>
      <w:r w:rsidRPr="008F181D">
        <w:rPr>
          <w:rStyle w:val="FootnoteReference"/>
          <w:sz w:val="18"/>
          <w:szCs w:val="18"/>
          <w:vertAlign w:val="baseline"/>
        </w:rPr>
        <w:footnoteRef/>
      </w:r>
      <w:r>
        <w:rPr>
          <w:sz w:val="18"/>
          <w:szCs w:val="18"/>
        </w:rPr>
        <w:t>.</w:t>
      </w:r>
      <w:r w:rsidRPr="008F181D">
        <w:rPr>
          <w:sz w:val="18"/>
          <w:szCs w:val="18"/>
        </w:rPr>
        <w:t xml:space="preserve">  Minor, Robert: Commentary on Gita, p 69</w:t>
      </w:r>
    </w:p>
  </w:footnote>
  <w:footnote w:id="698">
    <w:p w:rsidR="00C8559C" w:rsidRPr="008F181D" w:rsidP="00054F4E">
      <w:pPr>
        <w:pStyle w:val="FootnoteText"/>
        <w:bidi w:val="0"/>
        <w:spacing w:line="240" w:lineRule="auto"/>
        <w:ind w:left="227" w:hanging="227"/>
        <w:jc w:val="left"/>
        <w:rPr>
          <w:sz w:val="18"/>
          <w:szCs w:val="18"/>
        </w:rPr>
      </w:pPr>
      <w:r w:rsidRPr="008F181D">
        <w:rPr>
          <w:rStyle w:val="FootnoteReference"/>
          <w:sz w:val="18"/>
          <w:szCs w:val="18"/>
          <w:vertAlign w:val="baseline"/>
        </w:rPr>
        <w:footnoteRef/>
      </w:r>
      <w:r>
        <w:rPr>
          <w:sz w:val="18"/>
          <w:szCs w:val="18"/>
        </w:rPr>
        <w:t>.</w:t>
      </w:r>
      <w:r w:rsidRPr="008F181D">
        <w:rPr>
          <w:sz w:val="18"/>
          <w:szCs w:val="18"/>
        </w:rPr>
        <w:t xml:space="preserve"> </w:t>
      </w:r>
      <w:r w:rsidR="00054F4E">
        <w:rPr>
          <w:sz w:val="18"/>
          <w:szCs w:val="18"/>
        </w:rPr>
        <w:tab/>
      </w:r>
      <w:r w:rsidRPr="008F181D">
        <w:rPr>
          <w:sz w:val="18"/>
          <w:szCs w:val="18"/>
        </w:rPr>
        <w:t>Radhakrishnan, Dr:  Interpretation of Gita,, pp 15-16</w:t>
      </w:r>
    </w:p>
  </w:footnote>
  <w:footnote w:id="699">
    <w:p w:rsidR="00C8559C" w:rsidRPr="006A4F74" w:rsidP="00054F4E">
      <w:pPr>
        <w:pStyle w:val="FootnoteText"/>
        <w:bidi w:val="0"/>
        <w:spacing w:line="240" w:lineRule="auto"/>
        <w:ind w:left="227" w:hanging="227"/>
        <w:jc w:val="left"/>
      </w:pPr>
      <w:r w:rsidRPr="008F181D">
        <w:rPr>
          <w:rStyle w:val="FootnoteReference"/>
          <w:sz w:val="18"/>
          <w:szCs w:val="18"/>
          <w:vertAlign w:val="baseline"/>
        </w:rPr>
        <w:footnoteRef/>
      </w:r>
      <w:r>
        <w:rPr>
          <w:sz w:val="18"/>
          <w:szCs w:val="18"/>
        </w:rPr>
        <w:t>.</w:t>
      </w:r>
      <w:r w:rsidRPr="008F181D">
        <w:rPr>
          <w:sz w:val="18"/>
          <w:szCs w:val="18"/>
        </w:rPr>
        <w:t xml:space="preserve"> </w:t>
      </w:r>
      <w:r w:rsidR="00054F4E">
        <w:rPr>
          <w:sz w:val="18"/>
          <w:szCs w:val="18"/>
        </w:rPr>
        <w:tab/>
      </w:r>
      <w:r w:rsidRPr="008F181D">
        <w:rPr>
          <w:sz w:val="18"/>
          <w:szCs w:val="18"/>
        </w:rPr>
        <w:t>Tilak, Bal Ganga Dhar: Gita- Rahasya, v 1, pp 15-16</w:t>
      </w:r>
    </w:p>
  </w:footnote>
  <w:footnote w:id="700">
    <w:p w:rsidR="00C8559C" w:rsidRPr="0070143E" w:rsidP="0070143E">
      <w:pPr>
        <w:pStyle w:val="FootnoteText"/>
        <w:spacing w:line="240" w:lineRule="auto"/>
        <w:ind w:left="0" w:right="0"/>
        <w:jc w:val="right"/>
        <w:rPr>
          <w:sz w:val="18"/>
          <w:szCs w:val="18"/>
        </w:rPr>
      </w:pPr>
      <w:r w:rsidRPr="0070143E">
        <w:rPr>
          <w:rStyle w:val="FootnoteReference"/>
          <w:sz w:val="18"/>
          <w:szCs w:val="18"/>
          <w:vertAlign w:val="baseline"/>
        </w:rPr>
        <w:footnoteRef/>
      </w:r>
      <w:r>
        <w:rPr>
          <w:sz w:val="18"/>
          <w:szCs w:val="18"/>
        </w:rPr>
        <w:t>.</w:t>
      </w:r>
      <w:r w:rsidRPr="0070143E">
        <w:rPr>
          <w:sz w:val="18"/>
          <w:szCs w:val="18"/>
        </w:rPr>
        <w:t xml:space="preserve">  Radhakrishnan, Dr:  Interpretation of Gita, pp 16-17</w:t>
      </w:r>
    </w:p>
  </w:footnote>
  <w:footnote w:id="701">
    <w:p w:rsidR="00C8559C" w:rsidRPr="0070143E" w:rsidP="00907861">
      <w:pPr>
        <w:pStyle w:val="FootnoteText"/>
        <w:spacing w:line="240" w:lineRule="auto"/>
        <w:ind w:left="0" w:right="0"/>
        <w:jc w:val="right"/>
        <w:rPr>
          <w:sz w:val="18"/>
          <w:szCs w:val="18"/>
        </w:rPr>
      </w:pPr>
      <w:r w:rsidRPr="0070143E">
        <w:rPr>
          <w:rStyle w:val="FootnoteReference"/>
          <w:sz w:val="18"/>
          <w:szCs w:val="18"/>
          <w:vertAlign w:val="baseline"/>
        </w:rPr>
        <w:footnoteRef/>
      </w:r>
      <w:r>
        <w:rPr>
          <w:sz w:val="18"/>
          <w:szCs w:val="18"/>
        </w:rPr>
        <w:t>.</w:t>
      </w:r>
      <w:r w:rsidRPr="0070143E">
        <w:rPr>
          <w:sz w:val="18"/>
          <w:szCs w:val="18"/>
        </w:rPr>
        <w:t xml:space="preserve">  Shankara : Gita-Bhasiya, with Translation and text, Benarus, 1953, pp 12-20</w:t>
      </w:r>
    </w:p>
  </w:footnote>
  <w:footnote w:id="702">
    <w:p w:rsidR="00C8559C" w:rsidRPr="006A4F74" w:rsidP="0070143E">
      <w:pPr>
        <w:pStyle w:val="FootnoteText"/>
        <w:spacing w:line="240" w:lineRule="auto"/>
        <w:ind w:left="0" w:right="0"/>
        <w:jc w:val="right"/>
        <w:rPr>
          <w:rFonts w:hint="cs"/>
          <w:rtl/>
        </w:rPr>
      </w:pPr>
      <w:r w:rsidRPr="0070143E">
        <w:rPr>
          <w:rStyle w:val="FootnoteReference"/>
          <w:sz w:val="18"/>
          <w:szCs w:val="18"/>
          <w:vertAlign w:val="baseline"/>
        </w:rPr>
        <w:footnoteRef/>
      </w:r>
      <w:r>
        <w:rPr>
          <w:sz w:val="18"/>
          <w:szCs w:val="18"/>
        </w:rPr>
        <w:t>.</w:t>
      </w:r>
      <w:r w:rsidRPr="0070143E">
        <w:rPr>
          <w:sz w:val="18"/>
          <w:szCs w:val="18"/>
        </w:rPr>
        <w:t xml:space="preserve">  Tilak, Bal Ganga Dhar: Gita- Rahasya, v 1, p 22</w:t>
      </w:r>
    </w:p>
  </w:footnote>
  <w:footnote w:id="703">
    <w:p w:rsidR="00C8559C" w:rsidRPr="0070143E" w:rsidP="00054F4E">
      <w:pPr>
        <w:pStyle w:val="FootnoteText"/>
        <w:bidi w:val="0"/>
        <w:spacing w:line="240" w:lineRule="auto"/>
        <w:ind w:left="227" w:hanging="227"/>
        <w:jc w:val="left"/>
        <w:rPr>
          <w:rFonts w:cs="Times New Roman"/>
          <w:sz w:val="18"/>
          <w:szCs w:val="18"/>
        </w:rPr>
      </w:pPr>
      <w:r w:rsidRPr="0070143E">
        <w:rPr>
          <w:rStyle w:val="FootnoteReference"/>
          <w:rFonts w:cs="Times New Roman"/>
          <w:sz w:val="18"/>
          <w:szCs w:val="18"/>
          <w:vertAlign w:val="baseline"/>
        </w:rPr>
        <w:footnoteRef/>
      </w:r>
      <w:r>
        <w:rPr>
          <w:rFonts w:cs="Times New Roman"/>
          <w:sz w:val="18"/>
          <w:szCs w:val="18"/>
        </w:rPr>
        <w:t>.</w:t>
      </w:r>
      <w:r w:rsidRPr="0070143E">
        <w:rPr>
          <w:rFonts w:cs="Times New Roman"/>
          <w:sz w:val="18"/>
          <w:szCs w:val="18"/>
        </w:rPr>
        <w:t xml:space="preserve">  Minor, Robert: Commentary on Gita, p 16</w:t>
      </w:r>
    </w:p>
  </w:footnote>
  <w:footnote w:id="704">
    <w:p w:rsidR="00C8559C" w:rsidRPr="0070143E" w:rsidP="00054F4E">
      <w:pPr>
        <w:pStyle w:val="FootnoteText"/>
        <w:bidi w:val="0"/>
        <w:spacing w:line="240" w:lineRule="auto"/>
        <w:ind w:left="227" w:hanging="227"/>
        <w:jc w:val="left"/>
        <w:rPr>
          <w:rFonts w:cs="Times New Roman"/>
          <w:sz w:val="18"/>
          <w:szCs w:val="18"/>
          <w:rtl/>
        </w:rPr>
      </w:pPr>
      <w:r w:rsidRPr="0070143E">
        <w:rPr>
          <w:rStyle w:val="FootnoteReference"/>
          <w:rFonts w:cs="Times New Roman"/>
          <w:sz w:val="18"/>
          <w:szCs w:val="18"/>
          <w:vertAlign w:val="baseline"/>
        </w:rPr>
        <w:footnoteRef/>
      </w:r>
      <w:r w:rsidRPr="0070143E">
        <w:rPr>
          <w:rFonts w:cs="Times New Roman"/>
          <w:sz w:val="18"/>
          <w:szCs w:val="18"/>
        </w:rPr>
        <w:t>.</w:t>
      </w:r>
      <w:r w:rsidRPr="0070143E">
        <w:rPr>
          <w:rFonts w:cs="Times New Roman"/>
          <w:sz w:val="18"/>
          <w:szCs w:val="18"/>
          <w:rtl/>
        </w:rPr>
        <w:t xml:space="preserve"> </w:t>
      </w:r>
      <w:r w:rsidR="00054F4E">
        <w:rPr>
          <w:rFonts w:cs="Times New Roman"/>
          <w:sz w:val="18"/>
          <w:szCs w:val="18"/>
        </w:rPr>
        <w:tab/>
      </w:r>
      <w:r w:rsidRPr="0070143E">
        <w:rPr>
          <w:rFonts w:cs="Times New Roman"/>
          <w:sz w:val="18"/>
          <w:szCs w:val="18"/>
        </w:rPr>
        <w:t xml:space="preserve">Sri Dhar: Sabodhani, RamkrishanaMath, </w:t>
      </w:r>
      <w:smartTag w:uri="urn:schemas-microsoft-com:office:smarttags" w:element="place">
        <w:smartTag w:uri="urn:schemas-microsoft-com:office:smarttags" w:element="City">
          <w:r w:rsidRPr="0070143E">
            <w:rPr>
              <w:rFonts w:cs="Times New Roman"/>
              <w:sz w:val="18"/>
              <w:szCs w:val="18"/>
            </w:rPr>
            <w:t>Madras</w:t>
          </w:r>
        </w:smartTag>
      </w:smartTag>
      <w:r w:rsidRPr="0070143E">
        <w:rPr>
          <w:rFonts w:cs="Times New Roman"/>
          <w:sz w:val="18"/>
          <w:szCs w:val="18"/>
        </w:rPr>
        <w:t>, 1957, 118</w:t>
      </w:r>
    </w:p>
  </w:footnote>
  <w:footnote w:id="705">
    <w:p w:rsidR="00C8559C" w:rsidRPr="006A4F74" w:rsidP="003062C8">
      <w:pPr>
        <w:pStyle w:val="FootnoteText"/>
        <w:bidi w:val="0"/>
        <w:spacing w:line="240" w:lineRule="auto"/>
        <w:ind w:left="227" w:hanging="227"/>
        <w:jc w:val="left"/>
      </w:pPr>
      <w:r w:rsidRPr="0070143E">
        <w:rPr>
          <w:rStyle w:val="FootnoteReference"/>
          <w:rFonts w:cs="Times New Roman"/>
          <w:sz w:val="18"/>
          <w:szCs w:val="18"/>
          <w:vertAlign w:val="baseline"/>
        </w:rPr>
        <w:footnoteRef/>
      </w:r>
      <w:r>
        <w:rPr>
          <w:rFonts w:cs="Times New Roman"/>
          <w:sz w:val="18"/>
          <w:szCs w:val="18"/>
        </w:rPr>
        <w:t>.</w:t>
      </w:r>
      <w:r w:rsidRPr="0070143E">
        <w:rPr>
          <w:rFonts w:cs="Times New Roman"/>
          <w:sz w:val="18"/>
          <w:szCs w:val="18"/>
        </w:rPr>
        <w:t xml:space="preserve"> </w:t>
      </w:r>
      <w:r w:rsidR="003062C8">
        <w:rPr>
          <w:rFonts w:cs="Times New Roman"/>
          <w:sz w:val="18"/>
          <w:szCs w:val="18"/>
        </w:rPr>
        <w:tab/>
      </w:r>
      <w:r w:rsidRPr="0070143E">
        <w:rPr>
          <w:rFonts w:cs="Times New Roman"/>
          <w:sz w:val="18"/>
          <w:szCs w:val="18"/>
        </w:rPr>
        <w:t>Minor, Robert: Commentary on Gita, p 17</w:t>
      </w:r>
    </w:p>
  </w:footnote>
  <w:footnote w:id="706">
    <w:p w:rsidR="00C8559C" w:rsidRPr="0070143E" w:rsidP="003062C8">
      <w:pPr>
        <w:pStyle w:val="FootnoteText"/>
        <w:bidi w:val="0"/>
        <w:spacing w:line="240" w:lineRule="auto"/>
        <w:ind w:left="227" w:hanging="227"/>
        <w:jc w:val="left"/>
        <w:rPr>
          <w:sz w:val="18"/>
          <w:szCs w:val="18"/>
        </w:rPr>
      </w:pPr>
      <w:r w:rsidRPr="0070143E">
        <w:rPr>
          <w:rStyle w:val="FootnoteReference"/>
          <w:sz w:val="18"/>
          <w:szCs w:val="18"/>
          <w:vertAlign w:val="baseline"/>
        </w:rPr>
        <w:footnoteRef/>
      </w:r>
      <w:r>
        <w:rPr>
          <w:sz w:val="18"/>
          <w:szCs w:val="18"/>
        </w:rPr>
        <w:t>.</w:t>
      </w:r>
      <w:r w:rsidRPr="0070143E">
        <w:rPr>
          <w:sz w:val="18"/>
          <w:szCs w:val="18"/>
        </w:rPr>
        <w:t xml:space="preserve"> </w:t>
      </w:r>
      <w:r w:rsidR="003062C8">
        <w:rPr>
          <w:sz w:val="18"/>
          <w:szCs w:val="18"/>
        </w:rPr>
        <w:tab/>
      </w:r>
      <w:r w:rsidRPr="0070143E">
        <w:rPr>
          <w:sz w:val="18"/>
          <w:szCs w:val="18"/>
        </w:rPr>
        <w:t xml:space="preserve">Ramanuja: Gita-Bhasiya, text, </w:t>
      </w:r>
      <w:smartTag w:uri="urn:schemas-microsoft-com:office:smarttags" w:element="place">
        <w:smartTag w:uri="urn:schemas-microsoft-com:office:smarttags" w:element="City">
          <w:r w:rsidRPr="0070143E">
            <w:rPr>
              <w:sz w:val="18"/>
              <w:szCs w:val="18"/>
            </w:rPr>
            <w:t>Allahabad</w:t>
          </w:r>
        </w:smartTag>
      </w:smartTag>
      <w:r w:rsidRPr="0070143E">
        <w:rPr>
          <w:sz w:val="18"/>
          <w:szCs w:val="18"/>
        </w:rPr>
        <w:t>, 1968, pp 12-18</w:t>
      </w:r>
    </w:p>
  </w:footnote>
  <w:footnote w:id="707">
    <w:p w:rsidR="00C8559C" w:rsidRPr="0070143E" w:rsidP="0070143E">
      <w:pPr>
        <w:pStyle w:val="FootnoteText"/>
        <w:bidi w:val="0"/>
        <w:spacing w:line="240" w:lineRule="auto"/>
        <w:ind w:left="227" w:hanging="227"/>
        <w:rPr>
          <w:rFonts w:ascii="IPT.Zar" w:hAnsi="IPT.Zar" w:hint="cs"/>
          <w:sz w:val="18"/>
          <w:szCs w:val="18"/>
          <w:rtl/>
        </w:rPr>
      </w:pPr>
      <w:r w:rsidRPr="0070143E">
        <w:rPr>
          <w:rStyle w:val="FootnoteReference"/>
          <w:rFonts w:cs="Times New Roman"/>
          <w:sz w:val="18"/>
          <w:szCs w:val="18"/>
          <w:vertAlign w:val="baseline"/>
        </w:rPr>
        <w:footnoteRef/>
      </w:r>
      <w:r>
        <w:rPr>
          <w:rFonts w:cs="Times New Roman" w:hint="cs"/>
          <w:sz w:val="18"/>
          <w:szCs w:val="18"/>
          <w:rtl/>
        </w:rPr>
        <w:t xml:space="preserve"> </w:t>
      </w:r>
      <w:r w:rsidRPr="0070143E">
        <w:rPr>
          <w:rFonts w:cs="Times New Roman" w:hint="cs"/>
          <w:sz w:val="18"/>
          <w:szCs w:val="18"/>
          <w:rtl/>
        </w:rPr>
        <w:t xml:space="preserve"> .</w:t>
      </w:r>
      <w:r w:rsidRPr="0070143E">
        <w:rPr>
          <w:sz w:val="18"/>
          <w:szCs w:val="18"/>
        </w:rPr>
        <w:t xml:space="preserve">Gandhi, Mahatma: The Bible of Selfless Action, T. Mahadeo Desai, </w:t>
      </w:r>
      <w:smartTag w:uri="urn:schemas-microsoft-com:office:smarttags" w:element="place">
        <w:smartTag w:uri="urn:schemas-microsoft-com:office:smarttags" w:element="City">
          <w:r w:rsidRPr="0070143E">
            <w:rPr>
              <w:sz w:val="18"/>
              <w:szCs w:val="18"/>
            </w:rPr>
            <w:t>Ahmadabad</w:t>
          </w:r>
        </w:smartTag>
      </w:smartTag>
      <w:r w:rsidRPr="0070143E">
        <w:rPr>
          <w:sz w:val="18"/>
          <w:szCs w:val="18"/>
        </w:rPr>
        <w:t>, 1946</w:t>
      </w:r>
    </w:p>
  </w:footnote>
  <w:footnote w:id="708">
    <w:p w:rsidR="00C8559C" w:rsidRPr="0060698A" w:rsidP="00253942">
      <w:pPr>
        <w:pStyle w:val="FootnoteText"/>
        <w:bidi w:val="0"/>
        <w:spacing w:line="240" w:lineRule="auto"/>
        <w:jc w:val="left"/>
        <w:rPr>
          <w:sz w:val="18"/>
          <w:szCs w:val="18"/>
        </w:rPr>
      </w:pPr>
      <w:r w:rsidRPr="0060698A">
        <w:rPr>
          <w:rStyle w:val="FootnoteReference"/>
          <w:sz w:val="18"/>
          <w:szCs w:val="18"/>
          <w:vertAlign w:val="baseline"/>
        </w:rPr>
        <w:footnoteRef/>
      </w:r>
      <w:r>
        <w:rPr>
          <w:sz w:val="18"/>
          <w:szCs w:val="18"/>
        </w:rPr>
        <w:t>.</w:t>
      </w:r>
      <w:r w:rsidRPr="0060698A">
        <w:rPr>
          <w:sz w:val="18"/>
          <w:szCs w:val="18"/>
        </w:rPr>
        <w:t xml:space="preserve">  Minor, Robert: Commentary on Gita, p19</w:t>
      </w:r>
    </w:p>
  </w:footnote>
  <w:footnote w:id="709">
    <w:p w:rsidR="00C8559C" w:rsidRPr="0060698A" w:rsidP="00253942">
      <w:pPr>
        <w:pStyle w:val="FootnoteText"/>
        <w:spacing w:line="240" w:lineRule="auto"/>
        <w:ind w:left="0" w:right="0"/>
        <w:jc w:val="right"/>
        <w:rPr>
          <w:sz w:val="18"/>
          <w:szCs w:val="18"/>
        </w:rPr>
      </w:pPr>
      <w:r w:rsidRPr="0060698A">
        <w:rPr>
          <w:rStyle w:val="FootnoteReference"/>
          <w:sz w:val="18"/>
          <w:szCs w:val="18"/>
          <w:vertAlign w:val="baseline"/>
        </w:rPr>
        <w:footnoteRef/>
      </w:r>
      <w:r>
        <w:rPr>
          <w:sz w:val="18"/>
          <w:szCs w:val="18"/>
        </w:rPr>
        <w:t>.</w:t>
      </w:r>
      <w:r w:rsidRPr="0060698A">
        <w:rPr>
          <w:sz w:val="18"/>
          <w:szCs w:val="18"/>
        </w:rPr>
        <w:t xml:space="preserve">  Auribindo, Sri: Essays in Gita, p15</w:t>
      </w:r>
    </w:p>
  </w:footnote>
  <w:footnote w:id="710">
    <w:p w:rsidR="00C8559C" w:rsidRPr="006A4F74">
      <w:pPr>
        <w:pStyle w:val="FootnoteText"/>
        <w:ind w:left="0" w:right="0"/>
        <w:jc w:val="both"/>
        <w:rPr>
          <w:rFonts w:ascii="IPT.Zar" w:hAnsi="IPT.Zar" w:cs="B Zar" w:hint="cs"/>
          <w:rtl/>
        </w:rPr>
      </w:pPr>
      <w:r w:rsidRPr="006A4F74">
        <w:rPr>
          <w:rStyle w:val="FootnoteReference"/>
          <w:rFonts w:ascii="IPT.Zar" w:hAnsi="IPT.Zar" w:cs="B Zar"/>
          <w:vertAlign w:val="baseline"/>
        </w:rPr>
        <w:footnoteRef/>
      </w:r>
      <w:r w:rsidRPr="006A4F74">
        <w:rPr>
          <w:rFonts w:ascii="IPT.Zar" w:hAnsi="IPT.Zar" w:cs="B Zar"/>
        </w:rPr>
        <w:sym w:font="IPT.Zar" w:char="F020"/>
      </w:r>
      <w:r w:rsidRPr="006A4F74">
        <w:rPr>
          <w:rFonts w:ascii="IPT.Zar" w:hAnsi="IPT.Zar" w:cs="B Zar" w:hint="cs"/>
          <w:rtl/>
        </w:rPr>
        <w:t>. رادا كريشنا: تفسير بهگوت گيتا ص 6</w:t>
      </w:r>
    </w:p>
  </w:footnote>
  <w:footnote w:id="711">
    <w:p w:rsidR="00C8559C" w:rsidRPr="006A4F74" w:rsidP="00253942">
      <w:pPr>
        <w:pStyle w:val="FootnoteText"/>
        <w:ind w:left="227" w:right="0" w:hanging="227"/>
        <w:jc w:val="both"/>
        <w:rPr>
          <w:rFonts w:ascii="IPT.Zar" w:hAnsi="IPT.Zar" w:cs="B Zar" w:hint="cs"/>
          <w:rtl/>
        </w:rPr>
      </w:pPr>
      <w:r w:rsidRPr="009E666F">
        <w:rPr>
          <w:rStyle w:val="FootnoteReference"/>
          <w:rFonts w:ascii="IPT.Zar" w:hAnsi="IPT.Zar" w:cs="B Zar"/>
          <w:sz w:val="24"/>
          <w:szCs w:val="24"/>
          <w:vertAlign w:val="baseline"/>
        </w:rPr>
        <w:footnoteRef/>
      </w:r>
      <w:r w:rsidRPr="006A4F74">
        <w:rPr>
          <w:rFonts w:ascii="IPT.Zar" w:hAnsi="IPT.Zar" w:cs="B Zar" w:hint="cs"/>
          <w:rtl/>
        </w:rPr>
        <w:t>.</w:t>
      </w:r>
      <w:r>
        <w:rPr>
          <w:rFonts w:ascii="IPT.Zar" w:hAnsi="IPT.Zar" w:cs="B Zar" w:hint="cs"/>
          <w:rtl/>
        </w:rPr>
        <w:t xml:space="preserve"> </w:t>
      </w:r>
      <w:r w:rsidR="00253942">
        <w:rPr>
          <w:rFonts w:ascii="IPT.Zar" w:hAnsi="IPT.Zar" w:cs="B Zar" w:hint="cs"/>
          <w:rtl/>
        </w:rPr>
        <w:tab/>
      </w:r>
      <w:r w:rsidRPr="006A4F74">
        <w:rPr>
          <w:rFonts w:ascii="IPT.Zar" w:hAnsi="IPT.Zar" w:cs="B Zar" w:hint="cs"/>
          <w:rtl/>
        </w:rPr>
        <w:t xml:space="preserve">سري دهر: </w:t>
      </w:r>
      <w:r w:rsidRPr="006A4F74">
        <w:rPr>
          <w:rFonts w:cs="B Zar" w:hint="cs"/>
          <w:rtl/>
        </w:rPr>
        <w:t>همان</w:t>
      </w:r>
      <w:r w:rsidRPr="006A4F74">
        <w:rPr>
          <w:rFonts w:ascii="IPT.Zar" w:hAnsi="IPT.Zar" w:cs="B Zar" w:hint="cs"/>
          <w:rtl/>
        </w:rPr>
        <w:t xml:space="preserve"> ص 2</w:t>
      </w:r>
    </w:p>
  </w:footnote>
  <w:footnote w:id="712">
    <w:p w:rsidR="00C8559C" w:rsidRPr="006A4F74" w:rsidP="00253942">
      <w:pPr>
        <w:pStyle w:val="FootnoteText"/>
        <w:ind w:left="227" w:right="0" w:hanging="227"/>
        <w:jc w:val="both"/>
        <w:rPr>
          <w:rFonts w:ascii="IPT.Zar" w:hAnsi="IPT.Zar" w:cs="B Zar" w:hint="cs"/>
          <w:rtl/>
        </w:rPr>
      </w:pPr>
      <w:r w:rsidRPr="008F44AC">
        <w:rPr>
          <w:rStyle w:val="FootnoteReference"/>
          <w:rFonts w:ascii="IPT.Zar" w:hAnsi="IPT.Zar" w:cs="B Zar"/>
          <w:sz w:val="24"/>
          <w:szCs w:val="24"/>
          <w:vertAlign w:val="baseline"/>
        </w:rPr>
        <w:footnoteRef/>
      </w:r>
      <w:r w:rsidRPr="006A4F74">
        <w:rPr>
          <w:rFonts w:ascii="IPT.Zar" w:hAnsi="IPT.Zar" w:cs="B Zar" w:hint="cs"/>
          <w:rtl/>
        </w:rPr>
        <w:t>.</w:t>
      </w:r>
      <w:r>
        <w:rPr>
          <w:rFonts w:ascii="IPT.Zar" w:hAnsi="IPT.Zar" w:cs="B Zar" w:hint="cs"/>
          <w:rtl/>
        </w:rPr>
        <w:t xml:space="preserve"> </w:t>
      </w:r>
      <w:r w:rsidR="00253942">
        <w:rPr>
          <w:rFonts w:ascii="IPT.Zar" w:hAnsi="IPT.Zar" w:cs="B Zar" w:hint="cs"/>
          <w:rtl/>
        </w:rPr>
        <w:tab/>
      </w:r>
      <w:r w:rsidRPr="006A4F74">
        <w:rPr>
          <w:rFonts w:ascii="IPT.Zar" w:hAnsi="IPT.Zar" w:cs="B Zar" w:hint="cs"/>
          <w:rtl/>
        </w:rPr>
        <w:t>رامانوجا: گيتا بهاسيه ص 44</w:t>
      </w:r>
    </w:p>
  </w:footnote>
  <w:footnote w:id="713">
    <w:p w:rsidR="00C8559C" w:rsidRPr="006A4F74" w:rsidP="00253942">
      <w:pPr>
        <w:pStyle w:val="FootnoteText"/>
        <w:ind w:left="227" w:right="0" w:hanging="227"/>
        <w:jc w:val="both"/>
        <w:rPr>
          <w:rFonts w:ascii="IPT.Zar" w:hAnsi="IPT.Zar" w:cs="B Zar" w:hint="cs"/>
          <w:rtl/>
        </w:rPr>
      </w:pPr>
      <w:r w:rsidRPr="008F44AC">
        <w:rPr>
          <w:rStyle w:val="FootnoteReference"/>
          <w:rFonts w:ascii="IPT.Zar" w:hAnsi="IPT.Zar" w:cs="B Zar"/>
          <w:sz w:val="24"/>
          <w:szCs w:val="24"/>
          <w:vertAlign w:val="baseline"/>
        </w:rPr>
        <w:footnoteRef/>
      </w:r>
      <w:r w:rsidRPr="006A4F74">
        <w:rPr>
          <w:rFonts w:ascii="IPT.Zar" w:hAnsi="IPT.Zar" w:cs="B Zar" w:hint="cs"/>
          <w:rtl/>
        </w:rPr>
        <w:t>.</w:t>
      </w:r>
      <w:r w:rsidR="00253942">
        <w:rPr>
          <w:rFonts w:ascii="IPT.Zar" w:hAnsi="IPT.Zar" w:cs="B Zar" w:hint="cs"/>
          <w:rtl/>
        </w:rPr>
        <w:tab/>
      </w:r>
      <w:r w:rsidRPr="006A4F74">
        <w:rPr>
          <w:rFonts w:ascii="IPT.Zar" w:hAnsi="IPT.Zar" w:cs="B Zar" w:hint="cs"/>
          <w:rtl/>
        </w:rPr>
        <w:t>شانكارا: تفسير گيتا ص 8</w:t>
      </w:r>
    </w:p>
  </w:footnote>
  <w:footnote w:id="714">
    <w:p w:rsidR="00C8559C" w:rsidRPr="006A4F74" w:rsidP="00253942">
      <w:pPr>
        <w:pStyle w:val="FootnoteText"/>
        <w:ind w:left="227" w:right="0" w:hanging="227"/>
        <w:jc w:val="both"/>
        <w:rPr>
          <w:rFonts w:ascii="IPT.Zar" w:hAnsi="IPT.Zar" w:hint="cs"/>
          <w:rtl/>
        </w:rPr>
      </w:pPr>
      <w:r w:rsidRPr="008F44AC">
        <w:rPr>
          <w:rStyle w:val="FootnoteReference"/>
          <w:rFonts w:ascii="IPT.Zar" w:hAnsi="IPT.Zar" w:cs="B Zar"/>
          <w:sz w:val="24"/>
          <w:szCs w:val="24"/>
          <w:vertAlign w:val="baseline"/>
        </w:rPr>
        <w:footnoteRef/>
      </w:r>
      <w:r w:rsidRPr="006A4F74">
        <w:rPr>
          <w:rFonts w:ascii="IPT.Zar" w:hAnsi="IPT.Zar" w:cs="B Zar" w:hint="cs"/>
          <w:rtl/>
        </w:rPr>
        <w:t>.</w:t>
      </w:r>
      <w:r>
        <w:rPr>
          <w:rFonts w:ascii="IPT.Zar" w:hAnsi="IPT.Zar" w:cs="B Zar" w:hint="cs"/>
          <w:rtl/>
        </w:rPr>
        <w:t xml:space="preserve"> </w:t>
      </w:r>
      <w:r w:rsidRPr="006A4F74">
        <w:rPr>
          <w:rFonts w:ascii="IPT.Zar" w:hAnsi="IPT.Zar" w:cs="B Zar" w:hint="cs"/>
          <w:rtl/>
        </w:rPr>
        <w:t xml:space="preserve"> </w:t>
      </w:r>
      <w:r w:rsidR="00253942">
        <w:rPr>
          <w:rFonts w:ascii="IPT.Zar" w:hAnsi="IPT.Zar" w:cs="B Zar" w:hint="cs"/>
          <w:rtl/>
        </w:rPr>
        <w:tab/>
      </w:r>
      <w:r w:rsidRPr="006A4F74">
        <w:rPr>
          <w:rFonts w:ascii="IPT.Zar" w:hAnsi="IPT.Zar" w:cs="B Zar" w:hint="cs"/>
          <w:rtl/>
        </w:rPr>
        <w:t>رادا كريشنان: تفسير گيتا ص 80</w:t>
      </w:r>
    </w:p>
  </w:footnote>
  <w:footnote w:id="715">
    <w:p w:rsidR="00C8559C" w:rsidRPr="006A4F74" w:rsidP="00253942">
      <w:pPr>
        <w:pStyle w:val="FootnoteText"/>
        <w:tabs>
          <w:tab w:val="right" w:pos="297"/>
        </w:tabs>
        <w:ind w:left="227" w:right="0" w:hanging="227"/>
        <w:jc w:val="both"/>
        <w:rPr>
          <w:rFonts w:ascii="IPT.Zar" w:hAnsi="IPT.Zar" w:cs="B Zar" w:hint="cs"/>
          <w:rtl/>
        </w:rPr>
      </w:pPr>
      <w:r w:rsidRPr="008F44AC">
        <w:rPr>
          <w:rStyle w:val="FootnoteReference"/>
          <w:rFonts w:ascii="IPT.Zar" w:hAnsi="IPT.Zar" w:cs="B Zar"/>
          <w:sz w:val="24"/>
          <w:szCs w:val="24"/>
          <w:vertAlign w:val="baseline"/>
        </w:rPr>
        <w:footnoteRef/>
      </w:r>
      <w:r w:rsidRPr="006A4F74">
        <w:rPr>
          <w:rFonts w:ascii="IPT.Zar" w:hAnsi="IPT.Zar" w:cs="B Zar" w:hint="cs"/>
          <w:rtl/>
        </w:rPr>
        <w:t>.</w:t>
      </w:r>
      <w:r>
        <w:rPr>
          <w:rFonts w:ascii="IPT.Zar" w:hAnsi="IPT.Zar" w:cs="B Zar" w:hint="cs"/>
          <w:rtl/>
        </w:rPr>
        <w:t xml:space="preserve"> </w:t>
        <w:tab/>
      </w:r>
      <w:r w:rsidRPr="006A4F74">
        <w:rPr>
          <w:rFonts w:ascii="IPT.Zar" w:hAnsi="IPT.Zar" w:cs="B Zar" w:hint="cs"/>
          <w:rtl/>
        </w:rPr>
        <w:t>رادا كريشنا: گيتا ص 81</w:t>
      </w:r>
    </w:p>
  </w:footnote>
  <w:footnote w:id="716">
    <w:p w:rsidR="00C8559C" w:rsidRPr="006A4F74" w:rsidP="00253942">
      <w:pPr>
        <w:pStyle w:val="FootnoteText"/>
        <w:ind w:left="227" w:right="0" w:hanging="227"/>
        <w:jc w:val="both"/>
        <w:rPr>
          <w:rFonts w:ascii="IPT.Zar" w:hAnsi="IPT.Zar" w:cs="B Zar" w:hint="cs"/>
          <w:rtl/>
        </w:rPr>
      </w:pPr>
      <w:r w:rsidRPr="008F44AC">
        <w:rPr>
          <w:rStyle w:val="FootnoteReference"/>
          <w:rFonts w:ascii="IPT.Zar" w:hAnsi="IPT.Zar" w:cs="B Zar"/>
          <w:sz w:val="24"/>
          <w:szCs w:val="24"/>
          <w:vertAlign w:val="baseline"/>
        </w:rPr>
        <w:footnoteRef/>
      </w:r>
      <w:r w:rsidRPr="006A4F74">
        <w:rPr>
          <w:rFonts w:ascii="IPT.Zar" w:hAnsi="IPT.Zar" w:cs="B Zar" w:hint="cs"/>
          <w:rtl/>
        </w:rPr>
        <w:t xml:space="preserve">. </w:t>
      </w:r>
      <w:r>
        <w:rPr>
          <w:rFonts w:ascii="IPT.Zar" w:hAnsi="IPT.Zar" w:cs="B Zar" w:hint="cs"/>
          <w:rtl/>
        </w:rPr>
        <w:t xml:space="preserve"> </w:t>
        <w:tab/>
      </w:r>
      <w:r w:rsidRPr="006A4F74">
        <w:rPr>
          <w:rFonts w:ascii="IPT.Zar" w:hAnsi="IPT.Zar" w:cs="B Zar" w:hint="cs"/>
          <w:rtl/>
        </w:rPr>
        <w:t>دريودهن فرزند بزرگ شاه دهرتراشتر است، اما عملاً وظايف سلطنت را به دست گرفته ازين رو در گيتا راجه (شاه) ناميده مي شود.</w:t>
      </w:r>
    </w:p>
  </w:footnote>
  <w:footnote w:id="717">
    <w:p w:rsidR="00C8559C" w:rsidRPr="006A4F74" w:rsidP="00253942">
      <w:pPr>
        <w:pStyle w:val="FootnoteText"/>
        <w:ind w:left="227" w:right="0" w:hanging="227"/>
        <w:jc w:val="both"/>
        <w:rPr>
          <w:rFonts w:ascii="IPT.Zar" w:hAnsi="IPT.Zar" w:cs="B Zar" w:hint="cs"/>
          <w:rtl/>
        </w:rPr>
      </w:pPr>
      <w:r w:rsidRPr="008F44AC">
        <w:rPr>
          <w:rStyle w:val="FootnoteReference"/>
          <w:rFonts w:ascii="IPT.Zar" w:hAnsi="IPT.Zar" w:cs="B Zar"/>
          <w:sz w:val="24"/>
          <w:szCs w:val="24"/>
          <w:vertAlign w:val="baseline"/>
        </w:rPr>
        <w:footnoteRef/>
      </w:r>
      <w:r w:rsidRPr="006A4F74">
        <w:rPr>
          <w:rFonts w:ascii="IPT.Zar" w:hAnsi="IPT.Zar" w:cs="B Zar" w:hint="cs"/>
          <w:rtl/>
        </w:rPr>
        <w:t xml:space="preserve">. </w:t>
      </w:r>
      <w:r>
        <w:rPr>
          <w:rFonts w:ascii="IPT.Zar" w:hAnsi="IPT.Zar" w:cs="B Zar" w:hint="cs"/>
          <w:rtl/>
        </w:rPr>
        <w:tab/>
      </w:r>
      <w:r w:rsidRPr="006A4F74">
        <w:rPr>
          <w:rFonts w:ascii="IPT.Zar" w:hAnsi="IPT.Zar" w:cs="B Zar" w:hint="cs"/>
          <w:rtl/>
        </w:rPr>
        <w:t>مقصود از پسر دروپد، دهرستد ايمن است كه يكي از فرماندهان لشكر پاندو بود.</w:t>
      </w:r>
    </w:p>
  </w:footnote>
  <w:footnote w:id="718">
    <w:p w:rsidR="00C8559C" w:rsidRPr="006A4F74" w:rsidP="008F44AC">
      <w:pPr>
        <w:pStyle w:val="FootnoteText"/>
        <w:ind w:left="227" w:right="0" w:hanging="227"/>
        <w:jc w:val="both"/>
        <w:rPr>
          <w:rFonts w:ascii="IPT.Zar" w:hAnsi="IPT.Zar" w:cs="B Zar"/>
        </w:rPr>
      </w:pPr>
      <w:r w:rsidRPr="008F44AC">
        <w:rPr>
          <w:rStyle w:val="FootnoteReference"/>
          <w:rFonts w:ascii="IPT.Zar" w:hAnsi="IPT.Zar" w:cs="B Zar"/>
          <w:sz w:val="24"/>
          <w:szCs w:val="24"/>
          <w:vertAlign w:val="baseline"/>
        </w:rPr>
        <w:footnoteRef/>
      </w:r>
      <w:r w:rsidRPr="006A4F74">
        <w:rPr>
          <w:rFonts w:ascii="IPT.Zar" w:hAnsi="IPT.Zar" w:cs="B Zar" w:hint="cs"/>
          <w:rtl/>
        </w:rPr>
        <w:t xml:space="preserve">. </w:t>
      </w:r>
      <w:r>
        <w:rPr>
          <w:rFonts w:ascii="IPT.Zar" w:hAnsi="IPT.Zar" w:cs="B Zar" w:hint="cs"/>
          <w:rtl/>
        </w:rPr>
        <w:tab/>
      </w:r>
      <w:r w:rsidRPr="006A4F74">
        <w:rPr>
          <w:rFonts w:ascii="IPT.Zar" w:hAnsi="IPT.Zar" w:cs="B Zar" w:hint="cs"/>
          <w:rtl/>
        </w:rPr>
        <w:t>قهرمانان بزرگ، ترجمة كلمة مهاراتهاست. اصطلاحات مهاراتها به معني پهلواني است كه با صد تن مصاف كند. در قرون اخير يك طبقة سلحشور از ايالت مهاراشتر (بمبئي) خود را مهاراتها ناميدند كه اينك به نام «مرهته» معروف اند و «شيو سينا» حزب سياسي آنان است.</w:t>
      </w:r>
    </w:p>
  </w:footnote>
  <w:footnote w:id="719">
    <w:p w:rsidR="00C8559C" w:rsidRPr="006A4F74" w:rsidP="00D6371B">
      <w:pPr>
        <w:pStyle w:val="FootnoteText"/>
        <w:ind w:left="227" w:right="0" w:hanging="227"/>
        <w:jc w:val="both"/>
        <w:rPr>
          <w:rFonts w:ascii="IPT.Zar" w:hAnsi="IPT.Zar" w:cs="B Zar"/>
        </w:rPr>
      </w:pPr>
      <w:r w:rsidRPr="008F44AC">
        <w:rPr>
          <w:rStyle w:val="FootnoteReference"/>
          <w:rFonts w:ascii="IPT.Zar" w:hAnsi="IPT.Zar" w:cs="B Zar"/>
          <w:sz w:val="24"/>
          <w:szCs w:val="24"/>
          <w:vertAlign w:val="baseline"/>
        </w:rPr>
        <w:footnoteRef/>
      </w:r>
      <w:r w:rsidRPr="006A4F74">
        <w:rPr>
          <w:rFonts w:ascii="IPT.Zar" w:hAnsi="IPT.Zar" w:cs="B Zar" w:hint="cs"/>
          <w:rtl/>
        </w:rPr>
        <w:t xml:space="preserve">. </w:t>
      </w:r>
      <w:r>
        <w:rPr>
          <w:rFonts w:ascii="IPT.Zar" w:hAnsi="IPT.Zar" w:cs="B Zar" w:hint="cs"/>
          <w:rtl/>
        </w:rPr>
        <w:tab/>
      </w:r>
      <w:r w:rsidRPr="006A4F74">
        <w:rPr>
          <w:rFonts w:ascii="IPT.Zar" w:hAnsi="IPT.Zar" w:cs="B Zar" w:hint="cs"/>
          <w:rtl/>
        </w:rPr>
        <w:t>بهيم</w:t>
      </w:r>
      <w:r w:rsidR="00D6371B">
        <w:rPr>
          <w:rFonts w:ascii="IPT.Zar" w:hAnsi="IPT.Zar" w:cs="B Zar"/>
        </w:rPr>
        <w:sym w:font="IPT.Zar" w:char="F020"/>
      </w:r>
      <w:r w:rsidRPr="006A4F74">
        <w:rPr>
          <w:rFonts w:cs="B Zar"/>
        </w:rPr>
        <w:t>(Bhim)</w:t>
      </w:r>
      <w:r w:rsidRPr="006A4F74">
        <w:rPr>
          <w:rFonts w:ascii="IPT.Zar" w:hAnsi="IPT.Zar" w:cs="B Zar"/>
        </w:rPr>
        <w:sym w:font="IPT.Zar" w:char="F020"/>
      </w:r>
      <w:r w:rsidRPr="006A4F74">
        <w:rPr>
          <w:rFonts w:ascii="IPT.Zar" w:hAnsi="IPT.Zar" w:cs="B Zar" w:hint="cs"/>
          <w:rtl/>
        </w:rPr>
        <w:t xml:space="preserve"> و آرجون</w:t>
      </w:r>
      <w:r w:rsidR="00D6371B">
        <w:rPr>
          <w:rFonts w:ascii="IPT.Zar" w:hAnsi="IPT.Zar" w:cs="B Zar"/>
        </w:rPr>
        <w:sym w:font="IPT.Zar" w:char="F020"/>
      </w:r>
      <w:r w:rsidRPr="006A4F74">
        <w:rPr>
          <w:rFonts w:cs="B Zar"/>
        </w:rPr>
        <w:t xml:space="preserve">Arjuna </w:t>
      </w:r>
      <w:r w:rsidRPr="006A4F74">
        <w:rPr>
          <w:rFonts w:ascii="IPT.Zar" w:hAnsi="IPT.Zar" w:cs="B Zar"/>
        </w:rPr>
        <w:sym w:font="IPT.Zar" w:char="F020"/>
      </w:r>
      <w:r w:rsidRPr="006A4F74">
        <w:rPr>
          <w:rFonts w:ascii="IPT.Zar" w:hAnsi="IPT.Zar" w:cs="B Zar" w:hint="cs"/>
          <w:rtl/>
        </w:rPr>
        <w:t xml:space="preserve"> دو تن از برادران پاندوا كه سرداري لشكر پاندوها را به عهده داشتند. كلمة «نظير» را برخي از مفسران به معناي (همانند) و برخي به معني (ازجمله) دانسته اند. سري دهر مفسر قديم آن را به معناي (همسنگ) مي داند، «سري دهر: سبودهني: ص 4</w:t>
      </w:r>
    </w:p>
  </w:footnote>
  <w:footnote w:id="720">
    <w:p w:rsidR="00C8559C" w:rsidRPr="006A4F74" w:rsidP="008F44AC">
      <w:pPr>
        <w:pStyle w:val="FootnoteText"/>
        <w:ind w:left="227" w:right="0" w:hanging="227"/>
        <w:jc w:val="both"/>
        <w:rPr>
          <w:rFonts w:ascii="IPT.Zar" w:hAnsi="IPT.Zar" w:cs="B Zar"/>
        </w:rPr>
      </w:pPr>
      <w:r w:rsidRPr="008F44AC">
        <w:rPr>
          <w:rStyle w:val="FootnoteReference"/>
          <w:rFonts w:ascii="IPT.Zar" w:hAnsi="IPT.Zar" w:cs="B Zar"/>
          <w:sz w:val="24"/>
          <w:szCs w:val="24"/>
          <w:vertAlign w:val="baseline"/>
        </w:rPr>
        <w:footnoteRef/>
      </w:r>
      <w:r w:rsidRPr="006A4F74">
        <w:rPr>
          <w:rFonts w:ascii="IPT.Zar" w:hAnsi="IPT.Zar" w:cs="B Zar" w:hint="cs"/>
          <w:rtl/>
        </w:rPr>
        <w:t xml:space="preserve">. </w:t>
      </w:r>
      <w:r>
        <w:rPr>
          <w:rFonts w:ascii="IPT.Zar" w:hAnsi="IPT.Zar" w:cs="B Zar" w:hint="cs"/>
          <w:rtl/>
        </w:rPr>
        <w:tab/>
      </w:r>
      <w:r w:rsidRPr="006A4F74">
        <w:rPr>
          <w:rFonts w:ascii="IPT.Zar" w:hAnsi="IPT.Zar" w:cs="B Zar" w:hint="cs"/>
          <w:rtl/>
        </w:rPr>
        <w:t>ست ياكا را از القاب دريودهن دانسته اند، ولي بعيد است او به خودش اشاره كند</w:t>
      </w:r>
    </w:p>
  </w:footnote>
  <w:footnote w:id="721">
    <w:p w:rsidR="00C8559C" w:rsidRPr="006A4F74" w:rsidP="00D6371B">
      <w:pPr>
        <w:pStyle w:val="FootnoteText"/>
        <w:ind w:left="227" w:right="0" w:hanging="227"/>
        <w:jc w:val="both"/>
        <w:rPr>
          <w:rFonts w:ascii="IPT.Zar" w:hAnsi="IPT.Zar" w:cs="B Zar"/>
        </w:rPr>
      </w:pPr>
      <w:r w:rsidRPr="008F44AC">
        <w:rPr>
          <w:rStyle w:val="FootnoteReference"/>
          <w:rFonts w:ascii="IPT.Zar" w:hAnsi="IPT.Zar" w:cs="B Zar"/>
          <w:sz w:val="24"/>
          <w:szCs w:val="24"/>
          <w:vertAlign w:val="baseline"/>
        </w:rPr>
        <w:footnoteRef/>
      </w:r>
      <w:r w:rsidRPr="006A4F74">
        <w:rPr>
          <w:rFonts w:ascii="IPT.Zar" w:hAnsi="IPT.Zar" w:cs="B Zar" w:hint="cs"/>
          <w:rtl/>
        </w:rPr>
        <w:t xml:space="preserve">. </w:t>
      </w:r>
      <w:r>
        <w:rPr>
          <w:rFonts w:ascii="IPT.Zar" w:hAnsi="IPT.Zar" w:cs="B Zar" w:hint="cs"/>
          <w:rtl/>
        </w:rPr>
        <w:tab/>
      </w:r>
      <w:r w:rsidRPr="006A4F74">
        <w:rPr>
          <w:rFonts w:ascii="IPT.Zar" w:hAnsi="IPT.Zar" w:cs="B Zar" w:hint="cs"/>
          <w:rtl/>
        </w:rPr>
        <w:t>ويرت پدر زن انهمن يو فرزند آرجون است.</w:t>
      </w:r>
    </w:p>
  </w:footnote>
  <w:footnote w:id="722">
    <w:p w:rsidR="00C8559C" w:rsidRPr="006A4F74" w:rsidP="00D6371B">
      <w:pPr>
        <w:pStyle w:val="FootnoteText"/>
        <w:ind w:left="227" w:right="0" w:hanging="227"/>
        <w:jc w:val="both"/>
        <w:rPr>
          <w:rFonts w:ascii="IPT.Zar" w:hAnsi="IPT.Zar" w:cs="B Zar"/>
        </w:rPr>
      </w:pPr>
      <w:r w:rsidRPr="008F44AC">
        <w:rPr>
          <w:rStyle w:val="FootnoteReference"/>
          <w:rFonts w:ascii="IPT.Zar" w:hAnsi="IPT.Zar" w:cs="B Zar"/>
          <w:sz w:val="24"/>
          <w:szCs w:val="24"/>
          <w:vertAlign w:val="baseline"/>
        </w:rPr>
        <w:footnoteRef/>
      </w:r>
      <w:r w:rsidRPr="006A4F74">
        <w:rPr>
          <w:rFonts w:ascii="IPT.Zar" w:hAnsi="IPT.Zar" w:cs="B Zar" w:hint="cs"/>
          <w:rtl/>
        </w:rPr>
        <w:t xml:space="preserve">. </w:t>
      </w:r>
      <w:r>
        <w:rPr>
          <w:rFonts w:ascii="IPT.Zar" w:hAnsi="IPT.Zar" w:cs="B Zar" w:hint="cs"/>
          <w:rtl/>
        </w:rPr>
        <w:tab/>
      </w:r>
      <w:r w:rsidRPr="006A4F74">
        <w:rPr>
          <w:rFonts w:ascii="IPT.Zar" w:hAnsi="IPT.Zar" w:cs="B Zar" w:hint="cs"/>
          <w:rtl/>
        </w:rPr>
        <w:t>در</w:t>
      </w:r>
      <w:r w:rsidR="00D6371B">
        <w:rPr>
          <w:rFonts w:ascii="IPT.Zar" w:hAnsi="IPT.Zar" w:cs="B Zar"/>
        </w:rPr>
        <w:sym w:font="IPT.Zar" w:char="F020"/>
      </w:r>
      <w:r w:rsidRPr="006A4F74">
        <w:rPr>
          <w:rFonts w:ascii="IPT.Zar" w:hAnsi="IPT.Zar" w:cs="B Zar" w:hint="cs"/>
          <w:rtl/>
        </w:rPr>
        <w:t>وپد پدر دراوپدي، همسر مشترك برادران پنجگانة پاندو است.</w:t>
      </w:r>
    </w:p>
  </w:footnote>
  <w:footnote w:id="723">
    <w:p w:rsidR="00C8559C" w:rsidRPr="00906142" w:rsidP="00DA2E75">
      <w:pPr>
        <w:pStyle w:val="FootnoteText"/>
        <w:ind w:left="227" w:right="0" w:hanging="227"/>
        <w:jc w:val="both"/>
        <w:rPr>
          <w:rFonts w:ascii="IPT.Zar" w:hAnsi="IPT.Zar" w:cs="B Zar"/>
        </w:rPr>
      </w:pPr>
      <w:r w:rsidRPr="008F44AC">
        <w:rPr>
          <w:rStyle w:val="FootnoteReference"/>
          <w:rFonts w:ascii="IPT.Zar" w:hAnsi="IPT.Zar" w:cs="B Zar"/>
          <w:sz w:val="24"/>
          <w:szCs w:val="24"/>
          <w:vertAlign w:val="baseline"/>
        </w:rPr>
        <w:footnoteRef/>
      </w:r>
      <w:r w:rsidRPr="00906142">
        <w:rPr>
          <w:rFonts w:ascii="IPT.Zar" w:hAnsi="IPT.Zar" w:cs="B Zar"/>
          <w:rtl/>
        </w:rPr>
        <w:t xml:space="preserve">. </w:t>
        <w:tab/>
        <w:t>دهرشت گيت شاه منطقه چري است.</w:t>
      </w:r>
    </w:p>
  </w:footnote>
  <w:footnote w:id="724">
    <w:p w:rsidR="00C8559C" w:rsidRPr="00906142" w:rsidP="008F44AC">
      <w:pPr>
        <w:pStyle w:val="FootnoteText"/>
        <w:ind w:left="227" w:right="0" w:hanging="227"/>
        <w:jc w:val="both"/>
        <w:rPr>
          <w:rFonts w:ascii="IPT.Zar" w:hAnsi="IPT.Zar" w:cs="B Zar"/>
        </w:rPr>
      </w:pPr>
      <w:r w:rsidRPr="008F44AC">
        <w:rPr>
          <w:rStyle w:val="FootnoteReference"/>
          <w:rFonts w:ascii="IPT.Zar" w:hAnsi="IPT.Zar" w:cs="B Zar"/>
          <w:sz w:val="24"/>
          <w:szCs w:val="24"/>
          <w:vertAlign w:val="baseline"/>
        </w:rPr>
        <w:footnoteRef/>
      </w:r>
      <w:r w:rsidRPr="00906142">
        <w:rPr>
          <w:rFonts w:ascii="IPT.Zar" w:hAnsi="IPT.Zar" w:cs="B Zar"/>
          <w:rtl/>
        </w:rPr>
        <w:t xml:space="preserve">. </w:t>
        <w:tab/>
        <w:t>چيك تان از سرداران قوم.</w:t>
      </w:r>
    </w:p>
  </w:footnote>
  <w:footnote w:id="725">
    <w:p w:rsidR="00C8559C" w:rsidRPr="00906142" w:rsidP="008F44AC">
      <w:pPr>
        <w:pStyle w:val="FootnoteText"/>
        <w:ind w:left="227" w:right="0" w:hanging="227"/>
        <w:jc w:val="both"/>
        <w:rPr>
          <w:rFonts w:ascii="IPT.Zar" w:hAnsi="IPT.Zar" w:cs="B Zar"/>
        </w:rPr>
      </w:pPr>
      <w:r w:rsidR="00605B72">
        <w:rPr>
          <w:rStyle w:val="FootnoteReference"/>
          <w:rFonts w:ascii="IPT.Zar" w:hAnsi="IPT.Zar" w:cs="B Zar" w:hint="cs"/>
          <w:vertAlign w:val="baseline"/>
          <w:rtl/>
        </w:rPr>
        <w:t>3</w:t>
      </w:r>
      <w:r w:rsidRPr="00906142">
        <w:rPr>
          <w:rFonts w:ascii="IPT.Zar" w:hAnsi="IPT.Zar" w:cs="B Zar"/>
          <w:rtl/>
        </w:rPr>
        <w:t xml:space="preserve">. </w:t>
        <w:tab/>
        <w:t>يدها من يو و اتم اجا، دو برادر بودند كه در مهابهاراتا با دليري جنگيدند.</w:t>
      </w:r>
    </w:p>
  </w:footnote>
  <w:footnote w:id="726">
    <w:p w:rsidR="00C8559C" w:rsidRPr="00906142" w:rsidP="008F44AC">
      <w:pPr>
        <w:pStyle w:val="FootnoteText"/>
        <w:ind w:left="227" w:right="0" w:hanging="227"/>
        <w:jc w:val="both"/>
        <w:rPr>
          <w:rFonts w:ascii="IPT.Zar" w:hAnsi="IPT.Zar" w:cs="B Zar"/>
        </w:rPr>
      </w:pPr>
      <w:r w:rsidR="00605B72">
        <w:rPr>
          <w:rStyle w:val="FootnoteReference"/>
          <w:rFonts w:ascii="IPT.Zar" w:hAnsi="IPT.Zar" w:cs="B Zar" w:hint="cs"/>
          <w:vertAlign w:val="baseline"/>
          <w:rtl/>
        </w:rPr>
        <w:t>4</w:t>
      </w:r>
      <w:r>
        <w:rPr>
          <w:rFonts w:ascii="IPT.Zar" w:hAnsi="IPT.Zar" w:cs="B Zar" w:hint="cs"/>
          <w:rtl/>
        </w:rPr>
        <w:t xml:space="preserve">. </w:t>
      </w:r>
      <w:r w:rsidRPr="00906142">
        <w:rPr>
          <w:rFonts w:ascii="IPT.Zar" w:hAnsi="IPT.Zar" w:cs="B Zar"/>
          <w:rtl/>
        </w:rPr>
        <w:t>سبهورا و دراوپد هر دو همسران آرجون اند. ابهمن يو فرزند سبهورا بوده. دراوپد همسر مشترك آرجون و برادرانش پنج فرزند داشت كه پس از پايان جنگ قتل عام شدند.</w:t>
      </w:r>
    </w:p>
  </w:footnote>
  <w:footnote w:id="727">
    <w:p w:rsidR="00C8559C" w:rsidRPr="00906142" w:rsidP="00DE06DB">
      <w:pPr>
        <w:pStyle w:val="FootnoteText"/>
        <w:ind w:left="227" w:right="0" w:hanging="227"/>
        <w:jc w:val="both"/>
        <w:rPr>
          <w:rFonts w:ascii="IPT.Zar" w:hAnsi="IPT.Zar" w:cs="B Zar"/>
        </w:rPr>
      </w:pPr>
      <w:r w:rsidRPr="00605B72" w:rsidR="00605B72">
        <w:rPr>
          <w:rFonts w:ascii="IPT.Zar" w:hAnsi="IPT.Zar" w:cs="B Zar" w:hint="cs"/>
          <w:rtl/>
        </w:rPr>
        <w:t>5</w:t>
      </w:r>
      <w:r w:rsidRPr="00906142">
        <w:rPr>
          <w:rFonts w:ascii="IPT.Zar" w:hAnsi="IPT.Zar" w:cs="B Zar"/>
          <w:rtl/>
        </w:rPr>
        <w:t xml:space="preserve">. </w:t>
        <w:tab/>
        <w:t>خودتان، يعني درونا، استاد امور رزمي و مرشد كوروها.</w:t>
      </w:r>
    </w:p>
  </w:footnote>
  <w:footnote w:id="728">
    <w:p w:rsidR="00C8559C" w:rsidRPr="00906142" w:rsidP="00DE06DB">
      <w:pPr>
        <w:pStyle w:val="FootnoteText"/>
        <w:ind w:left="227" w:right="0" w:hanging="227"/>
        <w:jc w:val="both"/>
        <w:rPr>
          <w:rFonts w:ascii="IPT.Zar" w:hAnsi="IPT.Zar" w:cs="B Zar"/>
        </w:rPr>
      </w:pPr>
      <w:r w:rsidRPr="00605B72" w:rsidR="00605B72">
        <w:rPr>
          <w:rFonts w:ascii="IPT.Zar" w:hAnsi="IPT.Zar" w:cs="B Zar" w:hint="cs"/>
          <w:rtl/>
        </w:rPr>
        <w:t>6</w:t>
      </w:r>
      <w:r w:rsidRPr="00906142">
        <w:rPr>
          <w:rFonts w:ascii="IPT.Zar" w:hAnsi="IPT.Zar" w:cs="B Zar"/>
          <w:rtl/>
        </w:rPr>
        <w:t xml:space="preserve">. </w:t>
        <w:tab/>
        <w:t>بهيسم، سردار بزرگ لشكر كورو است. او از خدايان اين توانائي را گرفته بود كه تا خود رضا ندهد، ملك الموت روح او را سلب نكند. از همين روي كوروها بر او تكيه داشتند و او را به فرماندهي برگزيدند.</w:t>
      </w:r>
    </w:p>
  </w:footnote>
  <w:footnote w:id="729">
    <w:p w:rsidR="00C8559C" w:rsidRPr="00906142" w:rsidP="00DE06DB">
      <w:pPr>
        <w:pStyle w:val="FootnoteText"/>
        <w:ind w:left="227" w:right="0" w:hanging="227"/>
        <w:jc w:val="both"/>
        <w:rPr>
          <w:rFonts w:ascii="IPT.Zar" w:hAnsi="IPT.Zar" w:cs="B Zar"/>
        </w:rPr>
      </w:pPr>
      <w:r w:rsidRPr="00605B72" w:rsidR="00605B72">
        <w:rPr>
          <w:rFonts w:ascii="IPT.Zar" w:hAnsi="IPT.Zar" w:cs="B Zar" w:hint="cs"/>
          <w:rtl/>
        </w:rPr>
        <w:t>7</w:t>
      </w:r>
      <w:r w:rsidRPr="00906142">
        <w:rPr>
          <w:rFonts w:ascii="IPT.Zar" w:hAnsi="IPT.Zar" w:cs="B Zar"/>
          <w:rtl/>
        </w:rPr>
        <w:t>.</w:t>
        <w:tab/>
        <w:t>كرن فرزند نامشروع كنتي مادر دريودهن است. وقتي او جوانسال بود در كنار جويباري دوش مي‌گرفت، يك مرد به زور به او تجاوز كرد، كنتي حامله شد و كرن متولد شد، كنتي او را رها كرد، اما او به صورت پسر شجاعي درآمد و دوست وفادار دريودهن فرزند مشروع كنتي گرديد.</w:t>
      </w:r>
    </w:p>
  </w:footnote>
  <w:footnote w:id="730">
    <w:p w:rsidR="00C8559C" w:rsidRPr="00906142" w:rsidP="00DE06DB">
      <w:pPr>
        <w:pStyle w:val="FootnoteText"/>
        <w:ind w:left="227" w:right="0" w:hanging="227"/>
        <w:jc w:val="both"/>
        <w:rPr>
          <w:rFonts w:ascii="IPT.Zar" w:hAnsi="IPT.Zar" w:cs="B Zar"/>
        </w:rPr>
      </w:pPr>
      <w:r w:rsidRPr="00605B72" w:rsidR="00605B72">
        <w:rPr>
          <w:rFonts w:ascii="IPT.Zar" w:hAnsi="IPT.Zar" w:cs="B Zar" w:hint="cs"/>
          <w:rtl/>
        </w:rPr>
        <w:t>8</w:t>
      </w:r>
      <w:r w:rsidRPr="00906142">
        <w:rPr>
          <w:rFonts w:ascii="IPT.Zar" w:hAnsi="IPT.Zar" w:cs="B Zar"/>
          <w:rtl/>
        </w:rPr>
        <w:t>.</w:t>
        <w:tab/>
        <w:t>كرپا برادر زن درونا است. هر دو از معلمان برادران كورو و پاندو بودند.</w:t>
      </w:r>
    </w:p>
  </w:footnote>
  <w:footnote w:id="731">
    <w:p w:rsidR="00C8559C" w:rsidRPr="00906142" w:rsidP="00DE06DB">
      <w:pPr>
        <w:pStyle w:val="FootnoteText"/>
        <w:ind w:left="227" w:right="0" w:hanging="227"/>
        <w:jc w:val="both"/>
        <w:rPr>
          <w:rFonts w:ascii="IPT.Zar" w:hAnsi="IPT.Zar" w:cs="B Zar"/>
        </w:rPr>
      </w:pPr>
      <w:r w:rsidRPr="00605B72" w:rsidR="00605B72">
        <w:rPr>
          <w:rFonts w:ascii="IPT.Zar" w:hAnsi="IPT.Zar" w:cs="B Zar" w:hint="cs"/>
          <w:rtl/>
        </w:rPr>
        <w:t>9</w:t>
      </w:r>
      <w:r w:rsidRPr="00906142">
        <w:rPr>
          <w:rFonts w:ascii="IPT.Zar" w:hAnsi="IPT.Zar" w:cs="B Zar"/>
          <w:rtl/>
        </w:rPr>
        <w:t>.</w:t>
      </w:r>
      <w:r>
        <w:rPr>
          <w:rFonts w:ascii="IPT.Zar" w:hAnsi="IPT.Zar" w:cs="B Zar" w:hint="cs"/>
          <w:rtl/>
        </w:rPr>
        <w:t xml:space="preserve"> </w:t>
      </w:r>
      <w:r w:rsidRPr="00906142">
        <w:rPr>
          <w:rFonts w:ascii="IPT.Zar" w:hAnsi="IPT.Zar" w:cs="B Zar"/>
          <w:rtl/>
        </w:rPr>
        <w:t xml:space="preserve"> اشو تهمن فرزند درونا است.</w:t>
      </w:r>
    </w:p>
  </w:footnote>
  <w:footnote w:id="732">
    <w:p w:rsidR="00C8559C" w:rsidRPr="006A4F74" w:rsidP="00605B72">
      <w:pPr>
        <w:pStyle w:val="FootnoteText"/>
        <w:ind w:left="227" w:right="0" w:hanging="227"/>
        <w:jc w:val="both"/>
        <w:rPr>
          <w:rFonts w:cs="B Zar" w:hint="cs"/>
        </w:rPr>
      </w:pPr>
      <w:r w:rsidR="00605B72">
        <w:rPr>
          <w:rFonts w:ascii="IPT.Zar" w:hAnsi="IPT.Zar" w:cs="B Zar" w:hint="cs"/>
          <w:rtl/>
        </w:rPr>
        <w:t>10.</w:t>
      </w:r>
      <w:r>
        <w:rPr>
          <w:rFonts w:ascii="IPT.Zar" w:hAnsi="IPT.Zar" w:cs="B Zar" w:hint="cs"/>
          <w:rtl/>
        </w:rPr>
        <w:t xml:space="preserve"> </w:t>
      </w:r>
      <w:r w:rsidRPr="00906142">
        <w:rPr>
          <w:rFonts w:ascii="IPT.Zar" w:hAnsi="IPT.Zar" w:cs="B Zar"/>
          <w:rtl/>
        </w:rPr>
        <w:t>و كوارات سومين فرزند دهواراتراشتر در ميان برادران كورو، او نسبتاً منصف و نيكوكار بود.</w:t>
      </w:r>
    </w:p>
  </w:footnote>
  <w:footnote w:id="733">
    <w:p w:rsidR="00C8559C" w:rsidRPr="006A4F74" w:rsidP="00DE06DB">
      <w:pPr>
        <w:pStyle w:val="FootnoteText"/>
        <w:ind w:left="227" w:right="0" w:hanging="227"/>
        <w:jc w:val="both"/>
        <w:rPr>
          <w:rFonts w:cs="B Zar" w:hint="cs"/>
          <w:rtl/>
        </w:rPr>
      </w:pPr>
      <w:r>
        <w:rPr>
          <w:rFonts w:cs="B Zar" w:hint="cs"/>
          <w:rtl/>
        </w:rPr>
        <w:t>1</w:t>
      </w:r>
      <w:r w:rsidRPr="006A4F74">
        <w:rPr>
          <w:rFonts w:cs="B Zar" w:hint="cs"/>
          <w:rtl/>
        </w:rPr>
        <w:t>.</w:t>
      </w:r>
      <w:r>
        <w:rPr>
          <w:rFonts w:cs="B Zar" w:hint="cs"/>
          <w:rtl/>
        </w:rPr>
        <w:tab/>
      </w:r>
      <w:r w:rsidRPr="006A4F74">
        <w:rPr>
          <w:rFonts w:cs="B Zar" w:hint="cs"/>
          <w:rtl/>
        </w:rPr>
        <w:t>تعبيراتي كه در اين بيت به كار رفته، گنگ‌اند و ميان مفسران بزرگ درباره معناي آن اختلاف شديدي بروز كرده است. شانكارا، رامانوجا و رادا كريشنان كلمه اپرياب تم را به عنوان «بي پايان» و سردهر و رابرت ماينر آنرا به عنوان ناتوان ترجمه كرده اند. ما در ترجمه هر دو كلمه را در نظر گرفتيم. البته اين پرسش مطرح مي شود كه اگر دريودهن مي گويد «لشكر ما نامحدود در حاليكه لشكر متقابل محدود است، پس چرا او دچار ترس و وحشت زدگي شده و چرا متعاقباً درونا براي تجديد روحيه او، دستور مي دهد شيپورهاي جنگي به صدا در آيند؛ 5 مفسران دسته اول مجبوراند براي حل اين مشكل به داستان سرائي بپردازند. آنان مي گويند دريودهن بيمناك بود كه پرچمددار لشكر او بهيسم قلباً به او وفادار نباشد و نسبت به مردم لشكر مقابل همدردي داشته باشد. در حاليكه بهيسم پرچمدار لشكر پاندو كاملاً به آنان وفادار بوده است. داراشكوه در ترجمه خود به اين نكته اشاره دارد. در ترجمه اين بيت، در واقع داراشكو تفسير و تشريح كرده است نه ترجمه.</w:t>
      </w:r>
    </w:p>
  </w:footnote>
  <w:footnote w:id="734">
    <w:p w:rsidR="00C8559C" w:rsidRPr="006A4F74" w:rsidP="00DE06DB">
      <w:pPr>
        <w:pStyle w:val="FootnoteText"/>
        <w:ind w:left="227" w:right="0" w:hanging="227"/>
        <w:jc w:val="both"/>
        <w:rPr>
          <w:rFonts w:cs="B Zar" w:hint="cs"/>
          <w:rtl/>
        </w:rPr>
      </w:pPr>
      <w:r>
        <w:rPr>
          <w:rFonts w:cs="B Zar" w:hint="cs"/>
          <w:rtl/>
        </w:rPr>
        <w:t>2</w:t>
      </w:r>
      <w:r w:rsidRPr="006A4F74">
        <w:rPr>
          <w:rFonts w:cs="B Zar" w:hint="cs"/>
          <w:rtl/>
        </w:rPr>
        <w:t xml:space="preserve">. </w:t>
      </w:r>
      <w:r>
        <w:rPr>
          <w:rFonts w:cs="B Zar" w:hint="cs"/>
          <w:rtl/>
        </w:rPr>
        <w:tab/>
      </w:r>
      <w:r w:rsidRPr="006A4F74">
        <w:rPr>
          <w:rFonts w:cs="B Zar" w:hint="cs"/>
          <w:rtl/>
        </w:rPr>
        <w:t>طبق نظر كساني كه معتقد به تفسير اول‌اند، چون دريودهن نسبت به وفاداري پرچمدار خود بهيسم خاطر جمع نبوده، دستور مي دهد از هر سو او را نگهداري كنند. آنان باز به داستاني متوسل مي شوند كه بهيسم قسم خورده بود شمشير خود را بر هيچ زني نكشد و در لشكر پاندوان، پهلواني به نام سكهندي وجود داشت كه قبلاً زن بوده از اينروي، دريودهن دستور مي دهد از هر سو دور بهيسم را محكم بگيرند تا سكهندي به وي نزديك نشود. امّا براي كسانيكه معتقد به تفسير دوم بيت قبلي‌اند. معنا ساده است: در دوره باستان پرچمدار داراي اهميت ويژه‌اي بود. وقتي پرچم مي افتاد، سپاهيان رو به فرار مي گذاشتند، از اينرو دريودهن دستور مي دهد از پرچمدارلشكر حراست شود.</w:t>
      </w:r>
    </w:p>
  </w:footnote>
  <w:footnote w:id="735">
    <w:p w:rsidR="00C8559C" w:rsidRPr="006A4F74" w:rsidP="00C27805">
      <w:pPr>
        <w:pStyle w:val="FootnoteText"/>
        <w:ind w:left="227" w:right="0" w:hanging="227"/>
        <w:jc w:val="both"/>
        <w:rPr>
          <w:rFonts w:cs="B Zar" w:hint="cs"/>
          <w:rtl/>
        </w:rPr>
      </w:pPr>
      <w:r w:rsidRPr="006A4F74">
        <w:rPr>
          <w:rFonts w:cs="B Zar" w:hint="cs"/>
          <w:rtl/>
        </w:rPr>
        <w:t>1.</w:t>
      </w:r>
      <w:r>
        <w:rPr>
          <w:rFonts w:cs="B Zar" w:hint="cs"/>
          <w:rtl/>
        </w:rPr>
        <w:tab/>
      </w:r>
      <w:r w:rsidRPr="006A4F74">
        <w:rPr>
          <w:rFonts w:cs="B Zar" w:hint="cs"/>
          <w:rtl/>
        </w:rPr>
        <w:t>مادهو يكي از القاب كريشنا است كه سه معني دارد: همسر بكشمي خداي مادينه ثروت، كسي كه مي‌توان او را از طريق مراقبه دريافت، كسي كه مي توان او را از طريق رياضت دريافت.</w:t>
      </w:r>
    </w:p>
  </w:footnote>
  <w:footnote w:id="736">
    <w:p w:rsidR="00C8559C" w:rsidRPr="006A4F74" w:rsidP="00DE06DB">
      <w:pPr>
        <w:pStyle w:val="FootnoteText"/>
        <w:ind w:left="227" w:right="0" w:hanging="227"/>
        <w:jc w:val="both"/>
        <w:rPr>
          <w:rFonts w:cs="B Zar" w:hint="cs"/>
          <w:rtl/>
        </w:rPr>
      </w:pPr>
      <w:r>
        <w:rPr>
          <w:rFonts w:cs="B Zar" w:hint="cs"/>
          <w:rtl/>
        </w:rPr>
        <w:t>2</w:t>
      </w:r>
      <w:r w:rsidRPr="006A4F74">
        <w:rPr>
          <w:rFonts w:cs="B Zar" w:hint="cs"/>
          <w:rtl/>
        </w:rPr>
        <w:t xml:space="preserve">. </w:t>
      </w:r>
      <w:r>
        <w:rPr>
          <w:rFonts w:cs="B Zar" w:hint="cs"/>
          <w:rtl/>
        </w:rPr>
        <w:tab/>
      </w:r>
      <w:r w:rsidRPr="006A4F74">
        <w:rPr>
          <w:rFonts w:cs="B Zar" w:hint="cs"/>
          <w:rtl/>
        </w:rPr>
        <w:t>براي كريشنا لقب هر يسكيس به كار رفته است كه به معناي سلطان اقليم حواس است و بر كسي كه بر حواس و نفس خود كاملاً مسلط باشد، اطلاق مي شود. معناي دوم هريسكيس خورشيد گونه است.</w:t>
      </w:r>
    </w:p>
  </w:footnote>
  <w:footnote w:id="737">
    <w:p w:rsidR="00C8559C" w:rsidRPr="006A4F74" w:rsidP="00DE06DB">
      <w:pPr>
        <w:pStyle w:val="FootnoteText"/>
        <w:ind w:left="227" w:right="0" w:hanging="227"/>
        <w:jc w:val="both"/>
        <w:rPr>
          <w:rFonts w:cs="B Zar" w:hint="cs"/>
          <w:rtl/>
        </w:rPr>
      </w:pPr>
      <w:r>
        <w:rPr>
          <w:rFonts w:cs="B Zar" w:hint="cs"/>
          <w:rtl/>
        </w:rPr>
        <w:t>3</w:t>
      </w:r>
      <w:r w:rsidRPr="006A4F74">
        <w:rPr>
          <w:rFonts w:cs="B Zar" w:hint="cs"/>
          <w:rtl/>
        </w:rPr>
        <w:t xml:space="preserve">. </w:t>
      </w:r>
      <w:r>
        <w:rPr>
          <w:rFonts w:cs="B Zar" w:hint="cs"/>
          <w:rtl/>
        </w:rPr>
        <w:tab/>
      </w:r>
      <w:r w:rsidRPr="006A4F74">
        <w:rPr>
          <w:rFonts w:cs="B Zar" w:hint="cs"/>
          <w:rtl/>
        </w:rPr>
        <w:t>پنج جن «اسم شيپور جنگي كريشنا » است كه ظاهراً در زمان باستان هر سردار اسمي براي شيپواراجنگي، اسب و شمشير خود مي گذاشت.</w:t>
      </w:r>
    </w:p>
  </w:footnote>
  <w:footnote w:id="738">
    <w:p w:rsidR="00C8559C" w:rsidRPr="006A4F74" w:rsidP="00DE06DB">
      <w:pPr>
        <w:pStyle w:val="FootnoteText"/>
        <w:ind w:left="227" w:right="0" w:hanging="227"/>
        <w:jc w:val="both"/>
        <w:rPr>
          <w:rFonts w:cs="B Zar" w:hint="cs"/>
          <w:rtl/>
        </w:rPr>
      </w:pPr>
      <w:r>
        <w:rPr>
          <w:rStyle w:val="FootnoteReference"/>
          <w:rFonts w:cs="B Zar" w:hint="cs"/>
          <w:vertAlign w:val="baseline"/>
          <w:rtl/>
        </w:rPr>
        <w:t>4</w:t>
      </w:r>
      <w:r w:rsidRPr="006A4F74">
        <w:rPr>
          <w:rFonts w:cs="B Zar"/>
        </w:rPr>
        <w:t xml:space="preserve"> </w:t>
      </w:r>
      <w:r w:rsidRPr="006A4F74">
        <w:rPr>
          <w:rFonts w:cs="B Zar" w:hint="cs"/>
          <w:rtl/>
        </w:rPr>
        <w:t xml:space="preserve">. </w:t>
      </w:r>
      <w:r>
        <w:rPr>
          <w:rFonts w:cs="B Zar" w:hint="cs"/>
          <w:rtl/>
        </w:rPr>
        <w:tab/>
      </w:r>
      <w:r w:rsidRPr="006A4F74">
        <w:rPr>
          <w:rFonts w:cs="B Zar" w:hint="cs"/>
          <w:rtl/>
        </w:rPr>
        <w:t>پاندو نام شيپور يا خرمهره كلان بهيسم پرچمدار پاندوان است</w:t>
      </w:r>
    </w:p>
  </w:footnote>
  <w:footnote w:id="739">
    <w:p w:rsidR="00C8559C" w:rsidRPr="006A4F74" w:rsidP="00DE06DB">
      <w:pPr>
        <w:pStyle w:val="FootnoteText"/>
        <w:ind w:left="227" w:right="0" w:hanging="227"/>
        <w:jc w:val="both"/>
        <w:rPr>
          <w:rFonts w:cs="B Zar" w:hint="cs"/>
          <w:rtl/>
        </w:rPr>
      </w:pPr>
      <w:r w:rsidR="00605B72">
        <w:rPr>
          <w:rStyle w:val="FootnoteReference"/>
          <w:rFonts w:cs="B Zar" w:hint="cs"/>
          <w:vertAlign w:val="baseline"/>
          <w:rtl/>
        </w:rPr>
        <w:t>1</w:t>
      </w:r>
      <w:r w:rsidRPr="006A4F74">
        <w:rPr>
          <w:rFonts w:cs="B Zar"/>
        </w:rPr>
        <w:t xml:space="preserve"> </w:t>
      </w:r>
      <w:r w:rsidRPr="006A4F74">
        <w:rPr>
          <w:rFonts w:cs="B Zar" w:hint="cs"/>
          <w:rtl/>
        </w:rPr>
        <w:t xml:space="preserve">. </w:t>
      </w:r>
      <w:r>
        <w:rPr>
          <w:rFonts w:cs="B Zar" w:hint="cs"/>
          <w:rtl/>
        </w:rPr>
        <w:tab/>
      </w:r>
      <w:r w:rsidRPr="006A4F74">
        <w:rPr>
          <w:rFonts w:cs="B Zar" w:hint="cs"/>
          <w:rtl/>
        </w:rPr>
        <w:t>بزرگترين برادر پاندوان.</w:t>
      </w:r>
    </w:p>
  </w:footnote>
  <w:footnote w:id="740">
    <w:p w:rsidR="00C8559C" w:rsidRPr="006A4F74" w:rsidP="00DE06DB">
      <w:pPr>
        <w:pStyle w:val="FootnoteText"/>
        <w:ind w:left="227" w:right="0" w:hanging="227"/>
        <w:jc w:val="both"/>
        <w:rPr>
          <w:rFonts w:cs="B Zar" w:hint="cs"/>
          <w:rtl/>
        </w:rPr>
      </w:pPr>
      <w:r w:rsidR="00605B72">
        <w:rPr>
          <w:rStyle w:val="FootnoteReference"/>
          <w:rFonts w:cs="B Zar" w:hint="cs"/>
          <w:vertAlign w:val="baseline"/>
          <w:rtl/>
        </w:rPr>
        <w:t>2</w:t>
      </w:r>
      <w:r w:rsidRPr="006A4F74">
        <w:rPr>
          <w:rFonts w:cs="B Zar"/>
        </w:rPr>
        <w:t xml:space="preserve"> </w:t>
      </w:r>
      <w:r w:rsidRPr="006A4F74">
        <w:rPr>
          <w:rFonts w:cs="B Zar" w:hint="cs"/>
          <w:rtl/>
        </w:rPr>
        <w:t xml:space="preserve">. </w:t>
      </w:r>
      <w:r>
        <w:rPr>
          <w:rFonts w:cs="B Zar" w:hint="cs"/>
          <w:rtl/>
        </w:rPr>
        <w:tab/>
      </w:r>
      <w:r w:rsidRPr="006A4F74">
        <w:rPr>
          <w:rFonts w:cs="B Zar" w:hint="cs"/>
          <w:rtl/>
        </w:rPr>
        <w:t>چهارمين برادر پاندوان.</w:t>
      </w:r>
    </w:p>
  </w:footnote>
  <w:footnote w:id="741">
    <w:p w:rsidR="00C8559C" w:rsidRPr="006A4F74" w:rsidP="00DE06DB">
      <w:pPr>
        <w:pStyle w:val="FootnoteText"/>
        <w:ind w:left="227" w:right="0" w:hanging="227"/>
        <w:jc w:val="both"/>
        <w:rPr>
          <w:rFonts w:cs="B Zar" w:hint="cs"/>
          <w:rtl/>
        </w:rPr>
      </w:pPr>
      <w:r w:rsidR="00605B72">
        <w:rPr>
          <w:rStyle w:val="FootnoteReference"/>
          <w:rFonts w:cs="B Zar" w:hint="cs"/>
          <w:vertAlign w:val="baseline"/>
          <w:rtl/>
        </w:rPr>
        <w:t>3</w:t>
      </w:r>
      <w:r w:rsidRPr="006A4F74">
        <w:rPr>
          <w:rFonts w:cs="B Zar"/>
        </w:rPr>
        <w:t xml:space="preserve"> </w:t>
      </w:r>
      <w:r w:rsidRPr="006A4F74">
        <w:rPr>
          <w:rFonts w:cs="B Zar" w:hint="cs"/>
          <w:rtl/>
        </w:rPr>
        <w:t xml:space="preserve">. </w:t>
      </w:r>
      <w:r>
        <w:rPr>
          <w:rFonts w:cs="B Zar" w:hint="cs"/>
          <w:rtl/>
        </w:rPr>
        <w:tab/>
      </w:r>
      <w:r w:rsidRPr="006A4F74">
        <w:rPr>
          <w:rFonts w:cs="B Zar" w:hint="cs"/>
          <w:rtl/>
        </w:rPr>
        <w:t>كوچكترين اين برادران.</w:t>
      </w:r>
    </w:p>
  </w:footnote>
  <w:footnote w:id="742">
    <w:p w:rsidR="00C8559C" w:rsidRPr="00C27805" w:rsidP="00C27805">
      <w:pPr>
        <w:pStyle w:val="FootnoteText"/>
        <w:ind w:left="227" w:right="0" w:hanging="227"/>
        <w:jc w:val="both"/>
        <w:rPr>
          <w:rFonts w:cs="B Zar" w:hint="cs"/>
          <w:rtl/>
        </w:rPr>
      </w:pPr>
      <w:r w:rsidR="00605B72">
        <w:rPr>
          <w:rStyle w:val="FootnoteReference"/>
          <w:rFonts w:ascii="IPT.Zar" w:hAnsi="IPT.Zar" w:cs="B Zar" w:hint="cs"/>
          <w:vertAlign w:val="baseline"/>
          <w:rtl/>
        </w:rPr>
        <w:t>4</w:t>
      </w:r>
      <w:r w:rsidRPr="00C27805">
        <w:rPr>
          <w:rFonts w:cs="B Zar" w:hint="cs"/>
          <w:rtl/>
        </w:rPr>
        <w:t xml:space="preserve">. </w:t>
      </w:r>
      <w:r>
        <w:rPr>
          <w:rFonts w:cs="B Zar" w:hint="cs"/>
          <w:rtl/>
        </w:rPr>
        <w:tab/>
      </w:r>
      <w:r w:rsidRPr="00C27805">
        <w:rPr>
          <w:rFonts w:cs="B Zar" w:hint="cs"/>
          <w:rtl/>
        </w:rPr>
        <w:t>سكهندي فرزند بزرگ دروپدي همسر مشترك پاندوان است. سكهندي به صورت دختر به دنيا آمد، سپس از طريق رياضت تغيير جنس داده مبدل به مرد شد. چون بهيسم پهلوان بزرگ كورو قسم خورده بود بر زني شمشير نكشد، در نبرد آرجون سكهندي را جلو خود قرار داد، وقتي بهيسم شمشير را در نيام زد، آرجون بر او حمله كرد.</w:t>
      </w:r>
    </w:p>
  </w:footnote>
  <w:footnote w:id="743">
    <w:p w:rsidR="00C8559C" w:rsidRPr="00C27805" w:rsidP="00DA2E75">
      <w:pPr>
        <w:pStyle w:val="FootnoteText"/>
        <w:ind w:left="227" w:right="0" w:hanging="227"/>
        <w:jc w:val="both"/>
        <w:rPr>
          <w:rFonts w:cs="B Zar" w:hint="cs"/>
          <w:rtl/>
        </w:rPr>
      </w:pPr>
      <w:r w:rsidRPr="00605B72" w:rsidR="00605B72">
        <w:rPr>
          <w:rStyle w:val="FootnoteReference"/>
          <w:rFonts w:ascii="IPT.Zar" w:hAnsi="IPT.Zar" w:cs="B Zar" w:hint="cs"/>
          <w:vertAlign w:val="baseline"/>
          <w:rtl/>
        </w:rPr>
        <w:t>5</w:t>
      </w:r>
      <w:r w:rsidRPr="00C27805">
        <w:rPr>
          <w:rFonts w:ascii="IPT.Zar" w:hAnsi="IPT.Zar" w:cs="B Zar"/>
        </w:rPr>
        <w:sym w:font="IPT.Zar" w:char="F020"/>
      </w:r>
      <w:r w:rsidRPr="00C27805">
        <w:rPr>
          <w:rFonts w:cs="B Zar" w:hint="cs"/>
          <w:rtl/>
        </w:rPr>
        <w:t>. دومين برادر دراوپدي است كه از روز دوم جنگ پرچمدار لشكر پاندوان بود.</w:t>
      </w:r>
    </w:p>
  </w:footnote>
  <w:footnote w:id="744">
    <w:p w:rsidR="00C8559C" w:rsidRPr="00C27805" w:rsidP="00DA2E75">
      <w:pPr>
        <w:pStyle w:val="FootnoteText"/>
        <w:ind w:left="227" w:right="0" w:hanging="227"/>
        <w:jc w:val="both"/>
        <w:rPr>
          <w:rFonts w:cs="B Zar" w:hint="cs"/>
          <w:rtl/>
        </w:rPr>
      </w:pPr>
      <w:r w:rsidRPr="00605B72" w:rsidR="00605B72">
        <w:rPr>
          <w:rStyle w:val="FootnoteReference"/>
          <w:rFonts w:ascii="IPT.Zar" w:hAnsi="IPT.Zar" w:cs="B Zar" w:hint="cs"/>
          <w:vertAlign w:val="baseline"/>
          <w:rtl/>
        </w:rPr>
        <w:t>6</w:t>
      </w:r>
      <w:r w:rsidRPr="00FB5BAF">
        <w:rPr>
          <w:rFonts w:ascii="IPT.Zar" w:hAnsi="IPT.Zar" w:cs="B Zar"/>
          <w:sz w:val="24"/>
          <w:szCs w:val="24"/>
        </w:rPr>
        <w:sym w:font="IPT.Zar" w:char="F020"/>
      </w:r>
      <w:r w:rsidRPr="00C27805">
        <w:rPr>
          <w:rFonts w:cs="B Zar" w:hint="cs"/>
          <w:rtl/>
        </w:rPr>
        <w:t>. مقصود ابه من يو است.</w:t>
      </w:r>
    </w:p>
  </w:footnote>
  <w:footnote w:id="745">
    <w:p w:rsidR="00C8559C" w:rsidRPr="006A4F74" w:rsidP="00DA2E75">
      <w:pPr>
        <w:pStyle w:val="FootnoteText"/>
        <w:ind w:left="227" w:right="0" w:hanging="227"/>
        <w:jc w:val="both"/>
        <w:rPr>
          <w:rFonts w:cs="B Zar" w:hint="cs"/>
          <w:rtl/>
        </w:rPr>
      </w:pPr>
      <w:r w:rsidRPr="00605B72" w:rsidR="00605B72">
        <w:rPr>
          <w:rStyle w:val="FootnoteReference"/>
          <w:rFonts w:ascii="IPT.Zar" w:hAnsi="IPT.Zar" w:cs="B Zar" w:hint="cs"/>
          <w:vertAlign w:val="baseline"/>
          <w:rtl/>
        </w:rPr>
        <w:t>7</w:t>
      </w:r>
      <w:r w:rsidRPr="00FB5BAF">
        <w:rPr>
          <w:rFonts w:ascii="IPT.Zar" w:hAnsi="IPT.Zar" w:cs="B Zar"/>
          <w:sz w:val="24"/>
          <w:szCs w:val="24"/>
        </w:rPr>
        <w:sym w:font="IPT.Zar" w:char="F020"/>
      </w:r>
      <w:r w:rsidRPr="00C27805">
        <w:rPr>
          <w:rFonts w:cs="B Zar" w:hint="cs"/>
          <w:rtl/>
        </w:rPr>
        <w:t>. فرزندان دهواراتراشتر كوروها هستند كه جبهه باطل را تشكيل مي دهند.</w:t>
      </w:r>
    </w:p>
  </w:footnote>
  <w:footnote w:id="746">
    <w:p w:rsidR="00C8559C" w:rsidRPr="00C27805" w:rsidP="00B559E0">
      <w:pPr>
        <w:pStyle w:val="FootnoteText"/>
        <w:ind w:left="227" w:right="0" w:hanging="227"/>
        <w:jc w:val="both"/>
        <w:rPr>
          <w:rFonts w:cs="B Zar" w:hint="cs"/>
          <w:rtl/>
        </w:rPr>
      </w:pPr>
      <w:r>
        <w:rPr>
          <w:rFonts w:cs="B Zar" w:hint="cs"/>
          <w:rtl/>
          <w:lang w:bidi="fa-IR"/>
        </w:rPr>
        <w:t>1</w:t>
      </w:r>
      <w:r w:rsidRPr="00C27805">
        <w:rPr>
          <w:rFonts w:cs="B Zar" w:hint="cs"/>
          <w:rtl/>
        </w:rPr>
        <w:t xml:space="preserve">. </w:t>
      </w:r>
      <w:r w:rsidR="00B559E0">
        <w:rPr>
          <w:rFonts w:cs="B Zar" w:hint="cs"/>
          <w:rtl/>
        </w:rPr>
        <w:tab/>
      </w:r>
      <w:r w:rsidRPr="00C27805">
        <w:rPr>
          <w:rFonts w:cs="B Zar" w:hint="cs"/>
          <w:rtl/>
        </w:rPr>
        <w:t>سري اربيندو: مقالاتي در گيتا ص 18</w:t>
      </w:r>
    </w:p>
  </w:footnote>
  <w:footnote w:id="747">
    <w:p w:rsidR="00C8559C" w:rsidRPr="00C27805" w:rsidP="00B559E0">
      <w:pPr>
        <w:pStyle w:val="FootnoteText"/>
        <w:ind w:left="227" w:right="0" w:hanging="227"/>
        <w:jc w:val="both"/>
        <w:rPr>
          <w:rFonts w:cs="B Zar" w:hint="cs"/>
          <w:rtl/>
        </w:rPr>
      </w:pPr>
      <w:r w:rsidRPr="002B587C">
        <w:rPr>
          <w:rFonts w:ascii="IPT.Zar" w:hAnsi="IPT.Zar" w:cs="B Zar"/>
          <w:rtl/>
        </w:rPr>
        <w:t>2</w:t>
      </w:r>
      <w:r w:rsidRPr="00C27805">
        <w:rPr>
          <w:rFonts w:cs="B Zar"/>
        </w:rPr>
        <w:t xml:space="preserve"> </w:t>
      </w:r>
      <w:r w:rsidRPr="00C27805">
        <w:rPr>
          <w:rFonts w:cs="B Zar" w:hint="cs"/>
          <w:rtl/>
        </w:rPr>
        <w:t xml:space="preserve">. </w:t>
      </w:r>
      <w:r w:rsidR="00B559E0">
        <w:rPr>
          <w:rFonts w:cs="B Zar" w:hint="cs"/>
          <w:rtl/>
        </w:rPr>
        <w:tab/>
      </w:r>
      <w:r w:rsidRPr="00C27805">
        <w:rPr>
          <w:rFonts w:cs="B Zar" w:hint="cs"/>
          <w:rtl/>
        </w:rPr>
        <w:t>س. رادا كريشنان: گيتا ص 85</w:t>
      </w:r>
    </w:p>
  </w:footnote>
  <w:footnote w:id="748">
    <w:p w:rsidR="00C8559C" w:rsidRPr="006A4F74" w:rsidP="00C27805">
      <w:pPr>
        <w:pStyle w:val="FootnoteText"/>
        <w:ind w:left="0" w:right="0"/>
        <w:jc w:val="both"/>
        <w:rPr>
          <w:rFonts w:ascii="IPT.Zar" w:hAnsi="IPT.Zar" w:cs="B Zar"/>
          <w:rtl/>
        </w:rPr>
      </w:pPr>
      <w:r w:rsidR="00DD0346">
        <w:rPr>
          <w:rFonts w:ascii="IPT.Zar" w:hAnsi="IPT.Zar" w:cs="B Zar" w:hint="cs"/>
          <w:rtl/>
        </w:rPr>
        <w:t>1</w:t>
      </w:r>
      <w:r w:rsidRPr="00C27805">
        <w:rPr>
          <w:rFonts w:ascii="IPT.Zar" w:hAnsi="IPT.Zar" w:cs="B Zar"/>
          <w:rtl/>
        </w:rPr>
        <w:t xml:space="preserve">. </w:t>
      </w:r>
      <w:r w:rsidR="00DD0346">
        <w:rPr>
          <w:rFonts w:ascii="IPT.Zar" w:hAnsi="IPT.Zar" w:cs="B Zar" w:hint="cs"/>
          <w:rtl/>
        </w:rPr>
        <w:t xml:space="preserve"> </w:t>
      </w:r>
      <w:r w:rsidRPr="00C27805">
        <w:rPr>
          <w:rFonts w:ascii="IPT.Zar" w:hAnsi="IPT.Zar" w:cs="B Zar"/>
          <w:rtl/>
        </w:rPr>
        <w:t>يعني كوروها يا لشكر باطل.</w:t>
      </w:r>
    </w:p>
  </w:footnote>
  <w:footnote w:id="749">
    <w:p w:rsidR="00C8559C" w:rsidRPr="006A4F74" w:rsidP="00FB5BAF">
      <w:pPr>
        <w:pStyle w:val="FootnoteText"/>
        <w:ind w:left="227" w:right="0" w:hanging="227"/>
        <w:jc w:val="both"/>
        <w:rPr>
          <w:rFonts w:ascii="IPT.Zar" w:hAnsi="IPT.Zar" w:cs="B Zar"/>
          <w:rtl/>
        </w:rPr>
      </w:pPr>
      <w:r w:rsidRPr="00FB5BAF">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برحسب اساطير هندوها، «هنومان» خداوند ميمون ها، داراي عجايب و كرامات بسيار بود. اساطير پراوانا مي‌گويند همزمان به طور زنده در پرچم آرجون حضور داشت و در همين جنگ با ايجاد صداهاي عجيب و غريب، دلهاي دشمنان را مي لرزاند. ممكن است «ميمون» توتم قبيله پاندوان بوده باشد. توتم حيواني است كه سمبل و حافظ جان، مال و ناموس يك قبيله يا طايفه محسوب مي شود.</w:t>
      </w:r>
    </w:p>
  </w:footnote>
  <w:footnote w:id="750">
    <w:p w:rsidR="00C8559C" w:rsidRPr="006A4F74" w:rsidP="00FB5BAF">
      <w:pPr>
        <w:pStyle w:val="FootnoteText"/>
        <w:ind w:left="227" w:right="0" w:hanging="227"/>
        <w:jc w:val="both"/>
        <w:rPr>
          <w:rFonts w:ascii="IPT.Zar" w:hAnsi="IPT.Zar" w:cs="B Zar"/>
          <w:rtl/>
        </w:rPr>
      </w:pPr>
      <w:r w:rsidRPr="00FB5BAF">
        <w:rPr>
          <w:rStyle w:val="FootnoteReference"/>
          <w:rFonts w:ascii="IPT.Zar" w:hAnsi="IPT.Zar" w:cs="B Zar"/>
          <w:sz w:val="24"/>
          <w:szCs w:val="24"/>
          <w:vertAlign w:val="baseline"/>
        </w:rPr>
        <w:footnoteRef/>
      </w:r>
      <w:r w:rsidRPr="006A4F74">
        <w:rPr>
          <w:rFonts w:ascii="IPT.Zar" w:hAnsi="IPT.Zar" w:cs="B Zar"/>
          <w:rtl/>
        </w:rPr>
        <w:t>.</w:t>
      </w:r>
      <w:r>
        <w:rPr>
          <w:rFonts w:ascii="IPT.Zar" w:hAnsi="IPT.Zar" w:cs="B Zar" w:hint="cs"/>
          <w:rtl/>
        </w:rPr>
        <w:tab/>
      </w:r>
      <w:r w:rsidRPr="006A4F74">
        <w:rPr>
          <w:rFonts w:ascii="IPT.Zar" w:hAnsi="IPT.Zar" w:cs="B Zar"/>
          <w:rtl/>
        </w:rPr>
        <w:t xml:space="preserve"> هريسكيس لقب كريشنا به معناي كريشناي مقدس و لايزال.</w:t>
      </w:r>
    </w:p>
  </w:footnote>
  <w:footnote w:id="751">
    <w:p w:rsidR="00C8559C" w:rsidRPr="006A4F74" w:rsidP="00FB5BAF">
      <w:pPr>
        <w:pStyle w:val="FootnoteText"/>
        <w:ind w:left="227" w:right="0" w:hanging="227"/>
        <w:jc w:val="both"/>
        <w:rPr>
          <w:rFonts w:ascii="IPT.Zar" w:hAnsi="IPT.Zar" w:cs="B Zar"/>
          <w:rtl/>
        </w:rPr>
      </w:pPr>
      <w:r w:rsidRPr="00FB5BAF">
        <w:rPr>
          <w:rStyle w:val="FootnoteReference"/>
          <w:rFonts w:ascii="IPT.Zar" w:hAnsi="IPT.Zar" w:cs="B Zar"/>
          <w:sz w:val="24"/>
          <w:szCs w:val="24"/>
          <w:vertAlign w:val="baseline"/>
        </w:rPr>
        <w:footnoteRef/>
      </w:r>
      <w:r w:rsidRPr="006A4F74">
        <w:rPr>
          <w:rFonts w:ascii="IPT.Zar" w:hAnsi="IPT.Zar" w:cs="B Zar"/>
          <w:rtl/>
        </w:rPr>
        <w:t>.</w:t>
      </w:r>
      <w:r>
        <w:rPr>
          <w:rFonts w:ascii="IPT.Zar" w:hAnsi="IPT.Zar" w:cs="B Zar" w:hint="cs"/>
          <w:rtl/>
        </w:rPr>
        <w:tab/>
      </w:r>
      <w:r w:rsidRPr="006A4F74">
        <w:rPr>
          <w:rFonts w:ascii="IPT.Zar" w:hAnsi="IPT.Zar" w:cs="B Zar"/>
          <w:rtl/>
        </w:rPr>
        <w:t xml:space="preserve"> فرزند كنتي يعني آرجون.</w:t>
      </w:r>
    </w:p>
  </w:footnote>
  <w:footnote w:id="752">
    <w:p w:rsidR="00C8559C" w:rsidRPr="006A4F74" w:rsidP="00FB5BAF">
      <w:pPr>
        <w:pStyle w:val="FootnoteText"/>
        <w:ind w:left="227" w:right="0" w:hanging="227"/>
        <w:jc w:val="both"/>
        <w:rPr>
          <w:rFonts w:ascii="IPT.Zar" w:hAnsi="IPT.Zar" w:cs="B Zar"/>
          <w:rtl/>
        </w:rPr>
      </w:pPr>
      <w:r w:rsidRPr="00FB5BAF">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پارته، به معناي فرزند پواراتهي است. پرتهي لقب كنتي مادر آرجون است.</w:t>
      </w:r>
    </w:p>
  </w:footnote>
  <w:footnote w:id="753">
    <w:p w:rsidR="00C8559C" w:rsidRPr="006A4F74" w:rsidP="00DD0346">
      <w:pPr>
        <w:pStyle w:val="FootnoteText"/>
        <w:ind w:left="227" w:right="0" w:hanging="227"/>
        <w:jc w:val="both"/>
        <w:rPr>
          <w:rFonts w:ascii="IPT.Zar" w:hAnsi="IPT.Zar" w:cs="B Zar"/>
          <w:rtl/>
        </w:rPr>
      </w:pPr>
      <w:r w:rsidRPr="00FB5BAF">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گاندوي، نام كمان مخصوص آرجون است. برحسب اساطير هندو اين كمان نخست در دست خداياني نظير: ايندرا پاراجاپاتي، برهما و ورنا بوده، سپس آگني آن كمان را از ورنا گرفته به آرجون هديه كرد. شايد اشاره بدين نكته باشد كه نيروهائي كه انسان دارد، در واقع انعكاس قدرت خدايان است.</w:t>
      </w:r>
    </w:p>
  </w:footnote>
  <w:footnote w:id="754">
    <w:p w:rsidR="00C8559C" w:rsidRPr="006A4F74" w:rsidP="00DD0346">
      <w:pPr>
        <w:pStyle w:val="FootnoteText"/>
        <w:ind w:left="227" w:right="0" w:hanging="227"/>
        <w:jc w:val="both"/>
        <w:rPr>
          <w:rFonts w:ascii="IPT.Zar" w:hAnsi="IPT.Zar" w:cs="B Zar"/>
          <w:rtl/>
        </w:rPr>
      </w:pPr>
      <w:r w:rsidRPr="00FB5BAF">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از القاب كريشنا.</w:t>
      </w:r>
    </w:p>
  </w:footnote>
  <w:footnote w:id="755">
    <w:p w:rsidR="00C8559C" w:rsidRPr="006A4F74" w:rsidP="00DD0346">
      <w:pPr>
        <w:pStyle w:val="FootnoteText"/>
        <w:ind w:left="227" w:right="0" w:hanging="227"/>
        <w:jc w:val="both"/>
        <w:rPr>
          <w:rFonts w:ascii="IPT.Zar" w:hAnsi="IPT.Zar" w:cs="B Zar"/>
          <w:rtl/>
        </w:rPr>
      </w:pPr>
      <w:r w:rsidRPr="00FB5BAF">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گووند لقب ديگر كرشنا به معناي: الف ـ كسي كه زمين را بلند مي كند بـ مالك گاوها ج ـ آنچه از طريق كلام رابطه برقرار مي كند.</w:t>
      </w:r>
    </w:p>
  </w:footnote>
  <w:footnote w:id="756">
    <w:p w:rsidR="00C8559C" w:rsidRPr="006A4F74" w:rsidP="00DD0346">
      <w:pPr>
        <w:pStyle w:val="FootnoteText"/>
        <w:ind w:left="227" w:right="0" w:hanging="227"/>
        <w:jc w:val="both"/>
        <w:rPr>
          <w:rFonts w:ascii="IPT.Zar" w:hAnsi="IPT.Zar" w:cs="B Zar"/>
          <w:rtl/>
        </w:rPr>
      </w:pPr>
      <w:r w:rsidRPr="00582715">
        <w:rPr>
          <w:rStyle w:val="FootnoteReference"/>
          <w:rFonts w:ascii="IPT.Zar" w:hAnsi="IPT.Zar" w:cs="B Zar"/>
          <w:sz w:val="24"/>
          <w:szCs w:val="24"/>
          <w:vertAlign w:val="baseline"/>
        </w:rPr>
        <w:footnoteRef/>
      </w:r>
      <w:r w:rsidRPr="006A4F74">
        <w:rPr>
          <w:rFonts w:ascii="IPT.Zar" w:hAnsi="IPT.Zar" w:cs="B Zar"/>
          <w:rtl/>
        </w:rPr>
        <w:t xml:space="preserve"> </w:t>
      </w:r>
      <w:r w:rsidR="00DD0346">
        <w:rPr>
          <w:rFonts w:ascii="IPT.Zar" w:hAnsi="IPT.Zar" w:cs="B Zar" w:hint="cs"/>
          <w:rtl/>
        </w:rPr>
        <w:tab/>
      </w:r>
      <w:r w:rsidRPr="006A4F74">
        <w:rPr>
          <w:rFonts w:ascii="IPT.Zar" w:hAnsi="IPT.Zar" w:cs="B Zar"/>
          <w:rtl/>
        </w:rPr>
        <w:t>سري دهر، مفسر قديم، خاطر نشان مي سازد كه در گيتا انسجام منطقي وجود دارد. آرجون وقتي گفت در كشتن عزيزان سودي نمي بينم (31:1)، ممكن بود اين نكته مطرح شود كه اين امر مال و جاه و حشم را به دنبال دارد. بيت 33 پاسخ بدان است.</w:t>
      </w:r>
    </w:p>
  </w:footnote>
  <w:footnote w:id="757">
    <w:p w:rsidR="00C8559C" w:rsidRPr="006A4F74" w:rsidP="00DD0346">
      <w:pPr>
        <w:pStyle w:val="FootnoteText"/>
        <w:ind w:left="227" w:right="0" w:hanging="227"/>
        <w:jc w:val="both"/>
        <w:rPr>
          <w:rFonts w:ascii="IPT.Zar" w:hAnsi="IPT.Zar" w:cs="B Zar" w:hint="cs"/>
          <w:rtl/>
        </w:rPr>
      </w:pPr>
      <w:r w:rsidRPr="00582715">
        <w:rPr>
          <w:rStyle w:val="FootnoteReference"/>
          <w:rFonts w:ascii="IPT.Zar" w:hAnsi="IPT.Zar" w:cs="B Zar"/>
          <w:sz w:val="24"/>
          <w:szCs w:val="24"/>
          <w:vertAlign w:val="baseline"/>
        </w:rPr>
        <w:footnoteRef/>
      </w:r>
      <w:r w:rsidRPr="006A4F74">
        <w:rPr>
          <w:rFonts w:ascii="IPT.Zar" w:hAnsi="IPT.Zar" w:cs="B Zar"/>
          <w:rtl/>
        </w:rPr>
        <w:t xml:space="preserve">. </w:t>
      </w:r>
      <w:r>
        <w:rPr>
          <w:rFonts w:ascii="IPT.Zar" w:hAnsi="IPT.Zar" w:cs="B Zar" w:hint="cs"/>
          <w:rtl/>
        </w:rPr>
        <w:tab/>
      </w:r>
      <w:r w:rsidRPr="006A4F74">
        <w:rPr>
          <w:rFonts w:ascii="IPT.Zar" w:hAnsi="IPT.Zar" w:cs="B Zar"/>
          <w:rtl/>
        </w:rPr>
        <w:t>مقصود از سه جهان آسمان، فضا و زمين است، در ريگ ودا، وجود در اين سه قلمرو تقسيم شده است.</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559C" w:rsidRPr="00FD70E8" w:rsidP="00FD70E8">
    <w:pPr>
      <w:pStyle w:val="Header"/>
      <w:tabs>
        <w:tab w:val="clear" w:pos="4153"/>
        <w:tab w:val="right" w:pos="6237"/>
        <w:tab w:val="clear" w:pos="8306"/>
      </w:tabs>
      <w:ind w:left="0" w:right="0"/>
      <w:jc w:val="left"/>
      <w:rPr>
        <w:rFonts w:cs="B Zar" w:hint="cs"/>
        <w:b/>
        <w:bCs/>
        <w:sz w:val="32"/>
        <w:szCs w:val="32"/>
      </w:rPr>
    </w:pPr>
    <w:r>
      <w:rPr>
        <w:sz w:val="22"/>
        <w:szCs w:val="22"/>
        <w:rtl/>
      </w:rPr>
      <w:pict>
        <v:line id="_x0000_s2049" style="position:absolute;z-index:251658240" from="0,19.75pt" to="315pt,19.75pt"/>
      </w:pict>
    </w:r>
    <w:r w:rsidRPr="00DB71DF">
      <w:rPr>
        <w:rFonts w:cs="B Zar" w:hint="cs"/>
        <w:sz w:val="22"/>
        <w:szCs w:val="22"/>
        <w:rtl/>
      </w:rPr>
      <w:t>سيري در تاريخ انديشه ديني هند</w:t>
    </w:r>
    <w:r>
      <w:rPr>
        <w:rFonts w:cs="B Zar" w:hint="cs"/>
        <w:rtl/>
      </w:rPr>
      <w:tab/>
    </w:r>
    <w:r w:rsidRPr="00FD70E8">
      <w:rPr>
        <w:rStyle w:val="PageNumber"/>
        <w:rFonts w:cs="B Zar"/>
        <w:b w:val="0"/>
        <w:bCs w:val="0"/>
        <w:sz w:val="24"/>
        <w:szCs w:val="24"/>
      </w:rPr>
      <w:fldChar w:fldCharType="begin"/>
    </w:r>
    <w:r w:rsidRPr="00FD70E8">
      <w:rPr>
        <w:rStyle w:val="PageNumber"/>
        <w:rFonts w:cs="B Zar"/>
        <w:b w:val="0"/>
        <w:bCs w:val="0"/>
        <w:sz w:val="24"/>
        <w:szCs w:val="24"/>
      </w:rPr>
      <w:instrText xml:space="preserve"> PAGE </w:instrText>
    </w:r>
    <w:r w:rsidRPr="00FD70E8">
      <w:rPr>
        <w:rStyle w:val="PageNumber"/>
        <w:rFonts w:cs="B Zar"/>
        <w:b w:val="0"/>
        <w:bCs w:val="0"/>
        <w:sz w:val="24"/>
        <w:szCs w:val="24"/>
      </w:rPr>
      <w:fldChar w:fldCharType="separate"/>
    </w:r>
    <w:r w:rsidR="0099012C">
      <w:rPr>
        <w:rStyle w:val="PageNumber"/>
        <w:rFonts w:cs="B Zar"/>
        <w:b w:val="0"/>
        <w:bCs w:val="0"/>
        <w:noProof/>
        <w:sz w:val="24"/>
        <w:szCs w:val="24"/>
        <w:rtl/>
      </w:rPr>
      <w:t>510</w:t>
    </w:r>
    <w:r w:rsidRPr="00FD70E8">
      <w:rPr>
        <w:rStyle w:val="PageNumber"/>
        <w:rFonts w:cs="B Zar"/>
        <w:b w:val="0"/>
        <w:bCs w:val="0"/>
        <w:sz w:val="24"/>
        <w:szCs w:val="24"/>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559C" w:rsidRPr="00FD70E8" w:rsidP="00FD70E8">
    <w:pPr>
      <w:pStyle w:val="Header"/>
      <w:tabs>
        <w:tab w:val="clear" w:pos="4153"/>
        <w:tab w:val="right" w:pos="6237"/>
        <w:tab w:val="clear" w:pos="8306"/>
      </w:tabs>
      <w:ind w:left="0" w:right="0"/>
      <w:jc w:val="both"/>
      <w:rPr>
        <w:rFonts w:cs="B Zar"/>
      </w:rPr>
    </w:pPr>
    <w:r>
      <w:rPr>
        <w:rFonts w:cs="B Zar"/>
        <w:noProof/>
        <w:szCs w:val="24"/>
      </w:rPr>
      <w:pict>
        <v:line id="_x0000_s2050" style="position:absolute;z-index:251659264" from="0,19.35pt" to="314.5pt,19.35pt"/>
      </w:pict>
    </w:r>
    <w:r w:rsidRPr="00FD70E8">
      <w:rPr>
        <w:rStyle w:val="PageNumber"/>
        <w:rFonts w:cs="B Zar"/>
        <w:b w:val="0"/>
        <w:bCs w:val="0"/>
        <w:sz w:val="24"/>
        <w:szCs w:val="24"/>
      </w:rPr>
      <w:fldChar w:fldCharType="begin"/>
    </w:r>
    <w:r w:rsidRPr="00FD70E8">
      <w:rPr>
        <w:rStyle w:val="PageNumber"/>
        <w:rFonts w:cs="B Zar"/>
        <w:b w:val="0"/>
        <w:bCs w:val="0"/>
        <w:sz w:val="24"/>
        <w:szCs w:val="24"/>
      </w:rPr>
      <w:instrText xml:space="preserve"> PAGE </w:instrText>
    </w:r>
    <w:r w:rsidRPr="00FD70E8">
      <w:rPr>
        <w:rStyle w:val="PageNumber"/>
        <w:rFonts w:cs="B Zar"/>
        <w:b w:val="0"/>
        <w:bCs w:val="0"/>
        <w:sz w:val="24"/>
        <w:szCs w:val="24"/>
      </w:rPr>
      <w:fldChar w:fldCharType="separate"/>
    </w:r>
    <w:r w:rsidR="0099012C">
      <w:rPr>
        <w:rStyle w:val="PageNumber"/>
        <w:rFonts w:cs="B Zar"/>
        <w:b w:val="0"/>
        <w:bCs w:val="0"/>
        <w:noProof/>
        <w:sz w:val="24"/>
        <w:szCs w:val="24"/>
        <w:rtl/>
      </w:rPr>
      <w:t>509</w:t>
    </w:r>
    <w:r w:rsidRPr="00FD70E8">
      <w:rPr>
        <w:rStyle w:val="PageNumber"/>
        <w:rFonts w:cs="B Zar"/>
        <w:b w:val="0"/>
        <w:bCs w:val="0"/>
        <w:sz w:val="24"/>
        <w:szCs w:val="24"/>
      </w:rPr>
      <w:fldChar w:fldCharType="end"/>
    </w:r>
    <w:r>
      <w:rPr>
        <w:rFonts w:hint="cs"/>
        <w:rtl/>
      </w:rPr>
      <w:tab/>
    </w:r>
    <w:r w:rsidRPr="00DB71DF">
      <w:rPr>
        <w:rFonts w:cs="B Zar" w:hint="cs"/>
        <w:sz w:val="22"/>
        <w:szCs w:val="22"/>
        <w:rtl/>
      </w:rPr>
      <w:t>جلد اول</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77EF9"/>
    <w:multiLevelType w:val="hybridMultilevel"/>
    <w:tmpl w:val="C56C4576"/>
    <w:lvl w:ilvl="0">
      <w:start w:val="1"/>
      <w:numFmt w:val="decimal"/>
      <w:lvlText w:val="%1."/>
      <w:lvlJc w:val="left"/>
      <w:pPr>
        <w:tabs>
          <w:tab w:val="num" w:pos="360"/>
        </w:tabs>
        <w:ind w:left="0" w:firstLine="0"/>
      </w:pPr>
      <w:rPr>
        <w:rFonts w:hint="cs"/>
      </w:rPr>
    </w:lvl>
    <w:lvl w:ilvl="1" w:tentative="1">
      <w:start w:val="1"/>
      <w:numFmt w:val="lowerLetter"/>
      <w:lvlText w:val="%2."/>
      <w:lvlJc w:val="left"/>
      <w:pPr>
        <w:tabs>
          <w:tab w:val="num" w:pos="1647"/>
        </w:tabs>
        <w:ind w:left="1647" w:hanging="360"/>
      </w:pPr>
    </w:lvl>
    <w:lvl w:ilvl="2" w:tentative="1">
      <w:start w:val="1"/>
      <w:numFmt w:val="lowerRoman"/>
      <w:lvlText w:val="%3."/>
      <w:lvlJc w:val="right"/>
      <w:pPr>
        <w:tabs>
          <w:tab w:val="num" w:pos="2367"/>
        </w:tabs>
        <w:ind w:left="2367" w:hanging="180"/>
      </w:pPr>
    </w:lvl>
    <w:lvl w:ilvl="3" w:tentative="1">
      <w:start w:val="1"/>
      <w:numFmt w:val="decimal"/>
      <w:lvlText w:val="%4."/>
      <w:lvlJc w:val="left"/>
      <w:pPr>
        <w:tabs>
          <w:tab w:val="num" w:pos="3087"/>
        </w:tabs>
        <w:ind w:left="3087" w:hanging="360"/>
      </w:pPr>
    </w:lvl>
    <w:lvl w:ilvl="4" w:tentative="1">
      <w:start w:val="1"/>
      <w:numFmt w:val="lowerLetter"/>
      <w:lvlText w:val="%5."/>
      <w:lvlJc w:val="left"/>
      <w:pPr>
        <w:tabs>
          <w:tab w:val="num" w:pos="3807"/>
        </w:tabs>
        <w:ind w:left="3807" w:hanging="360"/>
      </w:pPr>
    </w:lvl>
    <w:lvl w:ilvl="5" w:tentative="1">
      <w:start w:val="1"/>
      <w:numFmt w:val="lowerRoman"/>
      <w:lvlText w:val="%6."/>
      <w:lvlJc w:val="right"/>
      <w:pPr>
        <w:tabs>
          <w:tab w:val="num" w:pos="4527"/>
        </w:tabs>
        <w:ind w:left="4527" w:hanging="180"/>
      </w:pPr>
    </w:lvl>
    <w:lvl w:ilvl="6" w:tentative="1">
      <w:start w:val="1"/>
      <w:numFmt w:val="decimal"/>
      <w:lvlText w:val="%7."/>
      <w:lvlJc w:val="left"/>
      <w:pPr>
        <w:tabs>
          <w:tab w:val="num" w:pos="5247"/>
        </w:tabs>
        <w:ind w:left="5247" w:hanging="360"/>
      </w:pPr>
    </w:lvl>
    <w:lvl w:ilvl="7" w:tentative="1">
      <w:start w:val="1"/>
      <w:numFmt w:val="lowerLetter"/>
      <w:lvlText w:val="%8."/>
      <w:lvlJc w:val="left"/>
      <w:pPr>
        <w:tabs>
          <w:tab w:val="num" w:pos="5967"/>
        </w:tabs>
        <w:ind w:left="5967" w:hanging="360"/>
      </w:pPr>
    </w:lvl>
    <w:lvl w:ilvl="8" w:tentative="1">
      <w:start w:val="1"/>
      <w:numFmt w:val="lowerRoman"/>
      <w:lvlText w:val="%9."/>
      <w:lvlJc w:val="right"/>
      <w:pPr>
        <w:tabs>
          <w:tab w:val="num" w:pos="6687"/>
        </w:tabs>
        <w:ind w:left="6687" w:hanging="180"/>
      </w:pPr>
    </w:lvl>
  </w:abstractNum>
  <w:abstractNum w:abstractNumId="1">
    <w:nsid w:val="07C374EA"/>
    <w:multiLevelType w:val="hybridMultilevel"/>
    <w:tmpl w:val="13AC24E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nsid w:val="0CB51B19"/>
    <w:multiLevelType w:val="hybridMultilevel"/>
    <w:tmpl w:val="B516AA6E"/>
    <w:lvl w:ilvl="0">
      <w:start w:val="1"/>
      <w:numFmt w:val="decimal"/>
      <w:lvlText w:val="%1."/>
      <w:lvlJc w:val="left"/>
      <w:pPr>
        <w:tabs>
          <w:tab w:val="num" w:pos="720"/>
        </w:tabs>
        <w:ind w:left="720" w:hanging="360"/>
      </w:pPr>
      <w:rPr>
        <w:rFonts w:hint="cs"/>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1036097E"/>
    <w:multiLevelType w:val="hybridMultilevel"/>
    <w:tmpl w:val="AD008BC6"/>
    <w:lvl w:ilvl="0">
      <w:start w:val="1"/>
      <w:numFmt w:val="decimal"/>
      <w:lvlText w:val="%1."/>
      <w:lvlJc w:val="left"/>
      <w:pPr>
        <w:tabs>
          <w:tab w:val="num" w:pos="720"/>
        </w:tabs>
        <w:ind w:left="720" w:hanging="360"/>
      </w:pPr>
      <w:rPr>
        <w:rFonts w:hint="cs"/>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12C53186"/>
    <w:multiLevelType w:val="hybridMultilevel"/>
    <w:tmpl w:val="313E9474"/>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14B107E0"/>
    <w:multiLevelType w:val="hybridMultilevel"/>
    <w:tmpl w:val="17125052"/>
    <w:lvl w:ilvl="0">
      <w:start w:val="41"/>
      <w:numFmt w:val="bullet"/>
      <w:lvlText w:val="-"/>
      <w:lvlJc w:val="left"/>
      <w:pPr>
        <w:tabs>
          <w:tab w:val="num" w:pos="720"/>
        </w:tabs>
        <w:ind w:left="720" w:hanging="360"/>
      </w:pPr>
      <w:rPr>
        <w:rFonts w:ascii="Times New Roman" w:eastAsia="Times New Roman" w:hAnsi="Times New Roman" w:cs="Zar" w:hint="default"/>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nsid w:val="18AE79E9"/>
    <w:multiLevelType w:val="hybridMultilevel"/>
    <w:tmpl w:val="3EA845D2"/>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nsid w:val="19017752"/>
    <w:multiLevelType w:val="hybridMultilevel"/>
    <w:tmpl w:val="A3521C98"/>
    <w:lvl w:ilvl="0">
      <w:start w:val="1"/>
      <w:numFmt w:val="decimal"/>
      <w:lvlText w:val="%1."/>
      <w:lvlJc w:val="left"/>
      <w:pPr>
        <w:tabs>
          <w:tab w:val="num" w:pos="720"/>
        </w:tabs>
        <w:ind w:left="720" w:hanging="360"/>
      </w:pPr>
      <w:rPr>
        <w:rFonts w:hint="cs"/>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nsid w:val="1C437846"/>
    <w:multiLevelType w:val="hybridMultilevel"/>
    <w:tmpl w:val="7BDE8996"/>
    <w:lvl w:ilvl="0">
      <w:start w:val="1"/>
      <w:numFmt w:val="decimal"/>
      <w:lvlText w:val="%1."/>
      <w:lvlJc w:val="left"/>
      <w:pPr>
        <w:tabs>
          <w:tab w:val="num" w:pos="927"/>
        </w:tabs>
        <w:ind w:left="927" w:hanging="360"/>
      </w:pPr>
      <w:rPr>
        <w:rFonts w:hint="cs"/>
      </w:rPr>
    </w:lvl>
    <w:lvl w:ilvl="1" w:tentative="1">
      <w:start w:val="1"/>
      <w:numFmt w:val="lowerLetter"/>
      <w:lvlText w:val="%2."/>
      <w:lvlJc w:val="left"/>
      <w:pPr>
        <w:tabs>
          <w:tab w:val="num" w:pos="1647"/>
        </w:tabs>
        <w:ind w:left="1647" w:hanging="360"/>
      </w:pPr>
    </w:lvl>
    <w:lvl w:ilvl="2" w:tentative="1">
      <w:start w:val="1"/>
      <w:numFmt w:val="lowerRoman"/>
      <w:lvlText w:val="%3."/>
      <w:lvlJc w:val="right"/>
      <w:pPr>
        <w:tabs>
          <w:tab w:val="num" w:pos="2367"/>
        </w:tabs>
        <w:ind w:left="2367" w:hanging="180"/>
      </w:pPr>
    </w:lvl>
    <w:lvl w:ilvl="3" w:tentative="1">
      <w:start w:val="1"/>
      <w:numFmt w:val="decimal"/>
      <w:lvlText w:val="%4."/>
      <w:lvlJc w:val="left"/>
      <w:pPr>
        <w:tabs>
          <w:tab w:val="num" w:pos="3087"/>
        </w:tabs>
        <w:ind w:left="3087" w:hanging="360"/>
      </w:pPr>
    </w:lvl>
    <w:lvl w:ilvl="4" w:tentative="1">
      <w:start w:val="1"/>
      <w:numFmt w:val="lowerLetter"/>
      <w:lvlText w:val="%5."/>
      <w:lvlJc w:val="left"/>
      <w:pPr>
        <w:tabs>
          <w:tab w:val="num" w:pos="3807"/>
        </w:tabs>
        <w:ind w:left="3807" w:hanging="360"/>
      </w:pPr>
    </w:lvl>
    <w:lvl w:ilvl="5" w:tentative="1">
      <w:start w:val="1"/>
      <w:numFmt w:val="lowerRoman"/>
      <w:lvlText w:val="%6."/>
      <w:lvlJc w:val="right"/>
      <w:pPr>
        <w:tabs>
          <w:tab w:val="num" w:pos="4527"/>
        </w:tabs>
        <w:ind w:left="4527" w:hanging="180"/>
      </w:pPr>
    </w:lvl>
    <w:lvl w:ilvl="6" w:tentative="1">
      <w:start w:val="1"/>
      <w:numFmt w:val="decimal"/>
      <w:lvlText w:val="%7."/>
      <w:lvlJc w:val="left"/>
      <w:pPr>
        <w:tabs>
          <w:tab w:val="num" w:pos="5247"/>
        </w:tabs>
        <w:ind w:left="5247" w:hanging="360"/>
      </w:pPr>
    </w:lvl>
    <w:lvl w:ilvl="7" w:tentative="1">
      <w:start w:val="1"/>
      <w:numFmt w:val="lowerLetter"/>
      <w:lvlText w:val="%8."/>
      <w:lvlJc w:val="left"/>
      <w:pPr>
        <w:tabs>
          <w:tab w:val="num" w:pos="5967"/>
        </w:tabs>
        <w:ind w:left="5967" w:hanging="360"/>
      </w:pPr>
    </w:lvl>
    <w:lvl w:ilvl="8" w:tentative="1">
      <w:start w:val="1"/>
      <w:numFmt w:val="lowerRoman"/>
      <w:lvlText w:val="%9."/>
      <w:lvlJc w:val="right"/>
      <w:pPr>
        <w:tabs>
          <w:tab w:val="num" w:pos="6687"/>
        </w:tabs>
        <w:ind w:left="6687" w:hanging="180"/>
      </w:pPr>
    </w:lvl>
  </w:abstractNum>
  <w:abstractNum w:abstractNumId="9">
    <w:nsid w:val="1DFB55A8"/>
    <w:multiLevelType w:val="hybridMultilevel"/>
    <w:tmpl w:val="EFA4F8EA"/>
    <w:lvl w:ilvl="0">
      <w:start w:val="1"/>
      <w:numFmt w:val="decimal"/>
      <w:lvlText w:val="%1."/>
      <w:lvlJc w:val="left"/>
      <w:pPr>
        <w:tabs>
          <w:tab w:val="num" w:pos="927"/>
        </w:tabs>
        <w:ind w:left="927" w:hanging="360"/>
      </w:pPr>
      <w:rPr>
        <w:rFonts w:hint="cs"/>
      </w:rPr>
    </w:lvl>
    <w:lvl w:ilvl="1" w:tentative="1">
      <w:start w:val="1"/>
      <w:numFmt w:val="lowerLetter"/>
      <w:lvlText w:val="%2."/>
      <w:lvlJc w:val="left"/>
      <w:pPr>
        <w:tabs>
          <w:tab w:val="num" w:pos="1647"/>
        </w:tabs>
        <w:ind w:left="1647" w:hanging="360"/>
      </w:pPr>
    </w:lvl>
    <w:lvl w:ilvl="2" w:tentative="1">
      <w:start w:val="1"/>
      <w:numFmt w:val="lowerRoman"/>
      <w:lvlText w:val="%3."/>
      <w:lvlJc w:val="right"/>
      <w:pPr>
        <w:tabs>
          <w:tab w:val="num" w:pos="2367"/>
        </w:tabs>
        <w:ind w:left="2367" w:hanging="180"/>
      </w:pPr>
    </w:lvl>
    <w:lvl w:ilvl="3" w:tentative="1">
      <w:start w:val="1"/>
      <w:numFmt w:val="decimal"/>
      <w:lvlText w:val="%4."/>
      <w:lvlJc w:val="left"/>
      <w:pPr>
        <w:tabs>
          <w:tab w:val="num" w:pos="3087"/>
        </w:tabs>
        <w:ind w:left="3087" w:hanging="360"/>
      </w:pPr>
    </w:lvl>
    <w:lvl w:ilvl="4" w:tentative="1">
      <w:start w:val="1"/>
      <w:numFmt w:val="lowerLetter"/>
      <w:lvlText w:val="%5."/>
      <w:lvlJc w:val="left"/>
      <w:pPr>
        <w:tabs>
          <w:tab w:val="num" w:pos="3807"/>
        </w:tabs>
        <w:ind w:left="3807" w:hanging="360"/>
      </w:pPr>
    </w:lvl>
    <w:lvl w:ilvl="5" w:tentative="1">
      <w:start w:val="1"/>
      <w:numFmt w:val="lowerRoman"/>
      <w:lvlText w:val="%6."/>
      <w:lvlJc w:val="right"/>
      <w:pPr>
        <w:tabs>
          <w:tab w:val="num" w:pos="4527"/>
        </w:tabs>
        <w:ind w:left="4527" w:hanging="180"/>
      </w:pPr>
    </w:lvl>
    <w:lvl w:ilvl="6" w:tentative="1">
      <w:start w:val="1"/>
      <w:numFmt w:val="decimal"/>
      <w:lvlText w:val="%7."/>
      <w:lvlJc w:val="left"/>
      <w:pPr>
        <w:tabs>
          <w:tab w:val="num" w:pos="5247"/>
        </w:tabs>
        <w:ind w:left="5247" w:hanging="360"/>
      </w:pPr>
    </w:lvl>
    <w:lvl w:ilvl="7" w:tentative="1">
      <w:start w:val="1"/>
      <w:numFmt w:val="lowerLetter"/>
      <w:lvlText w:val="%8."/>
      <w:lvlJc w:val="left"/>
      <w:pPr>
        <w:tabs>
          <w:tab w:val="num" w:pos="5967"/>
        </w:tabs>
        <w:ind w:left="5967" w:hanging="360"/>
      </w:pPr>
    </w:lvl>
    <w:lvl w:ilvl="8" w:tentative="1">
      <w:start w:val="1"/>
      <w:numFmt w:val="lowerRoman"/>
      <w:lvlText w:val="%9."/>
      <w:lvlJc w:val="right"/>
      <w:pPr>
        <w:tabs>
          <w:tab w:val="num" w:pos="6687"/>
        </w:tabs>
        <w:ind w:left="6687" w:hanging="180"/>
      </w:pPr>
    </w:lvl>
  </w:abstractNum>
  <w:abstractNum w:abstractNumId="10">
    <w:nsid w:val="22B36087"/>
    <w:multiLevelType w:val="hybridMultilevel"/>
    <w:tmpl w:val="BEEA9004"/>
    <w:lvl w:ilvl="0">
      <w:start w:val="9"/>
      <w:numFmt w:val="bullet"/>
      <w:lvlText w:val="-"/>
      <w:lvlJc w:val="left"/>
      <w:pPr>
        <w:tabs>
          <w:tab w:val="num" w:pos="720"/>
        </w:tabs>
        <w:ind w:left="720" w:hanging="360"/>
      </w:pPr>
      <w:rPr>
        <w:rFonts w:ascii="Times New Roman" w:eastAsia="Times New Roman" w:hAnsi="Times New Roman" w:cs="Yagut"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239B28BE"/>
    <w:multiLevelType w:val="hybridMultilevel"/>
    <w:tmpl w:val="F976D2FC"/>
    <w:lvl w:ilvl="0">
      <w:start w:val="1"/>
      <w:numFmt w:val="decimal"/>
      <w:lvlText w:val="%1."/>
      <w:lvlJc w:val="left"/>
      <w:pPr>
        <w:tabs>
          <w:tab w:val="num" w:pos="927"/>
        </w:tabs>
        <w:ind w:left="927" w:hanging="360"/>
      </w:pPr>
      <w:rPr>
        <w:rFonts w:hint="cs"/>
      </w:rPr>
    </w:lvl>
    <w:lvl w:ilvl="1" w:tentative="1">
      <w:start w:val="1"/>
      <w:numFmt w:val="lowerLetter"/>
      <w:lvlText w:val="%2."/>
      <w:lvlJc w:val="left"/>
      <w:pPr>
        <w:tabs>
          <w:tab w:val="num" w:pos="1647"/>
        </w:tabs>
        <w:ind w:left="1647" w:hanging="360"/>
      </w:pPr>
    </w:lvl>
    <w:lvl w:ilvl="2" w:tentative="1">
      <w:start w:val="1"/>
      <w:numFmt w:val="lowerRoman"/>
      <w:lvlText w:val="%3."/>
      <w:lvlJc w:val="right"/>
      <w:pPr>
        <w:tabs>
          <w:tab w:val="num" w:pos="2367"/>
        </w:tabs>
        <w:ind w:left="2367" w:hanging="180"/>
      </w:pPr>
    </w:lvl>
    <w:lvl w:ilvl="3" w:tentative="1">
      <w:start w:val="1"/>
      <w:numFmt w:val="decimal"/>
      <w:lvlText w:val="%4."/>
      <w:lvlJc w:val="left"/>
      <w:pPr>
        <w:tabs>
          <w:tab w:val="num" w:pos="3087"/>
        </w:tabs>
        <w:ind w:left="3087" w:hanging="360"/>
      </w:pPr>
    </w:lvl>
    <w:lvl w:ilvl="4" w:tentative="1">
      <w:start w:val="1"/>
      <w:numFmt w:val="lowerLetter"/>
      <w:lvlText w:val="%5."/>
      <w:lvlJc w:val="left"/>
      <w:pPr>
        <w:tabs>
          <w:tab w:val="num" w:pos="3807"/>
        </w:tabs>
        <w:ind w:left="3807" w:hanging="360"/>
      </w:pPr>
    </w:lvl>
    <w:lvl w:ilvl="5" w:tentative="1">
      <w:start w:val="1"/>
      <w:numFmt w:val="lowerRoman"/>
      <w:lvlText w:val="%6."/>
      <w:lvlJc w:val="right"/>
      <w:pPr>
        <w:tabs>
          <w:tab w:val="num" w:pos="4527"/>
        </w:tabs>
        <w:ind w:left="4527" w:hanging="180"/>
      </w:pPr>
    </w:lvl>
    <w:lvl w:ilvl="6" w:tentative="1">
      <w:start w:val="1"/>
      <w:numFmt w:val="decimal"/>
      <w:lvlText w:val="%7."/>
      <w:lvlJc w:val="left"/>
      <w:pPr>
        <w:tabs>
          <w:tab w:val="num" w:pos="5247"/>
        </w:tabs>
        <w:ind w:left="5247" w:hanging="360"/>
      </w:pPr>
    </w:lvl>
    <w:lvl w:ilvl="7" w:tentative="1">
      <w:start w:val="1"/>
      <w:numFmt w:val="lowerLetter"/>
      <w:lvlText w:val="%8."/>
      <w:lvlJc w:val="left"/>
      <w:pPr>
        <w:tabs>
          <w:tab w:val="num" w:pos="5967"/>
        </w:tabs>
        <w:ind w:left="5967" w:hanging="360"/>
      </w:pPr>
    </w:lvl>
    <w:lvl w:ilvl="8" w:tentative="1">
      <w:start w:val="1"/>
      <w:numFmt w:val="lowerRoman"/>
      <w:lvlText w:val="%9."/>
      <w:lvlJc w:val="right"/>
      <w:pPr>
        <w:tabs>
          <w:tab w:val="num" w:pos="6687"/>
        </w:tabs>
        <w:ind w:left="6687" w:hanging="180"/>
      </w:pPr>
    </w:lvl>
  </w:abstractNum>
  <w:abstractNum w:abstractNumId="12">
    <w:nsid w:val="24C43E56"/>
    <w:multiLevelType w:val="hybridMultilevel"/>
    <w:tmpl w:val="D898D97C"/>
    <w:lvl w:ilvl="0">
      <w:start w:val="1"/>
      <w:numFmt w:val="decimal"/>
      <w:lvlText w:val="%1."/>
      <w:lvlJc w:val="left"/>
      <w:pPr>
        <w:tabs>
          <w:tab w:val="num" w:pos="720"/>
        </w:tabs>
        <w:ind w:left="720" w:hanging="360"/>
      </w:pPr>
      <w:rPr>
        <w:rFonts w:hint="cs"/>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nsid w:val="28691123"/>
    <w:multiLevelType w:val="hybridMultilevel"/>
    <w:tmpl w:val="347E3FDC"/>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nsid w:val="2EA94C5C"/>
    <w:multiLevelType w:val="hybridMultilevel"/>
    <w:tmpl w:val="990E3D14"/>
    <w:lvl w:ilvl="0">
      <w:start w:val="1"/>
      <w:numFmt w:val="decimal"/>
      <w:lvlText w:val="%1."/>
      <w:lvlJc w:val="left"/>
      <w:pPr>
        <w:tabs>
          <w:tab w:val="num" w:pos="720"/>
        </w:tabs>
        <w:ind w:left="720" w:hanging="360"/>
      </w:pPr>
      <w:rPr>
        <w:rFonts w:hint="cs"/>
      </w:rPr>
    </w:lvl>
    <w:lvl w:ilvl="1">
      <w:start w:val="1"/>
      <w:numFmt w:val="bullet"/>
      <w:lvlText w:val="-"/>
      <w:lvlJc w:val="left"/>
      <w:pPr>
        <w:tabs>
          <w:tab w:val="num" w:pos="1440"/>
        </w:tabs>
        <w:ind w:left="1440" w:hanging="360"/>
      </w:pPr>
      <w:rPr>
        <w:rFonts w:ascii="Times New Roman" w:eastAsia="Times New Roman" w:hAnsi="Times New Roman" w:cs="Times New Roman"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nsid w:val="2F6E5263"/>
    <w:multiLevelType w:val="hybridMultilevel"/>
    <w:tmpl w:val="B84250DA"/>
    <w:lvl w:ilvl="0">
      <w:start w:val="1"/>
      <w:numFmt w:val="decimal"/>
      <w:lvlText w:val="%1."/>
      <w:lvlJc w:val="left"/>
      <w:pPr>
        <w:tabs>
          <w:tab w:val="num" w:pos="720"/>
        </w:tabs>
        <w:ind w:left="720" w:hanging="360"/>
      </w:pPr>
      <w:rPr>
        <w:rFonts w:hint="cs"/>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nsid w:val="356227C2"/>
    <w:multiLevelType w:val="hybridMultilevel"/>
    <w:tmpl w:val="0E46EE50"/>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nsid w:val="3FD92D8C"/>
    <w:multiLevelType w:val="hybridMultilevel"/>
    <w:tmpl w:val="28C47226"/>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nsid w:val="5301150F"/>
    <w:multiLevelType w:val="hybridMultilevel"/>
    <w:tmpl w:val="6EA88FDE"/>
    <w:lvl w:ilvl="0">
      <w:start w:val="1"/>
      <w:numFmt w:val="decimal"/>
      <w:lvlText w:val="%1."/>
      <w:lvlJc w:val="left"/>
      <w:pPr>
        <w:tabs>
          <w:tab w:val="num" w:pos="927"/>
        </w:tabs>
        <w:ind w:left="927" w:hanging="360"/>
      </w:pPr>
      <w:rPr>
        <w:rFonts w:hint="cs"/>
      </w:rPr>
    </w:lvl>
    <w:lvl w:ilvl="1" w:tentative="1">
      <w:start w:val="1"/>
      <w:numFmt w:val="lowerLetter"/>
      <w:lvlText w:val="%2."/>
      <w:lvlJc w:val="left"/>
      <w:pPr>
        <w:tabs>
          <w:tab w:val="num" w:pos="1647"/>
        </w:tabs>
        <w:ind w:left="1647" w:hanging="360"/>
      </w:pPr>
    </w:lvl>
    <w:lvl w:ilvl="2" w:tentative="1">
      <w:start w:val="1"/>
      <w:numFmt w:val="lowerRoman"/>
      <w:lvlText w:val="%3."/>
      <w:lvlJc w:val="right"/>
      <w:pPr>
        <w:tabs>
          <w:tab w:val="num" w:pos="2367"/>
        </w:tabs>
        <w:ind w:left="2367" w:hanging="180"/>
      </w:pPr>
    </w:lvl>
    <w:lvl w:ilvl="3" w:tentative="1">
      <w:start w:val="1"/>
      <w:numFmt w:val="decimal"/>
      <w:lvlText w:val="%4."/>
      <w:lvlJc w:val="left"/>
      <w:pPr>
        <w:tabs>
          <w:tab w:val="num" w:pos="3087"/>
        </w:tabs>
        <w:ind w:left="3087" w:hanging="360"/>
      </w:pPr>
    </w:lvl>
    <w:lvl w:ilvl="4" w:tentative="1">
      <w:start w:val="1"/>
      <w:numFmt w:val="lowerLetter"/>
      <w:lvlText w:val="%5."/>
      <w:lvlJc w:val="left"/>
      <w:pPr>
        <w:tabs>
          <w:tab w:val="num" w:pos="3807"/>
        </w:tabs>
        <w:ind w:left="3807" w:hanging="360"/>
      </w:pPr>
    </w:lvl>
    <w:lvl w:ilvl="5" w:tentative="1">
      <w:start w:val="1"/>
      <w:numFmt w:val="lowerRoman"/>
      <w:lvlText w:val="%6."/>
      <w:lvlJc w:val="right"/>
      <w:pPr>
        <w:tabs>
          <w:tab w:val="num" w:pos="4527"/>
        </w:tabs>
        <w:ind w:left="4527" w:hanging="180"/>
      </w:pPr>
    </w:lvl>
    <w:lvl w:ilvl="6" w:tentative="1">
      <w:start w:val="1"/>
      <w:numFmt w:val="decimal"/>
      <w:lvlText w:val="%7."/>
      <w:lvlJc w:val="left"/>
      <w:pPr>
        <w:tabs>
          <w:tab w:val="num" w:pos="5247"/>
        </w:tabs>
        <w:ind w:left="5247" w:hanging="360"/>
      </w:pPr>
    </w:lvl>
    <w:lvl w:ilvl="7" w:tentative="1">
      <w:start w:val="1"/>
      <w:numFmt w:val="lowerLetter"/>
      <w:lvlText w:val="%8."/>
      <w:lvlJc w:val="left"/>
      <w:pPr>
        <w:tabs>
          <w:tab w:val="num" w:pos="5967"/>
        </w:tabs>
        <w:ind w:left="5967" w:hanging="360"/>
      </w:pPr>
    </w:lvl>
    <w:lvl w:ilvl="8" w:tentative="1">
      <w:start w:val="1"/>
      <w:numFmt w:val="lowerRoman"/>
      <w:lvlText w:val="%9."/>
      <w:lvlJc w:val="right"/>
      <w:pPr>
        <w:tabs>
          <w:tab w:val="num" w:pos="6687"/>
        </w:tabs>
        <w:ind w:left="6687" w:hanging="180"/>
      </w:pPr>
    </w:lvl>
  </w:abstractNum>
  <w:abstractNum w:abstractNumId="19">
    <w:nsid w:val="539B30CD"/>
    <w:multiLevelType w:val="hybridMultilevel"/>
    <w:tmpl w:val="90B61884"/>
    <w:lvl w:ilvl="0">
      <w:start w:val="1"/>
      <w:numFmt w:val="decimal"/>
      <w:lvlText w:val="%1."/>
      <w:lvlJc w:val="left"/>
      <w:pPr>
        <w:tabs>
          <w:tab w:val="num" w:pos="3000"/>
        </w:tabs>
        <w:ind w:left="3000" w:hanging="1665"/>
      </w:pPr>
      <w:rPr>
        <w:rFonts w:hint="default"/>
      </w:rPr>
    </w:lvl>
    <w:lvl w:ilvl="1" w:tentative="1">
      <w:start w:val="1"/>
      <w:numFmt w:val="lowerLetter"/>
      <w:lvlText w:val="%2."/>
      <w:lvlJc w:val="left"/>
      <w:pPr>
        <w:tabs>
          <w:tab w:val="num" w:pos="2415"/>
        </w:tabs>
        <w:ind w:left="2415" w:hanging="360"/>
      </w:pPr>
    </w:lvl>
    <w:lvl w:ilvl="2" w:tentative="1">
      <w:start w:val="1"/>
      <w:numFmt w:val="lowerRoman"/>
      <w:lvlText w:val="%3."/>
      <w:lvlJc w:val="right"/>
      <w:pPr>
        <w:tabs>
          <w:tab w:val="num" w:pos="3135"/>
        </w:tabs>
        <w:ind w:left="3135" w:hanging="180"/>
      </w:pPr>
    </w:lvl>
    <w:lvl w:ilvl="3" w:tentative="1">
      <w:start w:val="1"/>
      <w:numFmt w:val="decimal"/>
      <w:lvlText w:val="%4."/>
      <w:lvlJc w:val="left"/>
      <w:pPr>
        <w:tabs>
          <w:tab w:val="num" w:pos="3855"/>
        </w:tabs>
        <w:ind w:left="3855" w:hanging="360"/>
      </w:pPr>
    </w:lvl>
    <w:lvl w:ilvl="4" w:tentative="1">
      <w:start w:val="1"/>
      <w:numFmt w:val="lowerLetter"/>
      <w:lvlText w:val="%5."/>
      <w:lvlJc w:val="left"/>
      <w:pPr>
        <w:tabs>
          <w:tab w:val="num" w:pos="4575"/>
        </w:tabs>
        <w:ind w:left="4575" w:hanging="360"/>
      </w:pPr>
    </w:lvl>
    <w:lvl w:ilvl="5" w:tentative="1">
      <w:start w:val="1"/>
      <w:numFmt w:val="lowerRoman"/>
      <w:lvlText w:val="%6."/>
      <w:lvlJc w:val="right"/>
      <w:pPr>
        <w:tabs>
          <w:tab w:val="num" w:pos="5295"/>
        </w:tabs>
        <w:ind w:left="5295" w:hanging="180"/>
      </w:pPr>
    </w:lvl>
    <w:lvl w:ilvl="6" w:tentative="1">
      <w:start w:val="1"/>
      <w:numFmt w:val="decimal"/>
      <w:lvlText w:val="%7."/>
      <w:lvlJc w:val="left"/>
      <w:pPr>
        <w:tabs>
          <w:tab w:val="num" w:pos="6015"/>
        </w:tabs>
        <w:ind w:left="6015" w:hanging="360"/>
      </w:pPr>
    </w:lvl>
    <w:lvl w:ilvl="7" w:tentative="1">
      <w:start w:val="1"/>
      <w:numFmt w:val="lowerLetter"/>
      <w:lvlText w:val="%8."/>
      <w:lvlJc w:val="left"/>
      <w:pPr>
        <w:tabs>
          <w:tab w:val="num" w:pos="6735"/>
        </w:tabs>
        <w:ind w:left="6735" w:hanging="360"/>
      </w:pPr>
    </w:lvl>
    <w:lvl w:ilvl="8" w:tentative="1">
      <w:start w:val="1"/>
      <w:numFmt w:val="lowerRoman"/>
      <w:lvlText w:val="%9."/>
      <w:lvlJc w:val="right"/>
      <w:pPr>
        <w:tabs>
          <w:tab w:val="num" w:pos="7455"/>
        </w:tabs>
        <w:ind w:left="7455" w:hanging="180"/>
      </w:pPr>
    </w:lvl>
  </w:abstractNum>
  <w:abstractNum w:abstractNumId="20">
    <w:nsid w:val="555970B8"/>
    <w:multiLevelType w:val="hybridMultilevel"/>
    <w:tmpl w:val="3EF0065E"/>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1">
    <w:nsid w:val="61F67378"/>
    <w:multiLevelType w:val="hybridMultilevel"/>
    <w:tmpl w:val="1C5401C6"/>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nsid w:val="664A6A57"/>
    <w:multiLevelType w:val="hybridMultilevel"/>
    <w:tmpl w:val="A00A46A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nsid w:val="6690717F"/>
    <w:multiLevelType w:val="hybridMultilevel"/>
    <w:tmpl w:val="71100A1C"/>
    <w:lvl w:ilvl="0">
      <w:start w:val="9"/>
      <w:numFmt w:val="bullet"/>
      <w:lvlText w:val="-"/>
      <w:lvlJc w:val="left"/>
      <w:pPr>
        <w:tabs>
          <w:tab w:val="num" w:pos="720"/>
        </w:tabs>
        <w:ind w:left="720" w:hanging="360"/>
      </w:pPr>
      <w:rPr>
        <w:rFonts w:ascii="Times New Roman" w:eastAsia="Times New Roman" w:hAnsi="Times New Roman" w:cs="Yagut"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nsid w:val="759057E4"/>
    <w:multiLevelType w:val="hybridMultilevel"/>
    <w:tmpl w:val="56D821EA"/>
    <w:lvl w:ilvl="0">
      <w:start w:val="1"/>
      <w:numFmt w:val="decimal"/>
      <w:lvlText w:val="%1."/>
      <w:lvlJc w:val="left"/>
      <w:pPr>
        <w:tabs>
          <w:tab w:val="num" w:pos="720"/>
        </w:tabs>
        <w:ind w:left="720" w:hanging="360"/>
      </w:pPr>
      <w:rPr>
        <w:rFonts w:hint="cs"/>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
    <w:nsid w:val="76950627"/>
    <w:multiLevelType w:val="hybridMultilevel"/>
    <w:tmpl w:val="584CC38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nsid w:val="780A57B8"/>
    <w:multiLevelType w:val="hybridMultilevel"/>
    <w:tmpl w:val="E4C04976"/>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nsid w:val="7E2F3756"/>
    <w:multiLevelType w:val="hybridMultilevel"/>
    <w:tmpl w:val="37563AEA"/>
    <w:lvl w:ilvl="0">
      <w:start w:val="1"/>
      <w:numFmt w:val="decimal"/>
      <w:lvlText w:val="%1."/>
      <w:lvlJc w:val="left"/>
      <w:pPr>
        <w:tabs>
          <w:tab w:val="num" w:pos="2025"/>
        </w:tabs>
        <w:ind w:left="2025" w:hanging="1665"/>
      </w:pPr>
      <w:rPr>
        <w:rFont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8">
    <w:nsid w:val="7E5E26AD"/>
    <w:multiLevelType w:val="hybridMultilevel"/>
    <w:tmpl w:val="2646A07A"/>
    <w:lvl w:ilvl="0">
      <w:start w:val="1"/>
      <w:numFmt w:val="decimal"/>
      <w:lvlText w:val="%1."/>
      <w:lvlJc w:val="left"/>
      <w:pPr>
        <w:tabs>
          <w:tab w:val="num" w:pos="927"/>
        </w:tabs>
        <w:ind w:left="927" w:hanging="360"/>
      </w:pPr>
      <w:rPr>
        <w:rFonts w:hint="cs"/>
      </w:rPr>
    </w:lvl>
    <w:lvl w:ilvl="1" w:tentative="1">
      <w:start w:val="1"/>
      <w:numFmt w:val="lowerLetter"/>
      <w:lvlText w:val="%2."/>
      <w:lvlJc w:val="left"/>
      <w:pPr>
        <w:tabs>
          <w:tab w:val="num" w:pos="1647"/>
        </w:tabs>
        <w:ind w:left="1647" w:hanging="360"/>
      </w:pPr>
    </w:lvl>
    <w:lvl w:ilvl="2" w:tentative="1">
      <w:start w:val="1"/>
      <w:numFmt w:val="lowerRoman"/>
      <w:lvlText w:val="%3."/>
      <w:lvlJc w:val="right"/>
      <w:pPr>
        <w:tabs>
          <w:tab w:val="num" w:pos="2367"/>
        </w:tabs>
        <w:ind w:left="2367" w:hanging="180"/>
      </w:pPr>
    </w:lvl>
    <w:lvl w:ilvl="3" w:tentative="1">
      <w:start w:val="1"/>
      <w:numFmt w:val="decimal"/>
      <w:lvlText w:val="%4."/>
      <w:lvlJc w:val="left"/>
      <w:pPr>
        <w:tabs>
          <w:tab w:val="num" w:pos="3087"/>
        </w:tabs>
        <w:ind w:left="3087" w:hanging="360"/>
      </w:pPr>
    </w:lvl>
    <w:lvl w:ilvl="4" w:tentative="1">
      <w:start w:val="1"/>
      <w:numFmt w:val="lowerLetter"/>
      <w:lvlText w:val="%5."/>
      <w:lvlJc w:val="left"/>
      <w:pPr>
        <w:tabs>
          <w:tab w:val="num" w:pos="3807"/>
        </w:tabs>
        <w:ind w:left="3807" w:hanging="360"/>
      </w:pPr>
    </w:lvl>
    <w:lvl w:ilvl="5" w:tentative="1">
      <w:start w:val="1"/>
      <w:numFmt w:val="lowerRoman"/>
      <w:lvlText w:val="%6."/>
      <w:lvlJc w:val="right"/>
      <w:pPr>
        <w:tabs>
          <w:tab w:val="num" w:pos="4527"/>
        </w:tabs>
        <w:ind w:left="4527" w:hanging="180"/>
      </w:pPr>
    </w:lvl>
    <w:lvl w:ilvl="6" w:tentative="1">
      <w:start w:val="1"/>
      <w:numFmt w:val="decimal"/>
      <w:lvlText w:val="%7."/>
      <w:lvlJc w:val="left"/>
      <w:pPr>
        <w:tabs>
          <w:tab w:val="num" w:pos="5247"/>
        </w:tabs>
        <w:ind w:left="5247" w:hanging="360"/>
      </w:pPr>
    </w:lvl>
    <w:lvl w:ilvl="7" w:tentative="1">
      <w:start w:val="1"/>
      <w:numFmt w:val="lowerLetter"/>
      <w:lvlText w:val="%8."/>
      <w:lvlJc w:val="left"/>
      <w:pPr>
        <w:tabs>
          <w:tab w:val="num" w:pos="5967"/>
        </w:tabs>
        <w:ind w:left="5967" w:hanging="360"/>
      </w:pPr>
    </w:lvl>
    <w:lvl w:ilvl="8" w:tentative="1">
      <w:start w:val="1"/>
      <w:numFmt w:val="lowerRoman"/>
      <w:lvlText w:val="%9."/>
      <w:lvlJc w:val="right"/>
      <w:pPr>
        <w:tabs>
          <w:tab w:val="num" w:pos="6687"/>
        </w:tabs>
        <w:ind w:left="6687" w:hanging="180"/>
      </w:pPr>
    </w:lvl>
  </w:abstractNum>
  <w:num w:numId="1">
    <w:abstractNumId w:val="24"/>
  </w:num>
  <w:num w:numId="2">
    <w:abstractNumId w:val="15"/>
  </w:num>
  <w:num w:numId="3">
    <w:abstractNumId w:val="7"/>
  </w:num>
  <w:num w:numId="4">
    <w:abstractNumId w:val="8"/>
  </w:num>
  <w:num w:numId="5">
    <w:abstractNumId w:val="23"/>
  </w:num>
  <w:num w:numId="6">
    <w:abstractNumId w:val="9"/>
  </w:num>
  <w:num w:numId="7">
    <w:abstractNumId w:val="0"/>
  </w:num>
  <w:num w:numId="8">
    <w:abstractNumId w:val="11"/>
  </w:num>
  <w:num w:numId="9">
    <w:abstractNumId w:val="18"/>
  </w:num>
  <w:num w:numId="10">
    <w:abstractNumId w:val="28"/>
  </w:num>
  <w:num w:numId="11">
    <w:abstractNumId w:val="21"/>
  </w:num>
  <w:num w:numId="12">
    <w:abstractNumId w:val="6"/>
  </w:num>
  <w:num w:numId="13">
    <w:abstractNumId w:val="10"/>
  </w:num>
  <w:num w:numId="14">
    <w:abstractNumId w:val="20"/>
  </w:num>
  <w:num w:numId="15">
    <w:abstractNumId w:val="19"/>
  </w:num>
  <w:num w:numId="16">
    <w:abstractNumId w:val="27"/>
  </w:num>
  <w:num w:numId="17">
    <w:abstractNumId w:val="17"/>
  </w:num>
  <w:num w:numId="18">
    <w:abstractNumId w:val="26"/>
  </w:num>
  <w:num w:numId="19">
    <w:abstractNumId w:val="5"/>
  </w:num>
  <w:num w:numId="20">
    <w:abstractNumId w:val="14"/>
  </w:num>
  <w:num w:numId="21">
    <w:abstractNumId w:val="12"/>
  </w:num>
  <w:num w:numId="22">
    <w:abstractNumId w:val="3"/>
  </w:num>
  <w:num w:numId="23">
    <w:abstractNumId w:val="25"/>
  </w:num>
  <w:num w:numId="24">
    <w:abstractNumId w:val="22"/>
  </w:num>
  <w:num w:numId="25">
    <w:abstractNumId w:val="4"/>
  </w:num>
  <w:num w:numId="26">
    <w:abstractNumId w:val="13"/>
  </w:num>
  <w:num w:numId="27">
    <w:abstractNumId w:val="16"/>
  </w:num>
  <w:num w:numId="28">
    <w:abstractNumId w:val="1"/>
  </w:num>
  <w:num w:numId="2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stylePaneFormatFilter w:val="3F01"/>
  <w:doNotTrackMoves/>
  <w:defaultTabStop w:val="1191"/>
  <w:evenAndOddHeaders/>
  <w:noPunctuationKerning/>
  <w:characterSpacingControl w:val="doNotCompress"/>
  <w:footnotePr>
    <w:pos w:val="pageBottom"/>
    <w:numFmt w:val="decimal"/>
    <w:numRestart w:val="eachPage"/>
    <w:footnote w:id="0"/>
    <w:footnote w:id="1"/>
  </w:foot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utoRedefine/>
    <w:qFormat/>
    <w:rsid w:val="00A817E5"/>
    <w:pPr>
      <w:bidi/>
      <w:spacing w:line="380" w:lineRule="exact"/>
      <w:ind w:left="0" w:right="0"/>
      <w:jc w:val="both"/>
    </w:pPr>
    <w:rPr>
      <w:rFonts w:cs="Zar"/>
      <w:sz w:val="24"/>
      <w:szCs w:val="26"/>
      <w:lang w:val="en-US" w:eastAsia="en-US" w:bidi="ar-SA"/>
    </w:rPr>
  </w:style>
  <w:style w:type="paragraph" w:styleId="Heading1">
    <w:name w:val="heading 1"/>
    <w:basedOn w:val="Normal"/>
    <w:next w:val="Normal"/>
    <w:qFormat/>
    <w:pPr>
      <w:keepNext/>
      <w:ind w:left="0" w:right="0"/>
      <w:jc w:val="center"/>
      <w:outlineLvl w:val="0"/>
    </w:pPr>
    <w:rPr>
      <w:rFonts w:cs="Yagut"/>
      <w:b/>
      <w:bCs/>
      <w:sz w:val="36"/>
      <w:szCs w:val="40"/>
    </w:rPr>
  </w:style>
  <w:style w:type="paragraph" w:styleId="Heading2">
    <w:name w:val="heading 2"/>
    <w:basedOn w:val="Normal"/>
    <w:next w:val="Normal"/>
    <w:qFormat/>
    <w:pPr>
      <w:keepNext/>
      <w:ind w:left="0" w:right="0"/>
      <w:jc w:val="center"/>
      <w:outlineLvl w:val="1"/>
    </w:pPr>
    <w:rPr>
      <w:b/>
      <w:bCs/>
      <w:sz w:val="32"/>
      <w:szCs w:val="36"/>
    </w:rPr>
  </w:style>
  <w:style w:type="paragraph" w:styleId="Heading3">
    <w:name w:val="heading 3"/>
    <w:basedOn w:val="Normal"/>
    <w:next w:val="Normal"/>
    <w:qFormat/>
    <w:pPr>
      <w:keepNext/>
      <w:spacing w:before="240" w:after="120"/>
      <w:ind w:left="0" w:right="0"/>
      <w:jc w:val="left"/>
      <w:outlineLvl w:val="2"/>
    </w:pPr>
    <w:rPr>
      <w:rFonts w:ascii="Arial" w:hAnsi="Arial"/>
      <w:b/>
      <w:bCs/>
      <w:sz w:val="26"/>
    </w:rPr>
  </w:style>
  <w:style w:type="paragraph" w:styleId="Heading4">
    <w:name w:val="heading 4"/>
    <w:basedOn w:val="Normal"/>
    <w:next w:val="Normal"/>
    <w:qFormat/>
    <w:pPr>
      <w:keepNext/>
      <w:ind w:left="0" w:right="0"/>
      <w:jc w:val="left"/>
      <w:outlineLvl w:val="3"/>
    </w:pPr>
    <w:rPr>
      <w:sz w:val="28"/>
    </w:rPr>
  </w:style>
  <w:style w:type="paragraph" w:styleId="Heading5">
    <w:name w:val="heading 5"/>
    <w:basedOn w:val="Normal"/>
    <w:next w:val="Normal"/>
    <w:qFormat/>
    <w:pPr>
      <w:keepNext/>
      <w:ind w:left="0" w:right="0"/>
      <w:jc w:val="left"/>
      <w:outlineLvl w:val="4"/>
    </w:pPr>
    <w:rPr>
      <w:b/>
      <w:bCs/>
      <w:sz w:val="32"/>
      <w:szCs w:val="32"/>
    </w:rPr>
  </w:style>
  <w:style w:type="paragraph" w:styleId="Heading6">
    <w:name w:val="heading 6"/>
    <w:basedOn w:val="Normal"/>
    <w:next w:val="Normal"/>
    <w:qFormat/>
    <w:pPr>
      <w:keepNext/>
      <w:ind w:left="0" w:right="0"/>
      <w:jc w:val="center"/>
      <w:outlineLvl w:val="5"/>
    </w:pPr>
    <w:rPr>
      <w:b/>
      <w:bCs/>
      <w:sz w:val="28"/>
    </w:rPr>
  </w:style>
  <w:style w:type="paragraph" w:styleId="Heading7">
    <w:name w:val="heading 7"/>
    <w:basedOn w:val="Normal"/>
    <w:next w:val="Normal"/>
    <w:qFormat/>
    <w:pPr>
      <w:keepNext/>
      <w:spacing w:before="80"/>
      <w:ind w:left="720" w:right="0" w:firstLine="567"/>
      <w:jc w:val="left"/>
      <w:outlineLvl w:val="6"/>
    </w:pPr>
    <w:rPr>
      <w:sz w:val="28"/>
    </w:rPr>
  </w:style>
  <w:style w:type="paragraph" w:styleId="Heading8">
    <w:name w:val="heading 8"/>
    <w:basedOn w:val="Normal"/>
    <w:next w:val="Normal"/>
    <w:qFormat/>
    <w:pPr>
      <w:keepNext/>
      <w:spacing w:before="120" w:after="120"/>
      <w:ind w:left="0" w:right="0" w:firstLine="567"/>
      <w:jc w:val="left"/>
      <w:outlineLvl w:val="7"/>
    </w:pPr>
    <w:rPr>
      <w:b/>
      <w:sz w:val="28"/>
    </w:rPr>
  </w:style>
  <w:style w:type="paragraph" w:styleId="Heading9">
    <w:name w:val="heading 9"/>
    <w:basedOn w:val="Normal"/>
    <w:next w:val="Normal"/>
    <w:qFormat/>
    <w:pPr>
      <w:keepNext/>
      <w:ind w:left="0" w:right="0" w:firstLine="567"/>
      <w:jc w:val="left"/>
      <w:outlineLvl w:val="8"/>
    </w:pPr>
    <w:rPr>
      <w:sz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basedOn w:val="DefaultParagraphFont"/>
    <w:semiHidden/>
    <w:rPr>
      <w:vertAlign w:val="superscript"/>
    </w:rPr>
  </w:style>
  <w:style w:type="paragraph" w:styleId="BodyTextIndent2">
    <w:name w:val="Body Text Indent 2"/>
    <w:basedOn w:val="Normal"/>
    <w:pPr>
      <w:ind w:left="567" w:right="0"/>
      <w:jc w:val="both"/>
    </w:pPr>
    <w:rPr>
      <w:rFonts w:cs="Yagut"/>
      <w:sz w:val="28"/>
      <w:szCs w:val="28"/>
    </w:rPr>
  </w:style>
  <w:style w:type="paragraph" w:styleId="FootnoteText">
    <w:name w:val="footnote text"/>
    <w:basedOn w:val="Normal"/>
    <w:link w:val="FootnoteTextChar"/>
    <w:semiHidden/>
    <w:pPr>
      <w:widowControl w:val="0"/>
      <w:spacing w:line="300" w:lineRule="exact"/>
      <w:ind w:left="0" w:right="0"/>
      <w:jc w:val="both"/>
    </w:pPr>
    <w:rPr>
      <w:sz w:val="20"/>
      <w:szCs w:val="20"/>
    </w:rPr>
  </w:style>
  <w:style w:type="paragraph" w:styleId="TOC1">
    <w:name w:val="toc 1"/>
    <w:basedOn w:val="Normal"/>
    <w:next w:val="Normal"/>
    <w:autoRedefine/>
    <w:semiHidden/>
    <w:pPr>
      <w:bidi w:val="0"/>
      <w:spacing w:before="120"/>
      <w:jc w:val="left"/>
    </w:pPr>
    <w:rPr>
      <w:rFonts w:cs="Times New Roman"/>
      <w:b/>
      <w:bCs/>
      <w:i/>
      <w:iCs/>
    </w:rPr>
  </w:style>
  <w:style w:type="paragraph" w:styleId="TOC2">
    <w:name w:val="toc 2"/>
    <w:basedOn w:val="Normal"/>
    <w:next w:val="Normal"/>
    <w:autoRedefine/>
    <w:semiHidden/>
    <w:pPr>
      <w:bidi w:val="0"/>
      <w:spacing w:before="120"/>
      <w:ind w:left="240"/>
      <w:jc w:val="left"/>
    </w:pPr>
    <w:rPr>
      <w:rFonts w:cs="Times New Roman"/>
      <w:b/>
      <w:bCs/>
      <w:szCs w:val="26"/>
    </w:rPr>
  </w:style>
  <w:style w:type="paragraph" w:styleId="TOC3">
    <w:name w:val="toc 3"/>
    <w:basedOn w:val="Normal"/>
    <w:next w:val="Normal"/>
    <w:autoRedefine/>
    <w:semiHidden/>
    <w:pPr>
      <w:bidi w:val="0"/>
      <w:ind w:left="480"/>
      <w:jc w:val="left"/>
    </w:pPr>
    <w:rPr>
      <w:rFonts w:cs="Times New Roman"/>
      <w:szCs w:val="24"/>
    </w:rPr>
  </w:style>
  <w:style w:type="paragraph" w:styleId="TOC4">
    <w:name w:val="toc 4"/>
    <w:basedOn w:val="Normal"/>
    <w:next w:val="Normal"/>
    <w:autoRedefine/>
    <w:semiHidden/>
    <w:pPr>
      <w:bidi w:val="0"/>
      <w:ind w:left="720"/>
      <w:jc w:val="left"/>
    </w:pPr>
    <w:rPr>
      <w:rFonts w:cs="Times New Roman"/>
      <w:szCs w:val="24"/>
    </w:rPr>
  </w:style>
  <w:style w:type="paragraph" w:styleId="TOC5">
    <w:name w:val="toc 5"/>
    <w:basedOn w:val="Normal"/>
    <w:next w:val="Normal"/>
    <w:autoRedefine/>
    <w:semiHidden/>
    <w:pPr>
      <w:bidi w:val="0"/>
      <w:ind w:left="960"/>
      <w:jc w:val="left"/>
    </w:pPr>
    <w:rPr>
      <w:rFonts w:cs="Times New Roman"/>
      <w:szCs w:val="24"/>
    </w:rPr>
  </w:style>
  <w:style w:type="paragraph" w:styleId="TOC6">
    <w:name w:val="toc 6"/>
    <w:basedOn w:val="Normal"/>
    <w:next w:val="Normal"/>
    <w:autoRedefine/>
    <w:semiHidden/>
    <w:pPr>
      <w:bidi w:val="0"/>
      <w:ind w:left="1200"/>
      <w:jc w:val="left"/>
    </w:pPr>
    <w:rPr>
      <w:rFonts w:cs="Times New Roman"/>
      <w:szCs w:val="24"/>
    </w:rPr>
  </w:style>
  <w:style w:type="paragraph" w:styleId="TOC7">
    <w:name w:val="toc 7"/>
    <w:basedOn w:val="Normal"/>
    <w:next w:val="Normal"/>
    <w:autoRedefine/>
    <w:semiHidden/>
    <w:pPr>
      <w:bidi w:val="0"/>
      <w:ind w:left="1440"/>
      <w:jc w:val="left"/>
    </w:pPr>
    <w:rPr>
      <w:rFonts w:cs="Times New Roman"/>
      <w:szCs w:val="24"/>
    </w:rPr>
  </w:style>
  <w:style w:type="paragraph" w:styleId="TOC8">
    <w:name w:val="toc 8"/>
    <w:basedOn w:val="Normal"/>
    <w:next w:val="Normal"/>
    <w:autoRedefine/>
    <w:semiHidden/>
    <w:pPr>
      <w:bidi w:val="0"/>
      <w:ind w:left="1680"/>
      <w:jc w:val="left"/>
    </w:pPr>
    <w:rPr>
      <w:rFonts w:cs="Times New Roman"/>
      <w:szCs w:val="24"/>
    </w:rPr>
  </w:style>
  <w:style w:type="paragraph" w:styleId="TOC9">
    <w:name w:val="toc 9"/>
    <w:basedOn w:val="Normal"/>
    <w:next w:val="Normal"/>
    <w:autoRedefine/>
    <w:semiHidden/>
    <w:pPr>
      <w:bidi w:val="0"/>
      <w:ind w:left="1920"/>
      <w:jc w:val="left"/>
    </w:pPr>
    <w:rPr>
      <w:rFonts w:cs="Times New Roman"/>
      <w:szCs w:val="24"/>
    </w:rPr>
  </w:style>
  <w:style w:type="paragraph" w:styleId="BodyText">
    <w:name w:val="Body Text"/>
    <w:basedOn w:val="Normal"/>
    <w:pPr>
      <w:ind w:left="0" w:right="0"/>
      <w:jc w:val="both"/>
    </w:pPr>
    <w:rPr>
      <w:sz w:val="28"/>
    </w:rPr>
  </w:style>
  <w:style w:type="paragraph" w:styleId="BodyTextIndent">
    <w:name w:val="Body Text Indent"/>
    <w:basedOn w:val="Normal"/>
    <w:pPr>
      <w:spacing w:before="80"/>
      <w:ind w:left="357" w:right="0" w:firstLine="567"/>
      <w:jc w:val="both"/>
    </w:pPr>
    <w:rPr>
      <w:sz w:val="28"/>
    </w:rPr>
  </w:style>
  <w:style w:type="paragraph" w:styleId="Header">
    <w:name w:val="header"/>
    <w:basedOn w:val="Normal"/>
    <w:pPr>
      <w:tabs>
        <w:tab w:val="center" w:pos="4153"/>
        <w:tab w:val="right" w:pos="8306"/>
      </w:tabs>
      <w:ind w:left="0" w:right="0"/>
      <w:jc w:val="both"/>
    </w:pPr>
  </w:style>
  <w:style w:type="paragraph" w:styleId="Footer">
    <w:name w:val="footer"/>
    <w:basedOn w:val="Normal"/>
    <w:pPr>
      <w:tabs>
        <w:tab w:val="center" w:pos="4153"/>
        <w:tab w:val="right" w:pos="8306"/>
      </w:tabs>
      <w:ind w:left="0" w:right="0"/>
      <w:jc w:val="both"/>
    </w:pPr>
  </w:style>
  <w:style w:type="character" w:styleId="PageNumber">
    <w:name w:val="page number"/>
    <w:basedOn w:val="DefaultParagraphFont"/>
    <w:rPr>
      <w:rFonts w:ascii="IPT.Lotus" w:hAnsi="IPT.Lotus" w:cs="Lotus"/>
      <w:b/>
      <w:bCs/>
      <w:sz w:val="28"/>
      <w:szCs w:val="20"/>
    </w:rPr>
  </w:style>
  <w:style w:type="paragraph" w:styleId="BodyText2">
    <w:name w:val="Body Text 2"/>
    <w:basedOn w:val="Normal"/>
    <w:rsid w:val="0011420A"/>
    <w:pPr>
      <w:ind w:left="0" w:right="0"/>
      <w:jc w:val="both"/>
    </w:pPr>
    <w:rPr>
      <w:rFonts w:cs="Yagut"/>
      <w:sz w:val="28"/>
      <w:szCs w:val="28"/>
    </w:rPr>
  </w:style>
  <w:style w:type="paragraph" w:styleId="BodyText3">
    <w:name w:val="Body Text 3"/>
    <w:basedOn w:val="Normal"/>
    <w:rsid w:val="0011420A"/>
    <w:pPr>
      <w:ind w:left="0" w:right="0"/>
      <w:jc w:val="both"/>
    </w:pPr>
    <w:rPr>
      <w:rFonts w:cs="Lotus"/>
      <w:i/>
      <w:iCs/>
    </w:rPr>
  </w:style>
  <w:style w:type="character" w:styleId="Hyperlink">
    <w:name w:val="Hyperlink"/>
    <w:basedOn w:val="DefaultParagraphFont"/>
    <w:rsid w:val="00511899"/>
    <w:rPr>
      <w:color w:val="0000FF"/>
      <w:u w:val="single"/>
    </w:rPr>
  </w:style>
  <w:style w:type="character" w:customStyle="1" w:styleId="FootnoteTextChar">
    <w:name w:val="Footnote Text Char"/>
    <w:basedOn w:val="DefaultParagraphFont"/>
    <w:link w:val="FootnoteText"/>
    <w:semiHidden/>
    <w:rsid w:val="00A0771B"/>
    <w:rPr>
      <w:rFonts w:cs="Zar"/>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numbering" Target="numbering.xml" /><Relationship Id="rId9"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6</TotalTime>
  <Pages>510</Pages>
  <Words>93321</Words>
  <Characters>531931</Characters>
  <Application>Microsoft Office Word</Application>
  <DocSecurity>0</DocSecurity>
  <Lines>4432</Lines>
  <Paragraphs>1248</Paragraphs>
  <ScaleCrop>false</ScaleCrop>
  <HeadingPairs>
    <vt:vector size="2" baseType="variant">
      <vt:variant>
        <vt:lpstr>Title</vt:lpstr>
      </vt:variant>
      <vt:variant>
        <vt:i4>1</vt:i4>
      </vt:variant>
    </vt:vector>
  </HeadingPairs>
  <TitlesOfParts>
    <vt:vector size="1" baseType="lpstr">
      <vt:lpstr>بسمه تعالي</vt:lpstr>
    </vt:vector>
  </TitlesOfParts>
  <Company>ide</Company>
  <LinksUpToDate>false</LinksUpToDate>
  <CharactersWithSpaces>624004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creator>AM Naqvi</dc:creator>
  <cp:lastModifiedBy>user</cp:lastModifiedBy>
  <cp:revision>4</cp:revision>
  <cp:lastPrinted>2011-12-19T04:38:00Z</cp:lastPrinted>
  <dcterms:created xsi:type="dcterms:W3CDTF">2012-01-17T09:25:00Z</dcterms:created>
  <dcterms:modified xsi:type="dcterms:W3CDTF">2012-02-14T08:02:00Z</dcterms:modified>
</cp:coreProperties>
</file>