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800" w:lineRule="auto"/>
        <w:jc w:val="center"/>
        <w:rPr/>
      </w:pPr>
      <w:r w:rsidDel="00000000" w:rsidR="00000000" w:rsidRPr="00000000">
        <w:rPr>
          <w:b w:val="1"/>
          <w:bCs w:val="1"/>
          <w:color w:val="c9a227"/>
          <w:sz w:val="20"/>
          <w:szCs w:val="20"/>
          <w:rtl w:val="0"/>
        </w:rPr>
        <w:t xml:space="preserve">THE BET · INTERBANK &amp; INTERSEGURO</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5b6785"/>
          <w:sz w:val="18"/>
          <w:szCs w:val="18"/>
          <w:rtl w:val="0"/>
        </w:rPr>
        <w:t xml:space="preserve">Entregable — Taller 2 · 14 de septiembre de 2026</w:t>
      </w:r>
      <w:r w:rsidDel="00000000" w:rsidR="00000000" w:rsidRPr="00000000">
        <w:rPr>
          <w:rtl w:val="0"/>
        </w:rPr>
      </w:r>
    </w:p>
    <w:p w:rsidR="00000000" w:rsidDel="00000000" w:rsidP="00000000" w:rsidRDefault="00000000" w:rsidRPr="00000000" w14:paraId="00000003">
      <w:pPr>
        <w:spacing w:after="120" w:before="400" w:lineRule="auto"/>
        <w:jc w:val="center"/>
        <w:rPr/>
      </w:pPr>
      <w:r w:rsidDel="00000000" w:rsidR="00000000" w:rsidRPr="00000000">
        <w:rPr>
          <w:b w:val="1"/>
          <w:bCs w:val="1"/>
          <w:color w:val="1e2761"/>
          <w:sz w:val="52"/>
          <w:szCs w:val="52"/>
          <w:rtl w:val="0"/>
        </w:rPr>
        <w:t xml:space="preserve">BIG IDEA</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b w:val="1"/>
          <w:bCs w:val="1"/>
          <w:color w:val="1e2761"/>
          <w:sz w:val="24"/>
          <w:szCs w:val="24"/>
          <w:rtl w:val="0"/>
        </w:rPr>
        <w:t xml:space="preserve">RentScore Seguro + Renta Garantizada: Certeza de Alquiler y Flujo de Caja a la Medida del Propietario</w:t>
      </w:r>
      <w:r w:rsidDel="00000000" w:rsidR="00000000" w:rsidRPr="00000000">
        <w:rPr>
          <w:rtl w:val="0"/>
        </w:rPr>
      </w:r>
    </w:p>
    <w:tbl>
      <w:tblPr>
        <w:tblStyle w:val="Table1"/>
        <w:tblW w:w="4110.0" w:type="dxa"/>
        <w:jc w:val="center"/>
        <w:tblBorders>
          <w:top w:color="c9a227" w:space="0" w:sz="4" w:val="single"/>
          <w:left w:color="c9a227" w:space="0" w:sz="4" w:val="single"/>
          <w:bottom w:color="c9a227" w:space="0" w:sz="4" w:val="single"/>
          <w:right w:color="c9a227" w:space="0" w:sz="4" w:val="single"/>
          <w:insideH w:color="000000" w:space="0" w:sz="0" w:val="nil"/>
          <w:insideV w:color="000000" w:space="0" w:sz="0" w:val="nil"/>
        </w:tblBorders>
        <w:tblLayout w:type="fixed"/>
        <w:tblLook w:val="0000"/>
      </w:tblPr>
      <w:tblGrid>
        <w:gridCol w:w="4110"/>
        <w:tblGridChange w:id="0">
          <w:tblGrid>
            <w:gridCol w:w="4110"/>
          </w:tblGrid>
        </w:tblGridChange>
      </w:tblGrid>
      <w:tr>
        <w:trPr>
          <w:cantSplit w:val="0"/>
          <w:tblHeader w:val="0"/>
        </w:trPr>
        <w:tc>
          <w:tcPr>
            <w:shd w:fill="eef2fb" w:val="clear"/>
            <w:tcMar>
              <w:top w:w="260.0" w:type="dxa"/>
              <w:left w:w="320.0" w:type="dxa"/>
              <w:bottom w:w="260.0" w:type="dxa"/>
              <w:right w:w="320.0" w:type="dxa"/>
            </w:tcMar>
          </w:tcPr>
          <w:p w:rsidR="00000000" w:rsidDel="00000000" w:rsidP="00000000" w:rsidRDefault="00000000" w:rsidRPr="00000000" w14:paraId="00000005">
            <w:pPr>
              <w:spacing w:after="160" w:lineRule="auto"/>
              <w:jc w:val="center"/>
              <w:rPr/>
            </w:pPr>
            <w:r w:rsidDel="00000000" w:rsidR="00000000" w:rsidRPr="00000000">
              <w:rPr>
                <w:b w:val="1"/>
                <w:bCs w:val="1"/>
                <w:color w:val="1e2761"/>
                <w:sz w:val="20"/>
                <w:szCs w:val="20"/>
                <w:rtl w:val="0"/>
              </w:rPr>
              <w:t xml:space="preserve">EQUIPO</w:t>
            </w:r>
            <w:r w:rsidDel="00000000" w:rsidR="00000000" w:rsidRPr="00000000">
              <w:rPr>
                <w:rtl w:val="0"/>
              </w:rPr>
            </w:r>
          </w:p>
          <w:p w:rsidR="00000000" w:rsidDel="00000000" w:rsidP="00000000" w:rsidRDefault="00000000" w:rsidRPr="00000000" w14:paraId="00000006">
            <w:pPr>
              <w:spacing w:after="140" w:lineRule="auto"/>
              <w:jc w:val="center"/>
              <w:rPr/>
            </w:pPr>
            <w:r w:rsidDel="00000000" w:rsidR="00000000" w:rsidRPr="00000000">
              <w:rPr>
                <w:b w:val="1"/>
                <w:bCs w:val="1"/>
                <w:color w:val="232323"/>
                <w:sz w:val="20"/>
                <w:szCs w:val="20"/>
                <w:rtl w:val="0"/>
              </w:rPr>
              <w:t xml:space="preserve">William Salinas</w:t>
            </w:r>
            <w:r w:rsidDel="00000000" w:rsidR="00000000" w:rsidRPr="00000000">
              <w:rPr>
                <w:color w:val="5b6785"/>
                <w:sz w:val="19"/>
                <w:szCs w:val="19"/>
                <w:rtl w:val="0"/>
              </w:rPr>
              <w:t xml:space="preserve">  ·  Interseguro  ·  </w:t>
            </w:r>
            <w:r w:rsidDel="00000000" w:rsidR="00000000" w:rsidRPr="00000000">
              <w:rPr>
                <w:i w:val="1"/>
                <w:iCs w:val="1"/>
                <w:color w:val="5b6785"/>
                <w:sz w:val="19"/>
                <w:szCs w:val="19"/>
                <w:rtl w:val="0"/>
              </w:rPr>
              <w:t xml:space="preserve">william.salinas@interseguro.com.pe</w:t>
            </w:r>
            <w:r w:rsidDel="00000000" w:rsidR="00000000" w:rsidRPr="00000000">
              <w:rPr>
                <w:rtl w:val="0"/>
              </w:rPr>
            </w:r>
          </w:p>
          <w:p w:rsidR="00000000" w:rsidDel="00000000" w:rsidP="00000000" w:rsidRDefault="00000000" w:rsidRPr="00000000" w14:paraId="00000007">
            <w:pPr>
              <w:spacing w:after="140" w:lineRule="auto"/>
              <w:jc w:val="center"/>
              <w:rPr/>
            </w:pPr>
            <w:r w:rsidDel="00000000" w:rsidR="00000000" w:rsidRPr="00000000">
              <w:rPr>
                <w:b w:val="1"/>
                <w:bCs w:val="1"/>
                <w:color w:val="232323"/>
                <w:sz w:val="20"/>
                <w:szCs w:val="20"/>
                <w:rtl w:val="0"/>
              </w:rPr>
              <w:t xml:space="preserve">Diego Herrera</w:t>
            </w:r>
            <w:r w:rsidDel="00000000" w:rsidR="00000000" w:rsidRPr="00000000">
              <w:rPr>
                <w:color w:val="5b6785"/>
                <w:sz w:val="19"/>
                <w:szCs w:val="19"/>
                <w:rtl w:val="0"/>
              </w:rPr>
              <w:t xml:space="preserve">  ·  Interbank  ·  </w:t>
            </w:r>
            <w:r w:rsidDel="00000000" w:rsidR="00000000" w:rsidRPr="00000000">
              <w:rPr>
                <w:i w:val="1"/>
                <w:iCs w:val="1"/>
                <w:color w:val="5b6785"/>
                <w:sz w:val="19"/>
                <w:szCs w:val="19"/>
                <w:rtl w:val="0"/>
              </w:rPr>
              <w:t xml:space="preserve">gherreramau@intercorp.com.pe</w:t>
            </w:r>
            <w:r w:rsidDel="00000000" w:rsidR="00000000" w:rsidRPr="00000000">
              <w:rPr>
                <w:rtl w:val="0"/>
              </w:rPr>
            </w:r>
          </w:p>
          <w:p w:rsidR="00000000" w:rsidDel="00000000" w:rsidP="00000000" w:rsidRDefault="00000000" w:rsidRPr="00000000" w14:paraId="00000008">
            <w:pPr>
              <w:spacing w:after="140" w:lineRule="auto"/>
              <w:jc w:val="center"/>
              <w:rPr/>
            </w:pPr>
            <w:r w:rsidDel="00000000" w:rsidR="00000000" w:rsidRPr="00000000">
              <w:rPr>
                <w:b w:val="1"/>
                <w:bCs w:val="1"/>
                <w:color w:val="232323"/>
                <w:sz w:val="20"/>
                <w:szCs w:val="20"/>
                <w:rtl w:val="0"/>
              </w:rPr>
              <w:t xml:space="preserve">Carlos Segura</w:t>
            </w:r>
            <w:r w:rsidDel="00000000" w:rsidR="00000000" w:rsidRPr="00000000">
              <w:rPr>
                <w:color w:val="5b6785"/>
                <w:sz w:val="19"/>
                <w:szCs w:val="19"/>
                <w:rtl w:val="0"/>
              </w:rPr>
              <w:t xml:space="preserve">  ·  Interseguro  ·  </w:t>
            </w:r>
            <w:r w:rsidDel="00000000" w:rsidR="00000000" w:rsidRPr="00000000">
              <w:rPr>
                <w:i w:val="1"/>
                <w:iCs w:val="1"/>
                <w:color w:val="5b6785"/>
                <w:sz w:val="19"/>
                <w:szCs w:val="19"/>
                <w:rtl w:val="0"/>
              </w:rPr>
              <w:t xml:space="preserve">carlos.segura@interseguro.com.pe</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b w:val="1"/>
                <w:bCs w:val="1"/>
                <w:color w:val="232323"/>
                <w:sz w:val="20"/>
                <w:szCs w:val="20"/>
                <w:rtl w:val="0"/>
              </w:rPr>
              <w:t xml:space="preserve">Diego Moscoso</w:t>
            </w:r>
            <w:r w:rsidDel="00000000" w:rsidR="00000000" w:rsidRPr="00000000">
              <w:rPr>
                <w:color w:val="5b6785"/>
                <w:sz w:val="19"/>
                <w:szCs w:val="19"/>
                <w:rtl w:val="0"/>
              </w:rPr>
              <w:t xml:space="preserve">  ·  Interseguro  ·  </w:t>
            </w:r>
            <w:r w:rsidDel="00000000" w:rsidR="00000000" w:rsidRPr="00000000">
              <w:rPr>
                <w:i w:val="1"/>
                <w:iCs w:val="1"/>
                <w:color w:val="5b6785"/>
                <w:sz w:val="19"/>
                <w:szCs w:val="19"/>
                <w:rtl w:val="0"/>
              </w:rPr>
              <w:t xml:space="preserve">diego.moscoso@interseguro.com.pe</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b w:val="1"/>
          <w:bCs w:val="1"/>
          <w:color w:val="c9a227"/>
          <w:sz w:val="18"/>
          <w:szCs w:val="18"/>
          <w:rtl w:val="0"/>
        </w:rPr>
        <w:t xml:space="preserve">THE BET · INTERBANK &amp; INTERSEGURO — ENTREGABLE TALLER 2</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b w:val="1"/>
          <w:bCs w:val="1"/>
          <w:color w:val="1e2761"/>
          <w:sz w:val="40"/>
          <w:szCs w:val="40"/>
          <w:rtl w:val="0"/>
        </w:rPr>
        <w:t xml:space="preserve">BIG IDEA</w:t>
      </w:r>
      <w:r w:rsidDel="00000000" w:rsidR="00000000" w:rsidRPr="00000000">
        <w:rPr>
          <w:rtl w:val="0"/>
        </w:rPr>
      </w:r>
    </w:p>
    <w:p w:rsidR="00000000" w:rsidDel="00000000" w:rsidP="00000000" w:rsidRDefault="00000000" w:rsidRPr="00000000" w14:paraId="0000000D">
      <w:pPr>
        <w:spacing w:after="260" w:lineRule="auto"/>
        <w:rPr/>
      </w:pPr>
      <w:r w:rsidDel="00000000" w:rsidR="00000000" w:rsidRPr="00000000">
        <w:rPr>
          <w:b w:val="1"/>
          <w:bCs w:val="1"/>
          <w:color w:val="1e2761"/>
          <w:sz w:val="26"/>
          <w:szCs w:val="26"/>
          <w:rtl w:val="0"/>
        </w:rPr>
        <w:t xml:space="preserve">RentScore Seguro + Renta Garantizada: Certeza de Alquiler y Flujo de Caja a la Medida del Propietario</w:t>
      </w:r>
      <w:r w:rsidDel="00000000" w:rsidR="00000000" w:rsidRPr="00000000">
        <w:rPr>
          <w:rtl w:val="0"/>
        </w:rPr>
      </w:r>
    </w:p>
    <w:p w:rsidR="00000000" w:rsidDel="00000000" w:rsidP="00000000" w:rsidRDefault="00000000" w:rsidRPr="00000000" w14:paraId="0000000E">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Descripción Corta</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i w:val="0"/>
          <w:iCs w:val="0"/>
          <w:color w:val="232323"/>
          <w:sz w:val="21"/>
          <w:szCs w:val="21"/>
          <w:rtl w:val="0"/>
        </w:rPr>
        <w:t xml:space="preserve">Plataforma que evalúa objetivamente al inquilino mediante datos bancarios reales y lo vincula automáticamente a un seguro de impago mensual que reemplaza el depósito tradicional. Además, el propietario puede elegir dejar de cobrar el alquiler por su cuenta: Interbank le paga su renta cada mes de forma garantizada, o incluso se la adelanta por trimestre, semestre, año o la duración completa del contrato.</w:t>
      </w:r>
      <w:r w:rsidDel="00000000" w:rsidR="00000000" w:rsidRPr="00000000">
        <w:rPr>
          <w:rtl w:val="0"/>
        </w:rPr>
      </w:r>
    </w:p>
    <w:p w:rsidR="00000000" w:rsidDel="00000000" w:rsidP="00000000" w:rsidRDefault="00000000" w:rsidRPr="00000000" w14:paraId="00000010">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Ajuste de Encuadre Respecto al Big Idea Original</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i w:val="0"/>
          <w:iCs w:val="0"/>
          <w:color w:val="232323"/>
          <w:sz w:val="21"/>
          <w:szCs w:val="21"/>
          <w:rtl w:val="0"/>
        </w:rPr>
        <w:t xml:space="preserve">El Big Idea generado en el taller ya cubría muy bien el nivel de evaluación y seguro. Esta versión añade una segunda capa — opcional, no obligatoria — que convierte a Interbank de administrador de un seguro a garante activo del flujo de alquiler. Es la extensión natural de "certeza antes de firmar" hacia "tranquilidad después de firmar, mes a mes".</w:t>
      </w:r>
      <w:r w:rsidDel="00000000" w:rsidR="00000000" w:rsidRPr="00000000">
        <w:rPr>
          <w:rtl w:val="0"/>
        </w:rPr>
      </w:r>
    </w:p>
    <w:p w:rsidR="00000000" w:rsidDel="00000000" w:rsidP="00000000" w:rsidRDefault="00000000" w:rsidRPr="00000000" w14:paraId="00000012">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Por Qué Esto Es una Iniciativa de Box 3 (Crear el Futuro)</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i w:val="0"/>
          <w:iCs w:val="0"/>
          <w:color w:val="232323"/>
          <w:sz w:val="21"/>
          <w:szCs w:val="21"/>
          <w:rtl w:val="0"/>
        </w:rPr>
        <w:t xml:space="preserve">RentScore Seguro, por sí solo, ya es una mejora sustancial sobre el mercado actual — pero sigue siendo, en esencia, un producto de seguros con mejor tarificación. Lo que convierte a esta propuesta en una apuesta de Box 3, en el sentido del marco de Govindarajan, es Cobro Garantizado y Renta Adelantada: ahí Interbank deja de ser "el banco donde el propietario tiene su cuenta" y pasa a ser el garante activo del flujo de alquiler del país — una relación financiera que hoy no existe entre ningún banco peruano y el mercado de arrendamiento. No es una función nueva dentro del negocio actual; es un modelo de negocio distinto, con su propia lógica de riesgo, su propio balance y sus propias métricas — construido sobre la infraestructura que Interbank e Interseguro ya operan, pero sin ser una simple extensión de lo que ya venden.</w:t>
      </w:r>
      <w:r w:rsidDel="00000000" w:rsidR="00000000" w:rsidRPr="00000000">
        <w:rPr>
          <w:rtl w:val="0"/>
        </w:rPr>
      </w:r>
    </w:p>
    <w:p w:rsidR="00000000" w:rsidDel="00000000" w:rsidP="00000000" w:rsidRDefault="00000000" w:rsidRPr="00000000" w14:paraId="00000014">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Problem-Solution Fit</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i w:val="0"/>
          <w:iCs w:val="0"/>
          <w:color w:val="232323"/>
          <w:sz w:val="21"/>
          <w:szCs w:val="21"/>
          <w:rtl w:val="0"/>
        </w:rPr>
        <w:t xml:space="preserve">El propietario limeño decide basándose en intuición y papeles falseables, sin protección real ante impagos que tardan más de un año en resolverse legalmente. RentScore Seguro integra evaluación de riesgo objetiva con cobertura de impago mensual pagada por el inquilino, eliminando incertidumbre previa y dando protección garantizada posterior. Con la capa de Renta Garantizada, el propietario da un paso más: deja de vincular su tranquilidad a la puntualidad de una persona específica, porque el pago mensual —o incluso el ingreso completo del contrato— ya no depende de si el inquilino transfiere a tiempo, sino de un compromiso directo de Interbank.</w:t>
      </w:r>
      <w:r w:rsidDel="00000000" w:rsidR="00000000" w:rsidRPr="00000000">
        <w:rPr>
          <w:rtl w:val="0"/>
        </w:rPr>
      </w:r>
    </w:p>
    <w:p w:rsidR="00000000" w:rsidDel="00000000" w:rsidP="00000000" w:rsidRDefault="00000000" w:rsidRPr="00000000" w14:paraId="00000016">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Cómo Funciona</w:t>
      </w:r>
      <w:r w:rsidDel="00000000" w:rsidR="00000000" w:rsidRPr="00000000">
        <w:rPr>
          <w:rtl w:val="0"/>
        </w:rPr>
      </w:r>
    </w:p>
    <w:p w:rsidR="00000000" w:rsidDel="00000000" w:rsidP="00000000" w:rsidRDefault="00000000" w:rsidRPr="00000000" w14:paraId="00000017">
      <w:pPr>
        <w:spacing w:after="160" w:line="300" w:lineRule="auto"/>
        <w:rPr/>
      </w:pPr>
      <w:r w:rsidDel="00000000" w:rsidR="00000000" w:rsidRPr="00000000">
        <w:rPr>
          <w:i w:val="0"/>
          <w:iCs w:val="0"/>
          <w:color w:val="232323"/>
          <w:sz w:val="21"/>
          <w:szCs w:val="21"/>
          <w:rtl w:val="0"/>
        </w:rPr>
        <w:t xml:space="preserve">El flujo comienza cuando el propietario publica su inmueble o ingresa datos básicos. Cuando un candidato se presenta, autoriza consulta de datos bancarios y financieros a través de Interbank. En 48 horas, RentScore entrega un reporte visual con score de solvencia (0-100), recomendación de cuota segura y comparativa con la línea de mercado. Si el propietario acepta al candidato, Interseguro emite automáticamente una póliza de alquiler con prima mensual (equivalente a 2-5% de la renta, pagada por el inquilino) que cubre impago hasta 6 meses de renta, daños a la propiedad y responsabilidad civil del inquilino — reemplazando el depósito tradicional de dos meses.</w:t>
      </w:r>
      <w:r w:rsidDel="00000000" w:rsidR="00000000" w:rsidRPr="00000000">
        <w:rPr>
          <w:rtl w:val="0"/>
        </w:rPr>
      </w:r>
    </w:p>
    <w:p w:rsidR="00000000" w:rsidDel="00000000" w:rsidP="00000000" w:rsidRDefault="00000000" w:rsidRPr="00000000" w14:paraId="00000018">
      <w:pPr>
        <w:spacing w:after="160" w:line="300" w:lineRule="auto"/>
        <w:rPr/>
      </w:pPr>
      <w:r w:rsidDel="00000000" w:rsidR="00000000" w:rsidRPr="00000000">
        <w:rPr>
          <w:i w:val="0"/>
          <w:iCs w:val="0"/>
          <w:color w:val="232323"/>
          <w:sz w:val="21"/>
          <w:szCs w:val="21"/>
          <w:rtl w:val="0"/>
        </w:rPr>
        <w:t xml:space="preserve">A partir de aquí, el propietario elige cómo quiere recibir su dinero: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Cobro estándar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recibe el alquiler cada mes en su Cuenta Arrendador, tal como lo paga el inquilino, con la póliza de RentScore Seguro respaldando cualquier impago.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Cobro Garantizado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Interbank le deposita su renta automáticamente cada mes, en la fecha pactada, sin importar si el inquilino ya pagó ese mes. El propietario deja de revisar si le transfirieron; el banco asume la gestión de cobro directo con el inquilino.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Renta Adelantada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el propietario recibe un solo desembolso anticipado por el período que elija — trimestral, semestral, anual o el contrato completo — a cambio de una comisión de descuento que crece con el plazo elegido. A mayor tiempo adelantado, mayor comisión para el banco, porque asume más tiempo de exposición y costo de capital; a cambio, el propietario obtiene liquidez inmediata y elimina por completo la duda de pago durante todo ese período.</w:t>
      </w:r>
      <w:r w:rsidDel="00000000" w:rsidR="00000000" w:rsidRPr="00000000">
        <w:rPr>
          <w:rtl w:val="0"/>
        </w:rPr>
      </w:r>
    </w:p>
    <w:p w:rsidR="00000000" w:rsidDel="00000000" w:rsidP="00000000" w:rsidRDefault="00000000" w:rsidRPr="00000000" w14:paraId="0000001C">
      <w:pPr>
        <w:spacing w:after="160" w:line="300" w:lineRule="auto"/>
        <w:rPr/>
      </w:pPr>
      <w:r w:rsidDel="00000000" w:rsidR="00000000" w:rsidRPr="00000000">
        <w:rPr>
          <w:i w:val="0"/>
          <w:iCs w:val="0"/>
          <w:color w:val="232323"/>
          <w:sz w:val="21"/>
          <w:szCs w:val="21"/>
          <w:rtl w:val="0"/>
        </w:rPr>
        <w:t xml:space="preserve">El inquilino, por su parte, ve su score mejorar con cada pago puntual, generando incentivo de comportamiento responsable — y construyendo, con el tiempo, el historial que puede habilitarlo más adelante para un crédito hipotecario con Interbank.</w:t>
      </w:r>
      <w:r w:rsidDel="00000000" w:rsidR="00000000" w:rsidRPr="00000000">
        <w:rPr>
          <w:rtl w:val="0"/>
        </w:rPr>
      </w:r>
    </w:p>
    <w:p w:rsidR="00000000" w:rsidDel="00000000" w:rsidP="00000000" w:rsidRDefault="00000000" w:rsidRPr="00000000" w14:paraId="0000001D">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Arquitectura de Tres Niveles</w:t>
      </w:r>
      <w:r w:rsidDel="00000000" w:rsidR="00000000" w:rsidRPr="00000000">
        <w:rPr>
          <w:rtl w:val="0"/>
        </w:rPr>
      </w:r>
    </w:p>
    <w:p w:rsidR="00000000" w:rsidDel="00000000" w:rsidP="00000000" w:rsidRDefault="00000000" w:rsidRPr="00000000" w14:paraId="0000001E">
      <w:pPr>
        <w:spacing w:after="160" w:line="300" w:lineRule="auto"/>
        <w:rPr/>
      </w:pPr>
      <w:r w:rsidDel="00000000" w:rsidR="00000000" w:rsidRPr="00000000">
        <w:rPr>
          <w:i w:val="0"/>
          <w:iCs w:val="0"/>
          <w:color w:val="232323"/>
          <w:sz w:val="21"/>
          <w:szCs w:val="21"/>
          <w:rtl w:val="0"/>
        </w:rPr>
        <w:t xml:space="preserve">La oferta se estructura en niveles progresivos: el propietario puede quedarse en el nivel base o subir de nivel según cuánta certeza de flujo de caja necesite.</w:t>
      </w:r>
      <w:r w:rsidDel="00000000" w:rsidR="00000000" w:rsidRPr="00000000">
        <w:rPr>
          <w:rtl w:val="0"/>
        </w:rPr>
      </w:r>
    </w:p>
    <w:tbl>
      <w:tblPr>
        <w:tblStyle w:val="Table2"/>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400"/>
        <w:gridCol w:w="3400"/>
        <w:gridCol w:w="1600"/>
        <w:tblGridChange w:id="0">
          <w:tblGrid>
            <w:gridCol w:w="1700"/>
            <w:gridCol w:w="3400"/>
            <w:gridCol w:w="3400"/>
            <w:gridCol w:w="1600"/>
          </w:tblGrid>
        </w:tblGridChange>
      </w:tblGrid>
      <w:tr>
        <w:trPr>
          <w:cantSplit w:val="0"/>
          <w:tblHeader w:val="1"/>
        </w:trPr>
        <w:tc>
          <w:tcPr>
            <w:shd w:fill="1e2761"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Nivel</w:t>
            </w:r>
            <w:r w:rsidDel="00000000" w:rsidR="00000000" w:rsidRPr="00000000">
              <w:rPr>
                <w:rtl w:val="0"/>
              </w:rPr>
            </w:r>
          </w:p>
        </w:tc>
        <w:tc>
          <w:tcPr>
            <w:shd w:fill="1e2761"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Qué recibe el propietario</w:t>
            </w:r>
            <w:r w:rsidDel="00000000" w:rsidR="00000000" w:rsidRPr="00000000">
              <w:rPr>
                <w:rtl w:val="0"/>
              </w:rPr>
            </w:r>
          </w:p>
        </w:tc>
        <w:tc>
          <w:tcPr>
            <w:shd w:fill="1e2761"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color w:val="ffffff"/>
                <w:sz w:val="18"/>
                <w:szCs w:val="18"/>
                <w:rtl w:val="0"/>
              </w:rPr>
              <w:t xml:space="preserve">Qué asume Interbank</w:t>
            </w:r>
            <w:r w:rsidDel="00000000" w:rsidR="00000000" w:rsidRPr="00000000">
              <w:rPr>
                <w:rtl w:val="0"/>
              </w:rPr>
            </w:r>
          </w:p>
        </w:tc>
        <w:tc>
          <w:tcPr>
            <w:shd w:fill="1e2761"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ffffff"/>
                <w:sz w:val="18"/>
                <w:szCs w:val="18"/>
                <w:rtl w:val="0"/>
              </w:rPr>
              <w:t xml:space="preserve">Comisión (referencial)</w:t>
            </w:r>
            <w:r w:rsidDel="00000000" w:rsidR="00000000" w:rsidRPr="00000000">
              <w:rPr>
                <w:rtl w:val="0"/>
              </w:rPr>
            </w:r>
          </w:p>
        </w:tc>
      </w:tr>
      <w:tr>
        <w:trPr>
          <w:cantSplit w:val="0"/>
          <w:tblHeader w:val="0"/>
        </w:trPr>
        <w:tc>
          <w:tcPr>
            <w:shd w:fill="eef2fb"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color w:val="1e2761"/>
                <w:sz w:val="18"/>
                <w:szCs w:val="18"/>
                <w:rtl w:val="0"/>
              </w:rPr>
              <w:t xml:space="preserve">0 · RentScore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0"/>
                <w:bCs w:val="0"/>
                <w:color w:val="232323"/>
                <w:sz w:val="18"/>
                <w:szCs w:val="18"/>
                <w:rtl w:val="0"/>
              </w:rPr>
              <w:t xml:space="preserve">Evaluación objetiva del candidato a inquilino antes de firmar — score de solvencia, capacidad de pago recomendada.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b w:val="0"/>
                <w:bCs w:val="0"/>
                <w:color w:val="232323"/>
                <w:sz w:val="18"/>
                <w:szCs w:val="18"/>
                <w:rtl w:val="0"/>
              </w:rPr>
              <w:t xml:space="preserve">Ninguno — es el punto de entrada, sin costo directo para el propietario.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b w:val="0"/>
                <w:bCs w:val="0"/>
                <w:color w:val="232323"/>
                <w:sz w:val="18"/>
                <w:szCs w:val="18"/>
                <w:rtl w:val="0"/>
              </w:rPr>
              <w:t xml:space="preserve">Incluido / gratuito</w:t>
            </w:r>
            <w:r w:rsidDel="00000000" w:rsidR="00000000" w:rsidRPr="00000000">
              <w:rPr>
                <w:rtl w:val="0"/>
              </w:rPr>
            </w:r>
          </w:p>
        </w:tc>
      </w:tr>
      <w:tr>
        <w:trPr>
          <w:cantSplit w:val="0"/>
          <w:tblHeader w:val="0"/>
        </w:trPr>
        <w:tc>
          <w:tcPr>
            <w:shd w:fill="eef2fb"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b w:val="1"/>
                <w:bCs w:val="1"/>
                <w:color w:val="1e2761"/>
                <w:sz w:val="18"/>
                <w:szCs w:val="18"/>
                <w:rtl w:val="0"/>
              </w:rPr>
              <w:t xml:space="preserve">1 · RentScore Seguro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0"/>
                <w:bCs w:val="0"/>
                <w:color w:val="232323"/>
                <w:sz w:val="18"/>
                <w:szCs w:val="18"/>
                <w:rtl w:val="0"/>
              </w:rPr>
              <w:t xml:space="preserve">Cobertura de impago (hasta 6 meses de renta), daños y responsabilidad civil. Pago del siniestro en 15 días hábiles.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b w:val="0"/>
                <w:bCs w:val="0"/>
                <w:color w:val="232323"/>
                <w:sz w:val="18"/>
                <w:szCs w:val="18"/>
                <w:rtl w:val="0"/>
              </w:rPr>
              <w:t xml:space="preserve">Riesgo de siniestro, transferido a Interseguro vía póliza.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b w:val="0"/>
                <w:bCs w:val="0"/>
                <w:color w:val="232323"/>
                <w:sz w:val="18"/>
                <w:szCs w:val="18"/>
                <w:rtl w:val="0"/>
              </w:rPr>
              <w:t xml:space="preserve">Prima 2-5% de la renta, pagada por el inquilino</w:t>
            </w:r>
            <w:r w:rsidDel="00000000" w:rsidR="00000000" w:rsidRPr="00000000">
              <w:rPr>
                <w:rtl w:val="0"/>
              </w:rPr>
            </w:r>
          </w:p>
        </w:tc>
      </w:tr>
      <w:tr>
        <w:trPr>
          <w:cantSplit w:val="0"/>
          <w:tblHeader w:val="0"/>
        </w:trPr>
        <w:tc>
          <w:tcPr>
            <w:shd w:fill="eef2fb"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1"/>
                <w:bCs w:val="1"/>
                <w:color w:val="1e2761"/>
                <w:sz w:val="18"/>
                <w:szCs w:val="18"/>
                <w:rtl w:val="0"/>
              </w:rPr>
              <w:t xml:space="preserve">2 · Cobro Garantizado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0"/>
                <w:bCs w:val="0"/>
                <w:color w:val="232323"/>
                <w:sz w:val="18"/>
                <w:szCs w:val="18"/>
                <w:rtl w:val="0"/>
              </w:rPr>
              <w:t xml:space="preserve">La renta se deposita automáticamente cada mes, en fecha fija, sin importar si el inquilino ya pagó.</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0"/>
                <w:bCs w:val="0"/>
                <w:color w:val="232323"/>
                <w:sz w:val="18"/>
                <w:szCs w:val="18"/>
                <w:rtl w:val="0"/>
              </w:rPr>
              <w:t xml:space="preserve">Gestión de cobro directo al inquilino; riesgo de timing y morosidad de corto plazo.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0"/>
                <w:bCs w:val="0"/>
                <w:color w:val="232323"/>
                <w:sz w:val="18"/>
                <w:szCs w:val="18"/>
                <w:rtl w:val="0"/>
              </w:rPr>
              <w:t xml:space="preserve">Comisión adicional sobre la prima base (a validar con Riesgos)</w:t>
            </w:r>
            <w:r w:rsidDel="00000000" w:rsidR="00000000" w:rsidRPr="00000000">
              <w:rPr>
                <w:rtl w:val="0"/>
              </w:rPr>
            </w:r>
          </w:p>
        </w:tc>
      </w:tr>
      <w:tr>
        <w:trPr>
          <w:cantSplit w:val="0"/>
          <w:tblHeader w:val="0"/>
        </w:trPr>
        <w:tc>
          <w:tcPr>
            <w:shd w:fill="eef2fb"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1"/>
                <w:bCs w:val="1"/>
                <w:color w:val="1e2761"/>
                <w:sz w:val="18"/>
                <w:szCs w:val="18"/>
                <w:rtl w:val="0"/>
              </w:rPr>
              <w:t xml:space="preserve">3 · Renta Adelantada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b w:val="0"/>
                <w:bCs w:val="0"/>
                <w:color w:val="232323"/>
                <w:sz w:val="18"/>
                <w:szCs w:val="18"/>
                <w:rtl w:val="0"/>
              </w:rPr>
              <w:t xml:space="preserve">Un solo desembolso anticipado por trimestre, semestre, año o la duración completa del contrato.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b w:val="0"/>
                <w:bCs w:val="0"/>
                <w:color w:val="232323"/>
                <w:sz w:val="18"/>
                <w:szCs w:val="18"/>
                <w:rtl w:val="0"/>
              </w:rPr>
              <w:t xml:space="preserve">Factoriza el flujo futuro de renta; asume riesgo y costo de capital del período adelantado.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b w:val="0"/>
                <w:bCs w:val="0"/>
                <w:color w:val="232323"/>
                <w:sz w:val="18"/>
                <w:szCs w:val="18"/>
                <w:rtl w:val="0"/>
              </w:rPr>
              <w:t xml:space="preserve">Comisión creciente según plazo — a mayor adelanto, mayor comisión</w:t>
            </w:r>
            <w:r w:rsidDel="00000000" w:rsidR="00000000" w:rsidRPr="00000000">
              <w:rPr>
                <w:rtl w:val="0"/>
              </w:rPr>
            </w:r>
          </w:p>
        </w:tc>
      </w:tr>
    </w:tbl>
    <w:p w:rsidR="00000000" w:rsidDel="00000000" w:rsidP="00000000" w:rsidRDefault="00000000" w:rsidRPr="00000000" w14:paraId="00000033">
      <w:pPr>
        <w:spacing w:before="200" w:lineRule="auto"/>
        <w:rPr/>
      </w:pPr>
      <w:r w:rsidDel="00000000" w:rsidR="00000000" w:rsidRPr="00000000">
        <w:rPr>
          <w:rtl w:val="0"/>
        </w:rPr>
      </w:r>
    </w:p>
    <w:p w:rsidR="00000000" w:rsidDel="00000000" w:rsidP="00000000" w:rsidRDefault="00000000" w:rsidRPr="00000000" w14:paraId="00000034">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Impacto en el Negocio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Reducción de tiempo de evaluación de inquilino de 30 días a 48 horas, acelerando ocupación.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Aumento de penetración aseguradora en segmento MIPYME inmobiliario (penetración actual &lt;5%, target 30% en 3 años).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Incremento de ingresos por primas mensuales recurrentes: estimado S/ 8-12 millones anuales con 15,000 pólizas activas (nivel 1, base ya validada en el taller).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Nuevo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ingreso adicional por comisión de Cobro Garantizado y por el margen financiero de la Renta Adelantada (float y descuento por anticipo). Cifra pendiente de modelar con Riesgos y Finanzas antes de comprometerse ante el comité — no se incluye un monto cerrado en esta versión para evitar presentar una cifra sin sustento actuarial.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Reducción de siniestralidad proyectada vs. seguro tradicional: datos objetivos predicen 40% menos impagos reales.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Generación de datos de comportamiento de inquilinos: activo estratégico para scoring futuro y expansión a crédito hipotecario.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ROI en retención de clientes propietarios: reducción de churn de 35% a 10% por satisfacción y diferenciación vs. competencia.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Nuevo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mayor stickiness del propietario: una vez que elige Cobro Garantizado o Renta Adelantada, su relación financiera con Interbank se vuelve mucho más profunda que la de un simple asegurado — el banco pasa a intermediar directamente su flujo de ingreso principal.</w:t>
      </w:r>
      <w:r w:rsidDel="00000000" w:rsidR="00000000" w:rsidRPr="00000000">
        <w:rPr>
          <w:rtl w:val="0"/>
        </w:rPr>
      </w:r>
    </w:p>
    <w:p w:rsidR="00000000" w:rsidDel="00000000" w:rsidP="00000000" w:rsidRDefault="00000000" w:rsidRPr="00000000" w14:paraId="0000003D">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Impacto Social y Ambiental</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Democratización del acceso a vivienda: inquilinos de ingresos bajos-medios acceden sin depósito de 2 meses (barrera de liquidez), construyen patrimonio con primas.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Formalización del mercado de alquiler: reduce transacciones informales, incrementa recaudación tributaria municipal y nacional.</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Protección de derechos del inquilino: score transparente y póliza clara elimina decisiones discriminatorias basadas en sesgos del propietario.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Inclusión financiera: cada póliza activa genera historial digital y score de crédito reutilizable para otros productos (microcrédito, tarjeta, hipotecario).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Reducción de litigios y costos legales: cobertura automática disminuye disputas prolongadas, liberando juzgados de carga de casos de alquiler.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Nuevo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la Renta Adelantada da liquidez inmediata a propietarios que la reinvierten en mejoras del inmueble, en otro bien, o en cubrir necesidades familiares urgentes — sin recurrir a créditos de consumo más caros para el mismo fin.</w:t>
      </w:r>
      <w:r w:rsidDel="00000000" w:rsidR="00000000" w:rsidRPr="00000000">
        <w:rPr>
          <w:rtl w:val="0"/>
        </w:rPr>
      </w:r>
    </w:p>
    <w:p w:rsidR="00000000" w:rsidDel="00000000" w:rsidP="00000000" w:rsidRDefault="00000000" w:rsidRPr="00000000" w14:paraId="00000044">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Precedente Global — Esto Ya Es una Categoría Fintech Real</w:t>
      </w:r>
      <w:r w:rsidDel="00000000" w:rsidR="00000000" w:rsidRPr="00000000">
        <w:rPr>
          <w:rtl w:val="0"/>
        </w:rPr>
      </w:r>
    </w:p>
    <w:p w:rsidR="00000000" w:rsidDel="00000000" w:rsidP="00000000" w:rsidRDefault="00000000" w:rsidRPr="00000000" w14:paraId="00000045">
      <w:pPr>
        <w:spacing w:after="160" w:line="300" w:lineRule="auto"/>
        <w:rPr/>
      </w:pPr>
      <w:r w:rsidDel="00000000" w:rsidR="00000000" w:rsidRPr="00000000">
        <w:rPr>
          <w:i w:val="0"/>
          <w:iCs w:val="0"/>
          <w:color w:val="232323"/>
          <w:sz w:val="21"/>
          <w:szCs w:val="21"/>
          <w:rtl w:val="0"/>
        </w:rPr>
        <w:t xml:space="preserve">"Rental advance" o "guaranteed rent" es una categoría fintech activa y capitalizada en mercados desarrollados — no una idea sin validar en ningún lugar del mundo: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Rent2Cash (Italia, fundada en 2023)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adelanta hasta 36-48 meses de renta a propietarios; cerró una ronda de €100 millones en 2026, respaldada por bancos italianos (Banca Finint) vía titulización de los contratos, y se expande a España, Francia y Portugal.</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Nomad (Estados Unidos)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marketplace de "guaranteed rent" para pequeños propietarios; levantó $20 millones liderados por Silicon Valley Bank Capital.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Factored / Wectory (Reino Unido)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adelantan renta a propietarios estructurando la operación explícitamente como cesión de derechos de cobro futuro (factoring), no como préstamo.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TheGuarantors (Estados Unidos)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cobertura de renta con IA para calificar inquilinos más rápido y mitigar el riesgo de pérdida de ingreso del propietario.</w:t>
      </w:r>
      <w:r w:rsidDel="00000000" w:rsidR="00000000" w:rsidRPr="00000000">
        <w:rPr>
          <w:rtl w:val="0"/>
        </w:rPr>
      </w:r>
    </w:p>
    <w:p w:rsidR="00000000" w:rsidDel="00000000" w:rsidP="00000000" w:rsidRDefault="00000000" w:rsidRPr="00000000" w14:paraId="0000004A">
      <w:pPr>
        <w:spacing w:after="160" w:line="300" w:lineRule="auto"/>
        <w:rPr/>
      </w:pPr>
      <w:r w:rsidDel="00000000" w:rsidR="00000000" w:rsidRPr="00000000">
        <w:rPr>
          <w:i w:val="1"/>
          <w:iCs w:val="1"/>
          <w:color w:val="232323"/>
          <w:sz w:val="21"/>
          <w:szCs w:val="21"/>
          <w:rtl w:val="0"/>
        </w:rPr>
        <w:t xml:space="preserve">No se encontró evidencia de un jugador equivalente en Perú, ni indicios de uno en Latinoamérica. La categoría ya demostró ser un negocio real, financiable y escalable en mercados desarrollados — lo que falta en el Perú no es la validez del modelo, es que alguien lo traiga primero. Esa es la apuesta.</w:t>
      </w:r>
      <w:r w:rsidDel="00000000" w:rsidR="00000000" w:rsidRPr="00000000">
        <w:rPr>
          <w:rtl w:val="0"/>
        </w:rPr>
      </w:r>
    </w:p>
    <w:p w:rsidR="00000000" w:rsidDel="00000000" w:rsidP="00000000" w:rsidRDefault="00000000" w:rsidRPr="00000000" w14:paraId="0000004B">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Riesgos y Consideraciones Regulatorias — Niveles 2 y 3</w:t>
      </w:r>
      <w:r w:rsidDel="00000000" w:rsidR="00000000" w:rsidRPr="00000000">
        <w:rPr>
          <w:rtl w:val="0"/>
        </w:rPr>
      </w:r>
    </w:p>
    <w:p w:rsidR="00000000" w:rsidDel="00000000" w:rsidP="00000000" w:rsidRDefault="00000000" w:rsidRPr="00000000" w14:paraId="0000004C">
      <w:pPr>
        <w:spacing w:after="160" w:line="300" w:lineRule="auto"/>
        <w:rPr/>
      </w:pPr>
      <w:r w:rsidDel="00000000" w:rsidR="00000000" w:rsidRPr="00000000">
        <w:rPr>
          <w:i w:val="0"/>
          <w:iCs w:val="0"/>
          <w:color w:val="232323"/>
          <w:sz w:val="21"/>
          <w:szCs w:val="21"/>
          <w:rtl w:val="0"/>
        </w:rPr>
        <w:t xml:space="preserve">A diferencia de RentScore Seguro (transferencia de riesgo a una póliza, modelo ya conocido por Interseguro), Cobro Garantizado y, sobre todo, Renta Adelantada trasladan riesgo de crédito y de liquidez directamente al balance de Interbank — es en esencia un factoring de flujos de alquiler. Esto exige tratamiento distinto, no una simple extensión comercial del seguro: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Capital y provisiones (SBS)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un adelanto de renta podría tratarse como una operación crediticia, requiriendo provisiones y capital regulatorio como cualquier cartera de factoring — pero esto depende de cómo se estructure legalmente la operación (ver punto siguiente).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Estructura como cesión de cobro, no como préstamo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en el Reino Unido, Wectory estructura el adelanto de renta como "assignment of future rent receivables" (cesión de derechos de cobro futuro) en lugar de crédito, lo que allí evita el requisito de licencia de crédito al consumidor. No hay garantía de que la SBS trate una estructura equivalente de la misma forma en Perú, pero es una vía de estructuración legal que vale la pena explorar con Legal antes de asumir por defecto el tratamiento de capital más pesado.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Riesgo de concentración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adelantar el contrato completo a muchos propietarios a la vez concentra exposición de largo plazo en un solo activo subyacente (el inquilino y su score), que aún no tiene el historial de mora real de una cartera madura.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Calibri" w:cs="Calibri" w:eastAsia="Calibri" w:hAnsi="Calibri"/>
          <w:b w:val="1"/>
          <w:bCs w:val="1"/>
          <w:i w:val="0"/>
          <w:iCs w:val="0"/>
          <w:smallCaps w:val="0"/>
          <w:strike w:val="0"/>
          <w:color w:val="1e2761"/>
          <w:sz w:val="21"/>
          <w:szCs w:val="21"/>
          <w:u w:val="none"/>
          <w:shd w:fill="auto" w:val="clear"/>
          <w:vertAlign w:val="baseline"/>
          <w:rtl w:val="0"/>
        </w:rPr>
        <w:t xml:space="preserve">Secuencia recomendada — </w:t>
      </w:r>
      <w:r w:rsidDel="00000000" w:rsidR="00000000" w:rsidRPr="00000000">
        <w:rPr>
          <w:rFonts w:ascii="Calibri" w:cs="Calibri" w:eastAsia="Calibri" w:hAnsi="Calibri"/>
          <w:b w:val="0"/>
          <w:bCs w:val="0"/>
          <w:i w:val="0"/>
          <w:iCs w:val="0"/>
          <w:smallCaps w:val="0"/>
          <w:strike w:val="0"/>
          <w:color w:val="232323"/>
          <w:sz w:val="21"/>
          <w:szCs w:val="21"/>
          <w:u w:val="none"/>
          <w:shd w:fill="auto" w:val="clear"/>
          <w:vertAlign w:val="baseline"/>
          <w:rtl w:val="0"/>
        </w:rPr>
        <w:t xml:space="preserve">lanzar y validar el nivel 1 (RentScore Seguro) en el piloto de 90 días con métricas de siniestralidad reales, activar el nivel 2 (Cobro Garantizado) una vez que el score tenga suficiente historial para descartar selección adversa, e introducir el nivel 3 (Renta Adelantada) solo después de que Riesgos y Legal definan el pricing de comisión por plazo y la estructura legal óptima con datos reales, no con una cifra supuesta.</w:t>
      </w:r>
      <w:r w:rsidDel="00000000" w:rsidR="00000000" w:rsidRPr="00000000">
        <w:rPr>
          <w:rtl w:val="0"/>
        </w:rPr>
      </w:r>
    </w:p>
    <w:p w:rsidR="00000000" w:rsidDel="00000000" w:rsidP="00000000" w:rsidRDefault="00000000" w:rsidRPr="00000000" w14:paraId="00000051">
      <w:pPr>
        <w:spacing w:after="160" w:line="300" w:lineRule="auto"/>
        <w:rPr/>
      </w:pPr>
      <w:r w:rsidDel="00000000" w:rsidR="00000000" w:rsidRPr="00000000">
        <w:rPr>
          <w:i w:val="1"/>
          <w:iCs w:val="1"/>
          <w:color w:val="232323"/>
          <w:sz w:val="21"/>
          <w:szCs w:val="21"/>
          <w:rtl w:val="0"/>
        </w:rPr>
        <w:t xml:space="preserve">Esta secuencia evita presentar el nivel más ambicioso como si fuera parte del MVP inmediato — se presenta explícitamente como la evolución de la apuesta a 2-3 años, no como algo que se lance el mismo día que RentScore Seguro.</w:t>
      </w:r>
      <w:r w:rsidDel="00000000" w:rsidR="00000000" w:rsidRPr="00000000">
        <w:rPr>
          <w:rtl w:val="0"/>
        </w:rPr>
      </w:r>
    </w:p>
    <w:p w:rsidR="00000000" w:rsidDel="00000000" w:rsidP="00000000" w:rsidRDefault="00000000" w:rsidRPr="00000000" w14:paraId="00000052">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Información Adicional</w:t>
      </w:r>
      <w:r w:rsidDel="00000000" w:rsidR="00000000" w:rsidRPr="00000000">
        <w:rPr>
          <w:rtl w:val="0"/>
        </w:rPr>
      </w:r>
    </w:p>
    <w:p w:rsidR="00000000" w:rsidDel="00000000" w:rsidP="00000000" w:rsidRDefault="00000000" w:rsidRPr="00000000" w14:paraId="00000053">
      <w:pPr>
        <w:spacing w:after="160" w:line="300" w:lineRule="auto"/>
        <w:rPr/>
      </w:pPr>
      <w:r w:rsidDel="00000000" w:rsidR="00000000" w:rsidRPr="00000000">
        <w:rPr>
          <w:i w:val="0"/>
          <w:iCs w:val="0"/>
          <w:color w:val="232323"/>
          <w:sz w:val="21"/>
          <w:szCs w:val="21"/>
          <w:rtl w:val="0"/>
        </w:rPr>
        <w:t xml:space="preserve">RentScore Seguro se diferencia de las inmobiliarias tradicionales por objetividad (datos vs. intuición), costo equivalente (prima reemplaza depósito) y velocidad (48h vs. 30 días). Con la capa de Cobro Garantizado y Renta Adelantada, la diferenciación se profundiza: ningún portal inmobiliario ni aseguradora tradicional en Perú ofrece hoy certeza de flujo de caja respaldada por un banco. Ventaja competitiva sostenible: acceso exclusivo a datos de Interbank para scoring, capacidad de balance para garantizar y adelantar flujos, y la relación de cuenta ya existente con el propietario. Escalabilidad: modelo replicable a otras ciudades (Arequipa, Trujillo) y a otros productos (seguros de crédito de corto plazo para el inquilino). Requiere acuerdos internos entre las áreas de Riesgos, Legal y Finanzas de Interbank e Interseguro, así como validación regulatoria SBS antes de escalar los niveles 2 y 3.</w:t>
      </w:r>
      <w:r w:rsidDel="00000000" w:rsidR="00000000" w:rsidRPr="00000000">
        <w:rPr>
          <w:rtl w:val="0"/>
        </w:rPr>
      </w:r>
    </w:p>
    <w:p w:rsidR="00000000" w:rsidDel="00000000" w:rsidP="00000000" w:rsidRDefault="00000000" w:rsidRPr="00000000" w14:paraId="00000054">
      <w:pPr>
        <w:pStyle w:val="Heading1"/>
        <w:pBdr>
          <w:bottom w:color="c9a227" w:space="4" w:sz="8" w:val="single"/>
        </w:pBdr>
        <w:spacing w:after="160" w:before="360" w:lineRule="auto"/>
        <w:rPr/>
      </w:pPr>
      <w:r w:rsidDel="00000000" w:rsidR="00000000" w:rsidRPr="00000000">
        <w:rPr>
          <w:b w:val="1"/>
          <w:bCs w:val="1"/>
          <w:color w:val="1e2761"/>
          <w:sz w:val="27"/>
          <w:szCs w:val="27"/>
          <w:rtl w:val="0"/>
        </w:rPr>
        <w:t xml:space="preserve">Rol de la IA Generativa</w:t>
      </w:r>
      <w:r w:rsidDel="00000000" w:rsidR="00000000" w:rsidRPr="00000000">
        <w:rPr>
          <w:rtl w:val="0"/>
        </w:rPr>
      </w:r>
    </w:p>
    <w:p w:rsidR="00000000" w:rsidDel="00000000" w:rsidP="00000000" w:rsidRDefault="00000000" w:rsidRPr="00000000" w14:paraId="00000055">
      <w:pPr>
        <w:spacing w:after="160" w:line="300" w:lineRule="auto"/>
        <w:rPr/>
      </w:pPr>
      <w:r w:rsidDel="00000000" w:rsidR="00000000" w:rsidRPr="00000000">
        <w:rPr>
          <w:i w:val="0"/>
          <w:iCs w:val="0"/>
          <w:color w:val="232323"/>
          <w:sz w:val="21"/>
          <w:szCs w:val="21"/>
          <w:rtl w:val="0"/>
        </w:rPr>
        <w:t xml:space="preserve">Modelos de lenguaje procesan textos de contrato, documentos de propiedad e incidencias reportadas para clasificar automáticamente siniestros, generar recomendaciones de cobro y personalizar comunicaciones con propietarios e inquilinos en tiempo real. Para los niveles 2 y 3, un modelo adicional apoya la sugerencia de comisión por plazo de adelanto, ajustando el pricing referencial según el perfil de riesgo del inquilino, el historial del propietario y el tipo de propiedad — siempre como recomendación revisable por el equipo de Riesgos, no como decisión automática.</w:t>
      </w: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