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ЯДРО МЕТОДОЛОГИИ ШКОЛЫ ЭЛИФ</w:t>
      </w:r>
    </w:p>
    <w:p>
      <w:pPr>
        <w:pStyle w:val="Heading3"/>
        <w:spacing w:before="240" w:after="120"/>
      </w:pPr>
      <w:r>
        <w:t xml:space="preserve">Документ для корпоративной базы знаний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1. ЧТО МЫ ДЕЛАЕМ (Философия в одном предложении)</w:t>
      </w:r>
    </w:p>
    <w:p>
      <w:pPr>
        <w:pBdr>
          <w:left w:val="single" w:color="999999" w:sz="24" w:space="1"/>
        </w:pBdr>
        <w:shd w:fill="f5f5f5" w:val="clear"/>
        <w:spacing w:after="120"/>
        <w:ind w:left="720"/>
      </w:pPr>
      <w:r>
        <w:rPr>
          <w:b/>
          <w:bCs/>
        </w:rPr>
        <w:t xml:space="preserve">Школа Элиф не даёт ученику готовую карту мира. Школа Элиф развивает способность ученика самостоятельно обновлять свои карты реальности в столкновении с опытом.</w:t>
      </w:r>
    </w:p>
    <w:p>
      <w:pPr>
        <w:spacing w:after="200"/>
      </w:pPr>
      <w:r>
        <w:t xml:space="preserve">Это означает: мы не учим «пользоваться ИИ» или «сдавать экзамены». Мы используем ИИ, проекты и учебные ситуации как полигон, на котором подросток учится </w:t>
      </w:r>
      <w:r>
        <w:rPr>
          <w:b/>
          <w:bCs/>
        </w:rPr>
        <w:t xml:space="preserve">замечать разрыв между своим пониманием и реальностью, исследовать его и перестраивать своё мышление</w:t>
      </w:r>
      <w:r>
        <w:t xml:space="preserve">.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2. ЧТО ТАКОЕ РАЗВИТИЕ В НАШЕЙ СИСТЕМЕ</w:t>
      </w:r>
    </w:p>
    <w:p>
      <w:pPr>
        <w:spacing w:after="200"/>
      </w:pPr>
      <w:r>
        <w:rPr>
          <w:b/>
          <w:bCs/>
        </w:rPr>
        <w:t xml:space="preserve">Развитие</w:t>
      </w:r>
      <w:r>
        <w:t xml:space="preserve"> — это становление способности человека самостоятельно обнаруживать несоответствие между собственной картой реальности и опытом, исследовать это несоответствие, строить и проверять новые карты и действовать на их основании.</w:t>
      </w:r>
    </w:p>
    <w:p>
      <w:pPr>
        <w:spacing w:after="200"/>
      </w:pPr>
      <w:r>
        <w:rPr>
          <w:b/>
          <w:bCs/>
        </w:rPr>
        <w:t xml:space="preserve">Критерий развития</w:t>
      </w:r>
      <w:r>
        <w:t xml:space="preserve"> — не «карта стала правильнее», а </w:t>
      </w:r>
      <w:r>
        <w:rPr>
          <w:b/>
          <w:bCs/>
        </w:rPr>
        <w:t xml:space="preserve">способность самостоятельно запускать цикл обновления карты</w:t>
      </w:r>
      <w:r>
        <w:t xml:space="preserve">.</w:t>
      </w:r>
    </w:p>
    <w:p>
      <w:pPr>
        <w:spacing w:after="200"/>
      </w:pPr>
      <w:r>
        <w:t xml:space="preserve">Это и есть </w:t>
      </w:r>
      <w:r>
        <w:rPr>
          <w:b/>
          <w:bCs/>
        </w:rPr>
        <w:t xml:space="preserve">субъектность</w:t>
      </w:r>
      <w:r>
        <w:t xml:space="preserve">: человек, который умеет учиться, меняться и действовать в неопределённости.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3. КАК ПРОИСХОДИТ РАЗВИТИЕ (Механизм)</w:t>
      </w:r>
    </w:p>
    <w:p>
      <w:pPr>
        <w:spacing w:after="200"/>
      </w:pPr>
      <w:r>
        <w:t xml:space="preserve">Развитие работает через </w:t>
      </w:r>
      <w:r>
        <w:rPr>
          <w:b/>
          <w:bCs/>
        </w:rPr>
        <w:t xml:space="preserve">опосредование</w:t>
      </w:r>
      <w:r>
        <w:t xml:space="preserve"> (по Л.С. Выготскому):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Человек сталкивается с ситуацией, где его старая карта перестаёт работать.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Внешнее средство (вопрос наставника, схема на доске, ответ ИИ, голосовая заметка в CRM) меняет его деятельность.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Изменение деятельности меняет способ мышления.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Внешнее средство постепенно становится внутренним (интериоризация).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Человек обретает новую способность действовать самостоятельно.</w:t>
      </w:r>
    </w:p>
    <w:p>
      <w:pPr>
        <w:spacing w:after="200"/>
      </w:pPr>
      <w:r>
        <w:rPr>
          <w:b/>
          <w:bCs/>
        </w:rPr>
        <w:t xml:space="preserve">Важно:</w:t>
      </w:r>
      <w:r>
        <w:t xml:space="preserve"> мы не меняем мышление напрямую. Мы меняем </w:t>
      </w:r>
      <w:r>
        <w:rPr>
          <w:b/>
          <w:bCs/>
        </w:rPr>
        <w:t xml:space="preserve">средства</w:t>
      </w:r>
      <w:r>
        <w:t xml:space="preserve">, с помощью которых человек мыслит.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4. ЕДИНИЦА АНАЛИЗА: ЭПИЗОД ИЗМЕНЕНИЯ КАРТЫ</w:t>
      </w:r>
    </w:p>
    <w:p>
      <w:pPr>
        <w:spacing w:after="200"/>
      </w:pPr>
      <w:r>
        <w:t xml:space="preserve">Мы не работаем с «характеристиками ученика». Мы работаем с </w:t>
      </w:r>
      <w:r>
        <w:rPr>
          <w:b/>
          <w:bCs/>
        </w:rPr>
        <w:t xml:space="preserve">эпизодами</w:t>
      </w:r>
      <w:r>
        <w:t xml:space="preserve"> — моментами, когда карта человека сталкивается с реальностью и либо обновляется, либо нет.</w:t>
      </w:r>
    </w:p>
    <w:p>
      <w:pPr>
        <w:pStyle w:val="Heading3"/>
        <w:spacing w:before="240" w:after="120"/>
      </w:pPr>
      <w:r>
        <w:t xml:space="preserve">Структура эпизода (7 полей)</w:t>
      </w:r>
    </w:p>
    <w:tbl>
      <w:tblPr>
        <w:tblW w:type="dxa" w:w="7200"/>
        <w:tblBorders>
          <w:top w:val="single" w:color="333333" w:sz="6"/>
          <w:left w:val="single" w:color="333333" w:sz="6"/>
          <w:bottom w:val="single" w:color="333333" w:sz="6"/>
          <w:right w:val="single" w:color="333333" w:sz="6"/>
          <w:insideH w:val="single" w:color="cccccc" w:sz="3"/>
          <w:insideV w:val="single" w:color="cccccc" w:sz="3"/>
        </w:tblBorders>
      </w:tblPr>
      <w:tblGrid>
        <w:gridCol w:w="877"/>
        <w:gridCol w:w="3032"/>
        <w:gridCol w:w="3290"/>
      </w:tblGrid>
      <w:tr>
        <w:trPr>
          <w:tblHeader/>
          <w:trHeight w:val="400" w:hRule="atLeast"/>
        </w:trPr>
        <w:tc>
          <w:tcPr>
            <w:tcW w:type="dxa" w:w="877"/>
            <w:tcBorders>
              <w:top w:val="single" w:color="666666" w:sz="6"/>
              <w:left w:val="single" w:color="999999" w:sz="3"/>
              <w:bottom w:val="single" w:color="666666" w:sz="6"/>
              <w:right w:val="single" w:color="999999" w:sz="3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Поле</w:t>
            </w:r>
          </w:p>
        </w:tc>
        <w:tc>
          <w:tcPr>
            <w:tcW w:type="dxa" w:w="3032"/>
            <w:tcBorders>
              <w:top w:val="single" w:color="666666" w:sz="6"/>
              <w:left w:val="single" w:color="999999" w:sz="3"/>
              <w:bottom w:val="single" w:color="666666" w:sz="6"/>
              <w:right w:val="single" w:color="999999" w:sz="3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Что фиксируем</w:t>
            </w:r>
          </w:p>
        </w:tc>
        <w:tc>
          <w:tcPr>
            <w:tcW w:type="dxa" w:w="3290"/>
            <w:tcBorders>
              <w:top w:val="single" w:color="666666" w:sz="6"/>
              <w:left w:val="single" w:color="999999" w:sz="3"/>
              <w:bottom w:val="single" w:color="666666" w:sz="6"/>
              <w:right w:val="single" w:color="999999" w:sz="3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Пример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1. Исходная карта (T0)</w:t>
            </w:r>
          </w:p>
        </w:tc>
        <w:tc>
          <w:tcPr>
            <w:tcW w:type="dxa" w:w="3032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Что ученик считал до столкновения (гипотеза педагога)</w:t>
            </w:r>
          </w:p>
        </w:tc>
        <w:tc>
          <w:tcPr>
            <w:tcW w:type="dxa" w:w="329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«Если не знаю сразу — значит, не умею»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2. Ситуация</w:t>
            </w:r>
          </w:p>
        </w:tc>
        <w:tc>
          <w:tcPr>
            <w:tcW w:type="dxa" w:w="3032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Конкретная задача или действие</w:t>
            </w:r>
          </w:p>
        </w:tc>
        <w:tc>
          <w:tcPr>
            <w:tcW w:type="dxa" w:w="329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«Перевод предложения с Present Simple на Past Simple»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3. Разрыв (T1)</w:t>
            </w:r>
          </w:p>
        </w:tc>
        <w:tc>
          <w:tcPr>
            <w:tcW w:type="dxa" w:w="3032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Что именно перестало работать</w:t>
            </w:r>
          </w:p>
        </w:tc>
        <w:tc>
          <w:tcPr>
            <w:tcW w:type="dxa" w:w="329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«Отложил ручку, вздохнул и сказал: "Я всё равно не сдам"»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4. Интервенция</w:t>
            </w:r>
          </w:p>
        </w:tc>
        <w:tc>
          <w:tcPr>
            <w:tcW w:type="dxa" w:w="3032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Что конкретно сделал педагог</w:t>
            </w:r>
          </w:p>
        </w:tc>
        <w:tc>
          <w:tcPr>
            <w:tcW w:type="dxa" w:w="329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«Спросил: "А что именно в этом предложении вызывает сложность?"»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5. Реакция (T2)</w:t>
            </w:r>
          </w:p>
        </w:tc>
        <w:tc>
          <w:tcPr>
            <w:tcW w:type="dxa" w:w="3032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Что ученик сделал сразу после</w:t>
            </w:r>
          </w:p>
        </w:tc>
        <w:tc>
          <w:tcPr>
            <w:tcW w:type="dxa" w:w="329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«Помолчал 10 секунд, посмотрел на глагол: "А, тут нужно было добавить -ed"»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6. Новая карта (гипотеза)</w:t>
            </w:r>
          </w:p>
        </w:tc>
        <w:tc>
          <w:tcPr>
            <w:tcW w:type="dxa" w:w="3032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Как, предположительно, изменилось понимание</w:t>
            </w:r>
          </w:p>
        </w:tc>
        <w:tc>
          <w:tcPr>
            <w:tcW w:type="dxa" w:w="329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«Предполагаю: "Я могу догадаться по контексту, даже если забыл правило"»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7. План проверки (T3)</w:t>
            </w:r>
          </w:p>
        </w:tc>
        <w:tc>
          <w:tcPr>
            <w:tcW w:type="dxa" w:w="3032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Как проверим перенос на следующем уроке</w:t>
            </w:r>
          </w:p>
        </w:tc>
        <w:tc>
          <w:tcPr>
            <w:tcW w:type="dxa" w:w="329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«Дать похожее предложение без подсказки, посмотреть, будет ли искать маркеры сам»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before="240" w:after="120"/>
      </w:pPr>
      <w:r>
        <w:t xml:space="preserve">Критически важно: разделение ФАКТА и ГИПОТЕЗЫ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Поля 2, 3, 4, 5</w:t>
      </w:r>
      <w:r>
        <w:t xml:space="preserve"> — это факты. Только цитаты и конкретные действия. То, что можно записать на видео.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Поля 1, 6</w:t>
      </w:r>
      <w:r>
        <w:t xml:space="preserve"> — это гипотезы педагога. Помечаются как «предположение».</w:t>
      </w:r>
    </w:p>
    <w:p>
      <w:pPr>
        <w:spacing w:after="200"/>
      </w:pPr>
      <w:r>
        <w:t xml:space="preserve">Это защищает методологию от мусорных данных и учит педагога отделять наблюдение от интерпретации.</w:t>
      </w:r>
    </w:p>
    <w:p>
      <w:pPr>
        <w:pStyle w:val="Heading3"/>
        <w:spacing w:before="240" w:after="120"/>
      </w:pPr>
      <w:r>
        <w:t xml:space="preserve">Шкала развития субъектности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Человек не замечает разрыва.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Замечает разрыв только с помощью педагога.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Сам замечает разрыв, но не знает, что делать.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Сам строит гипотезу, но нуждается в поддержке.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Сам исследует и проверяет.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Сам переносит способ на новую область.</w:t>
      </w:r>
    </w:p>
    <w:p>
      <w:pPr>
        <w:spacing w:after="200"/>
      </w:pPr>
      <w:r>
        <w:rPr>
          <w:b/>
          <w:bCs/>
        </w:rPr>
        <w:t xml:space="preserve">Цель Элиф</w:t>
      </w:r>
      <w:r>
        <w:t xml:space="preserve"> — провести ученика по этой шкале вверх.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5. ПСИХОТЕХНИКА: 8 ОПЕРАЦИЙ ПЕДАГОГА</w:t>
      </w:r>
    </w:p>
    <w:p>
      <w:pPr>
        <w:spacing w:after="200"/>
      </w:pPr>
      <w:r>
        <w:t xml:space="preserve">Педагог Элиф владеет восемью операциями, которые запускают и поддерживают эпизод изменения карты: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Наблюдение</w:t>
      </w:r>
      <w:r>
        <w:t xml:space="preserve"> — что произошло?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Фиксация</w:t>
      </w:r>
      <w:r>
        <w:t xml:space="preserve"> — что можно вынести наружу (в голосовую заметку, на доску, в схему)?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Схематизация</w:t>
      </w:r>
      <w:r>
        <w:t xml:space="preserve"> — как устроена текущая карта ученика?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Вопрос</w:t>
      </w:r>
      <w:r>
        <w:t xml:space="preserve"> — где находится скрытое предположение?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Гипотеза</w:t>
      </w:r>
      <w:r>
        <w:t xml:space="preserve"> — какую новую карту мы можем построить?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Эксперимент</w:t>
      </w:r>
      <w:r>
        <w:t xml:space="preserve"> — выдерживает ли она реальность?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Рефлексия</w:t>
      </w:r>
      <w:r>
        <w:t xml:space="preserve"> — что изменилось?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Передача управления (Fading)</w:t>
      </w:r>
      <w:r>
        <w:t xml:space="preserve"> — способен ли ученик повторить этот процесс без внешней опоры?</w:t>
      </w:r>
    </w:p>
    <w:p>
      <w:pPr>
        <w:spacing w:after="200"/>
      </w:pPr>
      <w:r>
        <w:rPr>
          <w:b/>
          <w:bCs/>
        </w:rPr>
        <w:t xml:space="preserve">Первый навык педагога Элиф</w:t>
      </w:r>
      <w:r>
        <w:t xml:space="preserve"> — не задавать хорошие вопросы. Первый навык — </w:t>
      </w:r>
      <w:r>
        <w:rPr>
          <w:b/>
          <w:bCs/>
        </w:rPr>
        <w:t xml:space="preserve">замечать изменение</w:t>
      </w:r>
      <w:r>
        <w:t xml:space="preserve">. Замечать эпизод в реальном времени.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6. РОЛЬ ИИ В СИСТЕМЕ</w:t>
      </w:r>
    </w:p>
    <w:p>
      <w:pPr>
        <w:spacing w:after="200"/>
      </w:pPr>
      <w:r>
        <w:t xml:space="preserve">ИИ в Элиф — это </w:t>
      </w:r>
      <w:r>
        <w:rPr>
          <w:b/>
          <w:bCs/>
        </w:rPr>
        <w:t xml:space="preserve">внешний когнитивный агент без субъектности</w:t>
      </w:r>
      <w:r>
        <w:t xml:space="preserve">. Он не субъект (у него нет воли и ответственности), но и не пассивное средство (он генерирует то, чего не было в голове ученика).</w:t>
      </w:r>
    </w:p>
    <w:p>
      <w:pPr>
        <w:pStyle w:val="Heading3"/>
        <w:spacing w:before="240" w:after="120"/>
      </w:pPr>
      <w:r>
        <w:t xml:space="preserve">Принцип: ИИ организует усилие, а не заменяет его</w:t>
      </w:r>
    </w:p>
    <w:p>
      <w:pPr>
        <w:spacing w:after="200"/>
      </w:pPr>
      <w:r>
        <w:t xml:space="preserve">Возможны два сценария:</w:t>
      </w:r>
    </w:p>
    <w:p>
      <w:pPr>
        <w:spacing w:after="200"/>
      </w:pPr>
      <w:r>
        <w:rPr>
          <w:b/>
          <w:bCs/>
        </w:rPr>
        <w:t xml:space="preserve">Сценарий А (развитие):</w:t>
      </w:r>
      <w:r>
        <w:t xml:space="preserve">
Ученик → формулирует запрос → ИИ даёт альтернативную модель → ученик сравнивает со своей → принимает/отвергает/модифицирует → строит новую карту.
</w:t>
      </w:r>
      <w:r>
        <w:rPr>
          <w:i/>
          <w:iCs/>
        </w:rPr>
        <w:t xml:space="preserve">ИИ между учеником и задачей.</w:t>
      </w:r>
    </w:p>
    <w:p>
      <w:pPr>
        <w:spacing w:after="200"/>
      </w:pPr>
      <w:r>
        <w:rPr>
          <w:b/>
          <w:bCs/>
        </w:rPr>
        <w:t xml:space="preserve">Сценарий Б (замена мышления):</w:t>
      </w:r>
      <w:r>
        <w:t xml:space="preserve">
Ученик → спрашивает → получает ответ → принимает ответ.
</w:t>
      </w:r>
      <w:r>
        <w:rPr>
          <w:i/>
          <w:iCs/>
        </w:rPr>
        <w:t xml:space="preserve">ИИ вместо мышления ученика.</w:t>
      </w:r>
    </w:p>
    <w:p>
      <w:pPr>
        <w:spacing w:after="200"/>
      </w:pPr>
      <w:r>
        <w:rPr>
          <w:b/>
          <w:bCs/>
        </w:rPr>
        <w:t xml:space="preserve">Критерий правильного использования ИИ:</w:t>
      </w:r>
      <w:r>
        <w:t xml:space="preserve"> кто выполнил операцию, необходимую для изменения карты — ученик или ИИ?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7. МЕТОД СЕССИИ (9 ШАГОВ)</w:t>
      </w:r>
    </w:p>
    <w:p>
      <w:pPr>
        <w:spacing w:after="200"/>
      </w:pPr>
      <w:r>
        <w:t xml:space="preserve">Это скелет, внутри которого педагог сохраняет свободу импровизации: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Ситуация</w:t>
      </w:r>
      <w:r>
        <w:t xml:space="preserve"> — что происходит? (факты)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Карта</w:t>
      </w:r>
      <w:r>
        <w:t xml:space="preserve"> — как ученик сейчас это понимает? (рисуем схему)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Разрыв</w:t>
      </w:r>
      <w:r>
        <w:t xml:space="preserve"> — где карта перестаёт работать? (где «тупняк»)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Исследование</w:t>
      </w:r>
      <w:r>
        <w:t xml:space="preserve"> — какие есть альтернативные объяснения? (мозговой штурм, ИИ)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Гипотеза</w:t>
      </w:r>
      <w:r>
        <w:t xml:space="preserve"> — что мы предполагаем?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Действие</w:t>
      </w:r>
      <w:r>
        <w:t xml:space="preserve"> — что можно проверить прямо сейчас?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Результат</w:t>
      </w:r>
      <w:r>
        <w:t xml:space="preserve"> — что произошло?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Обновление карты</w:t>
      </w:r>
      <w:r>
        <w:t xml:space="preserve"> — что теперь мы понимаем иначе? (рисуем новое на схеме)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Передача управления</w:t>
      </w:r>
      <w:r>
        <w:t xml:space="preserve"> — «Как ты сам будешь отслеживать это в следующий раз?»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8. ТРЕУГОЛЬНИК ВЗАИМОДЕЙСТВИЙ</w:t>
      </w:r>
    </w:p>
    <w:p>
      <w:pPr>
        <w:spacing w:after="200"/>
      </w:pPr>
      <w:r>
        <w:t xml:space="preserve">Фокус Школы Элиф — не на отдельных участниках, а на </w:t>
      </w:r>
      <w:r>
        <w:rPr>
          <w:b/>
          <w:bCs/>
        </w:rPr>
        <w:t xml:space="preserve">взаимодействиях</w:t>
      </w:r>
      <w:r>
        <w:t xml:space="preserve"> между ними: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УЧЕНИК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↗      ↖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/        \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/          \</w:t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ПЕДАГОГ ←——→ РОДИТЕЛЬ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Ученик ↔ Педагог</w:t>
      </w:r>
      <w:r>
        <w:t xml:space="preserve"> — взаимодействие двух субъектов.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Педагог ↔ Родитель</w:t>
      </w:r>
      <w:r>
        <w:t xml:space="preserve"> — передача данных через CRM (ежемесячные отчёты ИИ на основе голосовых заметок).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Ученик ↔ Родитель</w:t>
      </w:r>
      <w:r>
        <w:t xml:space="preserve"> — поддержка дома на основе конкретных рекомендаций из отчётов.</w:t>
      </w:r>
    </w:p>
    <w:p>
      <w:pPr>
        <w:spacing w:after="200"/>
      </w:pPr>
      <w:r>
        <w:rPr>
          <w:b/>
          <w:bCs/>
        </w:rPr>
        <w:t xml:space="preserve">Фрактальный принцип субъектности: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Собственник относится к педагогам как к субъектам.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Педагоги относятся к ученикам как к субъектам.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Ученики учатся быть субъектами.</w:t>
      </w:r>
    </w:p>
    <w:p>
      <w:pPr>
        <w:spacing w:after="200"/>
      </w:pPr>
      <w:r>
        <w:t xml:space="preserve">Если на каком-то уровне эта цепочка ломается (микроменеджмент, контроль, «ты дурак, делай как я сказал») — система перестаёт работать.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9. ИНСТРУМЕНТЫ</w:t>
      </w:r>
    </w:p>
    <w:p>
      <w:pPr>
        <w:spacing w:after="200"/>
      </w:pPr>
      <w:r>
        <w:t xml:space="preserve">Инструменты ценны не сами по себе, а той психической операцией, которую они делают возможной:</w:t>
      </w:r>
    </w:p>
    <w:tbl>
      <w:tblPr>
        <w:tblW w:type="dxa" w:w="7200"/>
        <w:tblBorders>
          <w:top w:val="single" w:color="333333" w:sz="6"/>
          <w:left w:val="single" w:color="333333" w:sz="6"/>
          <w:bottom w:val="single" w:color="333333" w:sz="6"/>
          <w:right w:val="single" w:color="333333" w:sz="6"/>
          <w:insideH w:val="single" w:color="cccccc" w:sz="3"/>
          <w:insideV w:val="single" w:color="cccccc" w:sz="3"/>
        </w:tblBorders>
      </w:tblPr>
      <w:tblGrid>
        <w:gridCol w:w="3503"/>
        <w:gridCol w:w="3696"/>
      </w:tblGrid>
      <w:tr>
        <w:trPr>
          <w:tblHeader/>
          <w:trHeight w:val="400" w:hRule="atLeast"/>
        </w:trPr>
        <w:tc>
          <w:tcPr>
            <w:tcW w:type="dxa" w:w="3503"/>
            <w:tcBorders>
              <w:top w:val="single" w:color="666666" w:sz="6"/>
              <w:left w:val="single" w:color="999999" w:sz="3"/>
              <w:bottom w:val="single" w:color="666666" w:sz="6"/>
              <w:right w:val="single" w:color="999999" w:sz="3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Инструмент</w:t>
            </w:r>
          </w:p>
        </w:tc>
        <w:tc>
          <w:tcPr>
            <w:tcW w:type="dxa" w:w="3696"/>
            <w:tcBorders>
              <w:top w:val="single" w:color="666666" w:sz="6"/>
              <w:left w:val="single" w:color="999999" w:sz="3"/>
              <w:bottom w:val="single" w:color="666666" w:sz="6"/>
              <w:right w:val="single" w:color="999999" w:sz="3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Какую операцию поддерживает</w:t>
            </w:r>
          </w:p>
        </w:tc>
      </w:tr>
      <w:tr>
        <w:trPr>
          <w:tblHeader w:val="false"/>
        </w:trPr>
        <w:tc>
          <w:tcPr>
            <w:tcW w:type="dxa" w:w="3503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CRM с голосовыми заметками</w:t>
            </w:r>
          </w:p>
        </w:tc>
        <w:tc>
          <w:tcPr>
            <w:tcW w:type="dxa" w:w="3696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Фиксация, наблюдение, рефлексия педагога</w:t>
            </w:r>
          </w:p>
        </w:tc>
      </w:tr>
      <w:tr>
        <w:trPr>
          <w:tblHeader w:val="false"/>
        </w:trPr>
        <w:tc>
          <w:tcPr>
            <w:tcW w:type="dxa" w:w="3503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Маркерная доска / Холст сессии</w:t>
            </w:r>
          </w:p>
        </w:tc>
        <w:tc>
          <w:tcPr>
            <w:tcW w:type="dxa" w:w="3696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Схематизация, визуальное маппирование</w:t>
            </w:r>
          </w:p>
        </w:tc>
      </w:tr>
      <w:tr>
        <w:trPr>
          <w:tblHeader w:val="false"/>
        </w:trPr>
        <w:tc>
          <w:tcPr>
            <w:tcW w:type="dxa" w:w="3503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ИИ-ассистент</w:t>
            </w:r>
          </w:p>
        </w:tc>
        <w:tc>
          <w:tcPr>
            <w:tcW w:type="dxa" w:w="3696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Генерация альтернативных моделей, критика гипотез</w:t>
            </w:r>
          </w:p>
        </w:tc>
      </w:tr>
      <w:tr>
        <w:trPr>
          <w:tblHeader w:val="false"/>
        </w:trPr>
        <w:tc>
          <w:tcPr>
            <w:tcW w:type="dxa" w:w="3503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Чек-листы наблюдения</w:t>
            </w:r>
          </w:p>
        </w:tc>
        <w:tc>
          <w:tcPr>
            <w:tcW w:type="dxa" w:w="3696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Фокусировка внимания на эпизодах</w:t>
            </w:r>
          </w:p>
        </w:tc>
      </w:tr>
      <w:tr>
        <w:trPr>
          <w:tblHeader w:val="false"/>
        </w:trPr>
        <w:tc>
          <w:tcPr>
            <w:tcW w:type="dxa" w:w="3503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Ежемесячные отчёты для родителей</w:t>
            </w:r>
          </w:p>
        </w:tc>
        <w:tc>
          <w:tcPr>
            <w:tcW w:type="dxa" w:w="3696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Связь педагог-родитель, передача рекомендаций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10. НАУЧНЫЕ ОСНОВАНИЯ</w:t>
      </w:r>
    </w:p>
    <w:p>
      <w:pPr>
        <w:spacing w:after="200"/>
      </w:pPr>
      <w:r>
        <w:t xml:space="preserve">Каждый элемент методологии опирается на проверенные научные теории:</w:t>
      </w:r>
    </w:p>
    <w:tbl>
      <w:tblPr>
        <w:tblW w:type="dxa" w:w="7200"/>
        <w:tblBorders>
          <w:top w:val="single" w:color="333333" w:sz="6"/>
          <w:left w:val="single" w:color="333333" w:sz="6"/>
          <w:bottom w:val="single" w:color="333333" w:sz="6"/>
          <w:right w:val="single" w:color="333333" w:sz="6"/>
          <w:insideH w:val="single" w:color="cccccc" w:sz="3"/>
          <w:insideV w:val="single" w:color="cccccc" w:sz="3"/>
        </w:tblBorders>
      </w:tblPr>
      <w:tblGrid>
        <w:gridCol w:w="3600"/>
        <w:gridCol w:w="3600"/>
      </w:tblGrid>
      <w:tr>
        <w:trPr>
          <w:tblHeader/>
          <w:trHeight w:val="400" w:hRule="atLeast"/>
        </w:trPr>
        <w:tc>
          <w:tcPr>
            <w:tcW w:type="dxa" w:w="3600"/>
            <w:tcBorders>
              <w:top w:val="single" w:color="666666" w:sz="6"/>
              <w:left w:val="single" w:color="999999" w:sz="3"/>
              <w:bottom w:val="single" w:color="666666" w:sz="6"/>
              <w:right w:val="single" w:color="999999" w:sz="3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Элемент Элиф</w:t>
            </w:r>
          </w:p>
        </w:tc>
        <w:tc>
          <w:tcPr>
            <w:tcW w:type="dxa" w:w="3600"/>
            <w:tcBorders>
              <w:top w:val="single" w:color="666666" w:sz="6"/>
              <w:left w:val="single" w:color="999999" w:sz="3"/>
              <w:bottom w:val="single" w:color="666666" w:sz="6"/>
              <w:right w:val="single" w:color="999999" w:sz="3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Научная основа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Опосредование и интериоризация</w:t>
            </w:r>
          </w:p>
        </w:tc>
        <w:tc>
          <w:tcPr>
            <w:tcW w:type="dxa" w:w="3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Л.С. Выготский, скаффолдинг (Wood, Bruner &amp; Ross)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Дезориентирующая дилемма (разрыв)</w:t>
            </w:r>
          </w:p>
        </w:tc>
        <w:tc>
          <w:tcPr>
            <w:tcW w:type="dxa" w:w="3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J. Mezirow, трансформационное обучение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Внутренняя мотивация</w:t>
            </w:r>
          </w:p>
        </w:tc>
        <w:tc>
          <w:tcPr>
            <w:tcW w:type="dxa" w:w="3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E. Deci &amp; R. Ryan, теория самодетерминации (SDT)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Стадии развития сознания</w:t>
            </w:r>
          </w:p>
        </w:tc>
        <w:tc>
          <w:tcPr>
            <w:tcW w:type="dxa" w:w="3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R. Kegan, E. Erikson (возрастная психология)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Распознавание паттернов экспертом</w:t>
            </w:r>
          </w:p>
        </w:tc>
        <w:tc>
          <w:tcPr>
            <w:tcW w:type="dxa" w:w="3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G. Klein, Recognition-Primed Decision Model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Снижение когнитивной нагрузки через схемы</w:t>
            </w:r>
          </w:p>
        </w:tc>
        <w:tc>
          <w:tcPr>
            <w:tcW w:type="dxa" w:w="3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J. Sweller, Cognitive Load Theory; A. Paivio, Dual Coding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Концептуальная смена ментальных моделей</w:t>
            </w:r>
          </w:p>
        </w:tc>
        <w:tc>
          <w:tcPr>
            <w:tcW w:type="dxa" w:w="3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Posner et al., Strike &amp; Posner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Важно:</w:t>
      </w:r>
      <w:r>
        <w:t xml:space="preserve"> наука не управляет методологией. Наука объясняет, </w:t>
      </w:r>
      <w:r>
        <w:rPr>
          <w:b/>
          <w:bCs/>
        </w:rPr>
        <w:t xml:space="preserve">почему</w:t>
      </w:r>
      <w:r>
        <w:t xml:space="preserve"> отдельные элементы нашей модели работают.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11. ИЗМЕРЕНИЕ И ИССЛЕДОВАНИЕ</w:t>
      </w:r>
    </w:p>
    <w:p>
      <w:pPr>
        <w:spacing w:after="200"/>
      </w:pPr>
      <w:r>
        <w:t xml:space="preserve">Мы не утверждаем: «Наша методология научно доказана».
Мы утверждаем: </w:t>
      </w:r>
      <w:r>
        <w:rPr>
          <w:b/>
          <w:bCs/>
        </w:rPr>
        <w:t xml:space="preserve">«Наша методология — проверяемая гипотеза, основанная на научных принципах».</w:t>
      </w:r>
    </w:p>
    <w:p>
      <w:pPr>
        <w:spacing w:after="200"/>
      </w:pPr>
      <w:r>
        <w:rPr>
          <w:b/>
          <w:bCs/>
        </w:rPr>
        <w:t xml:space="preserve">Что мы измеряем: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Количество и типология эпизодов изменения карты у каждого ученика.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Динамика по шкале субъектности (6 уровней).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Индекс автономии, компетентности и связанности (опросники SDT).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Динамика развития педагогов (на основе их заметок в CRM).</w:t>
      </w:r>
    </w:p>
    <w:p>
      <w:pPr>
        <w:spacing w:after="200"/>
      </w:pPr>
      <w:r>
        <w:rPr>
          <w:b/>
          <w:bCs/>
        </w:rPr>
        <w:t xml:space="preserve">Принцип опровержимости (falsifiability):</w:t>
      </w:r>
      <w:r>
        <w:t xml:space="preserve">
Мы готовы менять элементы метода, если данные покажут, что они не работают.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12. ЧТО ЭТО ДАЁТ ПЕДАГОГУ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Ясный профессиональный язык.</w:t>
      </w:r>
      <w:r>
        <w:t xml:space="preserve"> Вы не «просто ведёте уроки». Вы запускаете эпизоды изменения карты, владеете 8 психотехническими операциями, развиваете субъектность учеников.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Инструмент профессионального роста.</w:t>
      </w:r>
      <w:r>
        <w:t xml:space="preserve"> CRM становится вашим «зеркалом с подсказками»: вы видите свои паттерны, получаете гипотезы от ИИ, растёте как специалист.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Защита от выгорания.</w:t>
      </w:r>
      <w:r>
        <w:t xml:space="preserve"> Вы работаете не с «характеристиками детей», а с конкретными эпизодами. Это снимает эмоциональную перегрузку и даёт ощущение прогресса.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Сообщество.</w:t>
      </w:r>
      <w:r>
        <w:t xml:space="preserve"> Вы становитесь частью системы, где каждый педагог — субъект, где есть peer observation, обмен эпизодами, совместное построение библиотеки паттернов.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13. ЧТО ЭТО ДАЁТ РОДИТЕЛЯМ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Прозрачность.</w:t>
      </w:r>
      <w:r>
        <w:t xml:space="preserve"> Ежемесячный отчёт — не «ваш ребёнок молодец», а конкретные данные: какие эпизоды произошли, какие карты обновились, какие рекомендации для дома.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Вовлечённость без давления.</w:t>
      </w:r>
      <w:r>
        <w:t xml:space="preserve"> Родитель получает конкретные действия: «На этой неделе Иван показал высокую вовлечённость в групповой работе. Попробуйте дома дать ему задачу, где он будет лидером».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Доверие.</w:t>
      </w:r>
      <w:r>
        <w:t xml:space="preserve"> Родитель видит, что педагог не просто «проводит уроки», а целенаправленно работает с развитием ребёнка.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14. ГЛАВНЫЕ ПРИНЦИПЫ ШКОЛЫ ЭЛИФ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Субъектность фрактальна.</w:t>
      </w:r>
      <w:r>
        <w:t xml:space="preserve"> Каждый участник системы (собственник, педагог, ученик, родитель) должен быть субъектом на своём уровне.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ИИ организует усилие, а не заменяет его.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Сначала noticing, потом классификация.</w:t>
      </w:r>
      <w:r>
        <w:t xml:space="preserve"> Сначала учимся видеть эпизоды, потом строим библиотеку паттернов.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Факт отдельно от гипотезы.</w:t>
      </w:r>
      <w:r>
        <w:t xml:space="preserve"> В заметках педагога — только наблюдаемое в полях фактов. Интерпретации помечаются как предположения.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Перенос важнее инсайта.</w:t>
      </w:r>
      <w:r>
        <w:t xml:space="preserve"> Эпизод считается завершённым не когда ученик сказал «понял», а когда он самостоятельно применил новое понимание в другой ситуации.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Элиф не даёт карту. Элиф развивает способность обновлять карту.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15. СЛЕДУЮЩИЕ ШАГИ РАЗВИТИЯ МЕТОДОЛОГИИ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Библиотека паттернов эпизодов</w:t>
      </w:r>
      <w:r>
        <w:t xml:space="preserve"> — формируется ретроспективно на основе 50–100 заполненных полей в CRM.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Обучение педагогов noticing</w:t>
      </w:r>
      <w:r>
        <w:t xml:space="preserve"> — через видео-кейсы, peer observation, рефлексивные сессии.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Валидация шкалы субъектности</w:t>
      </w:r>
      <w:r>
        <w:t xml:space="preserve"> — сбор лонгитюдных данных, проверка гипотез.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Масштабирование</w:t>
      </w:r>
      <w:r>
        <w:t xml:space="preserve"> — передача методологии другим педагогам через описанную здесь архитектуру.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Документ подготовлен как ядро корпоративной базы знаний Школы Элиф.</w:t>
      </w:r>
      <w:r>
        <w:t xml:space="preserve">
</w:t>
      </w:r>
      <w:r>
        <w:rPr>
          <w:b/>
          <w:bCs/>
        </w:rPr>
        <w:t xml:space="preserve">Версия 1.0. Основа для обучения педагогов и визуализации.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Calibri Light" w:cs="Calibri Light" w:eastAsia="Calibri Light" w:hAnsi="Calibri Light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rFonts w:ascii="Calibri Light" w:cs="Calibri Light" w:eastAsia="Calibri Light" w:hAnsi="Calibri Light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i/>
      <w:iCs/>
      <w:color w:val="2E74B5"/>
      <w:sz w:val="22"/>
      <w:szCs w:val="22"/>
    </w:rPr>
  </w:style>
  <w:style w:type="paragraph" w:styleId="Heading5">
    <w:name w:val="Heading 5"/>
    <w:basedOn w:val="Normal"/>
    <w:next w:val="Normal"/>
    <w:qFormat/>
    <w:rPr>
      <w:rFonts w:ascii="Calibri" w:cs="Calibri" w:eastAsia="Calibri" w:hAnsi="Calibr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rPr>
      <w:rFonts w:ascii="Calibri" w:cs="Calibri" w:eastAsia="Calibri" w:hAnsi="Calibri"/>
      <w:b/>
      <w:bCs/>
      <w:color w:val="1F4D78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2026-08-20T12:04:59.113Z</dcterms:created>
  <dcterms:modified xsi:type="dcterms:W3CDTF">2026-08-20T12:04:59.113Z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