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27A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MANA ZENEQUELLI, FERNANDO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627A29">
              <w:rPr>
                <w:b/>
                <w:smallCaps/>
                <w:noProof/>
                <w:color w:val="000000"/>
                <w:sz w:val="24"/>
              </w:rPr>
              <w:t>06/09/18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627A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627A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PAREDES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27A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27A2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DLP – FRC +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627A2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9775762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</w:t>
      </w:r>
      <w:r w:rsidR="00627A29">
        <w:rPr>
          <w:rFonts w:ascii="Calibri" w:hAnsi="Calibri"/>
          <w:sz w:val="22"/>
          <w:szCs w:val="22"/>
        </w:rPr>
        <w:t>ide presenta apertura conservada, sin reflujo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627A2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 4</w:t>
      </w:r>
      <w:bookmarkStart w:id="1" w:name="_GoBack"/>
      <w:bookmarkEnd w:id="1"/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47E5D"/>
    <w:rsid w:val="004A2DD3"/>
    <w:rsid w:val="00627A29"/>
    <w:rsid w:val="0070419A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2018-09-06T19:45:00Z</cp:lastPrinted>
  <dcterms:created xsi:type="dcterms:W3CDTF">2018-09-06T19:34:00Z</dcterms:created>
  <dcterms:modified xsi:type="dcterms:W3CDTF">2018-09-06T19:46:00Z</dcterms:modified>
</cp:coreProperties>
</file>