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2885">
              <w:rPr>
                <w:rFonts w:ascii="Calibri" w:hAnsi="Calibri"/>
                <w:b/>
                <w:smallCaps/>
                <w:sz w:val="24"/>
                <w:szCs w:val="24"/>
              </w:rPr>
              <w:t>WEISS, WALTER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2885">
              <w:rPr>
                <w:rFonts w:ascii="Calibri" w:hAnsi="Calibri"/>
                <w:b/>
                <w:smallCaps/>
                <w:sz w:val="24"/>
                <w:szCs w:val="24"/>
              </w:rPr>
              <w:t>46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0E2885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2885">
              <w:rPr>
                <w:rFonts w:ascii="Calibri" w:hAnsi="Calibri"/>
                <w:b/>
                <w:smallCaps/>
                <w:sz w:val="24"/>
                <w:szCs w:val="24"/>
              </w:rPr>
              <w:t>M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2885">
              <w:rPr>
                <w:rFonts w:ascii="Calibri" w:hAnsi="Calibri"/>
                <w:b/>
                <w:smallCaps/>
                <w:sz w:val="24"/>
                <w:szCs w:val="24"/>
              </w:rPr>
              <w:t>24-10-17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0E2885">
              <w:rPr>
                <w:rFonts w:ascii="Calibri" w:hAnsi="Calibri"/>
                <w:b/>
                <w:smallCaps/>
                <w:sz w:val="24"/>
                <w:szCs w:val="24"/>
              </w:rPr>
              <w:t>VERA JANAVEL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>
              <w:rPr>
                <w:rFonts w:ascii="Calibri" w:hAnsi="Calibri"/>
                <w:smallCaps/>
                <w:sz w:val="24"/>
                <w:szCs w:val="24"/>
              </w:rPr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0.68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0.46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0.56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0.65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0E2885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0E2885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0.76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Bifurcación carotídea con obstrucciones leves (&lt; 50%) por placas heterogéneas, regulares, fibrolipídicas.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 y Doppler carotídeo: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Pr="00EA17F6" w:rsidRDefault="00802DC6" w:rsidP="00EA1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Carótida Primitiva, </w:t>
      </w:r>
      <w:r w:rsidR="00EA17F6">
        <w:rPr>
          <w:rFonts w:ascii="Calibri" w:hAnsi="Calibri"/>
          <w:sz w:val="24"/>
          <w:szCs w:val="24"/>
          <w:lang w:eastAsia="es-AR"/>
        </w:rPr>
        <w:t xml:space="preserve">Bifurcación carotídea </w:t>
      </w:r>
      <w:r>
        <w:rPr>
          <w:rFonts w:ascii="Calibri" w:hAnsi="Calibri"/>
          <w:sz w:val="24"/>
          <w:szCs w:val="24"/>
          <w:lang w:eastAsia="es-AR"/>
        </w:rPr>
        <w:t>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EA17F6">
        <w:rPr>
          <w:rFonts w:asciiTheme="minorHAnsi" w:eastAsia="Calibri" w:hAnsiTheme="minorHAnsi"/>
          <w:color w:val="auto"/>
          <w:sz w:val="22"/>
          <w:szCs w:val="22"/>
        </w:rPr>
        <w:t>del lado izquierdo</w:t>
      </w:r>
      <w:bookmarkStart w:id="9" w:name="_GoBack"/>
      <w:bookmarkEnd w:id="9"/>
      <w:r>
        <w:rPr>
          <w:rFonts w:asciiTheme="minorHAnsi" w:eastAsia="Calibri" w:hAnsiTheme="minorHAnsi"/>
          <w:color w:val="auto"/>
          <w:sz w:val="22"/>
          <w:szCs w:val="22"/>
        </w:rPr>
        <w:t>.</w:t>
      </w:r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2638" w:rsidRDefault="00FD2638">
      <w:r>
        <w:separator/>
      </w:r>
    </w:p>
  </w:endnote>
  <w:endnote w:type="continuationSeparator" w:id="0">
    <w:p w:rsidR="00FD2638" w:rsidRDefault="00FD2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EA17F6">
      <w:rPr>
        <w:noProof/>
      </w:rPr>
      <w:t>2</w:t>
    </w:r>
    <w:r>
      <w:rPr>
        <w:noProof/>
      </w:rPr>
      <w:fldChar w:fldCharType="end"/>
    </w:r>
    <w:r>
      <w:t xml:space="preserve"> / </w:t>
    </w:r>
    <w:r w:rsidR="00FD2638">
      <w:fldChar w:fldCharType="begin"/>
    </w:r>
    <w:r w:rsidR="00FD2638">
      <w:instrText xml:space="preserve"> NUMPAGES  </w:instrText>
    </w:r>
    <w:r w:rsidR="00FD2638">
      <w:fldChar w:fldCharType="separate"/>
    </w:r>
    <w:r w:rsidR="00EA17F6">
      <w:rPr>
        <w:noProof/>
      </w:rPr>
      <w:t>2</w:t>
    </w:r>
    <w:r w:rsidR="00FD263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2638" w:rsidRDefault="00FD2638">
      <w:r>
        <w:separator/>
      </w:r>
    </w:p>
  </w:footnote>
  <w:footnote w:type="continuationSeparator" w:id="0">
    <w:p w:rsidR="00FD2638" w:rsidRDefault="00FD263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0E2885"/>
    <w:rsid w:val="005B453E"/>
    <w:rsid w:val="00802DC6"/>
    <w:rsid w:val="00885775"/>
    <w:rsid w:val="00893479"/>
    <w:rsid w:val="00AA6420"/>
    <w:rsid w:val="00EA17F6"/>
    <w:rsid w:val="00F8043E"/>
    <w:rsid w:val="00FD26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2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3</cp:revision>
  <cp:lastPrinted>2017-10-24T13:56:00Z</cp:lastPrinted>
  <dcterms:created xsi:type="dcterms:W3CDTF">2017-10-24T13:44:00Z</dcterms:created>
  <dcterms:modified xsi:type="dcterms:W3CDTF">2017-10-24T13:56:00Z</dcterms:modified>
</cp:coreProperties>
</file>