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876" w:rsidRDefault="008B1876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8B1876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B1876" w:rsidRDefault="0004503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Ecocardiograma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Doppler</w:t>
            </w:r>
            <w:proofErr w:type="spellEnd"/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 color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transtorácico</w:t>
            </w:r>
            <w:proofErr w:type="spellEnd"/>
          </w:p>
          <w:p w:rsidR="008B1876" w:rsidRDefault="008B1876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8B1876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8B1876" w:rsidRDefault="00045033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8B1876" w:rsidRDefault="003F1159" w:rsidP="003F1159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 xml:space="preserve">MEDINA,VICTOR </w:t>
            </w:r>
            <w:r w:rsidR="00045033">
              <w:rPr>
                <w:b/>
                <w:smallCaps/>
                <w:color w:val="000000"/>
                <w:sz w:val="24"/>
              </w:rPr>
              <w:fldChar w:fldCharType="begin"/>
            </w:r>
            <w:r w:rsidR="00045033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45033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8B1876" w:rsidRDefault="00045033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8B1876" w:rsidRDefault="00045033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E81015">
              <w:rPr>
                <w:b/>
                <w:smallCaps/>
                <w:noProof/>
                <w:color w:val="000000"/>
                <w:sz w:val="24"/>
              </w:rPr>
              <w:t>14/09/17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8B1876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8B1876" w:rsidRDefault="00045033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8B1876" w:rsidRDefault="003F1159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57</w:t>
            </w:r>
          </w:p>
        </w:tc>
        <w:tc>
          <w:tcPr>
            <w:tcW w:w="1457" w:type="dxa"/>
            <w:shd w:val="clear" w:color="auto" w:fill="FFFFFF"/>
          </w:tcPr>
          <w:p w:rsidR="008B1876" w:rsidRDefault="00045033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8B1876" w:rsidRDefault="003F1159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CASABELLA</w:t>
            </w:r>
          </w:p>
        </w:tc>
      </w:tr>
      <w:tr w:rsidR="008B1876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8B1876" w:rsidRDefault="00045033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8B1876" w:rsidRDefault="003F1159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M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8B1876" w:rsidRDefault="00045033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8B1876" w:rsidRDefault="003F1159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HTA</w:t>
            </w:r>
          </w:p>
        </w:tc>
      </w:tr>
    </w:tbl>
    <w:p w:rsidR="008B1876" w:rsidRDefault="008B1876">
      <w:pPr>
        <w:shd w:val="clear" w:color="auto" w:fill="FFFFFF"/>
        <w:rPr>
          <w:sz w:val="12"/>
          <w:szCs w:val="12"/>
        </w:rPr>
      </w:pPr>
    </w:p>
    <w:p w:rsidR="008B1876" w:rsidRDefault="00045033">
      <w:pPr>
        <w:shd w:val="clear" w:color="auto" w:fill="FFFFFF"/>
      </w:pPr>
      <w:r>
        <w:t xml:space="preserve">      Se realiza ecocardiograma bidimensional y Doppler cardíaco pulsado, continuo y color. </w:t>
      </w:r>
    </w:p>
    <w:bookmarkStart w:id="0" w:name="_MON_1472047644"/>
    <w:bookmarkEnd w:id="0"/>
    <w:p w:rsidR="008B1876" w:rsidRDefault="00E81015">
      <w:pPr>
        <w:shd w:val="clear" w:color="auto" w:fill="FFFFFF"/>
        <w:jc w:val="center"/>
        <w:rPr>
          <w:b/>
        </w:rPr>
      </w:pPr>
      <w:r>
        <w:object w:dxaOrig="8689" w:dyaOrig="9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pt;height:463.8pt" o:ole="">
            <v:imagedata r:id="rId6" o:title=""/>
          </v:shape>
          <o:OLEObject Type="Embed" ProgID="Excel.Sheet.12" ShapeID="_x0000_i1025" DrawAspect="Content" ObjectID="_1566912109" r:id="rId7"/>
        </w:object>
      </w:r>
    </w:p>
    <w:p w:rsidR="008B1876" w:rsidRDefault="008B1876">
      <w:pPr>
        <w:rPr>
          <w:b/>
          <w:sz w:val="24"/>
          <w:szCs w:val="24"/>
          <w:u w:val="single"/>
        </w:rPr>
      </w:pPr>
    </w:p>
    <w:p w:rsidR="00E81015" w:rsidRDefault="00E81015">
      <w:pPr>
        <w:rPr>
          <w:b/>
          <w:sz w:val="24"/>
          <w:szCs w:val="24"/>
          <w:u w:val="single"/>
        </w:rPr>
      </w:pPr>
    </w:p>
    <w:p w:rsidR="008B1876" w:rsidRDefault="00045033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8B1876" w:rsidRDefault="008B1876">
      <w:pPr>
        <w:pStyle w:val="Normal1"/>
        <w:rPr>
          <w:sz w:val="22"/>
          <w:szCs w:val="22"/>
        </w:rPr>
      </w:pPr>
    </w:p>
    <w:p w:rsidR="00E81015" w:rsidRPr="00E81015" w:rsidRDefault="00045033" w:rsidP="00E8101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E81015">
        <w:rPr>
          <w:rFonts w:ascii="Calibri" w:hAnsi="Calibri"/>
          <w:sz w:val="22"/>
          <w:szCs w:val="22"/>
        </w:rPr>
        <w:t xml:space="preserve">Dimensiones y función sistólica regional y global ventricular izquierda conservadas. Espesores parietales de ventrículo </w:t>
      </w:r>
      <w:r w:rsidRPr="00E81015">
        <w:rPr>
          <w:rFonts w:ascii="Calibri" w:hAnsi="Calibri"/>
          <w:sz w:val="22"/>
          <w:szCs w:val="22"/>
        </w:rPr>
        <w:t xml:space="preserve">izquierdo </w:t>
      </w:r>
      <w:r w:rsidR="00E81015">
        <w:rPr>
          <w:rFonts w:ascii="Calibri" w:hAnsi="Calibri"/>
          <w:sz w:val="22"/>
          <w:szCs w:val="22"/>
        </w:rPr>
        <w:t>levemente aumentados con masa conservada</w:t>
      </w:r>
      <w:bookmarkStart w:id="1" w:name="_GoBack"/>
      <w:bookmarkEnd w:id="1"/>
      <w:r w:rsidRPr="00E81015">
        <w:rPr>
          <w:rFonts w:ascii="Calibri" w:hAnsi="Calibri"/>
          <w:sz w:val="22"/>
          <w:szCs w:val="22"/>
        </w:rPr>
        <w:t>. Geometría de ventrículo izquierdo normal.</w:t>
      </w:r>
    </w:p>
    <w:p w:rsidR="008B1876" w:rsidRPr="00E81015" w:rsidRDefault="00045033" w:rsidP="00E8101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E81015">
        <w:rPr>
          <w:rFonts w:ascii="Calibri" w:hAnsi="Calibri"/>
          <w:sz w:val="22"/>
          <w:szCs w:val="22"/>
        </w:rPr>
        <w:t xml:space="preserve">El flujo de llenado del ventrículo izquierdo </w:t>
      </w:r>
      <w:r w:rsidR="00E81015">
        <w:rPr>
          <w:rFonts w:ascii="Calibri" w:hAnsi="Calibri"/>
          <w:sz w:val="22"/>
          <w:szCs w:val="22"/>
        </w:rPr>
        <w:t xml:space="preserve">presenta patrón </w:t>
      </w:r>
      <w:proofErr w:type="spellStart"/>
      <w:r w:rsidR="00E81015">
        <w:rPr>
          <w:rFonts w:ascii="Calibri" w:hAnsi="Calibri"/>
          <w:sz w:val="22"/>
          <w:szCs w:val="22"/>
        </w:rPr>
        <w:t>pseudonormal</w:t>
      </w:r>
      <w:proofErr w:type="spellEnd"/>
      <w:r w:rsidRPr="00E81015">
        <w:rPr>
          <w:rFonts w:ascii="Calibri" w:hAnsi="Calibri"/>
          <w:sz w:val="22"/>
          <w:szCs w:val="22"/>
        </w:rPr>
        <w:t xml:space="preserve">. </w:t>
      </w:r>
    </w:p>
    <w:p w:rsidR="008B1876" w:rsidRDefault="00045033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</w:t>
      </w:r>
      <w:r w:rsidR="00E81015">
        <w:rPr>
          <w:rFonts w:ascii="Calibri" w:hAnsi="Calibri"/>
          <w:sz w:val="22"/>
          <w:szCs w:val="22"/>
        </w:rPr>
        <w:t>se encuentra dilatada</w:t>
      </w:r>
      <w:r>
        <w:rPr>
          <w:rFonts w:ascii="Calibri" w:hAnsi="Calibri"/>
          <w:sz w:val="22"/>
          <w:szCs w:val="22"/>
        </w:rPr>
        <w:t xml:space="preserve">. </w:t>
      </w:r>
    </w:p>
    <w:p w:rsidR="008B1876" w:rsidRDefault="00045033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8B1876" w:rsidRDefault="00045033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conservada, sin reflujo. Anillo de características normales.</w:t>
      </w:r>
    </w:p>
    <w:p w:rsidR="008B1876" w:rsidRPr="00E81015" w:rsidRDefault="00045033" w:rsidP="00E8101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 w:rsidRPr="00E81015">
        <w:rPr>
          <w:rFonts w:ascii="Calibri" w:hAnsi="Calibri"/>
          <w:sz w:val="22"/>
          <w:szCs w:val="22"/>
        </w:rPr>
        <w:t>La válvula aórtica es trivalva</w:t>
      </w:r>
      <w:r w:rsidR="00E81015" w:rsidRPr="00E81015">
        <w:rPr>
          <w:rFonts w:ascii="Calibri" w:hAnsi="Calibri"/>
          <w:sz w:val="22"/>
          <w:szCs w:val="22"/>
        </w:rPr>
        <w:t xml:space="preserve"> con signos de esclerosis</w:t>
      </w:r>
      <w:r w:rsidRPr="00E81015">
        <w:rPr>
          <w:rFonts w:ascii="Calibri" w:hAnsi="Calibri"/>
          <w:sz w:val="22"/>
          <w:szCs w:val="22"/>
        </w:rPr>
        <w:t>, present</w:t>
      </w:r>
      <w:r w:rsidRPr="00E81015">
        <w:rPr>
          <w:rFonts w:ascii="Calibri" w:hAnsi="Calibri"/>
          <w:sz w:val="22"/>
          <w:szCs w:val="22"/>
        </w:rPr>
        <w:t>a apertura conservada, sin reflujo.</w:t>
      </w:r>
      <w:r w:rsidR="00E81015">
        <w:rPr>
          <w:rFonts w:ascii="Calibri" w:hAnsi="Calibri"/>
          <w:sz w:val="22"/>
          <w:szCs w:val="22"/>
        </w:rPr>
        <w:t xml:space="preserve"> </w:t>
      </w:r>
      <w:r w:rsidRPr="00E81015">
        <w:rPr>
          <w:rFonts w:ascii="Calibri" w:hAnsi="Calibri"/>
          <w:sz w:val="22"/>
          <w:szCs w:val="22"/>
        </w:rPr>
        <w:t>No se detecta gradiente sistólico dinámico en el tracto de salida del ventrículo izquierdo</w:t>
      </w:r>
      <w:r w:rsidR="00E81015" w:rsidRPr="00E81015">
        <w:rPr>
          <w:rFonts w:ascii="Calibri" w:hAnsi="Calibri"/>
          <w:sz w:val="22"/>
          <w:szCs w:val="22"/>
        </w:rPr>
        <w:t xml:space="preserve"> en reposo </w:t>
      </w:r>
      <w:r w:rsidR="00E81015">
        <w:rPr>
          <w:rFonts w:ascii="Calibri" w:hAnsi="Calibri"/>
          <w:sz w:val="22"/>
          <w:szCs w:val="22"/>
        </w:rPr>
        <w:t>c</w:t>
      </w:r>
      <w:r w:rsidR="00E81015" w:rsidRPr="00E81015">
        <w:rPr>
          <w:rFonts w:ascii="Calibri" w:hAnsi="Calibri"/>
          <w:sz w:val="22"/>
          <w:szCs w:val="22"/>
        </w:rPr>
        <w:t xml:space="preserve">on maniobra de </w:t>
      </w:r>
      <w:proofErr w:type="spellStart"/>
      <w:r w:rsidR="00E81015" w:rsidRPr="00E81015">
        <w:rPr>
          <w:rFonts w:ascii="Calibri" w:hAnsi="Calibri"/>
          <w:sz w:val="22"/>
          <w:szCs w:val="22"/>
        </w:rPr>
        <w:t>Valsalva</w:t>
      </w:r>
      <w:proofErr w:type="spellEnd"/>
      <w:r w:rsidR="00E81015" w:rsidRPr="00E81015">
        <w:rPr>
          <w:rFonts w:ascii="Calibri" w:hAnsi="Calibri"/>
          <w:sz w:val="22"/>
          <w:szCs w:val="22"/>
        </w:rPr>
        <w:t>.</w:t>
      </w:r>
    </w:p>
    <w:p w:rsidR="008B1876" w:rsidRDefault="00045033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</w:t>
      </w:r>
      <w:r w:rsidR="00E81015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E81015">
        <w:rPr>
          <w:rFonts w:ascii="Calibri" w:hAnsi="Calibri"/>
          <w:sz w:val="22"/>
          <w:szCs w:val="22"/>
        </w:rPr>
        <w:t xml:space="preserve"> leve que permite estimar una PSP de 40 </w:t>
      </w:r>
      <w:proofErr w:type="spellStart"/>
      <w:r w:rsidR="00E81015">
        <w:rPr>
          <w:rFonts w:ascii="Calibri" w:hAnsi="Calibri"/>
          <w:sz w:val="22"/>
          <w:szCs w:val="22"/>
        </w:rPr>
        <w:t>mmHg</w:t>
      </w:r>
      <w:proofErr w:type="spellEnd"/>
      <w:r>
        <w:rPr>
          <w:rFonts w:ascii="Calibri" w:hAnsi="Calibri"/>
          <w:sz w:val="22"/>
          <w:szCs w:val="22"/>
        </w:rPr>
        <w:t>. Anillo de características normales.</w:t>
      </w:r>
    </w:p>
    <w:p w:rsidR="008B1876" w:rsidRDefault="00045033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pulmonar present</w:t>
      </w:r>
      <w:r>
        <w:rPr>
          <w:rFonts w:ascii="Calibri" w:hAnsi="Calibri"/>
          <w:sz w:val="22"/>
          <w:szCs w:val="22"/>
        </w:rPr>
        <w:t xml:space="preserve">a apertura conservada, sin reflujo. </w:t>
      </w:r>
    </w:p>
    <w:p w:rsidR="008B1876" w:rsidRDefault="00045033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8B1876" w:rsidRDefault="00045033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8B1876" w:rsidRDefault="00045033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</w:t>
      </w:r>
      <w:r>
        <w:rPr>
          <w:rFonts w:ascii="Calibri" w:hAnsi="Calibri"/>
          <w:sz w:val="22"/>
          <w:szCs w:val="22"/>
        </w:rPr>
        <w:t xml:space="preserve"> inferior no dilatada, con colapso inspiratorio mayor de 50%.</w:t>
      </w:r>
    </w:p>
    <w:p w:rsidR="008B1876" w:rsidRDefault="00045033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8B1876" w:rsidRPr="00E81015" w:rsidRDefault="00E81015" w:rsidP="00E8101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 w:rsidRPr="00E81015">
        <w:rPr>
          <w:rFonts w:ascii="Calibri" w:hAnsi="Calibri"/>
          <w:sz w:val="22"/>
          <w:szCs w:val="22"/>
        </w:rPr>
        <w:t xml:space="preserve">Gradiente en aorta descendente 5.6 </w:t>
      </w:r>
      <w:proofErr w:type="spellStart"/>
      <w:r w:rsidRPr="00E81015">
        <w:rPr>
          <w:rFonts w:ascii="Calibri" w:hAnsi="Calibri"/>
          <w:sz w:val="22"/>
          <w:szCs w:val="22"/>
        </w:rPr>
        <w:t>mmHg</w:t>
      </w:r>
      <w:proofErr w:type="spellEnd"/>
      <w:r w:rsidRPr="00E81015">
        <w:rPr>
          <w:rFonts w:ascii="Calibri" w:hAnsi="Calibri"/>
          <w:sz w:val="22"/>
          <w:szCs w:val="22"/>
        </w:rPr>
        <w:t>.</w:t>
      </w:r>
    </w:p>
    <w:p w:rsidR="008B1876" w:rsidRDefault="008B1876">
      <w:pPr>
        <w:pStyle w:val="Normal1"/>
        <w:rPr>
          <w:rFonts w:ascii="Calibri" w:hAnsi="Calibri"/>
          <w:sz w:val="22"/>
          <w:szCs w:val="22"/>
        </w:rPr>
      </w:pPr>
    </w:p>
    <w:p w:rsidR="008B1876" w:rsidRDefault="008B1876">
      <w:pPr>
        <w:pStyle w:val="Normal1"/>
        <w:rPr>
          <w:rFonts w:ascii="Calibri" w:hAnsi="Calibri"/>
          <w:sz w:val="22"/>
          <w:szCs w:val="22"/>
        </w:rPr>
      </w:pPr>
    </w:p>
    <w:p w:rsidR="008B1876" w:rsidRDefault="008B1876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8B1876" w:rsidRDefault="00045033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8B1876" w:rsidRDefault="008B1876">
      <w:pPr>
        <w:pStyle w:val="Normal1"/>
        <w:rPr>
          <w:rFonts w:ascii="Calibri" w:hAnsi="Calibri"/>
          <w:sz w:val="22"/>
          <w:szCs w:val="22"/>
        </w:rPr>
      </w:pPr>
    </w:p>
    <w:p w:rsidR="00E81015" w:rsidRDefault="00E81015" w:rsidP="00E81015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Diámetros y función sistólica del ventrículo izquierdo conservados</w:t>
      </w:r>
    </w:p>
    <w:p w:rsidR="00E81015" w:rsidRDefault="00E81015" w:rsidP="00E81015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Remodelado ventricular concéntrico</w:t>
      </w:r>
    </w:p>
    <w:p w:rsidR="00E81015" w:rsidRDefault="00E81015" w:rsidP="00E81015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Dilatación de la aurícula izquierda </w:t>
      </w:r>
    </w:p>
    <w:p w:rsidR="00E81015" w:rsidRDefault="00E81015" w:rsidP="00E81015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Llenado mitral </w:t>
      </w:r>
      <w:proofErr w:type="spellStart"/>
      <w:r>
        <w:rPr>
          <w:sz w:val="24"/>
          <w:szCs w:val="24"/>
        </w:rPr>
        <w:t>pseudonormal</w:t>
      </w:r>
      <w:proofErr w:type="spellEnd"/>
    </w:p>
    <w:p w:rsidR="00E81015" w:rsidRDefault="00E81015" w:rsidP="00E81015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Esclerosis valvular aórtica</w:t>
      </w:r>
    </w:p>
    <w:p w:rsidR="00E81015" w:rsidRDefault="00E81015" w:rsidP="00E81015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Cavidades derechas normales</w:t>
      </w:r>
    </w:p>
    <w:p w:rsidR="008B1876" w:rsidRPr="00E81015" w:rsidRDefault="00E81015" w:rsidP="00E81015">
      <w:pPr>
        <w:pStyle w:val="Prrafodelista"/>
        <w:numPr>
          <w:ilvl w:val="0"/>
          <w:numId w:val="6"/>
        </w:numPr>
        <w:ind w:left="708"/>
        <w:rPr>
          <w:b/>
        </w:rPr>
      </w:pPr>
      <w:r w:rsidRPr="00E81015">
        <w:rPr>
          <w:sz w:val="24"/>
          <w:szCs w:val="24"/>
        </w:rPr>
        <w:t>Hipertensión pulmonar leve</w:t>
      </w:r>
    </w:p>
    <w:p w:rsidR="008B1876" w:rsidRDefault="008B1876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8B1876" w:rsidRDefault="008B1876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8B1876" w:rsidRDefault="008B1876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8B1876" w:rsidRDefault="008B1876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8B1876" w:rsidRDefault="00045033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 xml:space="preserve">Dra. Soledad </w:t>
      </w:r>
      <w:proofErr w:type="spellStart"/>
      <w:r>
        <w:rPr>
          <w:b/>
          <w:lang w:val="es-ES"/>
        </w:rPr>
        <w:t>Viguié</w:t>
      </w:r>
      <w:proofErr w:type="spellEnd"/>
    </w:p>
    <w:p w:rsidR="008B1876" w:rsidRDefault="00045033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8B1876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9748C"/>
    <w:multiLevelType w:val="hybridMultilevel"/>
    <w:tmpl w:val="213AFD0C"/>
    <w:lvl w:ilvl="0" w:tplc="2228B3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5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876"/>
    <w:rsid w:val="00045033"/>
    <w:rsid w:val="003F1159"/>
    <w:rsid w:val="008B1876"/>
    <w:rsid w:val="00E810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Hoja_de_c_lculo_de_Microsoft_Excel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315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2047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2</cp:revision>
  <cp:lastPrinted>2017-09-14T19:22:00Z</cp:lastPrinted>
  <dcterms:created xsi:type="dcterms:W3CDTF">2017-09-14T19:35:00Z</dcterms:created>
  <dcterms:modified xsi:type="dcterms:W3CDTF">2017-09-14T19:35:00Z</dcterms:modified>
</cp:coreProperties>
</file>