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E5C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BLANCO, JORGE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63E1C">
              <w:rPr>
                <w:b/>
                <w:smallCaps/>
                <w:noProof/>
                <w:color w:val="000000"/>
                <w:sz w:val="24"/>
              </w:rPr>
              <w:t>09/11/17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E5C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E5C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E5C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E5C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F.A. – RVM Mecánica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63E1C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73181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7E5CCE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7E5CCE">
        <w:rPr>
          <w:rFonts w:ascii="Calibri" w:hAnsi="Calibri"/>
          <w:sz w:val="22"/>
          <w:szCs w:val="22"/>
        </w:rPr>
        <w:t>del ventrículo izquierdo conservadas</w:t>
      </w:r>
      <w:r>
        <w:rPr>
          <w:rFonts w:ascii="Calibri" w:hAnsi="Calibri"/>
          <w:sz w:val="22"/>
          <w:szCs w:val="22"/>
        </w:rPr>
        <w:t>.</w:t>
      </w:r>
      <w:r w:rsidR="007E5CCE">
        <w:rPr>
          <w:rFonts w:ascii="Calibri" w:hAnsi="Calibri"/>
          <w:sz w:val="22"/>
          <w:szCs w:val="22"/>
        </w:rPr>
        <w:t xml:space="preserve"> Movimiento anómalo del septum interventricular con función sistólica global conservada.</w:t>
      </w:r>
    </w:p>
    <w:p w:rsidR="007E5CCE" w:rsidRPr="007E5CCE" w:rsidRDefault="00002705" w:rsidP="007E5C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E5CCE">
        <w:rPr>
          <w:rFonts w:ascii="Calibri" w:hAnsi="Calibri"/>
          <w:sz w:val="22"/>
          <w:szCs w:val="22"/>
        </w:rPr>
        <w:t xml:space="preserve">Espesores parietales de ventrículo izquierdo conservados. </w:t>
      </w:r>
    </w:p>
    <w:p w:rsidR="004A2DD3" w:rsidRPr="007E5CCE" w:rsidRDefault="00002705" w:rsidP="007E5C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E5CCE">
        <w:rPr>
          <w:rFonts w:ascii="Calibri" w:hAnsi="Calibri"/>
          <w:sz w:val="22"/>
          <w:szCs w:val="22"/>
        </w:rPr>
        <w:t xml:space="preserve">El flujo de llenado del ventrículo izquierdo </w:t>
      </w:r>
      <w:r w:rsidR="007E5CCE">
        <w:rPr>
          <w:rFonts w:ascii="Calibri" w:hAnsi="Calibri"/>
          <w:sz w:val="22"/>
          <w:szCs w:val="22"/>
        </w:rPr>
        <w:t>presenta patrón monofásico con aumento de la relación E/E´</w:t>
      </w:r>
      <w:r w:rsidR="00763E1C">
        <w:rPr>
          <w:rFonts w:ascii="Calibri" w:hAnsi="Calibri"/>
          <w:sz w:val="22"/>
          <w:szCs w:val="22"/>
        </w:rPr>
        <w:t xml:space="preserve"> y las presiones de fin de diástole</w:t>
      </w:r>
      <w:r w:rsidRPr="007E5CCE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763E1C">
        <w:rPr>
          <w:rFonts w:ascii="Calibri" w:hAnsi="Calibri"/>
          <w:sz w:val="22"/>
          <w:szCs w:val="22"/>
        </w:rPr>
        <w:t>se encuentra severamente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</w:t>
      </w:r>
      <w:r w:rsidR="00763E1C">
        <w:rPr>
          <w:rFonts w:ascii="Calibri" w:hAnsi="Calibri"/>
          <w:sz w:val="22"/>
          <w:szCs w:val="22"/>
        </w:rPr>
        <w:t>a derecha presenta dimensiones aumentadas (área 32.4 ml, volumen 126 ml)</w:t>
      </w:r>
      <w:r>
        <w:rPr>
          <w:rFonts w:ascii="Calibri" w:hAnsi="Calibri"/>
          <w:sz w:val="22"/>
          <w:szCs w:val="22"/>
        </w:rPr>
        <w:t>. El ventrícu</w:t>
      </w:r>
      <w:r w:rsidR="00763E1C">
        <w:rPr>
          <w:rFonts w:ascii="Calibri" w:hAnsi="Calibri"/>
          <w:sz w:val="22"/>
          <w:szCs w:val="22"/>
        </w:rPr>
        <w:t>lo derecho se encuentra dilatado (ancho 6.3 cm, largo 8.4 cm) con</w:t>
      </w:r>
      <w:r>
        <w:rPr>
          <w:rFonts w:ascii="Calibri" w:hAnsi="Calibri"/>
          <w:sz w:val="22"/>
          <w:szCs w:val="22"/>
        </w:rPr>
        <w:t xml:space="preserve"> función </w:t>
      </w:r>
      <w:r w:rsidR="00763E1C">
        <w:rPr>
          <w:rFonts w:ascii="Calibri" w:hAnsi="Calibri"/>
          <w:sz w:val="22"/>
          <w:szCs w:val="22"/>
        </w:rPr>
        <w:t>sistólica en el límite inferior de lo normal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763E1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Prótesis mecánica </w:t>
      </w:r>
      <w:r w:rsidR="00002705">
        <w:rPr>
          <w:rFonts w:ascii="Calibri" w:hAnsi="Calibri"/>
          <w:sz w:val="22"/>
          <w:szCs w:val="22"/>
        </w:rPr>
        <w:t xml:space="preserve">mitral </w:t>
      </w:r>
      <w:r>
        <w:rPr>
          <w:rFonts w:ascii="Calibri" w:hAnsi="Calibri"/>
          <w:sz w:val="22"/>
          <w:szCs w:val="22"/>
        </w:rPr>
        <w:t xml:space="preserve">con gradientes levemente aumentados (máximo 15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, medio 5.6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) sin </w:t>
      </w:r>
      <w:r w:rsidR="00002705">
        <w:rPr>
          <w:rFonts w:ascii="Calibri" w:hAnsi="Calibri"/>
          <w:sz w:val="22"/>
          <w:szCs w:val="22"/>
        </w:rPr>
        <w:t>reflujo</w:t>
      </w:r>
      <w:r>
        <w:rPr>
          <w:rFonts w:ascii="Calibri" w:hAnsi="Calibri"/>
          <w:sz w:val="22"/>
          <w:szCs w:val="22"/>
        </w:rPr>
        <w:t>s patológicos</w:t>
      </w:r>
      <w:r w:rsidR="00002705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763E1C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63E1C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63E1C">
        <w:rPr>
          <w:rFonts w:ascii="Calibri" w:hAnsi="Calibri"/>
          <w:sz w:val="22"/>
          <w:szCs w:val="22"/>
        </w:rPr>
        <w:t xml:space="preserve"> moderado que permite estimar una PSP de 60 </w:t>
      </w:r>
      <w:proofErr w:type="spellStart"/>
      <w:r w:rsidR="00763E1C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Vena cava inferior </w:t>
      </w:r>
      <w:r w:rsidR="00763E1C">
        <w:rPr>
          <w:rFonts w:ascii="Calibri" w:hAnsi="Calibri"/>
          <w:sz w:val="22"/>
          <w:szCs w:val="22"/>
        </w:rPr>
        <w:t>severamente</w:t>
      </w:r>
      <w:r>
        <w:rPr>
          <w:rFonts w:ascii="Calibri" w:hAnsi="Calibri"/>
          <w:sz w:val="22"/>
          <w:szCs w:val="22"/>
        </w:rPr>
        <w:t xml:space="preserve"> dilatada</w:t>
      </w:r>
      <w:r w:rsidR="00763E1C">
        <w:rPr>
          <w:rFonts w:ascii="Calibri" w:hAnsi="Calibri"/>
          <w:sz w:val="22"/>
          <w:szCs w:val="22"/>
        </w:rPr>
        <w:t xml:space="preserve"> (4.3 cm) sin</w:t>
      </w:r>
      <w:r>
        <w:rPr>
          <w:rFonts w:ascii="Calibri" w:hAnsi="Calibri"/>
          <w:sz w:val="22"/>
          <w:szCs w:val="22"/>
        </w:rPr>
        <w:t xml:space="preserve"> colapso inspiratorio.</w:t>
      </w:r>
      <w:r w:rsidR="00763E1C">
        <w:rPr>
          <w:rFonts w:ascii="Calibri" w:hAnsi="Calibri"/>
          <w:sz w:val="22"/>
          <w:szCs w:val="22"/>
        </w:rPr>
        <w:t xml:space="preserve"> Dilatación de venas </w:t>
      </w:r>
      <w:proofErr w:type="spellStart"/>
      <w:r w:rsidR="00763E1C">
        <w:rPr>
          <w:rFonts w:ascii="Calibri" w:hAnsi="Calibri"/>
          <w:sz w:val="22"/>
          <w:szCs w:val="22"/>
        </w:rPr>
        <w:t>suprahepáticas</w:t>
      </w:r>
      <w:proofErr w:type="spellEnd"/>
      <w:r w:rsidR="00763E1C">
        <w:rPr>
          <w:rFonts w:ascii="Calibri" w:hAnsi="Calibri"/>
          <w:sz w:val="22"/>
          <w:szCs w:val="22"/>
        </w:rPr>
        <w:t>.</w:t>
      </w:r>
    </w:p>
    <w:p w:rsidR="004A2DD3" w:rsidRPr="00763E1C" w:rsidRDefault="00002705" w:rsidP="00763E1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763E1C">
        <w:rPr>
          <w:rFonts w:ascii="Calibri" w:hAnsi="Calibri"/>
          <w:sz w:val="22"/>
          <w:szCs w:val="22"/>
        </w:rPr>
        <w:t xml:space="preserve">Aorta torácica con dimensiones </w:t>
      </w:r>
      <w:r w:rsidR="00763E1C" w:rsidRPr="00763E1C">
        <w:rPr>
          <w:rFonts w:ascii="Calibri" w:hAnsi="Calibri"/>
          <w:sz w:val="22"/>
          <w:szCs w:val="22"/>
        </w:rPr>
        <w:t>el límite superior de lo normal</w:t>
      </w:r>
      <w:r w:rsidRPr="00763E1C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Disquinesia </w:t>
      </w:r>
      <w:proofErr w:type="spellStart"/>
      <w:r>
        <w:rPr>
          <w:sz w:val="24"/>
          <w:szCs w:val="24"/>
        </w:rPr>
        <w:t>septal</w:t>
      </w:r>
      <w:proofErr w:type="spellEnd"/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monofásico con aumento de las presiones de fin de diástole</w:t>
      </w:r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763E1C" w:rsidRDefault="00763E1C" w:rsidP="00763E1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Prótesis mecánica mitral </w:t>
      </w:r>
      <w:proofErr w:type="spellStart"/>
      <w:r>
        <w:rPr>
          <w:sz w:val="24"/>
          <w:szCs w:val="24"/>
        </w:rPr>
        <w:t>normofuncionante</w:t>
      </w:r>
      <w:proofErr w:type="spellEnd"/>
    </w:p>
    <w:p w:rsidR="004A2DD3" w:rsidRPr="00763E1C" w:rsidRDefault="00763E1C" w:rsidP="00763E1C">
      <w:pPr>
        <w:pStyle w:val="Prrafodelista"/>
        <w:numPr>
          <w:ilvl w:val="0"/>
          <w:numId w:val="6"/>
        </w:numPr>
        <w:ind w:left="708"/>
        <w:rPr>
          <w:b/>
        </w:rPr>
      </w:pPr>
      <w:r w:rsidRPr="00763E1C">
        <w:rPr>
          <w:sz w:val="24"/>
          <w:szCs w:val="24"/>
        </w:rPr>
        <w:t xml:space="preserve">Cavidades derechas </w:t>
      </w:r>
      <w:r w:rsidRPr="00763E1C">
        <w:rPr>
          <w:sz w:val="24"/>
          <w:szCs w:val="24"/>
        </w:rPr>
        <w:t>dilatadas</w:t>
      </w:r>
    </w:p>
    <w:p w:rsidR="00763E1C" w:rsidRPr="00763E1C" w:rsidRDefault="00763E1C" w:rsidP="00763E1C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moderada</w:t>
      </w:r>
    </w:p>
    <w:p w:rsidR="00763E1C" w:rsidRPr="00763E1C" w:rsidRDefault="00763E1C" w:rsidP="00763E1C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Hipertensión pulmonar moderada</w:t>
      </w: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A2DD3"/>
    <w:rsid w:val="00763E1C"/>
    <w:rsid w:val="007E5CCE"/>
    <w:rsid w:val="00B4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2017-11-09T14:24:00Z</cp:lastPrinted>
  <dcterms:created xsi:type="dcterms:W3CDTF">2017-11-09T13:55:00Z</dcterms:created>
  <dcterms:modified xsi:type="dcterms:W3CDTF">2017-11-09T14:24:00Z</dcterms:modified>
</cp:coreProperties>
</file>