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F30EB">
              <w:rPr>
                <w:b/>
                <w:noProof/>
                <w:sz w:val="24"/>
              </w:rPr>
              <w:t>BENITEZ ALEJANDRO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2F30EB">
              <w:rPr>
                <w:b/>
                <w:noProof/>
                <w:sz w:val="24"/>
              </w:rPr>
              <w:t>43</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F30EB">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F30EB">
              <w:rPr>
                <w:b/>
                <w:noProof/>
                <w:sz w:val="24"/>
              </w:rPr>
              <w:t>107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F30EB">
              <w:rPr>
                <w:b/>
                <w:noProof/>
                <w:sz w:val="24"/>
              </w:rPr>
              <w:t>05/04/2018</w:t>
            </w:r>
            <w:r>
              <w:rPr>
                <w:b/>
                <w:sz w:val="24"/>
              </w:rPr>
              <w:fldChar w:fldCharType="end"/>
            </w:r>
          </w:p>
          <w:p w:rsidR="00BB282A" w:rsidRDefault="00BB282A" w:rsidP="002F30E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F30EB">
              <w:rPr>
                <w:b/>
                <w:noProof/>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3"/>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F30EB">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F30E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F30EB">
              <w:rPr>
                <w:noProof/>
                <w:sz w:val="24"/>
              </w:rPr>
              <w:t>86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F30EB">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F30EB">
              <w:rPr>
                <w:noProof/>
                <w:sz w:val="24"/>
              </w:rPr>
              <w:t>132</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F30EB">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F30E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F30EB">
              <w:rPr>
                <w:noProof/>
                <w:sz w:val="24"/>
                <w:lang w:val="en-US"/>
              </w:rPr>
              <w:t>106</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F30EB">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F30EB">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F30EB">
              <w:rPr>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F30E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F30EB">
              <w:rPr>
                <w:noProof/>
                <w:sz w:val="24"/>
                <w:lang w:val="en-US"/>
              </w:rPr>
              <w:t>122</w:t>
            </w:r>
            <w:r>
              <w:rPr>
                <w:sz w:val="24"/>
                <w:lang w:val="en-US"/>
              </w:rPr>
              <w:fldChar w:fldCharType="end"/>
            </w:r>
            <w:bookmarkEnd w:id="31"/>
          </w:p>
        </w:tc>
        <w:tc>
          <w:tcPr>
            <w:tcW w:w="1134" w:type="dxa"/>
            <w:tcBorders>
              <w:top w:val="single" w:sz="2" w:space="0" w:color="auto"/>
            </w:tcBorders>
          </w:tcPr>
          <w:p w:rsidR="00BB282A" w:rsidRDefault="00BB282A" w:rsidP="002F30EB">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F30EB">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F30EB">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F30E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F30EB">
              <w:rPr>
                <w:noProof/>
                <w:sz w:val="24"/>
                <w:lang w:val="en-US"/>
              </w:rPr>
              <w:t>150</w:t>
            </w:r>
            <w:r>
              <w:rPr>
                <w:sz w:val="24"/>
                <w:lang w:val="en-US"/>
              </w:rPr>
              <w:fldChar w:fldCharType="end"/>
            </w:r>
            <w:bookmarkEnd w:id="41"/>
          </w:p>
        </w:tc>
        <w:tc>
          <w:tcPr>
            <w:tcW w:w="1134" w:type="dxa"/>
          </w:tcPr>
          <w:p w:rsidR="00BB282A" w:rsidRDefault="00BB282A" w:rsidP="002F30E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2F30EB">
              <w:rPr>
                <w:noProof/>
                <w:sz w:val="24"/>
                <w:lang w:val="en-US"/>
              </w:rPr>
              <w:t>152</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2F30EB">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2F30E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2F30EB">
              <w:rPr>
                <w:noProof/>
                <w:sz w:val="24"/>
              </w:rPr>
              <w:t>99</w:t>
            </w:r>
            <w:r>
              <w:rPr>
                <w:sz w:val="24"/>
              </w:rPr>
              <w:fldChar w:fldCharType="end"/>
            </w:r>
            <w:bookmarkEnd w:id="129"/>
          </w:p>
        </w:tc>
        <w:tc>
          <w:tcPr>
            <w:tcW w:w="1134" w:type="dxa"/>
          </w:tcPr>
          <w:p w:rsidR="00BB282A" w:rsidRDefault="00BB282A" w:rsidP="002F30E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2F30EB">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2F30EB">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F30EB">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2F30EB">
              <w:rPr>
                <w:sz w:val="24"/>
              </w:rPr>
            </w:r>
            <w:r>
              <w:rPr>
                <w:sz w:val="24"/>
              </w:rPr>
              <w:fldChar w:fldCharType="separate"/>
            </w:r>
            <w:r w:rsidR="002F30EB">
              <w:rPr>
                <w:sz w:val="24"/>
              </w:rPr>
              <w:t>177</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2F30EB">
              <w:rPr>
                <w:sz w:val="24"/>
              </w:rPr>
            </w:r>
            <w:r>
              <w:rPr>
                <w:sz w:val="24"/>
              </w:rPr>
              <w:fldChar w:fldCharType="separate"/>
            </w:r>
            <w:r w:rsidR="002F30EB">
              <w:rPr>
                <w:sz w:val="24"/>
              </w:rPr>
              <w:t>150</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2F30EB">
              <w:rPr>
                <w:sz w:val="24"/>
                <w:lang w:val="en-US"/>
              </w:rPr>
            </w:r>
            <w:r>
              <w:rPr>
                <w:sz w:val="24"/>
                <w:lang w:val="en-US"/>
              </w:rPr>
              <w:fldChar w:fldCharType="separate"/>
            </w:r>
            <w:r w:rsidR="002F30EB">
              <w:rPr>
                <w:sz w:val="24"/>
                <w:lang w:val="en-US"/>
              </w:rPr>
              <w:t>152</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2F30EB">
              <w:rPr>
                <w:sz w:val="24"/>
                <w:lang w:val="en-US"/>
              </w:rPr>
            </w:r>
            <w:r>
              <w:rPr>
                <w:sz w:val="24"/>
                <w:lang w:val="en-US"/>
              </w:rPr>
              <w:fldChar w:fldCharType="separate"/>
            </w:r>
            <w:r w:rsidR="002F30EB">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2F30EB">
              <w:rPr>
                <w:sz w:val="24"/>
              </w:rPr>
            </w:r>
            <w:r>
              <w:rPr>
                <w:sz w:val="24"/>
              </w:rPr>
              <w:fldChar w:fldCharType="separate"/>
            </w:r>
            <w:r w:rsidR="002F30EB">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2F30EB">
              <w:rPr>
                <w:sz w:val="24"/>
                <w:lang w:val="en-US"/>
              </w:rPr>
            </w:r>
            <w:r>
              <w:rPr>
                <w:sz w:val="24"/>
                <w:lang w:val="en-US"/>
              </w:rPr>
              <w:fldChar w:fldCharType="separate"/>
            </w:r>
            <w:r w:rsidR="002F30EB">
              <w:rPr>
                <w:sz w:val="24"/>
                <w:lang w:val="en-US"/>
              </w:rPr>
              <w:t>22800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F30EB">
        <w:t>10</w:t>
      </w:r>
      <w:r>
        <w:t>, siguiendo el protocolo CINTA ERGOMETRICA, se detiene la prueba por Agotamiento muscular.</w:t>
      </w:r>
    </w:p>
    <w:p w:rsidR="00857DA0" w:rsidRDefault="00857DA0" w:rsidP="00857DA0">
      <w:pPr>
        <w:pStyle w:val="Textoindependiente"/>
      </w:pPr>
      <w:r>
        <w:t xml:space="preserve">Alcanzó el  </w:t>
      </w:r>
      <w:r w:rsidR="002F30EB">
        <w:t>85</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2F30EB" w:rsidRDefault="002F30EB" w:rsidP="00857DA0">
      <w:pPr>
        <w:pStyle w:val="Textoindependiente"/>
      </w:pPr>
    </w:p>
    <w:p w:rsidR="00857DA0" w:rsidRDefault="00857DA0" w:rsidP="00857DA0">
      <w:pPr>
        <w:pStyle w:val="Textoindependiente"/>
        <w:rPr>
          <w:b/>
          <w:bCs/>
        </w:rPr>
      </w:pPr>
      <w:r>
        <w:rPr>
          <w:b/>
          <w:bCs/>
        </w:rPr>
        <w:t xml:space="preserve">PEG   Máxima - Suficiente. </w:t>
      </w:r>
      <w:r w:rsidR="002F30EB">
        <w:rPr>
          <w:b/>
          <w:bCs/>
        </w:rPr>
        <w:t>ECG basal con BCRI.</w:t>
      </w:r>
    </w:p>
    <w:p w:rsidR="002F30EB" w:rsidRDefault="002F30EB" w:rsidP="00857DA0">
      <w:pPr>
        <w:pStyle w:val="Textoindependiente"/>
        <w:rPr>
          <w:b/>
          <w:bCs/>
        </w:rPr>
      </w:pPr>
    </w:p>
    <w:p w:rsidR="002F30EB" w:rsidRPr="002F30EB" w:rsidRDefault="002F30EB" w:rsidP="00857DA0">
      <w:pPr>
        <w:pStyle w:val="Textoindependiente"/>
      </w:pPr>
      <w:r w:rsidRPr="002F30EB">
        <w:rPr>
          <w:bCs/>
        </w:rPr>
        <w:t>Se observa una dupla ventricular en máximo esfuerzo.</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9F2B9D">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9F2B9D">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2F30EB">
              <w:rPr>
                <w:b/>
                <w:sz w:val="28"/>
              </w:rPr>
              <w:t>0</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2F30EB">
              <w:rPr>
                <w:b/>
                <w:noProof/>
                <w:sz w:val="28"/>
              </w:rPr>
              <w:t>0</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2F30EB">
              <w:rPr>
                <w:b/>
                <w:noProof/>
                <w:sz w:val="28"/>
              </w:rPr>
              <w:t>2</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2F30EB">
              <w:rPr>
                <w:b/>
                <w:sz w:val="28"/>
              </w:rPr>
            </w:r>
            <w:r>
              <w:rPr>
                <w:b/>
                <w:sz w:val="28"/>
              </w:rPr>
              <w:fldChar w:fldCharType="separate"/>
            </w:r>
            <w:r w:rsidR="002F30EB">
              <w:rPr>
                <w:b/>
                <w:sz w:val="28"/>
              </w:rPr>
              <w:t>2</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2F30EB">
              <w:rPr>
                <w:b/>
                <w:sz w:val="28"/>
              </w:rPr>
            </w:r>
            <w:r>
              <w:rPr>
                <w:b/>
                <w:sz w:val="28"/>
              </w:rPr>
              <w:fldChar w:fldCharType="separate"/>
            </w:r>
            <w:r w:rsidR="002F30EB">
              <w:rPr>
                <w:b/>
                <w:sz w:val="28"/>
              </w:rPr>
              <w:t>2</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w:t>
      </w:r>
      <w:r w:rsidR="002F30EB">
        <w:rPr>
          <w:sz w:val="24"/>
        </w:rPr>
        <w:t xml:space="preserve">disquinesia </w:t>
      </w:r>
      <w:proofErr w:type="spellStart"/>
      <w:r w:rsidR="002F30EB">
        <w:rPr>
          <w:sz w:val="24"/>
        </w:rPr>
        <w:t>septal</w:t>
      </w:r>
      <w:proofErr w:type="spellEnd"/>
      <w:r w:rsidR="002F30EB">
        <w:rPr>
          <w:sz w:val="24"/>
        </w:rPr>
        <w:t xml:space="preserve"> con </w:t>
      </w:r>
      <w:proofErr w:type="spellStart"/>
      <w:r w:rsidR="002F30EB">
        <w:rPr>
          <w:sz w:val="24"/>
        </w:rPr>
        <w:t>hipoquinesia</w:t>
      </w:r>
      <w:proofErr w:type="spellEnd"/>
      <w:r w:rsidR="002F30EB">
        <w:rPr>
          <w:sz w:val="24"/>
        </w:rPr>
        <w:t xml:space="preserve"> del resto de los segmentos</w:t>
      </w:r>
      <w:r>
        <w:rPr>
          <w:sz w:val="24"/>
        </w:rPr>
        <w:t>.</w:t>
      </w:r>
      <w:r w:rsidR="00986354" w:rsidRPr="00986354">
        <w:rPr>
          <w:sz w:val="24"/>
          <w:lang w:val="es-ES_tradnl"/>
        </w:rPr>
        <w:t xml:space="preserve"> </w:t>
      </w:r>
      <w:r w:rsidR="00986354">
        <w:rPr>
          <w:sz w:val="24"/>
          <w:lang w:val="es-ES_tradnl"/>
        </w:rPr>
        <w:t xml:space="preserve">FEY </w:t>
      </w:r>
      <w:r w:rsidR="002F30EB">
        <w:rPr>
          <w:sz w:val="24"/>
          <w:lang w:val="es-ES_tradnl"/>
        </w:rPr>
        <w:t>41</w:t>
      </w:r>
      <w:r w:rsidR="00986354">
        <w:rPr>
          <w:sz w:val="24"/>
          <w:lang w:val="es-ES_tradnl"/>
        </w:rPr>
        <w:t>%.</w:t>
      </w:r>
    </w:p>
    <w:p w:rsidR="002F30EB" w:rsidRDefault="002F30EB">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w:t>
      </w:r>
      <w:r w:rsidR="002F30EB">
        <w:t xml:space="preserve">disquinesia </w:t>
      </w:r>
      <w:proofErr w:type="spellStart"/>
      <w:r w:rsidR="002F30EB">
        <w:t>septal</w:t>
      </w:r>
      <w:proofErr w:type="spellEnd"/>
      <w:r w:rsidR="002F30EB">
        <w:t xml:space="preserve"> con leve mejoría de la contractilidad del resto de los segmentos</w:t>
      </w:r>
      <w:r w:rsidR="00BB282A">
        <w:t>.</w:t>
      </w:r>
      <w:r w:rsidR="00986354" w:rsidRPr="00986354">
        <w:rPr>
          <w:lang w:val="es-ES_tradnl"/>
        </w:rPr>
        <w:t xml:space="preserve"> </w:t>
      </w:r>
      <w:r w:rsidR="00986354">
        <w:rPr>
          <w:lang w:val="es-ES_tradnl"/>
        </w:rPr>
        <w:t xml:space="preserve">FEY </w:t>
      </w:r>
      <w:r w:rsidR="002F30EB">
        <w:rPr>
          <w:lang w:val="es-ES_tradnl"/>
        </w:rPr>
        <w:t>46</w:t>
      </w:r>
      <w:r w:rsidR="00986354">
        <w:rPr>
          <w:lang w:val="es-ES_tradnl"/>
        </w:rPr>
        <w:t>%.</w:t>
      </w:r>
    </w:p>
    <w:p w:rsidR="002F30EB" w:rsidRDefault="002F30EB">
      <w:pPr>
        <w:pStyle w:val="Textoindependiente"/>
      </w:pPr>
    </w:p>
    <w:p w:rsidR="00BB282A" w:rsidRDefault="00857DA0">
      <w:pPr>
        <w:pStyle w:val="Textoindependiente"/>
      </w:pPr>
      <w:proofErr w:type="gramStart"/>
      <w:r>
        <w:t>C</w:t>
      </w:r>
      <w:r w:rsidR="00BB282A">
        <w:t xml:space="preserve"> )</w:t>
      </w:r>
      <w:proofErr w:type="gramEnd"/>
      <w:r w:rsidR="00BB282A">
        <w:t xml:space="preserve"> </w:t>
      </w:r>
      <w:r w:rsidR="002F30EB">
        <w:t>Estudio indeterminado, BCRI que dificulta la interpretación del estudio</w:t>
      </w:r>
      <w:r w:rsidR="00BB282A">
        <w:t>.</w:t>
      </w:r>
      <w:r w:rsidR="002F30EB">
        <w:t xml:space="preserve"> Ausencia de síntomas en máximo esfuerzo.</w:t>
      </w:r>
    </w:p>
    <w:p w:rsidR="00BB282A" w:rsidRDefault="00BB282A">
      <w:pPr>
        <w:pStyle w:val="Textoindependiente"/>
      </w:pPr>
    </w:p>
    <w:p w:rsidR="002F30EB" w:rsidRDefault="002F30EB" w:rsidP="00857DA0">
      <w:pPr>
        <w:pStyle w:val="Textoindependiente"/>
        <w:jc w:val="center"/>
        <w:rPr>
          <w:b/>
        </w:rPr>
      </w:pPr>
    </w:p>
    <w:p w:rsidR="002F30EB" w:rsidRDefault="002F30EB" w:rsidP="00857DA0">
      <w:pPr>
        <w:pStyle w:val="Textoindependiente"/>
        <w:jc w:val="center"/>
        <w:rPr>
          <w:b/>
        </w:rPr>
      </w:pPr>
    </w:p>
    <w:p w:rsidR="00BB282A" w:rsidRPr="00D8585D" w:rsidRDefault="002F30EB" w:rsidP="00857DA0">
      <w:pPr>
        <w:pStyle w:val="Textoindependiente"/>
        <w:jc w:val="center"/>
        <w:rPr>
          <w:b/>
        </w:rPr>
      </w:pPr>
      <w:r>
        <w:rPr>
          <w:b/>
        </w:rPr>
        <w:t xml:space="preserve">Dra. Soledad </w:t>
      </w:r>
      <w:proofErr w:type="spellStart"/>
      <w:r>
        <w:rPr>
          <w:b/>
        </w:rPr>
        <w:t>Viguié</w:t>
      </w:r>
      <w:proofErr w:type="spellEnd"/>
    </w:p>
    <w:p w:rsidR="00D8585D" w:rsidRPr="00D8585D" w:rsidRDefault="002F30EB"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131" w:rsidRDefault="00561131">
      <w:r>
        <w:separator/>
      </w:r>
    </w:p>
  </w:endnote>
  <w:endnote w:type="continuationSeparator" w:id="0">
    <w:p w:rsidR="00561131" w:rsidRDefault="00561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F30EB">
      <w:rPr>
        <w:rFonts w:ascii="Monotype Corsiva" w:hAnsi="Monotype Corsiva" w:cs="Arial"/>
        <w:noProof/>
        <w:sz w:val="16"/>
        <w:szCs w:val="16"/>
      </w:rPr>
      <w:t>20180405123000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F30EB">
      <w:rPr>
        <w:rFonts w:ascii="Monotype Corsiva" w:hAnsi="Monotype Corsiva" w:cs="Arial"/>
        <w:noProof/>
        <w:sz w:val="16"/>
        <w:szCs w:val="16"/>
      </w:rPr>
      <w:t>20180405123000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131" w:rsidRDefault="00561131">
      <w:r>
        <w:separator/>
      </w:r>
    </w:p>
  </w:footnote>
  <w:footnote w:type="continuationSeparator" w:id="0">
    <w:p w:rsidR="00561131" w:rsidRDefault="00561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9D"/>
    <w:rsid w:val="0010233F"/>
    <w:rsid w:val="00173155"/>
    <w:rsid w:val="00224D40"/>
    <w:rsid w:val="002A09F9"/>
    <w:rsid w:val="002F30EB"/>
    <w:rsid w:val="003418AA"/>
    <w:rsid w:val="00526533"/>
    <w:rsid w:val="0052658F"/>
    <w:rsid w:val="00561131"/>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9F2B9D"/>
    <w:rsid w:val="00A10BF5"/>
    <w:rsid w:val="00AD2726"/>
    <w:rsid w:val="00B413BB"/>
    <w:rsid w:val="00BB282A"/>
    <w:rsid w:val="00C263F4"/>
    <w:rsid w:val="00C44721"/>
    <w:rsid w:val="00C518A5"/>
    <w:rsid w:val="00D20C5D"/>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F30EB"/>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0E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F30EB"/>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0E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9</TotalTime>
  <Pages>3</Pages>
  <Words>1009</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2018-04-05T15:30:00Z</cp:lastPrinted>
  <dcterms:created xsi:type="dcterms:W3CDTF">2018-04-05T15:15:00Z</dcterms:created>
  <dcterms:modified xsi:type="dcterms:W3CDTF">2018-04-05T16:03:00Z</dcterms:modified>
</cp:coreProperties>
</file>