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DF" w:rsidRDefault="002721DF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2721DF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21DF" w:rsidRDefault="00BC36B1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2721DF" w:rsidRDefault="002721DF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5C0F3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Zaldo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>, S</w:t>
            </w:r>
            <w:r w:rsidR="00504C9C">
              <w:rPr>
                <w:b/>
                <w:smallCaps/>
                <w:color w:val="000000"/>
                <w:sz w:val="24"/>
              </w:rPr>
              <w:t>usana</w:t>
            </w:r>
            <w:r w:rsidR="002721DF">
              <w:rPr>
                <w:b/>
                <w:smallCaps/>
                <w:color w:val="000000"/>
                <w:sz w:val="24"/>
              </w:rPr>
              <w:fldChar w:fldCharType="begin"/>
            </w:r>
            <w:r w:rsidR="00BC36B1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2721DF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504C9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21-12-17</w:t>
            </w:r>
          </w:p>
        </w:tc>
      </w:tr>
      <w:tr w:rsidR="002721DF" w:rsidTr="00504C9C">
        <w:trPr>
          <w:trHeight w:val="473"/>
          <w:jc w:val="center"/>
        </w:trPr>
        <w:tc>
          <w:tcPr>
            <w:tcW w:w="1165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2721DF" w:rsidRDefault="00504C9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2721DF" w:rsidRDefault="005C0F3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</w:t>
            </w:r>
            <w:r w:rsidR="00504C9C">
              <w:rPr>
                <w:b/>
                <w:smallCaps/>
                <w:color w:val="000000"/>
                <w:sz w:val="24"/>
              </w:rPr>
              <w:t>ynch</w:t>
            </w: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5C0F3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5C0F3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PVM – IM Severa</w:t>
            </w:r>
          </w:p>
        </w:tc>
      </w:tr>
    </w:tbl>
    <w:p w:rsidR="002721DF" w:rsidRDefault="002721DF">
      <w:pPr>
        <w:shd w:val="clear" w:color="auto" w:fill="FFFFFF"/>
        <w:rPr>
          <w:sz w:val="12"/>
          <w:szCs w:val="12"/>
        </w:rPr>
      </w:pPr>
    </w:p>
    <w:p w:rsidR="002721DF" w:rsidRDefault="00BC36B1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2721DF" w:rsidRDefault="002721DF">
      <w:pPr>
        <w:shd w:val="clear" w:color="auto" w:fill="FFFFFF"/>
      </w:pPr>
    </w:p>
    <w:bookmarkStart w:id="0" w:name="_MON_1472047644"/>
    <w:bookmarkEnd w:id="0"/>
    <w:p w:rsidR="002721DF" w:rsidRDefault="005C0F38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01.85pt;height:407.7pt" o:ole="">
            <v:imagedata r:id="rId6" o:title=""/>
          </v:shape>
          <o:OLEObject Type="Embed" ProgID="Excel.Sheet.12" ShapeID="_x0000_i1046" DrawAspect="Content" ObjectID="_1575367576" r:id="rId7"/>
        </w:object>
      </w:r>
    </w:p>
    <w:p w:rsidR="002721DF" w:rsidRDefault="002721DF">
      <w:pPr>
        <w:rPr>
          <w:b/>
          <w:sz w:val="24"/>
          <w:szCs w:val="24"/>
          <w:u w:val="single"/>
        </w:rPr>
      </w:pPr>
    </w:p>
    <w:p w:rsidR="005C0F38" w:rsidRDefault="005C0F38">
      <w:pPr>
        <w:rPr>
          <w:b/>
          <w:sz w:val="24"/>
          <w:szCs w:val="24"/>
          <w:u w:val="single"/>
        </w:rPr>
      </w:pPr>
    </w:p>
    <w:p w:rsidR="005C0F38" w:rsidRDefault="005C0F38">
      <w:pPr>
        <w:rPr>
          <w:b/>
          <w:sz w:val="24"/>
          <w:szCs w:val="24"/>
          <w:u w:val="single"/>
        </w:rPr>
      </w:pPr>
    </w:p>
    <w:p w:rsidR="002721DF" w:rsidRDefault="00BC36B1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2721DF" w:rsidRDefault="002721DF">
      <w:pPr>
        <w:pStyle w:val="Normal1"/>
        <w:rPr>
          <w:sz w:val="22"/>
          <w:szCs w:val="22"/>
        </w:rPr>
      </w:pPr>
    </w:p>
    <w:p w:rsidR="00BC36B1" w:rsidRDefault="005C0F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Diámetro diastólico del VI en el límite superior de lo normal. </w:t>
      </w:r>
      <w:proofErr w:type="spellStart"/>
      <w:r>
        <w:rPr>
          <w:rFonts w:ascii="Calibri" w:hAnsi="Calibri"/>
          <w:sz w:val="22"/>
          <w:szCs w:val="22"/>
        </w:rPr>
        <w:t>Hipoquinesia</w:t>
      </w:r>
      <w:proofErr w:type="spellEnd"/>
      <w:r>
        <w:rPr>
          <w:rFonts w:ascii="Calibri" w:hAnsi="Calibri"/>
          <w:sz w:val="22"/>
          <w:szCs w:val="22"/>
        </w:rPr>
        <w:t xml:space="preserve"> difusa en contexto de FA que genera un deterioro moderado de la FSVI. VFD 69 ml, VFS 42 ml, FEY 40%. Velocidades del </w:t>
      </w:r>
      <w:proofErr w:type="spellStart"/>
      <w:r>
        <w:rPr>
          <w:rFonts w:ascii="Calibri" w:hAnsi="Calibri"/>
          <w:sz w:val="22"/>
          <w:szCs w:val="22"/>
        </w:rPr>
        <w:t>Doppler</w:t>
      </w:r>
      <w:proofErr w:type="spellEnd"/>
      <w:r>
        <w:rPr>
          <w:rFonts w:ascii="Calibri" w:hAnsi="Calibri"/>
          <w:sz w:val="22"/>
          <w:szCs w:val="22"/>
        </w:rPr>
        <w:t xml:space="preserve"> tisular a nivel </w:t>
      </w:r>
      <w:proofErr w:type="spellStart"/>
      <w:r>
        <w:rPr>
          <w:rFonts w:ascii="Calibri" w:hAnsi="Calibri"/>
          <w:sz w:val="22"/>
          <w:szCs w:val="22"/>
        </w:rPr>
        <w:t>septal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disminuídas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5C0F38" w:rsidRPr="005C0F38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5C0F38">
        <w:rPr>
          <w:rFonts w:ascii="Calibri" w:hAnsi="Calibri"/>
          <w:sz w:val="22"/>
          <w:szCs w:val="22"/>
        </w:rPr>
        <w:t xml:space="preserve">Espesores parietales de ventrículo izquierdo </w:t>
      </w:r>
      <w:r w:rsidR="005C0F38" w:rsidRPr="005C0F38">
        <w:rPr>
          <w:rFonts w:ascii="Calibri" w:hAnsi="Calibri"/>
          <w:sz w:val="22"/>
          <w:szCs w:val="22"/>
        </w:rPr>
        <w:t>aumentados</w:t>
      </w:r>
      <w:r w:rsidRPr="005C0F38">
        <w:rPr>
          <w:rFonts w:ascii="Calibri" w:hAnsi="Calibri"/>
          <w:sz w:val="22"/>
          <w:szCs w:val="22"/>
        </w:rPr>
        <w:t xml:space="preserve">. </w:t>
      </w:r>
    </w:p>
    <w:p w:rsidR="002721DF" w:rsidRPr="005C0F38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5C0F38">
        <w:rPr>
          <w:rFonts w:ascii="Calibri" w:hAnsi="Calibri"/>
          <w:sz w:val="22"/>
          <w:szCs w:val="22"/>
        </w:rPr>
        <w:t xml:space="preserve">El flujo de llenado del ventrículo izquierdo </w:t>
      </w:r>
      <w:r w:rsidR="005C0F38">
        <w:rPr>
          <w:rFonts w:ascii="Calibri" w:hAnsi="Calibri"/>
          <w:sz w:val="22"/>
          <w:szCs w:val="22"/>
        </w:rPr>
        <w:t>presenta patrón de llenado monofásico con relación E/</w:t>
      </w:r>
      <w:proofErr w:type="spellStart"/>
      <w:r w:rsidR="005C0F38">
        <w:rPr>
          <w:rFonts w:ascii="Calibri" w:hAnsi="Calibri"/>
          <w:sz w:val="22"/>
          <w:szCs w:val="22"/>
        </w:rPr>
        <w:t>E´aumentada</w:t>
      </w:r>
      <w:proofErr w:type="spellEnd"/>
      <w:r w:rsidRPr="005C0F38"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5C0F38">
        <w:rPr>
          <w:rFonts w:ascii="Calibri" w:hAnsi="Calibri"/>
          <w:sz w:val="22"/>
          <w:szCs w:val="22"/>
        </w:rPr>
        <w:t>se encuentra severamente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5C0F38">
        <w:rPr>
          <w:rFonts w:ascii="Calibri" w:hAnsi="Calibri"/>
          <w:sz w:val="22"/>
          <w:szCs w:val="22"/>
        </w:rPr>
        <w:t>aumentadas.</w:t>
      </w:r>
      <w:r>
        <w:rPr>
          <w:rFonts w:ascii="Calibri" w:hAnsi="Calibri"/>
          <w:sz w:val="22"/>
          <w:szCs w:val="22"/>
        </w:rPr>
        <w:t xml:space="preserve"> El ventrículo derecho presenta dimensiones y función conservada. </w:t>
      </w:r>
    </w:p>
    <w:p w:rsidR="002721DF" w:rsidRDefault="005C0F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es redundante con engrosamiento y prolapso </w:t>
      </w:r>
      <w:proofErr w:type="spellStart"/>
      <w:r>
        <w:rPr>
          <w:rFonts w:ascii="Calibri" w:hAnsi="Calibri"/>
          <w:sz w:val="22"/>
          <w:szCs w:val="22"/>
        </w:rPr>
        <w:t>bivalvar</w:t>
      </w:r>
      <w:proofErr w:type="spellEnd"/>
      <w:r>
        <w:rPr>
          <w:rFonts w:ascii="Calibri" w:hAnsi="Calibri"/>
          <w:sz w:val="22"/>
          <w:szCs w:val="22"/>
        </w:rPr>
        <w:t>, presenta apertura conservada y</w:t>
      </w:r>
      <w:r w:rsidR="00BC36B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doble jet de </w:t>
      </w:r>
      <w:r w:rsidR="00BC36B1">
        <w:rPr>
          <w:rFonts w:ascii="Calibri" w:hAnsi="Calibri"/>
          <w:sz w:val="22"/>
          <w:szCs w:val="22"/>
        </w:rPr>
        <w:t>reflujo</w:t>
      </w:r>
      <w:r>
        <w:rPr>
          <w:rFonts w:ascii="Calibri" w:hAnsi="Calibri"/>
          <w:sz w:val="22"/>
          <w:szCs w:val="22"/>
        </w:rPr>
        <w:t xml:space="preserve"> de difícil cuantificación que impresiona de grado severo</w:t>
      </w:r>
      <w:r w:rsidR="00BC36B1"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2721DF" w:rsidRDefault="00BC36B1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DC27C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DC27CD">
        <w:rPr>
          <w:rFonts w:ascii="Calibri" w:hAnsi="Calibri"/>
          <w:sz w:val="22"/>
          <w:szCs w:val="22"/>
        </w:rPr>
        <w:t xml:space="preserve"> leve que permite estimar una PSP de 51 </w:t>
      </w:r>
      <w:proofErr w:type="spellStart"/>
      <w:r w:rsidR="00DC27CD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504C9C">
        <w:rPr>
          <w:rFonts w:ascii="Calibri" w:hAnsi="Calibri"/>
          <w:sz w:val="22"/>
          <w:szCs w:val="22"/>
        </w:rPr>
        <w:t xml:space="preserve"> (17 mm)</w:t>
      </w:r>
      <w:r>
        <w:rPr>
          <w:rFonts w:ascii="Calibri" w:hAnsi="Calibri"/>
          <w:sz w:val="22"/>
          <w:szCs w:val="22"/>
        </w:rPr>
        <w:t>, con colapso inspiratorio m</w:t>
      </w:r>
      <w:r w:rsidR="00504C9C">
        <w:rPr>
          <w:rFonts w:ascii="Calibri" w:hAnsi="Calibri"/>
          <w:sz w:val="22"/>
          <w:szCs w:val="22"/>
        </w:rPr>
        <w:t>enor</w:t>
      </w:r>
      <w:r>
        <w:rPr>
          <w:rFonts w:ascii="Calibri" w:hAnsi="Calibri"/>
          <w:sz w:val="22"/>
          <w:szCs w:val="22"/>
        </w:rPr>
        <w:t xml:space="preserve"> de 50%.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2721DF" w:rsidRDefault="00BC36B1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DC27CD" w:rsidRDefault="00DC27CD" w:rsidP="00DC27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moderado de la FSVI</w:t>
      </w:r>
      <w:bookmarkStart w:id="1" w:name="_GoBack"/>
      <w:bookmarkEnd w:id="1"/>
    </w:p>
    <w:p w:rsidR="00DC27CD" w:rsidRDefault="00DC27CD" w:rsidP="00DC27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DC27CD" w:rsidRDefault="00DC27CD" w:rsidP="00DC27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DC27CD" w:rsidRDefault="00DC27CD" w:rsidP="00DC27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monofásico</w:t>
      </w:r>
    </w:p>
    <w:p w:rsidR="00DC27CD" w:rsidRDefault="00DC27CD" w:rsidP="00DC27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Prolapso mitral </w:t>
      </w:r>
      <w:proofErr w:type="spellStart"/>
      <w:r>
        <w:rPr>
          <w:sz w:val="24"/>
          <w:szCs w:val="24"/>
        </w:rPr>
        <w:t>bivalvar</w:t>
      </w:r>
      <w:proofErr w:type="spellEnd"/>
    </w:p>
    <w:p w:rsidR="00DC27CD" w:rsidRDefault="00DC27CD" w:rsidP="00DC27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z w:val="24"/>
          <w:szCs w:val="24"/>
        </w:rPr>
        <w:t>suficiencia mitral severa</w:t>
      </w:r>
    </w:p>
    <w:p w:rsidR="002721DF" w:rsidRPr="00DC27CD" w:rsidRDefault="00DC27CD" w:rsidP="00DC27CD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Dilatación de la aurícula derecha</w:t>
      </w:r>
    </w:p>
    <w:p w:rsidR="00DC27CD" w:rsidRPr="00DC27CD" w:rsidRDefault="00DC27CD" w:rsidP="00DC27CD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</w:p>
    <w:p w:rsidR="00DC27CD" w:rsidRPr="00DC27CD" w:rsidRDefault="00DC27CD" w:rsidP="00DC27CD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Hipertensión pulmonar leve a moderada</w:t>
      </w:r>
    </w:p>
    <w:p w:rsidR="002721DF" w:rsidRDefault="002721DF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2721DF" w:rsidRDefault="00BC36B1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2721DF" w:rsidRDefault="00BC36B1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2721DF" w:rsidSect="002721DF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DF"/>
    <w:rsid w:val="002721DF"/>
    <w:rsid w:val="00504C9C"/>
    <w:rsid w:val="005C0F38"/>
    <w:rsid w:val="00BC36B1"/>
    <w:rsid w:val="00DC2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2017-12-21T16:19:00Z</cp:lastPrinted>
  <dcterms:created xsi:type="dcterms:W3CDTF">2017-12-21T16:20:00Z</dcterms:created>
  <dcterms:modified xsi:type="dcterms:W3CDTF">2017-12-21T16:20:00Z</dcterms:modified>
</cp:coreProperties>
</file>