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CISTERNINO NORMA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F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F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F29FF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486557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CF29FF">
        <w:rPr>
          <w:rFonts w:asciiTheme="minorHAnsi" w:hAnsiTheme="minorHAnsi"/>
          <w:sz w:val="24"/>
        </w:rPr>
        <w:t>Hipertrofia leve del septum interventricular anterior basal (12mm).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CF29FF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r w:rsidR="00CF29FF">
        <w:rPr>
          <w:rFonts w:asciiTheme="minorHAnsi" w:hAnsiTheme="minorHAnsi"/>
          <w:sz w:val="24"/>
        </w:rPr>
        <w:t xml:space="preserve">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F29FF">
        <w:rPr>
          <w:rFonts w:asciiTheme="minorHAnsi" w:hAnsiTheme="minorHAnsi"/>
          <w:sz w:val="24"/>
        </w:rPr>
        <w:t>Esclerosis valvular aórtica sin disfunción.</w:t>
      </w:r>
    </w:p>
    <w:p w:rsidR="00CF29FF" w:rsidRDefault="00CF29F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65E82"/>
    <w:rsid w:val="004C3B7B"/>
    <w:rsid w:val="00CF2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657BD12-5276-4FCF-AB9D-A5624CD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2018-04-10T14:31:00Z</dcterms:created>
  <dcterms:modified xsi:type="dcterms:W3CDTF">2018-04-10T14:40:00Z</dcterms:modified>
</cp:coreProperties>
</file>