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546DB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 xml:space="preserve">GONZALO, </w:t>
            </w:r>
            <w:bookmarkStart w:id="0" w:name="_GoBack"/>
            <w:bookmarkEnd w:id="0"/>
            <w:r>
              <w:rPr>
                <w:b/>
                <w:smallCaps/>
                <w:color w:val="000000"/>
                <w:sz w:val="24"/>
              </w:rPr>
              <w:t>GUSTAVO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546DB4">
              <w:rPr>
                <w:b/>
                <w:smallCaps/>
                <w:noProof/>
                <w:color w:val="000000"/>
                <w:sz w:val="24"/>
              </w:rPr>
              <w:t>13/09/18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546DB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57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546DB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546DB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546DB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1" w:name="_MON_1472047644"/>
    <w:bookmarkEnd w:id="1"/>
    <w:p w:rsidR="004A2DD3" w:rsidRDefault="00546DB4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98341830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546DB4" w:rsidRDefault="00546DB4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Corazón punta adelante.</w:t>
      </w: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Espesores parietales de ventrículo izquierdo </w:t>
      </w:r>
      <w:r w:rsidR="00546DB4">
        <w:rPr>
          <w:rFonts w:ascii="Calibri" w:hAnsi="Calibri"/>
          <w:sz w:val="22"/>
          <w:szCs w:val="22"/>
        </w:rPr>
        <w:t>levemente aumentados con masa conservada</w:t>
      </w:r>
      <w:r w:rsidRPr="00433F1D">
        <w:rPr>
          <w:rFonts w:ascii="Calibri" w:hAnsi="Calibri"/>
          <w:sz w:val="22"/>
          <w:szCs w:val="22"/>
        </w:rPr>
        <w:t>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</w:t>
      </w:r>
      <w:r w:rsidR="00546DB4">
        <w:rPr>
          <w:rFonts w:ascii="Calibri" w:hAnsi="Calibri"/>
          <w:sz w:val="22"/>
          <w:szCs w:val="22"/>
        </w:rPr>
        <w:t>presenta patrón de relajación prolongada</w:t>
      </w:r>
      <w:r w:rsidRPr="00433F1D"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</w:t>
      </w:r>
      <w:r w:rsidR="00546DB4">
        <w:rPr>
          <w:rFonts w:ascii="Calibri" w:hAnsi="Calibri"/>
          <w:sz w:val="22"/>
          <w:szCs w:val="22"/>
        </w:rPr>
        <w:t>levemente aumentadas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546DB4">
        <w:rPr>
          <w:rFonts w:ascii="Calibri" w:hAnsi="Calibri"/>
          <w:sz w:val="22"/>
          <w:szCs w:val="22"/>
        </w:rPr>
        <w:t>, sin reflujo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203C85" w:rsidRDefault="00203C8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</w:t>
      </w:r>
      <w:r w:rsidR="00546DB4">
        <w:rPr>
          <w:rFonts w:ascii="Calibri" w:hAnsi="Calibri"/>
          <w:sz w:val="22"/>
          <w:szCs w:val="22"/>
        </w:rPr>
        <w:t>6</w:t>
      </w:r>
      <w:r w:rsidR="00354D91">
        <w:rPr>
          <w:rFonts w:ascii="Calibri" w:hAnsi="Calibri"/>
          <w:sz w:val="22"/>
          <w:szCs w:val="22"/>
        </w:rPr>
        <w:t xml:space="preserve"> </w:t>
      </w:r>
      <w:proofErr w:type="spellStart"/>
      <w:r w:rsidR="00354D91">
        <w:rPr>
          <w:rFonts w:ascii="Calibri" w:hAnsi="Calibri"/>
          <w:sz w:val="22"/>
          <w:szCs w:val="22"/>
        </w:rPr>
        <w:t>mmHg</w:t>
      </w:r>
      <w:proofErr w:type="spellEnd"/>
      <w:r w:rsidR="00354D91">
        <w:rPr>
          <w:rFonts w:ascii="Calibri" w:hAnsi="Calibri"/>
          <w:sz w:val="22"/>
          <w:szCs w:val="22"/>
        </w:rPr>
        <w:t>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546DB4" w:rsidRDefault="00546DB4" w:rsidP="00546DB4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546DB4" w:rsidRDefault="00546DB4" w:rsidP="00546DB4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Remodelado ventricular concéntrico</w:t>
      </w:r>
    </w:p>
    <w:p w:rsidR="00546DB4" w:rsidRDefault="00546DB4" w:rsidP="00546DB4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546DB4" w:rsidRDefault="00546DB4" w:rsidP="00546DB4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Alteración de la relajación del ventrículo izquierdo </w:t>
      </w:r>
    </w:p>
    <w:p w:rsidR="004A2DD3" w:rsidRPr="00546DB4" w:rsidRDefault="00546DB4" w:rsidP="00546DB4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Cavidades derechas normales</w:t>
      </w: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203C85"/>
    <w:rsid w:val="00354D91"/>
    <w:rsid w:val="00433F1D"/>
    <w:rsid w:val="004A2DD3"/>
    <w:rsid w:val="00546DB4"/>
    <w:rsid w:val="0070419A"/>
    <w:rsid w:val="00BF4B5B"/>
    <w:rsid w:val="00FF4E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2018-09-13T14:03:00Z</cp:lastPrinted>
  <dcterms:created xsi:type="dcterms:W3CDTF">2018-09-13T13:50:00Z</dcterms:created>
  <dcterms:modified xsi:type="dcterms:W3CDTF">2018-09-13T14:04:00Z</dcterms:modified>
</cp:coreProperties>
</file>