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KENPIPE SACCO SOCIETY LTD                                   </w:t>
        <w:br/>
        <w:t>                                                    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1st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INV250901-21048D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May Mwamuye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202C: TAX REGIME CHANGES &amp; IMPLICATIONS FOR ORGANIZATIONS; ADDRESSING COMPLIANCE CHALLENGES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14TH-19TH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51,725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51,725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8,276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8,276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60,001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