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1st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KENPIPE SACCO SOCIETY LTD                                   </w:t>
        <w:br/>
        <w:t>                                                       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202C: TAX REGIME CHANGES &amp; IMPLICATIONS FOR ORGANIZATIONS; ADDRESSING COMPLIANCE CHALLENGES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May Mwamuye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202C: TAX REGIME CHANGES &amp; IMPLICATIONS FOR ORGANIZATIONS; ADDRESSING COMPLIANCE CHALLENGES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14TH-19TH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79,999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