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1st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KENPIPE SACCO SOCIETY LTD                                   </w:t>
        <w:br/>
        <w:t>                                                       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202C: TAX REGIME CHANGES &amp; IMPLICATIONS FOR ORGANIZATIONS; ADDRESSING COMPLIANCE CHALLENGES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May Mwamuye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202C: TAX REGIME CHANGES &amp; IMPLICATIONS FOR ORGANIZATIONS; ADDRESSING COMPLIANCE CHALLENGES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14TH-19TH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60,001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