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OrgTitle"/>
        <w:bidi w:val="0"/>
        <w:spacing w:before="0" w:after="0"/>
        <w:rPr/>
      </w:pPr>
      <w:r>
        <w:rPr/>
        <w:fldChar w:fldCharType="begin"/>
      </w:r>
      <w:r>
        <w:rPr/>
        <w:instrText xml:space="preserve"> TITLE </w:instrText>
      </w:r>
      <w:r>
        <w:rPr/>
        <w:fldChar w:fldCharType="separate"/>
      </w:r>
      <w:r>
        <w:rPr/>
        <w:t>Modul 3: Livstabel og demografisk fortolkning</w:t>
      </w:r>
      <w:r>
        <w:rPr/>
        <w:fldChar w:fldCharType="end"/>
      </w:r>
    </w:p>
    <w:p>
      <w:pPr>
        <w:pStyle w:val="OrgTitle"/>
        <w:bidi w:val="0"/>
        <w:spacing w:before="0" w:after="0"/>
        <w:rPr/>
      </w:pPr>
      <w:r>
        <w:rPr/>
      </w:r>
    </w:p>
    <w:p>
      <w:pPr>
        <w:pStyle w:val="CourseCredentials"/>
        <w:bidi w:val="0"/>
        <w:jc w:val="center"/>
        <w:rPr/>
      </w:pPr>
      <w:r>
        <w:rPr/>
        <w:t xml:space="preserve">Demografi 3934-F26 </w:t>
        <w:br/>
        <w:t xml:space="preserve"> Folkesundhedsvidenskab, 2. semester </w:t>
      </w:r>
    </w:p>
    <w:p>
      <w:pPr>
        <w:pStyle w:val="Heading201unnumbered"/>
        <w:bidi w:val="0"/>
        <w:jc w:val="left"/>
        <w:outlineLvl w:val="0"/>
        <w:rPr/>
      </w:pPr>
      <w:bookmarkStart w:id="0" w:name="OrgXref.orgab89de2"/>
      <w:bookmarkStart w:id="1" w:name="orgab89de2"/>
      <w:bookmarkEnd w:id="1"/>
      <w:r>
        <w:rPr/>
        <w:t xml:space="preserve">Vejledning </w:t>
      </w:r>
      <w:bookmarkEnd w:id="0"/>
    </w:p>
    <w:p>
      <w:pPr>
        <w:pStyle w:val="BodyText"/>
        <w:bidi w:val="0"/>
        <w:spacing w:before="0" w:after="120"/>
        <w:jc w:val="left"/>
        <w:rPr/>
      </w:pPr>
      <w:r>
        <w:rPr>
          <w:rStyle w:val="Emphasis"/>
        </w:rPr>
        <w:t>Den gode besvarelse er kort og præcis. Det er vigtigt at dine svar er klart struktureret og skrevet i fulde sætninger.</w:t>
      </w:r>
      <w:r>
        <w:rPr/>
        <w:t xml:space="preserve"> </w:t>
      </w:r>
      <w:r>
        <w:rPr>
          <w:rStyle w:val="Emphasis"/>
        </w:rPr>
        <w:t>Skriv dine svar i de udvidende svarfelter og udfyld tabeller/indsæt grafer.</w:t>
      </w:r>
      <w:r>
        <w:rPr/>
        <w:t xml:space="preserve"> </w:t>
      </w:r>
      <w:r>
        <w:rPr>
          <w:rStyle w:val="Emphasis"/>
        </w:rPr>
        <w:t>Du må ikke ændre tabellernes formatering og det er forbudt at sætte egne tabeller ind.</w:t>
      </w:r>
      <w:r>
        <w:rPr/>
        <w:t xml:space="preserve"> </w:t>
      </w:r>
      <w:r>
        <w:rPr>
          <w:rStyle w:val="Emphasis"/>
        </w:rPr>
        <w:t>Din besvarelse til hvert opgave bør ikke overskride 1/2 normalsides tekst svarende til maksimalt 1200 anslag med mindst 10pt skriftstørrelse f.eks., Courier New, men ikke medregnende tabeller o.a..</w:t>
      </w:r>
      <w:r>
        <w:rPr/>
        <w:t xml:space="preserve"> </w:t>
      </w:r>
    </w:p>
    <w:p>
      <w:pPr>
        <w:pStyle w:val="BodyText"/>
        <w:bidi w:val="0"/>
        <w:spacing w:before="0" w:after="120"/>
        <w:jc w:val="left"/>
        <w:rPr/>
      </w:pPr>
      <w:r>
        <w:rPr>
          <w:rStyle w:val="Emphasis"/>
        </w:rPr>
        <w:t>Tal i resultaterne skal rundes af og enheder skal angives hvis relevant.</w:t>
      </w:r>
      <w:r>
        <w:rPr/>
        <w:t xml:space="preserve"> </w:t>
      </w:r>
      <w:r>
        <w:rPr>
          <w:rStyle w:val="Emphasis"/>
        </w:rPr>
        <w:t>R-koder som bruges til at besvare opgaverne findes i Rmd-filen på Absalon.</w:t>
      </w:r>
      <w:r>
        <w:rPr/>
        <w:t xml:space="preserve"> </w:t>
      </w:r>
    </w:p>
    <w:p>
      <w:pPr>
        <w:pStyle w:val="BodyText"/>
        <w:bidi w:val="0"/>
        <w:spacing w:before="0" w:after="120"/>
        <w:jc w:val="left"/>
        <w:rPr/>
      </w:pPr>
      <w:r>
        <w:rPr>
          <w:rStyle w:val="Emphasis"/>
        </w:rPr>
        <w:t>Når du har besvaret alle opgaver, afleverer du denne fil i Absalon.</w:t>
      </w:r>
      <w:r>
        <w:rPr/>
        <w:t xml:space="preserve"> </w:t>
      </w:r>
    </w:p>
    <w:p>
      <w:pPr>
        <w:pStyle w:val="PageBreak"/>
        <w:bidi w:val="0"/>
        <w:jc w:val="left"/>
        <w:rPr/>
      </w:pPr>
      <w:r>
        <w:rPr/>
      </w:r>
    </w:p>
    <w:p>
      <w:pPr>
        <w:pStyle w:val="Heading201unnumbered"/>
        <w:bidi w:val="0"/>
        <w:jc w:val="left"/>
        <w:outlineLvl w:val="0"/>
        <w:rPr/>
      </w:pPr>
      <w:bookmarkStart w:id="2" w:name="OrgXref.org5998187"/>
      <w:bookmarkStart w:id="3" w:name="org5998187"/>
      <w:bookmarkEnd w:id="3"/>
      <w:r>
        <w:rPr/>
        <w:t xml:space="preserve">Baggrund: Livslængde og dødelighed i Danmark </w:t>
      </w:r>
      <w:bookmarkEnd w:id="2"/>
    </w:p>
    <w:p>
      <w:pPr>
        <w:pStyle w:val="Baggrund"/>
        <w:shd w:fill="FFFFE0" w:val="clear"/>
        <w:bidi w:val="0"/>
        <w:spacing w:lineRule="auto" w:line="480" w:before="170" w:after="170"/>
        <w:ind w:left="170" w:right="170"/>
        <w:jc w:val="left"/>
        <w:rPr/>
      </w:pPr>
      <w:r>
        <w:rPr/>
        <w:t xml:space="preserve">I Danmark lever vi længere end nogensinde før. Ifølge Danmarks Statistik er den gennemsnitlige forventede levetid ved fødslen nu omkring 80 år eller mere for både mænd og kvinder. Det betyder, at et barn født i dag i gennemsnit kan forvente at blive omkring 80 år, hvis dødeligheden forbliver på det nuværende niveau. Den stigende middellevetid skyldes blandt andet bedre ernæring, sundhedsvæsen, forebyggelse og effektiv kontrol af infektionssygdomme. Samtidig er sygdomsmønstret ændret, så kroniske, ikke-smitsomme sygdomme som kræft og hjerte-kar-sygdomme nu dominerer dødsårsagerne. Disse sygdomme er tæt forbundet med livsstilsfaktorer som rygning, kost, fysisk aktivitet og alkoholforbrug. Udviklingen betyder, at mål som middellevetid og livstabeller i dag især afspejler ændringer i aldersspecifik dødelighed fra kroniske sygdomme frem for akutte infektioner. Forståelse af disse mønstre er derfor central ved fortolkning af moderne dødelighed. I dødsårsagsstatistikken fra Danmarks Statistik indgår A-06: Psykiske lidelser og adfærdsmæssige forstyrrelser som en selvstændig hovedgruppe. Kategorien bygger på ICD-10’s kapitel F og omfatter blandt andet: demens (F00–F03, herunder Alzheimers sygdom), alkohol- og stofrelaterede psykiske lidelser, affektive og psykotiske lidelser. En væsentlig del af dødsfaldene i A-06 blandt ældre skyldes demens, som er stærkt aldersassocieret. Da demens ofte registreres som underliggende dødsårsag, selv når den umiddelbare dødsårsag fx er infektion eller anden komplikation, fremstår A-06 hyppigst blandt de ældste aldersgrupper. Den høje middellevetid i Danmark medfører således også, at flere når en alder, hvor demenssygdomme bliver hyppige. Det bidrager til, at A-06 fylder relativt mere i dødsårsagsstatistikken i en aldrende befolkning. </w:t>
      </w:r>
    </w:p>
    <w:p>
      <w:pPr>
        <w:pStyle w:val="PageBreak"/>
        <w:bidi w:val="0"/>
        <w:jc w:val="left"/>
        <w:rPr/>
      </w:pPr>
      <w:r>
        <w:rPr/>
      </w:r>
    </w:p>
    <w:p>
      <w:pPr>
        <w:pStyle w:val="Heading201unnumbered"/>
        <w:bidi w:val="0"/>
        <w:jc w:val="left"/>
        <w:outlineLvl w:val="0"/>
        <w:rPr/>
      </w:pPr>
      <w:bookmarkStart w:id="4" w:name="OrgXref.org960e1d8"/>
      <w:bookmarkStart w:id="5" w:name="org960e1d8"/>
      <w:bookmarkEnd w:id="5"/>
      <w:r>
        <w:rPr/>
        <w:t xml:space="preserve">Opgave 1 </w:t>
      </w:r>
      <w:bookmarkEnd w:id="4"/>
    </w:p>
    <w:p>
      <w:pPr>
        <w:pStyle w:val="BodyText"/>
        <w:numPr>
          <w:ilvl w:val="0"/>
          <w:numId w:val="3"/>
        </w:numPr>
        <w:tabs>
          <w:tab w:val="clear" w:pos="1134"/>
          <w:tab w:val="left" w:pos="890" w:leader="none"/>
        </w:tabs>
        <w:bidi w:val="0"/>
        <w:ind w:hanging="360" w:left="890"/>
        <w:jc w:val="left"/>
        <w:rPr/>
      </w:pPr>
      <w:r>
        <w:rPr/>
        <w:t xml:space="preserve">Angiv mindst en årsag til, hvorfor aldersspecifikke mortalitetsrater ikke var konstant de sidste 100 år i Danmark. </w:t>
      </w:r>
    </w:p>
    <w:p>
      <w:pPr>
        <w:pStyle w:val="BodyText"/>
        <w:numPr>
          <w:ilvl w:val="0"/>
          <w:numId w:val="4"/>
        </w:numPr>
        <w:tabs>
          <w:tab w:val="clear" w:pos="1134"/>
          <w:tab w:val="left" w:pos="890" w:leader="none"/>
        </w:tabs>
        <w:bidi w:val="0"/>
        <w:ind w:hanging="360" w:left="890"/>
        <w:jc w:val="left"/>
        <w:rPr/>
      </w:pPr>
      <w:r>
        <w:rPr/>
        <w:t xml:space="preserve">Beskriv mindst en grund til, hvorfor de Danske aldersspecifikke mortalitetsrater ikke ville være konstant de næste 100 år. </w:t>
      </w:r>
    </w:p>
    <w:p>
      <w:pPr>
        <w:pStyle w:val="BodyText"/>
        <w:numPr>
          <w:ilvl w:val="0"/>
          <w:numId w:val="5"/>
        </w:numPr>
        <w:tabs>
          <w:tab w:val="clear" w:pos="1134"/>
          <w:tab w:val="left" w:pos="890" w:leader="none"/>
        </w:tabs>
        <w:bidi w:val="0"/>
        <w:ind w:hanging="360" w:left="890"/>
        <w:jc w:val="left"/>
        <w:rPr/>
      </w:pPr>
      <w:r>
        <w:rPr/>
        <w:t xml:space="preserve">Hvad er forskellen mellem en aldersspecifik dødsrate og en dødelighedssandsynlighed? </w:t>
      </w:r>
    </w:p>
    <w:p>
      <w:pPr>
        <w:pStyle w:val="BodyText"/>
        <w:numPr>
          <w:ilvl w:val="0"/>
          <w:numId w:val="6"/>
        </w:numPr>
        <w:tabs>
          <w:tab w:val="clear" w:pos="1134"/>
          <w:tab w:val="left" w:pos="890" w:leader="none"/>
        </w:tabs>
        <w:bidi w:val="0"/>
        <w:ind w:hanging="360" w:left="890"/>
        <w:jc w:val="left"/>
        <w:rPr/>
      </w:pPr>
      <w:r>
        <w:rPr/>
        <w:t xml:space="preserve">Hvorfor kan middellevetiden stige selv om de aldersspecifikke mortalitetsrater blandt ældre ikke ændrer sig? </w:t>
      </w:r>
    </w:p>
    <w:p>
      <w:pPr>
        <w:pStyle w:val="BodyText"/>
        <w:numPr>
          <w:ilvl w:val="0"/>
          <w:numId w:val="7"/>
        </w:numPr>
        <w:tabs>
          <w:tab w:val="clear" w:pos="1134"/>
          <w:tab w:val="left" w:pos="890" w:leader="none"/>
        </w:tabs>
        <w:bidi w:val="0"/>
        <w:ind w:hanging="360" w:left="890"/>
        <w:jc w:val="left"/>
        <w:rPr/>
      </w:pPr>
      <w:r>
        <w:rPr/>
        <w:t xml:space="preserve">Afhænger middellevetiden aldersfordelingen i befolkningen? </w:t>
      </w:r>
    </w:p>
    <w:p>
      <w:pPr>
        <w:pStyle w:val="BodyText"/>
        <w:numPr>
          <w:ilvl w:val="0"/>
          <w:numId w:val="8"/>
        </w:numPr>
        <w:tabs>
          <w:tab w:val="clear" w:pos="1134"/>
          <w:tab w:val="left" w:pos="890" w:leader="none"/>
        </w:tabs>
        <w:bidi w:val="0"/>
        <w:ind w:hanging="360" w:left="890"/>
        <w:jc w:val="left"/>
        <w:rPr/>
      </w:pPr>
      <w:r>
        <w:rPr/>
        <w:t xml:space="preserve">I 2022 var der 2.346 kvinder og 1.608 mænd, som døde på grund af psykiske lidelser (A-06). Beregn de summariske årsagsspecifikke mortalitetsrater separat for mænd og kvinder. Hvorfor er det ikke helt fair at sammenligne mænd og kvinder med hensyn til de summariske rater af død på grund af psykiske lidelse? </w:t>
      </w:r>
    </w:p>
    <w:p>
      <w:pPr>
        <w:pStyle w:val="Heading201unnumbered"/>
        <w:bidi w:val="0"/>
        <w:jc w:val="left"/>
        <w:outlineLvl w:val="0"/>
        <w:rPr/>
      </w:pPr>
      <w:bookmarkStart w:id="6" w:name="OrgXref.org71ee052"/>
      <w:bookmarkStart w:id="7" w:name="org71ee052"/>
      <w:bookmarkEnd w:id="7"/>
      <w:r>
        <w:rPr/>
        <w:t xml:space="preserve">Dine svar til opgave 1.1 </w:t>
      </w:r>
      <w:bookmarkEnd w:id="6"/>
    </w:p>
    <w:p>
      <w:pPr>
        <w:pStyle w:val="DineSvar"/>
        <w:pBdr>
          <w:top w:val="single" w:sz="4" w:space="1" w:color="000000"/>
          <w:left w:val="single" w:sz="4" w:space="1" w:color="000000"/>
          <w:bottom w:val="single" w:sz="4" w:space="1" w:color="000000"/>
          <w:right w:val="single" w:sz="4" w:space="1" w:color="000000"/>
        </w:pBdr>
        <w:shd w:fill="DCEFF1" w:val="clear"/>
        <w:bidi w:val="0"/>
        <w:spacing w:lineRule="auto" w:line="240" w:before="170" w:after="170"/>
        <w:ind w:hanging="0" w:left="170" w:right="170"/>
        <w:jc w:val="left"/>
        <w:rPr/>
      </w:pPr>
      <w:r>
        <w:rPr/>
        <w:br/>
        <w:t xml:space="preserve"> </w:t>
        <w:br/>
        <w:t xml:space="preserve"> </w:t>
        <w:br/>
        <w:t xml:space="preserve"> </w:t>
      </w:r>
    </w:p>
    <w:p>
      <w:pPr>
        <w:pStyle w:val="Heading201unnumbered"/>
        <w:bidi w:val="0"/>
        <w:jc w:val="left"/>
        <w:outlineLvl w:val="0"/>
        <w:rPr/>
      </w:pPr>
      <w:bookmarkStart w:id="8" w:name="OrgXref.orgb60e7aa"/>
      <w:bookmarkStart w:id="9" w:name="orgb60e7aa"/>
      <w:bookmarkEnd w:id="9"/>
      <w:r>
        <w:rPr/>
        <w:t xml:space="preserve">Dine svar til opgave 1.2 </w:t>
      </w:r>
      <w:bookmarkEnd w:id="8"/>
    </w:p>
    <w:p>
      <w:pPr>
        <w:pStyle w:val="DineSvar"/>
        <w:pBdr>
          <w:top w:val="single" w:sz="4" w:space="1" w:color="000000"/>
          <w:left w:val="single" w:sz="4" w:space="1" w:color="000000"/>
          <w:bottom w:val="single" w:sz="4" w:space="1" w:color="000000"/>
          <w:right w:val="single" w:sz="4" w:space="1" w:color="000000"/>
        </w:pBdr>
        <w:shd w:fill="DCEFF1" w:val="clear"/>
        <w:bidi w:val="0"/>
        <w:spacing w:lineRule="auto" w:line="240" w:before="170" w:after="170"/>
        <w:ind w:hanging="0" w:left="170" w:right="170"/>
        <w:jc w:val="left"/>
        <w:rPr/>
      </w:pPr>
      <w:r>
        <w:rPr/>
        <w:br/>
        <w:t xml:space="preserve"> </w:t>
        <w:br/>
        <w:t xml:space="preserve"> </w:t>
        <w:br/>
        <w:t xml:space="preserve"> </w:t>
      </w:r>
    </w:p>
    <w:p>
      <w:pPr>
        <w:pStyle w:val="Heading201unnumbered"/>
        <w:bidi w:val="0"/>
        <w:jc w:val="left"/>
        <w:outlineLvl w:val="0"/>
        <w:rPr/>
      </w:pPr>
      <w:bookmarkStart w:id="10" w:name="OrgXref.orgbdf7ebb"/>
      <w:bookmarkStart w:id="11" w:name="orgbdf7ebb"/>
      <w:bookmarkEnd w:id="11"/>
      <w:r>
        <w:rPr/>
        <w:t xml:space="preserve">Dine svar til opgave 1.3 </w:t>
      </w:r>
      <w:bookmarkEnd w:id="10"/>
    </w:p>
    <w:p>
      <w:pPr>
        <w:pStyle w:val="DineSvar"/>
        <w:pBdr>
          <w:top w:val="single" w:sz="4" w:space="1" w:color="000000"/>
          <w:left w:val="single" w:sz="4" w:space="1" w:color="000000"/>
          <w:bottom w:val="single" w:sz="4" w:space="1" w:color="000000"/>
          <w:right w:val="single" w:sz="4" w:space="1" w:color="000000"/>
        </w:pBdr>
        <w:shd w:fill="DCEFF1" w:val="clear"/>
        <w:bidi w:val="0"/>
        <w:spacing w:lineRule="auto" w:line="240" w:before="170" w:after="170"/>
        <w:ind w:hanging="0" w:left="170" w:right="170"/>
        <w:jc w:val="left"/>
        <w:rPr/>
      </w:pPr>
      <w:r>
        <w:rPr/>
        <w:br/>
        <w:t xml:space="preserve"> </w:t>
        <w:br/>
        <w:t xml:space="preserve"> </w:t>
        <w:br/>
        <w:t xml:space="preserve"> </w:t>
      </w:r>
    </w:p>
    <w:p>
      <w:pPr>
        <w:pStyle w:val="Heading201unnumbered"/>
        <w:bidi w:val="0"/>
        <w:jc w:val="left"/>
        <w:outlineLvl w:val="0"/>
        <w:rPr/>
      </w:pPr>
      <w:bookmarkStart w:id="12" w:name="OrgXref.org2a05789"/>
      <w:bookmarkStart w:id="13" w:name="org2a05789"/>
      <w:bookmarkEnd w:id="13"/>
      <w:r>
        <w:rPr/>
        <w:t xml:space="preserve">Dine svar til opgave 1.4 </w:t>
      </w:r>
      <w:bookmarkEnd w:id="12"/>
    </w:p>
    <w:p>
      <w:pPr>
        <w:pStyle w:val="DineSvar"/>
        <w:pBdr>
          <w:top w:val="single" w:sz="4" w:space="1" w:color="000000"/>
          <w:left w:val="single" w:sz="4" w:space="1" w:color="000000"/>
          <w:bottom w:val="single" w:sz="4" w:space="1" w:color="000000"/>
          <w:right w:val="single" w:sz="4" w:space="1" w:color="000000"/>
        </w:pBdr>
        <w:shd w:fill="DCEFF1" w:val="clear"/>
        <w:bidi w:val="0"/>
        <w:spacing w:lineRule="auto" w:line="240" w:before="170" w:after="170"/>
        <w:ind w:hanging="0" w:left="170" w:right="170"/>
        <w:jc w:val="left"/>
        <w:rPr/>
      </w:pPr>
      <w:r>
        <w:rPr/>
        <w:br/>
        <w:t xml:space="preserve"> </w:t>
        <w:br/>
        <w:t xml:space="preserve"> </w:t>
        <w:br/>
        <w:t xml:space="preserve"> </w:t>
      </w:r>
    </w:p>
    <w:p>
      <w:pPr>
        <w:pStyle w:val="Heading201unnumbered"/>
        <w:bidi w:val="0"/>
        <w:jc w:val="left"/>
        <w:outlineLvl w:val="0"/>
        <w:rPr/>
      </w:pPr>
      <w:bookmarkStart w:id="14" w:name="OrgXref.orgf5158bf"/>
      <w:bookmarkStart w:id="15" w:name="orgf5158bf"/>
      <w:bookmarkEnd w:id="15"/>
      <w:r>
        <w:rPr/>
        <w:t xml:space="preserve">Dine svar til opgave 1.5 </w:t>
      </w:r>
      <w:bookmarkEnd w:id="14"/>
    </w:p>
    <w:p>
      <w:pPr>
        <w:pStyle w:val="DineSvar"/>
        <w:pBdr>
          <w:top w:val="single" w:sz="4" w:space="1" w:color="000000"/>
          <w:left w:val="single" w:sz="4" w:space="1" w:color="000000"/>
          <w:bottom w:val="single" w:sz="4" w:space="1" w:color="000000"/>
          <w:right w:val="single" w:sz="4" w:space="1" w:color="000000"/>
        </w:pBdr>
        <w:shd w:fill="DCEFF1" w:val="clear"/>
        <w:bidi w:val="0"/>
        <w:spacing w:lineRule="auto" w:line="240" w:before="170" w:after="170"/>
        <w:ind w:hanging="0" w:left="170" w:right="170"/>
        <w:jc w:val="left"/>
        <w:rPr/>
      </w:pPr>
      <w:r>
        <w:rPr/>
        <w:br/>
        <w:t xml:space="preserve"> </w:t>
        <w:br/>
        <w:t xml:space="preserve"> </w:t>
        <w:br/>
        <w:t xml:space="preserve"> </w:t>
      </w:r>
    </w:p>
    <w:p>
      <w:pPr>
        <w:pStyle w:val="Heading201unnumbered"/>
        <w:bidi w:val="0"/>
        <w:jc w:val="left"/>
        <w:outlineLvl w:val="0"/>
        <w:rPr/>
      </w:pPr>
      <w:bookmarkStart w:id="16" w:name="OrgXref.orgf8384a4"/>
      <w:bookmarkStart w:id="17" w:name="orgf8384a4"/>
      <w:bookmarkEnd w:id="17"/>
      <w:r>
        <w:rPr/>
        <w:t xml:space="preserve">Dine svar til opgave 1.6 </w:t>
      </w:r>
      <w:bookmarkEnd w:id="16"/>
    </w:p>
    <w:p>
      <w:pPr>
        <w:pStyle w:val="DineSvar"/>
        <w:pBdr>
          <w:top w:val="single" w:sz="4" w:space="1" w:color="000000"/>
          <w:left w:val="single" w:sz="4" w:space="1" w:color="000000"/>
          <w:bottom w:val="single" w:sz="4" w:space="1" w:color="000000"/>
          <w:right w:val="single" w:sz="4" w:space="1" w:color="000000"/>
        </w:pBdr>
        <w:shd w:fill="DCEFF1" w:val="clear"/>
        <w:bidi w:val="0"/>
        <w:spacing w:lineRule="auto" w:line="240" w:before="170" w:after="170"/>
        <w:ind w:hanging="0" w:left="170" w:right="170"/>
        <w:jc w:val="left"/>
        <w:rPr/>
      </w:pPr>
      <w:r>
        <w:rPr/>
        <w:br/>
        <w:t xml:space="preserve"> </w:t>
        <w:br/>
        <w:t xml:space="preserve"> </w:t>
        <w:br/>
        <w:t xml:space="preserve"> </w:t>
      </w:r>
    </w:p>
    <w:p>
      <w:pPr>
        <w:pStyle w:val="Heading201unnumbered"/>
        <w:bidi w:val="0"/>
        <w:jc w:val="left"/>
        <w:outlineLvl w:val="0"/>
        <w:rPr/>
      </w:pPr>
      <w:bookmarkStart w:id="18" w:name="OrgXref.orgb1ef362"/>
      <w:bookmarkStart w:id="19" w:name="orgb1ef362"/>
      <w:bookmarkEnd w:id="19"/>
      <w:r>
        <w:rPr/>
        <w:t xml:space="preserve">Opgave 2 </w:t>
      </w:r>
      <w:bookmarkEnd w:id="18"/>
    </w:p>
    <w:p>
      <w:pPr>
        <w:pStyle w:val="BodyText"/>
        <w:bidi w:val="0"/>
        <w:spacing w:before="0" w:after="120"/>
        <w:jc w:val="left"/>
        <w:rPr/>
      </w:pPr>
      <w:r>
        <w:rPr/>
        <w:t xml:space="preserve">Beregn middellevetid for kvinder i København kommune i 2025 og udfyld nedenstående tabeller. Svar på følgende spørgsmål til konstruktionen af overlevelsestavlen, og rapporter resultaterne i sammenhængende tekst. </w:t>
      </w:r>
    </w:p>
    <w:p>
      <w:pPr>
        <w:pStyle w:val="BodyText"/>
        <w:numPr>
          <w:ilvl w:val="0"/>
          <w:numId w:val="10"/>
        </w:numPr>
        <w:tabs>
          <w:tab w:val="clear" w:pos="1134"/>
          <w:tab w:val="left" w:pos="890" w:leader="none"/>
        </w:tabs>
        <w:bidi w:val="0"/>
        <w:ind w:hanging="360" w:left="890"/>
        <w:jc w:val="left"/>
        <w:rPr/>
      </w:pPr>
      <w:r>
        <w:rPr/>
        <w:t xml:space="preserve">Forklar forskellen mellem </w:t>
      </w:r>
      <w:r>
        <w:rPr>
          <w:rStyle w:val="OrgCode"/>
        </w:rPr>
        <w:t>Dod</w:t>
      </w:r>
      <w:r>
        <w:rPr/>
        <w:t xml:space="preserve"> i data fra statistikbanken og </w:t>
      </w:r>
      <w:r>
        <w:rPr>
          <w:rStyle w:val="OrgCode"/>
        </w:rPr>
        <w:t>d</w:t>
      </w:r>
      <w:r>
        <w:rPr/>
        <w:t xml:space="preserve"> i overlevelsestavlen. </w:t>
      </w:r>
    </w:p>
    <w:p>
      <w:pPr>
        <w:pStyle w:val="BodyText"/>
        <w:numPr>
          <w:ilvl w:val="0"/>
          <w:numId w:val="11"/>
        </w:numPr>
        <w:tabs>
          <w:tab w:val="clear" w:pos="1134"/>
          <w:tab w:val="left" w:pos="890" w:leader="none"/>
        </w:tabs>
        <w:bidi w:val="0"/>
        <w:ind w:hanging="360" w:left="890"/>
        <w:jc w:val="left"/>
        <w:rPr/>
      </w:pPr>
      <w:r>
        <w:rPr/>
        <w:t xml:space="preserve">Forklar forskellen mellem </w:t>
      </w:r>
      <w:r>
        <w:rPr>
          <w:rStyle w:val="OrgCode"/>
        </w:rPr>
        <w:t>l</w:t>
      </w:r>
      <w:r>
        <w:rPr/>
        <w:t xml:space="preserve"> og </w:t>
      </w:r>
      <w:r>
        <w:rPr>
          <w:rStyle w:val="OrgCode"/>
        </w:rPr>
        <w:t>L</w:t>
      </w:r>
      <w:r>
        <w:rPr/>
        <w:t xml:space="preserve"> i overlevelsestavlen. </w:t>
      </w:r>
    </w:p>
    <w:p>
      <w:pPr>
        <w:pStyle w:val="BodyText"/>
        <w:numPr>
          <w:ilvl w:val="0"/>
          <w:numId w:val="12"/>
        </w:numPr>
        <w:tabs>
          <w:tab w:val="clear" w:pos="1134"/>
          <w:tab w:val="left" w:pos="890" w:leader="none"/>
        </w:tabs>
        <w:bidi w:val="0"/>
        <w:ind w:hanging="360" w:left="890"/>
        <w:jc w:val="left"/>
        <w:rPr/>
      </w:pPr>
      <w:r>
        <w:rPr/>
        <w:t xml:space="preserve">Hvordan beregner man værdien </w:t>
      </w:r>
      <w:r>
        <w:rPr>
          <w:rStyle w:val="OrgCode"/>
        </w:rPr>
        <w:t>l=99.033</w:t>
      </w:r>
      <w:r>
        <w:rPr/>
        <w:t xml:space="preserve"> for 40-49 årige ud fra </w:t>
      </w:r>
      <w:r>
        <w:rPr>
          <w:rStyle w:val="OrgCode"/>
        </w:rPr>
        <w:t>l=99286</w:t>
      </w:r>
      <w:r>
        <w:rPr/>
        <w:t xml:space="preserve"> og </w:t>
      </w:r>
      <w:r>
        <w:rPr>
          <w:rStyle w:val="OrgCode"/>
        </w:rPr>
        <w:t>q=0.00255</w:t>
      </w:r>
      <w:r>
        <w:rPr/>
        <w:t xml:space="preserve">? </w:t>
      </w:r>
    </w:p>
    <w:p>
      <w:pPr>
        <w:pStyle w:val="BodyText"/>
        <w:numPr>
          <w:ilvl w:val="0"/>
          <w:numId w:val="13"/>
        </w:numPr>
        <w:tabs>
          <w:tab w:val="clear" w:pos="1134"/>
          <w:tab w:val="left" w:pos="890" w:leader="none"/>
        </w:tabs>
        <w:bidi w:val="0"/>
        <w:ind w:hanging="360" w:left="890"/>
        <w:jc w:val="left"/>
        <w:rPr/>
      </w:pPr>
      <w:r>
        <w:rPr/>
        <w:t xml:space="preserve">Rapporter og fortolk middellevetiden og også den forventede middelrestlevetid for en 80-årig kvinde. </w:t>
      </w:r>
    </w:p>
    <w:p>
      <w:pPr>
        <w:pStyle w:val="PageBreak"/>
        <w:bidi w:val="0"/>
        <w:jc w:val="left"/>
        <w:rPr/>
      </w:pPr>
      <w:r>
        <w:rPr/>
      </w:r>
    </w:p>
    <w:p>
      <w:pPr>
        <w:pStyle w:val="Heading202unnumbered"/>
        <w:bidi w:val="0"/>
        <w:jc w:val="left"/>
        <w:outlineLvl w:val="1"/>
        <w:rPr/>
      </w:pPr>
      <w:bookmarkStart w:id="20" w:name="OrgXref.org8790d0a"/>
      <w:bookmarkStart w:id="21" w:name="org8790d0a"/>
      <w:bookmarkEnd w:id="21"/>
      <w:r>
        <w:rPr/>
        <w:t xml:space="preserve">Tabel 2.1 </w:t>
      </w:r>
      <w:bookmarkEnd w:id="20"/>
    </w:p>
    <w:p>
      <w:pPr>
        <w:sectPr>
          <w:footerReference w:type="default" r:id="rId2"/>
          <w:type w:val="nextPage"/>
          <w:pgSz w:w="11906" w:h="16838"/>
          <w:pgMar w:left="1134" w:right="1134" w:gutter="0" w:header="0" w:top="1134" w:footer="1134" w:bottom="1860"/>
          <w:pgNumType w:fmt="decimal"/>
          <w:formProt w:val="false"/>
          <w:textDirection w:val="lrTb"/>
          <w:docGrid w:type="default" w:linePitch="600" w:charSpace="40960"/>
        </w:sectPr>
      </w:pPr>
    </w:p>
    <w:tbl>
      <w:tblPr>
        <w:tblW w:w="4800" w:type="pct"/>
        <w:jc w:val="center"/>
        <w:tblInd w:w="0" w:type="dxa"/>
        <w:tblLayout w:type="fixed"/>
        <w:tblCellMar>
          <w:top w:w="90" w:type="dxa"/>
          <w:left w:w="90" w:type="dxa"/>
          <w:bottom w:w="90" w:type="dxa"/>
          <w:right w:w="90" w:type="dxa"/>
        </w:tblCellMar>
      </w:tblPr>
      <w:tblGrid>
        <w:gridCol w:w="1542"/>
        <w:gridCol w:w="1542"/>
        <w:gridCol w:w="1542"/>
        <w:gridCol w:w="1542"/>
        <w:gridCol w:w="1542"/>
        <w:gridCol w:w="1542"/>
      </w:tblGrid>
      <w:tr>
        <w:trPr>
          <w:tblHeader w:val="true"/>
        </w:trPr>
        <w:tc>
          <w:tcPr>
            <w:tcW w:w="1542" w:type="dxa"/>
            <w:tcBorders>
              <w:top w:val="single" w:sz="2" w:space="0" w:color="000000"/>
              <w:bottom w:val="single" w:sz="2" w:space="0" w:color="000000"/>
            </w:tcBorders>
          </w:tcPr>
          <w:p>
            <w:pPr>
              <w:pStyle w:val="OrgTableHeadingRight"/>
              <w:bidi w:val="0"/>
              <w:spacing w:before="0" w:after="120"/>
              <w:jc w:val="right"/>
              <w:rPr/>
            </w:pPr>
            <w:r>
              <w:rPr/>
              <w:t>aldersinterval</w:t>
            </w:r>
          </w:p>
        </w:tc>
        <w:tc>
          <w:tcPr>
            <w:tcW w:w="1542" w:type="dxa"/>
            <w:tcBorders>
              <w:top w:val="single" w:sz="2" w:space="0" w:color="000000"/>
              <w:bottom w:val="single" w:sz="2" w:space="0" w:color="000000"/>
            </w:tcBorders>
          </w:tcPr>
          <w:p>
            <w:pPr>
              <w:pStyle w:val="OrgTableHeadingRight"/>
              <w:bidi w:val="0"/>
              <w:spacing w:before="0" w:after="120"/>
              <w:jc w:val="right"/>
              <w:rPr/>
            </w:pPr>
            <w:r>
              <w:rPr/>
              <w:t>R</w:t>
            </w:r>
          </w:p>
        </w:tc>
        <w:tc>
          <w:tcPr>
            <w:tcW w:w="1542" w:type="dxa"/>
            <w:tcBorders>
              <w:top w:val="single" w:sz="2" w:space="0" w:color="000000"/>
              <w:bottom w:val="single" w:sz="2" w:space="0" w:color="000000"/>
            </w:tcBorders>
          </w:tcPr>
          <w:p>
            <w:pPr>
              <w:pStyle w:val="OrgTableHeadingRight"/>
              <w:bidi w:val="0"/>
              <w:spacing w:before="0" w:after="120"/>
              <w:jc w:val="right"/>
              <w:rPr/>
            </w:pPr>
            <w:r>
              <w:rPr/>
              <w:t>Dod</w:t>
            </w:r>
          </w:p>
        </w:tc>
        <w:tc>
          <w:tcPr>
            <w:tcW w:w="1542" w:type="dxa"/>
            <w:tcBorders>
              <w:top w:val="single" w:sz="2" w:space="0" w:color="000000"/>
              <w:bottom w:val="single" w:sz="2" w:space="0" w:color="000000"/>
            </w:tcBorders>
          </w:tcPr>
          <w:p>
            <w:pPr>
              <w:pStyle w:val="OrgTableHeadingLeft"/>
              <w:bidi w:val="0"/>
              <w:spacing w:before="0" w:after="120"/>
              <w:jc w:val="left"/>
              <w:rPr/>
            </w:pPr>
            <w:r>
              <w:rPr/>
              <w:t>M</w:t>
            </w:r>
          </w:p>
        </w:tc>
        <w:tc>
          <w:tcPr>
            <w:tcW w:w="1542" w:type="dxa"/>
            <w:tcBorders>
              <w:top w:val="single" w:sz="2" w:space="0" w:color="000000"/>
              <w:bottom w:val="single" w:sz="2" w:space="0" w:color="000000"/>
            </w:tcBorders>
          </w:tcPr>
          <w:p>
            <w:pPr>
              <w:pStyle w:val="OrgTableHeadingLeft"/>
              <w:bidi w:val="0"/>
              <w:spacing w:before="0" w:after="120"/>
              <w:jc w:val="left"/>
              <w:rPr/>
            </w:pPr>
            <w:r>
              <w:rPr/>
              <w:t>k</w:t>
            </w:r>
          </w:p>
        </w:tc>
        <w:tc>
          <w:tcPr>
            <w:tcW w:w="1542" w:type="dxa"/>
            <w:tcBorders>
              <w:top w:val="single" w:sz="2" w:space="0" w:color="000000"/>
              <w:bottom w:val="single" w:sz="2" w:space="0" w:color="000000"/>
            </w:tcBorders>
          </w:tcPr>
          <w:p>
            <w:pPr>
              <w:pStyle w:val="OrgTableHeadingLeft"/>
              <w:bidi w:val="0"/>
              <w:spacing w:before="0" w:after="120"/>
              <w:jc w:val="left"/>
              <w:rPr/>
            </w:pPr>
            <w:r>
              <w:rPr/>
              <w:t>a</w:t>
            </w:r>
          </w:p>
        </w:tc>
      </w:tr>
      <w:tr>
        <w:trPr/>
        <w:tc>
          <w:tcPr>
            <w:tcW w:w="1542" w:type="dxa"/>
            <w:tcBorders>
              <w:top w:val="single" w:sz="2" w:space="0" w:color="000000"/>
            </w:tcBorders>
          </w:tcPr>
          <w:p>
            <w:pPr>
              <w:pStyle w:val="OrgTableContentsRight"/>
              <w:bidi w:val="0"/>
              <w:spacing w:before="0" w:after="120"/>
              <w:jc w:val="right"/>
              <w:rPr/>
            </w:pPr>
            <w:r>
              <w:rPr/>
              <w:t>0-1</w:t>
            </w:r>
          </w:p>
        </w:tc>
        <w:tc>
          <w:tcPr>
            <w:tcW w:w="1542" w:type="dxa"/>
            <w:tcBorders>
              <w:top w:val="single" w:sz="2" w:space="0" w:color="000000"/>
            </w:tcBorders>
          </w:tcPr>
          <w:p>
            <w:pPr>
              <w:pStyle w:val="OrgTableContentsRight"/>
              <w:bidi w:val="0"/>
              <w:spacing w:before="0" w:after="120"/>
              <w:jc w:val="right"/>
              <w:rPr/>
            </w:pPr>
            <w:r>
              <w:rPr/>
              <w:t>8179</w:t>
            </w:r>
          </w:p>
        </w:tc>
        <w:tc>
          <w:tcPr>
            <w:tcW w:w="1542" w:type="dxa"/>
            <w:tcBorders>
              <w:top w:val="single" w:sz="2" w:space="0" w:color="000000"/>
            </w:tcBorders>
          </w:tcPr>
          <w:p>
            <w:pPr>
              <w:pStyle w:val="OrgTableContentsRight"/>
              <w:bidi w:val="0"/>
              <w:spacing w:before="0" w:after="120"/>
              <w:jc w:val="right"/>
              <w:rPr/>
            </w:pPr>
            <w:r>
              <w:rPr/>
              <w:t>17</w:t>
            </w:r>
          </w:p>
        </w:tc>
        <w:tc>
          <w:tcPr>
            <w:tcW w:w="1542" w:type="dxa"/>
            <w:tcBorders>
              <w:top w:val="single" w:sz="2" w:space="0" w:color="000000"/>
            </w:tcBorders>
          </w:tcPr>
          <w:p>
            <w:pPr>
              <w:pStyle w:val="OrgTableContentsLeft"/>
              <w:bidi w:val="0"/>
              <w:spacing w:before="0" w:after="120"/>
              <w:jc w:val="left"/>
              <w:rPr/>
            </w:pPr>
            <w:r>
              <w:rPr/>
            </w:r>
          </w:p>
        </w:tc>
        <w:tc>
          <w:tcPr>
            <w:tcW w:w="1542" w:type="dxa"/>
            <w:tcBorders>
              <w:top w:val="single" w:sz="2" w:space="0" w:color="000000"/>
            </w:tcBorders>
          </w:tcPr>
          <w:p>
            <w:pPr>
              <w:pStyle w:val="OrgTableContentsLeft"/>
              <w:bidi w:val="0"/>
              <w:spacing w:before="0" w:after="120"/>
              <w:jc w:val="left"/>
              <w:rPr/>
            </w:pPr>
            <w:r>
              <w:rPr/>
            </w:r>
          </w:p>
        </w:tc>
        <w:tc>
          <w:tcPr>
            <w:tcW w:w="1542" w:type="dxa"/>
            <w:tcBorders>
              <w:top w:val="single" w:sz="2" w:space="0" w:color="000000"/>
            </w:tcBorders>
          </w:tcPr>
          <w:p>
            <w:pPr>
              <w:pStyle w:val="OrgTableContentsLeft"/>
              <w:bidi w:val="0"/>
              <w:spacing w:before="0" w:after="120"/>
              <w:jc w:val="left"/>
              <w:rPr/>
            </w:pPr>
            <w:r>
              <w:rPr/>
            </w:r>
          </w:p>
        </w:tc>
      </w:tr>
      <w:tr>
        <w:trPr/>
        <w:tc>
          <w:tcPr>
            <w:tcW w:w="1542" w:type="dxa"/>
            <w:tcBorders/>
          </w:tcPr>
          <w:p>
            <w:pPr>
              <w:pStyle w:val="OrgTableContentsRight"/>
              <w:bidi w:val="0"/>
              <w:spacing w:before="0" w:after="120"/>
              <w:jc w:val="right"/>
              <w:rPr/>
            </w:pPr>
            <w:r>
              <w:rPr/>
              <w:t>2-5</w:t>
            </w:r>
          </w:p>
        </w:tc>
        <w:tc>
          <w:tcPr>
            <w:tcW w:w="1542" w:type="dxa"/>
            <w:tcBorders/>
          </w:tcPr>
          <w:p>
            <w:pPr>
              <w:pStyle w:val="OrgTableContentsRight"/>
              <w:bidi w:val="0"/>
              <w:spacing w:before="0" w:after="120"/>
              <w:jc w:val="right"/>
              <w:rPr/>
            </w:pPr>
            <w:r>
              <w:rPr/>
              <w:t>13197</w:t>
            </w:r>
          </w:p>
        </w:tc>
        <w:tc>
          <w:tcPr>
            <w:tcW w:w="1542" w:type="dxa"/>
            <w:tcBorders/>
          </w:tcPr>
          <w:p>
            <w:pPr>
              <w:pStyle w:val="OrgTableContentsRight"/>
              <w:bidi w:val="0"/>
              <w:spacing w:before="0" w:after="120"/>
              <w:jc w:val="right"/>
              <w:rPr/>
            </w:pPr>
            <w:r>
              <w:rPr/>
              <w:t>0</w:t>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r>
      <w:tr>
        <w:trPr/>
        <w:tc>
          <w:tcPr>
            <w:tcW w:w="1542" w:type="dxa"/>
            <w:tcBorders/>
          </w:tcPr>
          <w:p>
            <w:pPr>
              <w:pStyle w:val="OrgTableContentsRight"/>
              <w:bidi w:val="0"/>
              <w:spacing w:before="0" w:after="120"/>
              <w:jc w:val="right"/>
              <w:rPr/>
            </w:pPr>
            <w:r>
              <w:rPr/>
              <w:t>6-15</w:t>
            </w:r>
          </w:p>
        </w:tc>
        <w:tc>
          <w:tcPr>
            <w:tcW w:w="1542" w:type="dxa"/>
            <w:tcBorders/>
          </w:tcPr>
          <w:p>
            <w:pPr>
              <w:pStyle w:val="OrgTableContentsRight"/>
              <w:bidi w:val="0"/>
              <w:spacing w:before="0" w:after="120"/>
              <w:jc w:val="right"/>
              <w:rPr/>
            </w:pPr>
            <w:r>
              <w:rPr/>
              <w:t>27273</w:t>
            </w:r>
          </w:p>
        </w:tc>
        <w:tc>
          <w:tcPr>
            <w:tcW w:w="1542" w:type="dxa"/>
            <w:tcBorders/>
          </w:tcPr>
          <w:p>
            <w:pPr>
              <w:pStyle w:val="OrgTableContentsRight"/>
              <w:bidi w:val="0"/>
              <w:spacing w:before="0" w:after="120"/>
              <w:jc w:val="right"/>
              <w:rPr/>
            </w:pPr>
            <w:r>
              <w:rPr/>
              <w:t>2</w:t>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r>
      <w:tr>
        <w:trPr/>
        <w:tc>
          <w:tcPr>
            <w:tcW w:w="1542" w:type="dxa"/>
            <w:tcBorders/>
          </w:tcPr>
          <w:p>
            <w:pPr>
              <w:pStyle w:val="OrgTableContentsRight"/>
              <w:bidi w:val="0"/>
              <w:spacing w:before="0" w:after="120"/>
              <w:jc w:val="right"/>
              <w:rPr/>
            </w:pPr>
            <w:r>
              <w:rPr/>
              <w:t>16-25</w:t>
            </w:r>
          </w:p>
        </w:tc>
        <w:tc>
          <w:tcPr>
            <w:tcW w:w="1542" w:type="dxa"/>
            <w:tcBorders/>
          </w:tcPr>
          <w:p>
            <w:pPr>
              <w:pStyle w:val="OrgTableContentsRight"/>
              <w:bidi w:val="0"/>
              <w:spacing w:before="0" w:after="120"/>
              <w:jc w:val="right"/>
              <w:rPr/>
            </w:pPr>
            <w:r>
              <w:rPr/>
              <w:t>54669</w:t>
            </w:r>
          </w:p>
        </w:tc>
        <w:tc>
          <w:tcPr>
            <w:tcW w:w="1542" w:type="dxa"/>
            <w:tcBorders/>
          </w:tcPr>
          <w:p>
            <w:pPr>
              <w:pStyle w:val="OrgTableContentsRight"/>
              <w:bidi w:val="0"/>
              <w:spacing w:before="0" w:after="120"/>
              <w:jc w:val="right"/>
              <w:rPr/>
            </w:pPr>
            <w:r>
              <w:rPr/>
              <w:t>11</w:t>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r>
      <w:tr>
        <w:trPr/>
        <w:tc>
          <w:tcPr>
            <w:tcW w:w="1542" w:type="dxa"/>
            <w:tcBorders/>
          </w:tcPr>
          <w:p>
            <w:pPr>
              <w:pStyle w:val="OrgTableContentsRight"/>
              <w:bidi w:val="0"/>
              <w:spacing w:before="0" w:after="120"/>
              <w:jc w:val="right"/>
              <w:rPr/>
            </w:pPr>
            <w:r>
              <w:rPr/>
              <w:t>26-35</w:t>
            </w:r>
          </w:p>
        </w:tc>
        <w:tc>
          <w:tcPr>
            <w:tcW w:w="1542" w:type="dxa"/>
            <w:tcBorders/>
          </w:tcPr>
          <w:p>
            <w:pPr>
              <w:pStyle w:val="OrgTableContentsRight"/>
              <w:bidi w:val="0"/>
              <w:spacing w:before="0" w:after="120"/>
              <w:jc w:val="right"/>
              <w:rPr/>
            </w:pPr>
            <w:r>
              <w:rPr/>
              <w:t>84415</w:t>
            </w:r>
          </w:p>
        </w:tc>
        <w:tc>
          <w:tcPr>
            <w:tcW w:w="1542" w:type="dxa"/>
            <w:tcBorders/>
          </w:tcPr>
          <w:p>
            <w:pPr>
              <w:pStyle w:val="OrgTableContentsRight"/>
              <w:bidi w:val="0"/>
              <w:spacing w:before="0" w:after="120"/>
              <w:jc w:val="right"/>
              <w:rPr/>
            </w:pPr>
            <w:r>
              <w:rPr/>
              <w:t>14</w:t>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r>
      <w:tr>
        <w:trPr/>
        <w:tc>
          <w:tcPr>
            <w:tcW w:w="1542" w:type="dxa"/>
            <w:tcBorders/>
          </w:tcPr>
          <w:p>
            <w:pPr>
              <w:pStyle w:val="OrgTableContentsRight"/>
              <w:bidi w:val="0"/>
              <w:spacing w:before="0" w:after="120"/>
              <w:jc w:val="right"/>
              <w:rPr/>
            </w:pPr>
            <w:r>
              <w:rPr/>
              <w:t>36-45</w:t>
            </w:r>
          </w:p>
        </w:tc>
        <w:tc>
          <w:tcPr>
            <w:tcW w:w="1542" w:type="dxa"/>
            <w:tcBorders/>
          </w:tcPr>
          <w:p>
            <w:pPr>
              <w:pStyle w:val="OrgTableContentsRight"/>
              <w:bidi w:val="0"/>
              <w:spacing w:before="0" w:after="120"/>
              <w:jc w:val="right"/>
              <w:rPr/>
            </w:pPr>
            <w:r>
              <w:rPr/>
              <w:t>45331</w:t>
            </w:r>
          </w:p>
        </w:tc>
        <w:tc>
          <w:tcPr>
            <w:tcW w:w="1542" w:type="dxa"/>
            <w:tcBorders/>
          </w:tcPr>
          <w:p>
            <w:pPr>
              <w:pStyle w:val="OrgTableContentsRight"/>
              <w:bidi w:val="0"/>
              <w:spacing w:before="0" w:after="120"/>
              <w:jc w:val="right"/>
              <w:rPr/>
            </w:pPr>
            <w:r>
              <w:rPr/>
              <w:t>19</w:t>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r>
      <w:tr>
        <w:trPr/>
        <w:tc>
          <w:tcPr>
            <w:tcW w:w="1542" w:type="dxa"/>
            <w:tcBorders/>
          </w:tcPr>
          <w:p>
            <w:pPr>
              <w:pStyle w:val="OrgTableContentsRight"/>
              <w:bidi w:val="0"/>
              <w:spacing w:before="0" w:after="120"/>
              <w:jc w:val="right"/>
              <w:rPr/>
            </w:pPr>
            <w:r>
              <w:rPr/>
              <w:t>46-55</w:t>
            </w:r>
          </w:p>
        </w:tc>
        <w:tc>
          <w:tcPr>
            <w:tcW w:w="1542" w:type="dxa"/>
            <w:tcBorders/>
          </w:tcPr>
          <w:p>
            <w:pPr>
              <w:pStyle w:val="OrgTableContentsRight"/>
              <w:bidi w:val="0"/>
              <w:spacing w:before="0" w:after="120"/>
              <w:jc w:val="right"/>
              <w:rPr/>
            </w:pPr>
            <w:r>
              <w:rPr/>
              <w:t>37892</w:t>
            </w:r>
          </w:p>
        </w:tc>
        <w:tc>
          <w:tcPr>
            <w:tcW w:w="1542" w:type="dxa"/>
            <w:tcBorders/>
          </w:tcPr>
          <w:p>
            <w:pPr>
              <w:pStyle w:val="OrgTableContentsRight"/>
              <w:bidi w:val="0"/>
              <w:spacing w:before="0" w:after="120"/>
              <w:jc w:val="right"/>
              <w:rPr/>
            </w:pPr>
            <w:r>
              <w:rPr/>
              <w:t>55</w:t>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r>
      <w:tr>
        <w:trPr/>
        <w:tc>
          <w:tcPr>
            <w:tcW w:w="1542" w:type="dxa"/>
            <w:tcBorders/>
          </w:tcPr>
          <w:p>
            <w:pPr>
              <w:pStyle w:val="OrgTableContentsRight"/>
              <w:bidi w:val="0"/>
              <w:spacing w:before="0" w:after="120"/>
              <w:jc w:val="right"/>
              <w:rPr/>
            </w:pPr>
            <w:r>
              <w:rPr/>
              <w:t>56-65</w:t>
            </w:r>
          </w:p>
        </w:tc>
        <w:tc>
          <w:tcPr>
            <w:tcW w:w="1542" w:type="dxa"/>
            <w:tcBorders/>
          </w:tcPr>
          <w:p>
            <w:pPr>
              <w:pStyle w:val="OrgTableContentsRight"/>
              <w:bidi w:val="0"/>
              <w:spacing w:before="0" w:after="120"/>
              <w:jc w:val="right"/>
              <w:rPr/>
            </w:pPr>
            <w:r>
              <w:rPr/>
              <w:t>30306</w:t>
            </w:r>
          </w:p>
        </w:tc>
        <w:tc>
          <w:tcPr>
            <w:tcW w:w="1542" w:type="dxa"/>
            <w:tcBorders/>
          </w:tcPr>
          <w:p>
            <w:pPr>
              <w:pStyle w:val="OrgTableContentsRight"/>
              <w:bidi w:val="0"/>
              <w:spacing w:before="0" w:after="120"/>
              <w:jc w:val="right"/>
              <w:rPr/>
            </w:pPr>
            <w:r>
              <w:rPr/>
              <w:t>130</w:t>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r>
      <w:tr>
        <w:trPr/>
        <w:tc>
          <w:tcPr>
            <w:tcW w:w="1542" w:type="dxa"/>
            <w:tcBorders/>
          </w:tcPr>
          <w:p>
            <w:pPr>
              <w:pStyle w:val="OrgTableContentsRight"/>
              <w:bidi w:val="0"/>
              <w:spacing w:before="0" w:after="120"/>
              <w:jc w:val="right"/>
              <w:rPr/>
            </w:pPr>
            <w:r>
              <w:rPr/>
              <w:t>66-75</w:t>
            </w:r>
          </w:p>
        </w:tc>
        <w:tc>
          <w:tcPr>
            <w:tcW w:w="1542" w:type="dxa"/>
            <w:tcBorders/>
          </w:tcPr>
          <w:p>
            <w:pPr>
              <w:pStyle w:val="OrgTableContentsRight"/>
              <w:bidi w:val="0"/>
              <w:spacing w:before="0" w:after="120"/>
              <w:jc w:val="right"/>
              <w:rPr/>
            </w:pPr>
            <w:r>
              <w:rPr/>
              <w:t>20253</w:t>
            </w:r>
          </w:p>
        </w:tc>
        <w:tc>
          <w:tcPr>
            <w:tcW w:w="1542" w:type="dxa"/>
            <w:tcBorders/>
          </w:tcPr>
          <w:p>
            <w:pPr>
              <w:pStyle w:val="OrgTableContentsRight"/>
              <w:bidi w:val="0"/>
              <w:spacing w:before="0" w:after="120"/>
              <w:jc w:val="right"/>
              <w:rPr/>
            </w:pPr>
            <w:r>
              <w:rPr/>
              <w:t>282</w:t>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r>
      <w:tr>
        <w:trPr/>
        <w:tc>
          <w:tcPr>
            <w:tcW w:w="1542" w:type="dxa"/>
            <w:tcBorders/>
          </w:tcPr>
          <w:p>
            <w:pPr>
              <w:pStyle w:val="OrgTableContentsRight"/>
              <w:bidi w:val="0"/>
              <w:spacing w:before="0" w:after="120"/>
              <w:jc w:val="right"/>
              <w:rPr/>
            </w:pPr>
            <w:r>
              <w:rPr/>
              <w:t>76-85</w:t>
            </w:r>
          </w:p>
        </w:tc>
        <w:tc>
          <w:tcPr>
            <w:tcW w:w="1542" w:type="dxa"/>
            <w:tcBorders/>
          </w:tcPr>
          <w:p>
            <w:pPr>
              <w:pStyle w:val="OrgTableContentsRight"/>
              <w:bidi w:val="0"/>
              <w:spacing w:before="0" w:after="120"/>
              <w:jc w:val="right"/>
              <w:rPr/>
            </w:pPr>
            <w:r>
              <w:rPr/>
              <w:t>13637</w:t>
            </w:r>
          </w:p>
        </w:tc>
        <w:tc>
          <w:tcPr>
            <w:tcW w:w="1542" w:type="dxa"/>
            <w:tcBorders/>
          </w:tcPr>
          <w:p>
            <w:pPr>
              <w:pStyle w:val="OrgTableContentsRight"/>
              <w:bidi w:val="0"/>
              <w:spacing w:before="0" w:after="120"/>
              <w:jc w:val="right"/>
              <w:rPr/>
            </w:pPr>
            <w:r>
              <w:rPr/>
              <w:t>567</w:t>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r>
      <w:tr>
        <w:trPr/>
        <w:tc>
          <w:tcPr>
            <w:tcW w:w="1542" w:type="dxa"/>
            <w:tcBorders/>
          </w:tcPr>
          <w:p>
            <w:pPr>
              <w:pStyle w:val="OrgTableContentsRight"/>
              <w:bidi w:val="0"/>
              <w:spacing w:before="0" w:after="120"/>
              <w:jc w:val="right"/>
              <w:rPr/>
            </w:pPr>
            <w:r>
              <w:rPr/>
              <w:t>86-95</w:t>
            </w:r>
          </w:p>
        </w:tc>
        <w:tc>
          <w:tcPr>
            <w:tcW w:w="1542" w:type="dxa"/>
            <w:tcBorders/>
          </w:tcPr>
          <w:p>
            <w:pPr>
              <w:pStyle w:val="OrgTableContentsRight"/>
              <w:bidi w:val="0"/>
              <w:spacing w:before="0" w:after="120"/>
              <w:jc w:val="right"/>
              <w:rPr/>
            </w:pPr>
            <w:r>
              <w:rPr/>
              <w:t>3526</w:t>
            </w:r>
          </w:p>
        </w:tc>
        <w:tc>
          <w:tcPr>
            <w:tcW w:w="1542" w:type="dxa"/>
            <w:tcBorders/>
          </w:tcPr>
          <w:p>
            <w:pPr>
              <w:pStyle w:val="OrgTableContentsRight"/>
              <w:bidi w:val="0"/>
              <w:spacing w:before="0" w:after="120"/>
              <w:jc w:val="right"/>
              <w:rPr/>
            </w:pPr>
            <w:r>
              <w:rPr/>
              <w:t>488</w:t>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r>
      <w:tr>
        <w:trPr/>
        <w:tc>
          <w:tcPr>
            <w:tcW w:w="1542" w:type="dxa"/>
            <w:tcBorders>
              <w:bottom w:val="single" w:sz="2" w:space="0" w:color="000000"/>
            </w:tcBorders>
          </w:tcPr>
          <w:p>
            <w:pPr>
              <w:pStyle w:val="OrgTableContentsRight"/>
              <w:bidi w:val="0"/>
              <w:spacing w:before="0" w:after="120"/>
              <w:jc w:val="right"/>
              <w:rPr/>
            </w:pPr>
            <w:r>
              <w:rPr/>
              <w:t>&gt;95</w:t>
            </w:r>
          </w:p>
        </w:tc>
        <w:tc>
          <w:tcPr>
            <w:tcW w:w="1542" w:type="dxa"/>
            <w:tcBorders>
              <w:bottom w:val="single" w:sz="2" w:space="0" w:color="000000"/>
            </w:tcBorders>
          </w:tcPr>
          <w:p>
            <w:pPr>
              <w:pStyle w:val="OrgTableContentsRight"/>
              <w:bidi w:val="0"/>
              <w:spacing w:before="0" w:after="120"/>
              <w:jc w:val="right"/>
              <w:rPr/>
            </w:pPr>
            <w:r>
              <w:rPr/>
              <w:t>335</w:t>
            </w:r>
          </w:p>
        </w:tc>
        <w:tc>
          <w:tcPr>
            <w:tcW w:w="1542" w:type="dxa"/>
            <w:tcBorders>
              <w:bottom w:val="single" w:sz="2" w:space="0" w:color="000000"/>
            </w:tcBorders>
          </w:tcPr>
          <w:p>
            <w:pPr>
              <w:pStyle w:val="OrgTableContentsRight"/>
              <w:bidi w:val="0"/>
              <w:spacing w:before="0" w:after="120"/>
              <w:jc w:val="right"/>
              <w:rPr/>
            </w:pPr>
            <w:r>
              <w:rPr/>
              <w:t>136</w:t>
            </w:r>
          </w:p>
        </w:tc>
        <w:tc>
          <w:tcPr>
            <w:tcW w:w="1542" w:type="dxa"/>
            <w:tcBorders>
              <w:bottom w:val="single" w:sz="2" w:space="0" w:color="000000"/>
            </w:tcBorders>
          </w:tcPr>
          <w:p>
            <w:pPr>
              <w:pStyle w:val="OrgTableContentsLeft"/>
              <w:bidi w:val="0"/>
              <w:spacing w:before="0" w:after="120"/>
              <w:jc w:val="left"/>
              <w:rPr/>
            </w:pPr>
            <w:r>
              <w:rPr/>
            </w:r>
          </w:p>
        </w:tc>
        <w:tc>
          <w:tcPr>
            <w:tcW w:w="1542" w:type="dxa"/>
            <w:tcBorders>
              <w:bottom w:val="single" w:sz="2" w:space="0" w:color="000000"/>
            </w:tcBorders>
          </w:tcPr>
          <w:p>
            <w:pPr>
              <w:pStyle w:val="OrgTableContentsLeft"/>
              <w:bidi w:val="0"/>
              <w:spacing w:before="0" w:after="120"/>
              <w:jc w:val="left"/>
              <w:rPr/>
            </w:pPr>
            <w:r>
              <w:rPr/>
            </w:r>
          </w:p>
        </w:tc>
        <w:tc>
          <w:tcPr>
            <w:tcW w:w="1542" w:type="dxa"/>
            <w:tcBorders>
              <w:bottom w:val="single" w:sz="2" w:space="0" w:color="000000"/>
            </w:tcBorders>
          </w:tcPr>
          <w:p>
            <w:pPr>
              <w:pStyle w:val="OrgTableContentsLeft"/>
              <w:bidi w:val="0"/>
              <w:spacing w:before="0" w:after="120"/>
              <w:jc w:val="left"/>
              <w:rPr/>
            </w:pPr>
            <w:r>
              <w:rPr/>
            </w:r>
          </w:p>
        </w:tc>
      </w:tr>
    </w:tbl>
    <w:p>
      <w:pPr>
        <w:sectPr>
          <w:type w:val="continuous"/>
          <w:pgSz w:w="11906" w:h="16838"/>
          <w:pgMar w:left="1134" w:right="1134" w:gutter="0" w:header="0" w:top="1134" w:footer="1134" w:bottom="1860"/>
          <w:formProt w:val="false"/>
          <w:textDirection w:val="lrTb"/>
          <w:docGrid w:type="default" w:linePitch="600" w:charSpace="40960"/>
        </w:sectPr>
      </w:pPr>
    </w:p>
    <w:p>
      <w:pPr>
        <w:pStyle w:val="Heading202unnumbered"/>
        <w:bidi w:val="0"/>
        <w:jc w:val="left"/>
        <w:outlineLvl w:val="1"/>
        <w:rPr/>
      </w:pPr>
      <w:bookmarkStart w:id="22" w:name="OrgXref.org5fb753b"/>
      <w:bookmarkStart w:id="23" w:name="org5fb753b"/>
      <w:bookmarkEnd w:id="23"/>
      <w:r>
        <w:rPr/>
        <w:t xml:space="preserve">Tabel 2.2 </w:t>
      </w:r>
      <w:bookmarkEnd w:id="22"/>
    </w:p>
    <w:p>
      <w:pPr>
        <w:sectPr>
          <w:type w:val="continuous"/>
          <w:pgSz w:w="11906" w:h="16838"/>
          <w:pgMar w:left="1134" w:right="1134" w:gutter="0" w:header="0" w:top="1134" w:footer="1134" w:bottom="1860"/>
          <w:pgNumType w:fmt="decimal"/>
          <w:formProt w:val="false"/>
          <w:textDirection w:val="lrTb"/>
          <w:docGrid w:type="default" w:linePitch="600" w:charSpace="40960"/>
        </w:sectPr>
      </w:pPr>
    </w:p>
    <w:tbl>
      <w:tblPr>
        <w:tblW w:w="4800" w:type="pct"/>
        <w:jc w:val="center"/>
        <w:tblInd w:w="0" w:type="dxa"/>
        <w:tblLayout w:type="fixed"/>
        <w:tblCellMar>
          <w:top w:w="90" w:type="dxa"/>
          <w:left w:w="90" w:type="dxa"/>
          <w:bottom w:w="90" w:type="dxa"/>
          <w:right w:w="90" w:type="dxa"/>
        </w:tblCellMar>
      </w:tblPr>
      <w:tblGrid>
        <w:gridCol w:w="1542"/>
        <w:gridCol w:w="1542"/>
        <w:gridCol w:w="1542"/>
        <w:gridCol w:w="1542"/>
        <w:gridCol w:w="1542"/>
        <w:gridCol w:w="1542"/>
      </w:tblGrid>
      <w:tr>
        <w:trPr>
          <w:tblHeader w:val="true"/>
        </w:trPr>
        <w:tc>
          <w:tcPr>
            <w:tcW w:w="1542" w:type="dxa"/>
            <w:tcBorders>
              <w:top w:val="single" w:sz="2" w:space="0" w:color="000000"/>
              <w:bottom w:val="single" w:sz="2" w:space="0" w:color="000000"/>
            </w:tcBorders>
          </w:tcPr>
          <w:p>
            <w:pPr>
              <w:pStyle w:val="OrgTableHeadingRight"/>
              <w:bidi w:val="0"/>
              <w:spacing w:before="0" w:after="120"/>
              <w:jc w:val="right"/>
              <w:rPr/>
            </w:pPr>
            <w:r>
              <w:rPr/>
              <w:t>Alder</w:t>
            </w:r>
          </w:p>
        </w:tc>
        <w:tc>
          <w:tcPr>
            <w:tcW w:w="1542" w:type="dxa"/>
            <w:tcBorders>
              <w:top w:val="single" w:sz="2" w:space="0" w:color="000000"/>
              <w:bottom w:val="single" w:sz="2" w:space="0" w:color="000000"/>
            </w:tcBorders>
          </w:tcPr>
          <w:p>
            <w:pPr>
              <w:pStyle w:val="OrgTableHeadingRight"/>
              <w:bidi w:val="0"/>
              <w:spacing w:before="0" w:after="120"/>
              <w:jc w:val="right"/>
              <w:rPr/>
            </w:pPr>
            <w:r>
              <w:rPr/>
              <w:t>l</w:t>
            </w:r>
          </w:p>
        </w:tc>
        <w:tc>
          <w:tcPr>
            <w:tcW w:w="1542" w:type="dxa"/>
            <w:tcBorders>
              <w:top w:val="single" w:sz="2" w:space="0" w:color="000000"/>
              <w:bottom w:val="single" w:sz="2" w:space="0" w:color="000000"/>
            </w:tcBorders>
          </w:tcPr>
          <w:p>
            <w:pPr>
              <w:pStyle w:val="OrgTableHeadingLeft"/>
              <w:bidi w:val="0"/>
              <w:spacing w:before="0" w:after="120"/>
              <w:jc w:val="left"/>
              <w:rPr/>
            </w:pPr>
            <w:r>
              <w:rPr/>
              <w:t>d</w:t>
            </w:r>
          </w:p>
        </w:tc>
        <w:tc>
          <w:tcPr>
            <w:tcW w:w="1542" w:type="dxa"/>
            <w:tcBorders>
              <w:top w:val="single" w:sz="2" w:space="0" w:color="000000"/>
              <w:bottom w:val="single" w:sz="2" w:space="0" w:color="000000"/>
            </w:tcBorders>
          </w:tcPr>
          <w:p>
            <w:pPr>
              <w:pStyle w:val="OrgTableHeadingLeft"/>
              <w:bidi w:val="0"/>
              <w:spacing w:before="0" w:after="120"/>
              <w:jc w:val="left"/>
              <w:rPr/>
            </w:pPr>
            <w:r>
              <w:rPr/>
              <w:t>q</w:t>
            </w:r>
          </w:p>
        </w:tc>
        <w:tc>
          <w:tcPr>
            <w:tcW w:w="1542" w:type="dxa"/>
            <w:tcBorders>
              <w:top w:val="single" w:sz="2" w:space="0" w:color="000000"/>
              <w:bottom w:val="single" w:sz="2" w:space="0" w:color="000000"/>
            </w:tcBorders>
          </w:tcPr>
          <w:p>
            <w:pPr>
              <w:pStyle w:val="OrgTableHeadingLeft"/>
              <w:bidi w:val="0"/>
              <w:spacing w:before="0" w:after="120"/>
              <w:jc w:val="left"/>
              <w:rPr/>
            </w:pPr>
            <w:r>
              <w:rPr/>
              <w:t>L</w:t>
            </w:r>
          </w:p>
        </w:tc>
        <w:tc>
          <w:tcPr>
            <w:tcW w:w="1542" w:type="dxa"/>
            <w:tcBorders>
              <w:top w:val="single" w:sz="2" w:space="0" w:color="000000"/>
              <w:bottom w:val="single" w:sz="2" w:space="0" w:color="000000"/>
            </w:tcBorders>
          </w:tcPr>
          <w:p>
            <w:pPr>
              <w:pStyle w:val="OrgTableHeadingLeft"/>
              <w:bidi w:val="0"/>
              <w:spacing w:before="0" w:after="120"/>
              <w:jc w:val="left"/>
              <w:rPr/>
            </w:pPr>
            <w:r>
              <w:rPr/>
              <w:t>e</w:t>
            </w:r>
          </w:p>
        </w:tc>
      </w:tr>
      <w:tr>
        <w:trPr/>
        <w:tc>
          <w:tcPr>
            <w:tcW w:w="1542" w:type="dxa"/>
            <w:tcBorders>
              <w:top w:val="single" w:sz="2" w:space="0" w:color="000000"/>
            </w:tcBorders>
          </w:tcPr>
          <w:p>
            <w:pPr>
              <w:pStyle w:val="OrgTableContentsRight"/>
              <w:bidi w:val="0"/>
              <w:spacing w:before="0" w:after="120"/>
              <w:jc w:val="right"/>
              <w:rPr/>
            </w:pPr>
            <w:r>
              <w:rPr/>
              <w:t>0-1</w:t>
            </w:r>
          </w:p>
        </w:tc>
        <w:tc>
          <w:tcPr>
            <w:tcW w:w="1542" w:type="dxa"/>
            <w:tcBorders>
              <w:top w:val="single" w:sz="2" w:space="0" w:color="000000"/>
            </w:tcBorders>
          </w:tcPr>
          <w:p>
            <w:pPr>
              <w:pStyle w:val="OrgTableContentsRight"/>
              <w:bidi w:val="0"/>
              <w:spacing w:before="0" w:after="120"/>
              <w:jc w:val="right"/>
              <w:rPr/>
            </w:pPr>
            <w:r>
              <w:rPr/>
              <w:t>100000</w:t>
            </w:r>
          </w:p>
        </w:tc>
        <w:tc>
          <w:tcPr>
            <w:tcW w:w="1542" w:type="dxa"/>
            <w:tcBorders>
              <w:top w:val="single" w:sz="2" w:space="0" w:color="000000"/>
            </w:tcBorders>
          </w:tcPr>
          <w:p>
            <w:pPr>
              <w:pStyle w:val="OrgTableContentsLeft"/>
              <w:bidi w:val="0"/>
              <w:spacing w:before="0" w:after="120"/>
              <w:jc w:val="left"/>
              <w:rPr/>
            </w:pPr>
            <w:r>
              <w:rPr/>
            </w:r>
          </w:p>
        </w:tc>
        <w:tc>
          <w:tcPr>
            <w:tcW w:w="1542" w:type="dxa"/>
            <w:tcBorders>
              <w:top w:val="single" w:sz="2" w:space="0" w:color="000000"/>
            </w:tcBorders>
          </w:tcPr>
          <w:p>
            <w:pPr>
              <w:pStyle w:val="OrgTableContentsLeft"/>
              <w:bidi w:val="0"/>
              <w:spacing w:before="0" w:after="120"/>
              <w:jc w:val="left"/>
              <w:rPr/>
            </w:pPr>
            <w:r>
              <w:rPr/>
            </w:r>
          </w:p>
        </w:tc>
        <w:tc>
          <w:tcPr>
            <w:tcW w:w="1542" w:type="dxa"/>
            <w:tcBorders>
              <w:top w:val="single" w:sz="2" w:space="0" w:color="000000"/>
            </w:tcBorders>
          </w:tcPr>
          <w:p>
            <w:pPr>
              <w:pStyle w:val="OrgTableContentsLeft"/>
              <w:bidi w:val="0"/>
              <w:spacing w:before="0" w:after="120"/>
              <w:jc w:val="left"/>
              <w:rPr/>
            </w:pPr>
            <w:r>
              <w:rPr/>
            </w:r>
          </w:p>
        </w:tc>
        <w:tc>
          <w:tcPr>
            <w:tcW w:w="1542" w:type="dxa"/>
            <w:tcBorders>
              <w:top w:val="single" w:sz="2" w:space="0" w:color="000000"/>
            </w:tcBorders>
          </w:tcPr>
          <w:p>
            <w:pPr>
              <w:pStyle w:val="OrgTableContentsLeft"/>
              <w:bidi w:val="0"/>
              <w:spacing w:before="0" w:after="120"/>
              <w:jc w:val="left"/>
              <w:rPr/>
            </w:pPr>
            <w:r>
              <w:rPr/>
            </w:r>
          </w:p>
        </w:tc>
      </w:tr>
      <w:tr>
        <w:trPr/>
        <w:tc>
          <w:tcPr>
            <w:tcW w:w="1542" w:type="dxa"/>
            <w:tcBorders/>
          </w:tcPr>
          <w:p>
            <w:pPr>
              <w:pStyle w:val="OrgTableContentsRight"/>
              <w:bidi w:val="0"/>
              <w:spacing w:before="0" w:after="120"/>
              <w:jc w:val="right"/>
              <w:rPr/>
            </w:pPr>
            <w:r>
              <w:rPr/>
              <w:t>2-5</w:t>
            </w:r>
          </w:p>
        </w:tc>
        <w:tc>
          <w:tcPr>
            <w:tcW w:w="1542" w:type="dxa"/>
            <w:tcBorders/>
          </w:tcPr>
          <w:p>
            <w:pPr>
              <w:pStyle w:val="OrgTableContentsRight"/>
              <w:bidi w:val="0"/>
              <w:spacing w:before="0" w:after="120"/>
              <w:jc w:val="right"/>
              <w:rPr/>
            </w:pPr>
            <w:r>
              <w:rPr/>
              <w:t>100000</w:t>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r>
      <w:tr>
        <w:trPr/>
        <w:tc>
          <w:tcPr>
            <w:tcW w:w="1542" w:type="dxa"/>
            <w:tcBorders/>
          </w:tcPr>
          <w:p>
            <w:pPr>
              <w:pStyle w:val="OrgTableContentsRight"/>
              <w:bidi w:val="0"/>
              <w:spacing w:before="0" w:after="120"/>
              <w:jc w:val="right"/>
              <w:rPr/>
            </w:pPr>
            <w:r>
              <w:rPr/>
              <w:t>6-15</w:t>
            </w:r>
          </w:p>
        </w:tc>
        <w:tc>
          <w:tcPr>
            <w:tcW w:w="1542" w:type="dxa"/>
            <w:tcBorders/>
          </w:tcPr>
          <w:p>
            <w:pPr>
              <w:pStyle w:val="OrgTableContentsRight"/>
              <w:bidi w:val="0"/>
              <w:spacing w:before="0" w:after="120"/>
              <w:jc w:val="right"/>
              <w:rPr/>
            </w:pPr>
            <w:r>
              <w:rPr/>
              <w:t>100000</w:t>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r>
      <w:tr>
        <w:trPr/>
        <w:tc>
          <w:tcPr>
            <w:tcW w:w="1542" w:type="dxa"/>
            <w:tcBorders/>
          </w:tcPr>
          <w:p>
            <w:pPr>
              <w:pStyle w:val="OrgTableContentsRight"/>
              <w:bidi w:val="0"/>
              <w:spacing w:before="0" w:after="120"/>
              <w:jc w:val="right"/>
              <w:rPr/>
            </w:pPr>
            <w:r>
              <w:rPr/>
              <w:t>16-25</w:t>
            </w:r>
          </w:p>
        </w:tc>
        <w:tc>
          <w:tcPr>
            <w:tcW w:w="1542" w:type="dxa"/>
            <w:tcBorders/>
          </w:tcPr>
          <w:p>
            <w:pPr>
              <w:pStyle w:val="OrgTableContentsRight"/>
              <w:bidi w:val="0"/>
              <w:spacing w:before="0" w:after="120"/>
              <w:jc w:val="right"/>
              <w:rPr/>
            </w:pPr>
            <w:r>
              <w:rPr/>
              <w:t>100000</w:t>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r>
      <w:tr>
        <w:trPr/>
        <w:tc>
          <w:tcPr>
            <w:tcW w:w="1542" w:type="dxa"/>
            <w:tcBorders/>
          </w:tcPr>
          <w:p>
            <w:pPr>
              <w:pStyle w:val="OrgTableContentsRight"/>
              <w:bidi w:val="0"/>
              <w:spacing w:before="0" w:after="120"/>
              <w:jc w:val="right"/>
              <w:rPr/>
            </w:pPr>
            <w:r>
              <w:rPr/>
              <w:t>26-35</w:t>
            </w:r>
          </w:p>
        </w:tc>
        <w:tc>
          <w:tcPr>
            <w:tcW w:w="1542" w:type="dxa"/>
            <w:tcBorders/>
          </w:tcPr>
          <w:p>
            <w:pPr>
              <w:pStyle w:val="OrgTableContentsRight"/>
              <w:bidi w:val="0"/>
              <w:spacing w:before="0" w:after="120"/>
              <w:jc w:val="right"/>
              <w:rPr/>
            </w:pPr>
            <w:r>
              <w:rPr/>
              <w:t>100000</w:t>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r>
      <w:tr>
        <w:trPr/>
        <w:tc>
          <w:tcPr>
            <w:tcW w:w="1542" w:type="dxa"/>
            <w:tcBorders/>
          </w:tcPr>
          <w:p>
            <w:pPr>
              <w:pStyle w:val="OrgTableContentsRight"/>
              <w:bidi w:val="0"/>
              <w:spacing w:before="0" w:after="120"/>
              <w:jc w:val="right"/>
              <w:rPr/>
            </w:pPr>
            <w:r>
              <w:rPr/>
              <w:t>36-45</w:t>
            </w:r>
          </w:p>
        </w:tc>
        <w:tc>
          <w:tcPr>
            <w:tcW w:w="1542" w:type="dxa"/>
            <w:tcBorders/>
          </w:tcPr>
          <w:p>
            <w:pPr>
              <w:pStyle w:val="OrgTableContentsRight"/>
              <w:bidi w:val="0"/>
              <w:spacing w:before="0" w:after="120"/>
              <w:jc w:val="right"/>
              <w:rPr/>
            </w:pPr>
            <w:r>
              <w:rPr/>
              <w:t>100000</w:t>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r>
      <w:tr>
        <w:trPr/>
        <w:tc>
          <w:tcPr>
            <w:tcW w:w="1542" w:type="dxa"/>
            <w:tcBorders/>
          </w:tcPr>
          <w:p>
            <w:pPr>
              <w:pStyle w:val="OrgTableContentsRight"/>
              <w:bidi w:val="0"/>
              <w:spacing w:before="0" w:after="120"/>
              <w:jc w:val="right"/>
              <w:rPr/>
            </w:pPr>
            <w:r>
              <w:rPr/>
              <w:t>46-55</w:t>
            </w:r>
          </w:p>
        </w:tc>
        <w:tc>
          <w:tcPr>
            <w:tcW w:w="1542" w:type="dxa"/>
            <w:tcBorders/>
          </w:tcPr>
          <w:p>
            <w:pPr>
              <w:pStyle w:val="OrgTableContentsRight"/>
              <w:bidi w:val="0"/>
              <w:spacing w:before="0" w:after="120"/>
              <w:jc w:val="right"/>
              <w:rPr/>
            </w:pPr>
            <w:r>
              <w:rPr/>
              <w:t>98868</w:t>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r>
      <w:tr>
        <w:trPr/>
        <w:tc>
          <w:tcPr>
            <w:tcW w:w="1542" w:type="dxa"/>
            <w:tcBorders/>
          </w:tcPr>
          <w:p>
            <w:pPr>
              <w:pStyle w:val="OrgTableContentsRight"/>
              <w:bidi w:val="0"/>
              <w:spacing w:before="0" w:after="120"/>
              <w:jc w:val="right"/>
              <w:rPr/>
            </w:pPr>
            <w:r>
              <w:rPr/>
              <w:t>56-65</w:t>
            </w:r>
          </w:p>
        </w:tc>
        <w:tc>
          <w:tcPr>
            <w:tcW w:w="1542" w:type="dxa"/>
            <w:tcBorders/>
          </w:tcPr>
          <w:p>
            <w:pPr>
              <w:pStyle w:val="OrgTableContentsRight"/>
              <w:bidi w:val="0"/>
              <w:spacing w:before="0" w:after="120"/>
              <w:jc w:val="right"/>
              <w:rPr/>
            </w:pPr>
            <w:r>
              <w:rPr/>
              <w:t>98868</w:t>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r>
      <w:tr>
        <w:trPr/>
        <w:tc>
          <w:tcPr>
            <w:tcW w:w="1542" w:type="dxa"/>
            <w:tcBorders/>
          </w:tcPr>
          <w:p>
            <w:pPr>
              <w:pStyle w:val="OrgTableContentsRight"/>
              <w:bidi w:val="0"/>
              <w:spacing w:before="0" w:after="120"/>
              <w:jc w:val="right"/>
              <w:rPr/>
            </w:pPr>
            <w:r>
              <w:rPr/>
              <w:t>66-75</w:t>
            </w:r>
          </w:p>
        </w:tc>
        <w:tc>
          <w:tcPr>
            <w:tcW w:w="1542" w:type="dxa"/>
            <w:tcBorders/>
          </w:tcPr>
          <w:p>
            <w:pPr>
              <w:pStyle w:val="OrgTableContentsRight"/>
              <w:bidi w:val="0"/>
              <w:spacing w:before="0" w:after="120"/>
              <w:jc w:val="right"/>
              <w:rPr/>
            </w:pPr>
            <w:r>
              <w:rPr/>
              <w:t>95821</w:t>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r>
      <w:tr>
        <w:trPr/>
        <w:tc>
          <w:tcPr>
            <w:tcW w:w="1542" w:type="dxa"/>
            <w:tcBorders/>
          </w:tcPr>
          <w:p>
            <w:pPr>
              <w:pStyle w:val="OrgTableContentsRight"/>
              <w:bidi w:val="0"/>
              <w:spacing w:before="0" w:after="120"/>
              <w:jc w:val="right"/>
              <w:rPr/>
            </w:pPr>
            <w:r>
              <w:rPr/>
              <w:t>76-85</w:t>
            </w:r>
          </w:p>
        </w:tc>
        <w:tc>
          <w:tcPr>
            <w:tcW w:w="1542" w:type="dxa"/>
            <w:tcBorders/>
          </w:tcPr>
          <w:p>
            <w:pPr>
              <w:pStyle w:val="OrgTableContentsRight"/>
              <w:bidi w:val="0"/>
              <w:spacing w:before="0" w:after="120"/>
              <w:jc w:val="right"/>
              <w:rPr/>
            </w:pPr>
            <w:r>
              <w:rPr/>
              <w:t>86664</w:t>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r>
      <w:tr>
        <w:trPr/>
        <w:tc>
          <w:tcPr>
            <w:tcW w:w="1542" w:type="dxa"/>
            <w:tcBorders/>
          </w:tcPr>
          <w:p>
            <w:pPr>
              <w:pStyle w:val="OrgTableContentsRight"/>
              <w:bidi w:val="0"/>
              <w:spacing w:before="0" w:after="120"/>
              <w:jc w:val="right"/>
              <w:rPr/>
            </w:pPr>
            <w:r>
              <w:rPr/>
              <w:t>86-95</w:t>
            </w:r>
          </w:p>
        </w:tc>
        <w:tc>
          <w:tcPr>
            <w:tcW w:w="1542" w:type="dxa"/>
            <w:tcBorders/>
          </w:tcPr>
          <w:p>
            <w:pPr>
              <w:pStyle w:val="OrgTableContentsRight"/>
              <w:bidi w:val="0"/>
              <w:spacing w:before="0" w:after="120"/>
              <w:jc w:val="right"/>
              <w:rPr/>
            </w:pPr>
            <w:r>
              <w:rPr/>
              <w:t>67165</w:t>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c>
          <w:tcPr>
            <w:tcW w:w="1542" w:type="dxa"/>
            <w:tcBorders/>
          </w:tcPr>
          <w:p>
            <w:pPr>
              <w:pStyle w:val="OrgTableContentsLeft"/>
              <w:bidi w:val="0"/>
              <w:spacing w:before="0" w:after="120"/>
              <w:jc w:val="left"/>
              <w:rPr/>
            </w:pPr>
            <w:r>
              <w:rPr/>
            </w:r>
          </w:p>
        </w:tc>
      </w:tr>
      <w:tr>
        <w:trPr/>
        <w:tc>
          <w:tcPr>
            <w:tcW w:w="1542" w:type="dxa"/>
            <w:tcBorders>
              <w:bottom w:val="single" w:sz="2" w:space="0" w:color="000000"/>
            </w:tcBorders>
          </w:tcPr>
          <w:p>
            <w:pPr>
              <w:pStyle w:val="OrgTableContentsRight"/>
              <w:bidi w:val="0"/>
              <w:spacing w:before="0" w:after="120"/>
              <w:jc w:val="right"/>
              <w:rPr/>
            </w:pPr>
            <w:r>
              <w:rPr/>
              <w:t>&gt;95</w:t>
            </w:r>
          </w:p>
        </w:tc>
        <w:tc>
          <w:tcPr>
            <w:tcW w:w="1542" w:type="dxa"/>
            <w:tcBorders>
              <w:bottom w:val="single" w:sz="2" w:space="0" w:color="000000"/>
            </w:tcBorders>
          </w:tcPr>
          <w:p>
            <w:pPr>
              <w:pStyle w:val="OrgTableContentsRight"/>
              <w:bidi w:val="0"/>
              <w:spacing w:before="0" w:after="120"/>
              <w:jc w:val="right"/>
              <w:rPr/>
            </w:pPr>
            <w:r>
              <w:rPr/>
              <w:t>31086</w:t>
            </w:r>
          </w:p>
        </w:tc>
        <w:tc>
          <w:tcPr>
            <w:tcW w:w="1542" w:type="dxa"/>
            <w:tcBorders>
              <w:bottom w:val="single" w:sz="2" w:space="0" w:color="000000"/>
            </w:tcBorders>
          </w:tcPr>
          <w:p>
            <w:pPr>
              <w:pStyle w:val="OrgTableContentsLeft"/>
              <w:bidi w:val="0"/>
              <w:spacing w:before="0" w:after="120"/>
              <w:jc w:val="left"/>
              <w:rPr/>
            </w:pPr>
            <w:r>
              <w:rPr/>
            </w:r>
          </w:p>
        </w:tc>
        <w:tc>
          <w:tcPr>
            <w:tcW w:w="1542" w:type="dxa"/>
            <w:tcBorders>
              <w:bottom w:val="single" w:sz="2" w:space="0" w:color="000000"/>
            </w:tcBorders>
          </w:tcPr>
          <w:p>
            <w:pPr>
              <w:pStyle w:val="OrgTableContentsLeft"/>
              <w:bidi w:val="0"/>
              <w:spacing w:before="0" w:after="120"/>
              <w:jc w:val="left"/>
              <w:rPr/>
            </w:pPr>
            <w:r>
              <w:rPr/>
            </w:r>
          </w:p>
        </w:tc>
        <w:tc>
          <w:tcPr>
            <w:tcW w:w="1542" w:type="dxa"/>
            <w:tcBorders>
              <w:bottom w:val="single" w:sz="2" w:space="0" w:color="000000"/>
            </w:tcBorders>
          </w:tcPr>
          <w:p>
            <w:pPr>
              <w:pStyle w:val="OrgTableContentsLeft"/>
              <w:bidi w:val="0"/>
              <w:spacing w:before="0" w:after="120"/>
              <w:jc w:val="left"/>
              <w:rPr/>
            </w:pPr>
            <w:r>
              <w:rPr/>
            </w:r>
          </w:p>
        </w:tc>
        <w:tc>
          <w:tcPr>
            <w:tcW w:w="1542" w:type="dxa"/>
            <w:tcBorders>
              <w:bottom w:val="single" w:sz="2" w:space="0" w:color="000000"/>
            </w:tcBorders>
          </w:tcPr>
          <w:p>
            <w:pPr>
              <w:pStyle w:val="OrgTableContentsLeft"/>
              <w:bidi w:val="0"/>
              <w:spacing w:before="0" w:after="120"/>
              <w:jc w:val="left"/>
              <w:rPr/>
            </w:pPr>
            <w:r>
              <w:rPr/>
            </w:r>
          </w:p>
        </w:tc>
      </w:tr>
    </w:tbl>
    <w:p>
      <w:pPr>
        <w:sectPr>
          <w:type w:val="continuous"/>
          <w:pgSz w:w="11906" w:h="16838"/>
          <w:pgMar w:left="1134" w:right="1134" w:gutter="0" w:header="0" w:top="1134" w:footer="1134" w:bottom="1860"/>
          <w:formProt w:val="false"/>
          <w:textDirection w:val="lrTb"/>
          <w:docGrid w:type="default" w:linePitch="600" w:charSpace="40960"/>
        </w:sectPr>
      </w:pPr>
    </w:p>
    <w:p>
      <w:pPr>
        <w:pStyle w:val="Heading201unnumbered"/>
        <w:bidi w:val="0"/>
        <w:jc w:val="left"/>
        <w:outlineLvl w:val="0"/>
        <w:rPr/>
      </w:pPr>
      <w:bookmarkStart w:id="24" w:name="OrgXref.orgb897494"/>
      <w:bookmarkStart w:id="25" w:name="orgb897494"/>
      <w:bookmarkEnd w:id="25"/>
      <w:r>
        <w:rPr/>
        <w:t xml:space="preserve">Dine svar til opgave 2.1 </w:t>
      </w:r>
      <w:bookmarkEnd w:id="24"/>
    </w:p>
    <w:p>
      <w:pPr>
        <w:pStyle w:val="DineSvar"/>
        <w:pBdr>
          <w:top w:val="single" w:sz="4" w:space="1" w:color="000000"/>
          <w:left w:val="single" w:sz="4" w:space="1" w:color="000000"/>
          <w:bottom w:val="single" w:sz="4" w:space="1" w:color="000000"/>
          <w:right w:val="single" w:sz="4" w:space="1" w:color="000000"/>
        </w:pBdr>
        <w:shd w:fill="DCEFF1" w:val="clear"/>
        <w:bidi w:val="0"/>
        <w:spacing w:lineRule="auto" w:line="240" w:before="170" w:after="170"/>
        <w:ind w:hanging="0" w:left="170" w:right="170"/>
        <w:jc w:val="left"/>
        <w:rPr/>
      </w:pPr>
      <w:r>
        <w:rPr/>
        <w:br/>
        <w:t xml:space="preserve"> </w:t>
        <w:br/>
        <w:t xml:space="preserve"> </w:t>
        <w:br/>
        <w:t xml:space="preserve"> </w:t>
      </w:r>
    </w:p>
    <w:p>
      <w:pPr>
        <w:pStyle w:val="Heading201unnumbered"/>
        <w:bidi w:val="0"/>
        <w:jc w:val="left"/>
        <w:outlineLvl w:val="0"/>
        <w:rPr/>
      </w:pPr>
      <w:bookmarkStart w:id="26" w:name="OrgXref.orgc6e58fc"/>
      <w:bookmarkStart w:id="27" w:name="orgc6e58fc"/>
      <w:bookmarkEnd w:id="27"/>
      <w:r>
        <w:rPr/>
        <w:t xml:space="preserve">Dine svar til opgave 2.2 </w:t>
      </w:r>
      <w:bookmarkEnd w:id="26"/>
    </w:p>
    <w:p>
      <w:pPr>
        <w:pStyle w:val="DineSvar"/>
        <w:pBdr>
          <w:top w:val="single" w:sz="4" w:space="1" w:color="000000"/>
          <w:left w:val="single" w:sz="4" w:space="1" w:color="000000"/>
          <w:bottom w:val="single" w:sz="4" w:space="1" w:color="000000"/>
          <w:right w:val="single" w:sz="4" w:space="1" w:color="000000"/>
        </w:pBdr>
        <w:shd w:fill="DCEFF1" w:val="clear"/>
        <w:bidi w:val="0"/>
        <w:spacing w:lineRule="auto" w:line="240" w:before="170" w:after="170"/>
        <w:ind w:hanging="0" w:left="170" w:right="170"/>
        <w:jc w:val="left"/>
        <w:rPr/>
      </w:pPr>
      <w:r>
        <w:rPr/>
        <w:br/>
        <w:t xml:space="preserve"> </w:t>
        <w:br/>
        <w:t xml:space="preserve"> </w:t>
        <w:br/>
        <w:t xml:space="preserve"> </w:t>
      </w:r>
    </w:p>
    <w:p>
      <w:pPr>
        <w:pStyle w:val="Heading201unnumbered"/>
        <w:bidi w:val="0"/>
        <w:jc w:val="left"/>
        <w:outlineLvl w:val="0"/>
        <w:rPr/>
      </w:pPr>
      <w:bookmarkStart w:id="28" w:name="OrgXref.orgb05ea61"/>
      <w:bookmarkStart w:id="29" w:name="orgb05ea61"/>
      <w:bookmarkEnd w:id="29"/>
      <w:r>
        <w:rPr/>
        <w:t xml:space="preserve">Dine svar til opgave 2.3 </w:t>
      </w:r>
      <w:bookmarkEnd w:id="28"/>
    </w:p>
    <w:p>
      <w:pPr>
        <w:pStyle w:val="DineSvar"/>
        <w:pBdr>
          <w:top w:val="single" w:sz="4" w:space="1" w:color="000000"/>
          <w:left w:val="single" w:sz="4" w:space="1" w:color="000000"/>
          <w:bottom w:val="single" w:sz="4" w:space="1" w:color="000000"/>
          <w:right w:val="single" w:sz="4" w:space="1" w:color="000000"/>
        </w:pBdr>
        <w:shd w:fill="DCEFF1" w:val="clear"/>
        <w:bidi w:val="0"/>
        <w:spacing w:lineRule="auto" w:line="240" w:before="170" w:after="170"/>
        <w:ind w:hanging="0" w:left="170" w:right="170"/>
        <w:jc w:val="left"/>
        <w:rPr/>
      </w:pPr>
      <w:r>
        <w:rPr/>
        <w:br/>
        <w:t xml:space="preserve"> </w:t>
        <w:br/>
        <w:t xml:space="preserve"> </w:t>
        <w:br/>
        <w:t xml:space="preserve"> </w:t>
      </w:r>
    </w:p>
    <w:p>
      <w:pPr>
        <w:pStyle w:val="Heading201unnumbered"/>
        <w:bidi w:val="0"/>
        <w:jc w:val="left"/>
        <w:outlineLvl w:val="0"/>
        <w:rPr/>
      </w:pPr>
      <w:bookmarkStart w:id="30" w:name="OrgXref.orgb446348"/>
      <w:bookmarkStart w:id="31" w:name="orgb446348"/>
      <w:bookmarkEnd w:id="31"/>
      <w:r>
        <w:rPr/>
        <w:t xml:space="preserve">Dine svar til opgave 2.4 </w:t>
      </w:r>
      <w:bookmarkEnd w:id="30"/>
    </w:p>
    <w:p>
      <w:pPr>
        <w:pStyle w:val="DineSvar"/>
        <w:pBdr>
          <w:top w:val="single" w:sz="4" w:space="1" w:color="000000"/>
          <w:left w:val="single" w:sz="4" w:space="1" w:color="000000"/>
          <w:bottom w:val="single" w:sz="4" w:space="1" w:color="000000"/>
          <w:right w:val="single" w:sz="4" w:space="1" w:color="000000"/>
        </w:pBdr>
        <w:shd w:fill="DCEFF1" w:val="clear"/>
        <w:bidi w:val="0"/>
        <w:spacing w:lineRule="auto" w:line="240" w:before="170" w:after="170"/>
        <w:ind w:hanging="0" w:left="170" w:right="170"/>
        <w:jc w:val="left"/>
        <w:rPr/>
      </w:pPr>
      <w:r>
        <w:rPr/>
        <w:br/>
        <w:t xml:space="preserve"> </w:t>
        <w:br/>
        <w:t xml:space="preserve"> </w:t>
        <w:br/>
        <w:t xml:space="preserve"> </w:t>
      </w:r>
    </w:p>
    <w:p>
      <w:pPr>
        <w:pStyle w:val="Heading201unnumbered"/>
        <w:bidi w:val="0"/>
        <w:jc w:val="left"/>
        <w:outlineLvl w:val="0"/>
        <w:rPr/>
      </w:pPr>
      <w:bookmarkStart w:id="32" w:name="OrgXref.org06bf31c"/>
      <w:bookmarkStart w:id="33" w:name="org06bf31c"/>
      <w:bookmarkEnd w:id="33"/>
      <w:r>
        <w:rPr/>
        <w:t xml:space="preserve">Opgave 3 </w:t>
      </w:r>
      <w:bookmarkEnd w:id="32"/>
    </w:p>
    <w:p>
      <w:pPr>
        <w:pStyle w:val="BodyText"/>
        <w:bidi w:val="0"/>
        <w:spacing w:before="0" w:after="120"/>
        <w:jc w:val="left"/>
        <w:rPr/>
      </w:pPr>
      <w:r>
        <w:rPr/>
        <w:t xml:space="preserve">Beregn alderspecifikke mortalitetsrater samt overlevelsestavlen for kvinder i Allerød kommune i 2025. Sammenlign middellevetiden for kvinder i Allerød kommune med middellevetiden for kvinder i Københavns kommune fra Opgave 2 og diskuter mulige årsager til forskellene. </w:t>
      </w:r>
    </w:p>
    <w:p>
      <w:pPr>
        <w:pStyle w:val="Heading202unnumbered"/>
        <w:bidi w:val="0"/>
        <w:jc w:val="left"/>
        <w:outlineLvl w:val="1"/>
        <w:rPr/>
      </w:pPr>
      <w:bookmarkStart w:id="34" w:name="OrgXref.org818f72a"/>
      <w:bookmarkStart w:id="35" w:name="org818f72a"/>
      <w:bookmarkEnd w:id="35"/>
      <w:r>
        <w:rPr/>
        <w:t xml:space="preserve">Dine svar til opgave 3 </w:t>
      </w:r>
      <w:bookmarkEnd w:id="34"/>
    </w:p>
    <w:p>
      <w:pPr>
        <w:pStyle w:val="DineSvar"/>
        <w:pBdr>
          <w:top w:val="single" w:sz="4" w:space="1" w:color="000000"/>
          <w:left w:val="single" w:sz="4" w:space="1" w:color="000000"/>
          <w:bottom w:val="single" w:sz="4" w:space="1" w:color="000000"/>
          <w:right w:val="single" w:sz="4" w:space="1" w:color="000000"/>
        </w:pBdr>
        <w:shd w:fill="DCEFF1" w:val="clear"/>
        <w:bidi w:val="0"/>
        <w:spacing w:lineRule="auto" w:line="240" w:before="170" w:after="170"/>
        <w:ind w:hanging="0" w:left="170" w:right="170"/>
        <w:jc w:val="left"/>
        <w:rPr/>
      </w:pPr>
      <w:r>
        <w:rPr/>
        <w:br/>
        <w:t xml:space="preserve"> </w:t>
        <w:br/>
        <w:t xml:space="preserve"> </w:t>
        <w:br/>
        <w:t xml:space="preserve"> </w:t>
      </w:r>
    </w:p>
    <w:p>
      <w:pPr>
        <w:pStyle w:val="Heading201unnumbered"/>
        <w:bidi w:val="0"/>
        <w:jc w:val="left"/>
        <w:outlineLvl w:val="0"/>
        <w:rPr/>
      </w:pPr>
      <w:bookmarkStart w:id="36" w:name="OrgXref.org83701ec"/>
      <w:bookmarkStart w:id="37" w:name="org83701ec"/>
      <w:bookmarkEnd w:id="37"/>
      <w:r>
        <w:rPr/>
        <w:t xml:space="preserve">Opgave 4 </w:t>
      </w:r>
      <w:bookmarkEnd w:id="36"/>
    </w:p>
    <w:p>
      <w:pPr>
        <w:pStyle w:val="BodyText"/>
        <w:bidi w:val="0"/>
        <w:spacing w:before="0" w:after="120"/>
        <w:jc w:val="left"/>
        <w:rPr/>
      </w:pPr>
      <w:r>
        <w:rPr/>
        <w:t xml:space="preserve">Beregn og rapporter aldersstandardiserede rater af død på grund af psykiske lidelser, via direkte standardisering, separat for kvinder og mænd. Brug hele den danske befolkning i 2022 som standardbefolkning. Udfyld tabellen nedenfor. Beregn også de årsagsspecifikke dødelighedstavler for begge køn. Rapporter og fortolk den forventede middelrestlevetid samt risikoen for at dø af psykiske lidelser for både en 70-årig mand og en 70-årig kvinde. Vurder potentielle faktorer, der kan bidrage til, at risikoen for at dø af psykiske lidelser stiger i fremtiden og hvilke konsekvenser det ville have på samfundet. </w:t>
      </w:r>
    </w:p>
    <w:p>
      <w:pPr>
        <w:pStyle w:val="Heading202unnumbered"/>
        <w:bidi w:val="0"/>
        <w:jc w:val="left"/>
        <w:outlineLvl w:val="1"/>
        <w:rPr/>
      </w:pPr>
      <w:bookmarkStart w:id="38" w:name="OrgXref.org2c46f89"/>
      <w:bookmarkStart w:id="39" w:name="org2c46f89"/>
      <w:bookmarkEnd w:id="39"/>
      <w:r>
        <w:rPr/>
        <w:t xml:space="preserve">Tabel 4 </w:t>
      </w:r>
      <w:bookmarkEnd w:id="38"/>
    </w:p>
    <w:p>
      <w:pPr>
        <w:sectPr>
          <w:type w:val="continuous"/>
          <w:pgSz w:w="11906" w:h="16838"/>
          <w:pgMar w:left="1134" w:right="1134" w:gutter="0" w:header="0" w:top="1134" w:footer="1134" w:bottom="1860"/>
          <w:pgNumType w:fmt="decimal"/>
          <w:formProt w:val="false"/>
          <w:textDirection w:val="lrTb"/>
          <w:docGrid w:type="default" w:linePitch="600" w:charSpace="40960"/>
        </w:sectPr>
      </w:pPr>
    </w:p>
    <w:tbl>
      <w:tblPr>
        <w:tblW w:w="4800" w:type="pct"/>
        <w:jc w:val="center"/>
        <w:tblInd w:w="0" w:type="dxa"/>
        <w:tblLayout w:type="fixed"/>
        <w:tblCellMar>
          <w:top w:w="90" w:type="dxa"/>
          <w:left w:w="90" w:type="dxa"/>
          <w:bottom w:w="90" w:type="dxa"/>
          <w:right w:w="90" w:type="dxa"/>
        </w:tblCellMar>
      </w:tblPr>
      <w:tblGrid>
        <w:gridCol w:w="2313"/>
        <w:gridCol w:w="2313"/>
        <w:gridCol w:w="2313"/>
        <w:gridCol w:w="2313"/>
      </w:tblGrid>
      <w:tr>
        <w:trPr>
          <w:tblHeader w:val="true"/>
        </w:trPr>
        <w:tc>
          <w:tcPr>
            <w:tcW w:w="2313" w:type="dxa"/>
            <w:tcBorders>
              <w:top w:val="single" w:sz="2" w:space="0" w:color="000000"/>
              <w:bottom w:val="single" w:sz="2" w:space="0" w:color="000000"/>
            </w:tcBorders>
          </w:tcPr>
          <w:p>
            <w:pPr>
              <w:pStyle w:val="OrgTableHeadingLeft"/>
              <w:bidi w:val="0"/>
              <w:spacing w:before="0" w:after="120"/>
              <w:jc w:val="left"/>
              <w:rPr/>
            </w:pPr>
            <w:r>
              <w:rPr/>
              <w:t>Køn</w:t>
            </w:r>
          </w:p>
        </w:tc>
        <w:tc>
          <w:tcPr>
            <w:tcW w:w="2313" w:type="dxa"/>
            <w:tcBorders>
              <w:top w:val="single" w:sz="2" w:space="0" w:color="000000"/>
              <w:bottom w:val="single" w:sz="2" w:space="0" w:color="000000"/>
            </w:tcBorders>
          </w:tcPr>
          <w:p>
            <w:pPr>
              <w:pStyle w:val="OrgTableHeadingLeft"/>
              <w:bidi w:val="0"/>
              <w:spacing w:before="0" w:after="120"/>
              <w:jc w:val="left"/>
              <w:rPr/>
            </w:pPr>
            <w:r>
              <w:rPr/>
              <w:t>Standardiserede mortalitetsrater på grund af psykiske lidelser</w:t>
            </w:r>
          </w:p>
        </w:tc>
        <w:tc>
          <w:tcPr>
            <w:tcW w:w="2313" w:type="dxa"/>
            <w:tcBorders>
              <w:top w:val="single" w:sz="2" w:space="0" w:color="000000"/>
              <w:bottom w:val="single" w:sz="2" w:space="0" w:color="000000"/>
            </w:tcBorders>
          </w:tcPr>
          <w:p>
            <w:pPr>
              <w:pStyle w:val="OrgTableHeadingLeft"/>
              <w:bidi w:val="0"/>
              <w:spacing w:before="0" w:after="120"/>
              <w:jc w:val="left"/>
              <w:rPr/>
            </w:pPr>
            <w:r>
              <w:rPr/>
              <w:t>Middelrestlevetid fra 70 år</w:t>
            </w:r>
          </w:p>
        </w:tc>
        <w:tc>
          <w:tcPr>
            <w:tcW w:w="2313" w:type="dxa"/>
            <w:tcBorders>
              <w:top w:val="single" w:sz="2" w:space="0" w:color="000000"/>
              <w:bottom w:val="single" w:sz="2" w:space="0" w:color="000000"/>
            </w:tcBorders>
          </w:tcPr>
          <w:p>
            <w:pPr>
              <w:pStyle w:val="OrgTableHeadingLeft"/>
              <w:bidi w:val="0"/>
              <w:spacing w:before="0" w:after="120"/>
              <w:jc w:val="left"/>
              <w:rPr/>
            </w:pPr>
            <w:r>
              <w:rPr/>
              <w:t>Restlivstidsrisiko for død af psykiske lidelser ved 70 år</w:t>
            </w:r>
          </w:p>
        </w:tc>
      </w:tr>
      <w:tr>
        <w:trPr/>
        <w:tc>
          <w:tcPr>
            <w:tcW w:w="2313" w:type="dxa"/>
            <w:tcBorders>
              <w:top w:val="single" w:sz="2" w:space="0" w:color="000000"/>
            </w:tcBorders>
          </w:tcPr>
          <w:p>
            <w:pPr>
              <w:pStyle w:val="OrgTableContentsLeft"/>
              <w:bidi w:val="0"/>
              <w:spacing w:before="0" w:after="120"/>
              <w:jc w:val="left"/>
              <w:rPr/>
            </w:pPr>
            <w:r>
              <w:rPr/>
              <w:t>Kvinder</w:t>
            </w:r>
          </w:p>
        </w:tc>
        <w:tc>
          <w:tcPr>
            <w:tcW w:w="2313" w:type="dxa"/>
            <w:tcBorders>
              <w:top w:val="single" w:sz="2" w:space="0" w:color="000000"/>
            </w:tcBorders>
          </w:tcPr>
          <w:p>
            <w:pPr>
              <w:pStyle w:val="OrgTableContentsLeft"/>
              <w:bidi w:val="0"/>
              <w:spacing w:before="0" w:after="120"/>
              <w:jc w:val="left"/>
              <w:rPr/>
            </w:pPr>
            <w:r>
              <w:rPr/>
            </w:r>
          </w:p>
        </w:tc>
        <w:tc>
          <w:tcPr>
            <w:tcW w:w="2313" w:type="dxa"/>
            <w:tcBorders>
              <w:top w:val="single" w:sz="2" w:space="0" w:color="000000"/>
            </w:tcBorders>
          </w:tcPr>
          <w:p>
            <w:pPr>
              <w:pStyle w:val="OrgTableContentsLeft"/>
              <w:bidi w:val="0"/>
              <w:spacing w:before="0" w:after="120"/>
              <w:jc w:val="left"/>
              <w:rPr/>
            </w:pPr>
            <w:r>
              <w:rPr/>
            </w:r>
          </w:p>
        </w:tc>
        <w:tc>
          <w:tcPr>
            <w:tcW w:w="2313" w:type="dxa"/>
            <w:tcBorders>
              <w:top w:val="single" w:sz="2" w:space="0" w:color="000000"/>
            </w:tcBorders>
          </w:tcPr>
          <w:p>
            <w:pPr>
              <w:pStyle w:val="OrgTableContentsLeft"/>
              <w:bidi w:val="0"/>
              <w:spacing w:before="0" w:after="120"/>
              <w:jc w:val="left"/>
              <w:rPr/>
            </w:pPr>
            <w:r>
              <w:rPr/>
            </w:r>
          </w:p>
        </w:tc>
      </w:tr>
      <w:tr>
        <w:trPr/>
        <w:tc>
          <w:tcPr>
            <w:tcW w:w="2313" w:type="dxa"/>
            <w:tcBorders>
              <w:bottom w:val="single" w:sz="2" w:space="0" w:color="000000"/>
            </w:tcBorders>
          </w:tcPr>
          <w:p>
            <w:pPr>
              <w:pStyle w:val="OrgTableContentsLeft"/>
              <w:bidi w:val="0"/>
              <w:spacing w:before="0" w:after="120"/>
              <w:jc w:val="left"/>
              <w:rPr/>
            </w:pPr>
            <w:r>
              <w:rPr/>
              <w:t>Mænd</w:t>
            </w:r>
          </w:p>
        </w:tc>
        <w:tc>
          <w:tcPr>
            <w:tcW w:w="2313" w:type="dxa"/>
            <w:tcBorders>
              <w:bottom w:val="single" w:sz="2" w:space="0" w:color="000000"/>
            </w:tcBorders>
          </w:tcPr>
          <w:p>
            <w:pPr>
              <w:pStyle w:val="OrgTableContentsLeft"/>
              <w:bidi w:val="0"/>
              <w:spacing w:before="0" w:after="120"/>
              <w:jc w:val="left"/>
              <w:rPr/>
            </w:pPr>
            <w:r>
              <w:rPr/>
            </w:r>
          </w:p>
        </w:tc>
        <w:tc>
          <w:tcPr>
            <w:tcW w:w="2313" w:type="dxa"/>
            <w:tcBorders>
              <w:bottom w:val="single" w:sz="2" w:space="0" w:color="000000"/>
            </w:tcBorders>
          </w:tcPr>
          <w:p>
            <w:pPr>
              <w:pStyle w:val="OrgTableContentsLeft"/>
              <w:bidi w:val="0"/>
              <w:spacing w:before="0" w:after="120"/>
              <w:jc w:val="left"/>
              <w:rPr/>
            </w:pPr>
            <w:r>
              <w:rPr/>
            </w:r>
          </w:p>
        </w:tc>
        <w:tc>
          <w:tcPr>
            <w:tcW w:w="2313" w:type="dxa"/>
            <w:tcBorders>
              <w:bottom w:val="single" w:sz="2" w:space="0" w:color="000000"/>
            </w:tcBorders>
          </w:tcPr>
          <w:p>
            <w:pPr>
              <w:pStyle w:val="OrgTableContentsLeft"/>
              <w:bidi w:val="0"/>
              <w:spacing w:before="0" w:after="120"/>
              <w:jc w:val="left"/>
              <w:rPr/>
            </w:pPr>
            <w:r>
              <w:rPr/>
            </w:r>
          </w:p>
        </w:tc>
      </w:tr>
    </w:tbl>
    <w:p>
      <w:pPr>
        <w:sectPr>
          <w:type w:val="continuous"/>
          <w:pgSz w:w="11906" w:h="16838"/>
          <w:pgMar w:left="1134" w:right="1134" w:gutter="0" w:header="0" w:top="1134" w:footer="1134" w:bottom="1860"/>
          <w:formProt w:val="false"/>
          <w:textDirection w:val="lrTb"/>
          <w:docGrid w:type="default" w:linePitch="600" w:charSpace="40960"/>
        </w:sectPr>
      </w:pPr>
    </w:p>
    <w:p>
      <w:pPr>
        <w:pStyle w:val="Heading202unnumbered"/>
        <w:bidi w:val="0"/>
        <w:jc w:val="left"/>
        <w:outlineLvl w:val="1"/>
        <w:rPr/>
      </w:pPr>
      <w:bookmarkStart w:id="40" w:name="OrgXref.org522e37b"/>
      <w:bookmarkStart w:id="41" w:name="org522e37b"/>
      <w:bookmarkEnd w:id="41"/>
      <w:r>
        <w:rPr/>
        <w:t xml:space="preserve">Dine svar til opgave 4 </w:t>
      </w:r>
      <w:bookmarkEnd w:id="40"/>
    </w:p>
    <w:p>
      <w:pPr>
        <w:pStyle w:val="DineSvar"/>
        <w:pBdr>
          <w:top w:val="single" w:sz="4" w:space="1" w:color="000000"/>
          <w:left w:val="single" w:sz="4" w:space="1" w:color="000000"/>
          <w:bottom w:val="single" w:sz="4" w:space="1" w:color="000000"/>
          <w:right w:val="single" w:sz="4" w:space="1" w:color="000000"/>
        </w:pBdr>
        <w:shd w:fill="DCEFF1" w:val="clear"/>
        <w:bidi w:val="0"/>
        <w:spacing w:lineRule="auto" w:line="240" w:before="170" w:after="170"/>
        <w:ind w:hanging="0" w:left="170" w:right="170"/>
        <w:jc w:val="left"/>
        <w:rPr/>
      </w:pPr>
      <w:r>
        <w:rPr/>
        <w:br/>
        <w:t xml:space="preserve"> </w:t>
        <w:br/>
        <w:t xml:space="preserve"> </w:t>
        <w:br/>
        <w:t xml:space="preserve"> </w:t>
      </w:r>
    </w:p>
    <w:sectPr>
      <w:type w:val="continuous"/>
      <w:pgSz w:w="11906" w:h="16838"/>
      <w:pgMar w:left="1134" w:right="1134" w:gutter="0" w:header="0" w:top="1134" w:footer="1134" w:bottom="1860"/>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tinus Serif">
    <w:altName w:val="Linux Libertine O"/>
    <w:charset w:val="01"/>
    <w:family w:val="auto"/>
    <w:pitch w:val="default"/>
  </w:font>
  <w:font w:name="Courier New">
    <w:charset w:val="01"/>
    <w:family w:val="modern"/>
    <w:pitch w:val="fixed"/>
  </w:font>
  <w:font w:name="Arial">
    <w:charset w:val="01"/>
    <w:family w:val="swiss"/>
    <w:pitch w:val="variable"/>
  </w:font>
  <w:font w:name="Tahoma1">
    <w:charset w:val="01"/>
    <w:family w:val="auto"/>
    <w:pitch w:val="default"/>
  </w:font>
  <w:font w:name="Times New Roman">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left"/>
      <w:pPr>
        <w:tabs>
          <w:tab w:val="num" w:pos="0"/>
        </w:tabs>
        <w:ind w:left="432" w:hanging="432"/>
      </w:pPr>
    </w:lvl>
    <w:lvl w:ilvl="1">
      <w:start w:val="1"/>
      <w:pStyle w:val="Heading2"/>
      <w:numFmt w:val="none"/>
      <w:suff w:val="nothing"/>
      <w:lvlText w:val="%2"/>
      <w:lvlJc w:val="left"/>
      <w:pPr>
        <w:tabs>
          <w:tab w:val="num" w:pos="0"/>
        </w:tabs>
        <w:ind w:left="576" w:hanging="576"/>
      </w:pPr>
    </w:lvl>
    <w:lvl w:ilvl="2">
      <w:start w:val="1"/>
      <w:pStyle w:val="Heading3"/>
      <w:numFmt w:val="none"/>
      <w:suff w:val="nothing"/>
      <w:lvlText w:val="%3"/>
      <w:lvlJc w:val="left"/>
      <w:pPr>
        <w:tabs>
          <w:tab w:val="num" w:pos="0"/>
        </w:tabs>
        <w:ind w:left="720" w:hanging="720"/>
      </w:pPr>
    </w:lvl>
    <w:lvl w:ilvl="3">
      <w:start w:val="1"/>
      <w:pStyle w:val="Heading4"/>
      <w:numFmt w:val="none"/>
      <w:suff w:val="nothing"/>
      <w:lvlText w:val="%4"/>
      <w:lvlJc w:val="left"/>
      <w:pPr>
        <w:tabs>
          <w:tab w:val="num" w:pos="0"/>
        </w:tabs>
        <w:ind w:left="864" w:hanging="864"/>
      </w:pPr>
    </w:lvl>
    <w:lvl w:ilvl="4">
      <w:start w:val="1"/>
      <w:pStyle w:val="Heading5"/>
      <w:numFmt w:val="none"/>
      <w:suff w:val="nothing"/>
      <w:lvlText w:val="%5"/>
      <w:lvlJc w:val="left"/>
      <w:pPr>
        <w:tabs>
          <w:tab w:val="num" w:pos="0"/>
        </w:tabs>
        <w:ind w:left="1008" w:hanging="1008"/>
      </w:pPr>
    </w:lvl>
    <w:lvl w:ilvl="5">
      <w:start w:val="1"/>
      <w:pStyle w:val="Heading6"/>
      <w:numFmt w:val="none"/>
      <w:suff w:val="nothing"/>
      <w:lvlText w:val="%6"/>
      <w:lvlJc w:val="left"/>
      <w:pPr>
        <w:tabs>
          <w:tab w:val="num" w:pos="0"/>
        </w:tabs>
        <w:ind w:left="1152" w:hanging="1152"/>
      </w:pPr>
    </w:lvl>
    <w:lvl w:ilvl="6">
      <w:start w:val="1"/>
      <w:pStyle w:val="Heading7"/>
      <w:numFmt w:val="none"/>
      <w:suff w:val="nothing"/>
      <w:lvlText w:val="%7"/>
      <w:lvlJc w:val="left"/>
      <w:pPr>
        <w:tabs>
          <w:tab w:val="num" w:pos="0"/>
        </w:tabs>
        <w:ind w:left="1296" w:hanging="1296"/>
      </w:pPr>
    </w:lvl>
    <w:lvl w:ilvl="7">
      <w:start w:val="1"/>
      <w:pStyle w:val="Heading8"/>
      <w:numFmt w:val="none"/>
      <w:suff w:val="nothing"/>
      <w:lvlText w:val="%8"/>
      <w:lvlJc w:val="left"/>
      <w:pPr>
        <w:tabs>
          <w:tab w:val="num" w:pos="0"/>
        </w:tabs>
        <w:ind w:left="1440" w:hanging="1440"/>
      </w:pPr>
    </w:lvl>
    <w:lvl w:ilvl="8">
      <w:start w:val="1"/>
      <w:pStyle w:val="Heading9"/>
      <w:numFmt w:val="none"/>
      <w:suff w:val="nothing"/>
      <w:lvlText w:val="%9"/>
      <w:lvlJc w:val="left"/>
      <w:pPr>
        <w:tabs>
          <w:tab w:val="num" w:pos="0"/>
        </w:tabs>
        <w:ind w:left="1584" w:hanging="1584"/>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2"/>
    <w:lvlOverride w:ilvl="0">
      <w:startOverride w:val="1"/>
    </w:lvlOverride>
  </w:num>
  <w:num w:numId="4">
    <w:abstractNumId w:val="2"/>
    <w:lvlOverride w:ilvl="0">
      <w:startOverride w:val="2"/>
    </w:lvlOverride>
  </w:num>
  <w:num w:numId="5">
    <w:abstractNumId w:val="2"/>
    <w:lvlOverride w:ilvl="0">
      <w:startOverride w:val="3"/>
    </w:lvlOverride>
  </w:num>
  <w:num w:numId="6">
    <w:abstractNumId w:val="2"/>
    <w:lvlOverride w:ilvl="0">
      <w:startOverride w:val="4"/>
    </w:lvlOverride>
  </w:num>
  <w:num w:numId="7">
    <w:abstractNumId w:val="2"/>
    <w:lvlOverride w:ilvl="0">
      <w:startOverride w:val="5"/>
    </w:lvlOverride>
  </w:num>
  <w:num w:numId="8">
    <w:abstractNumId w:val="2"/>
    <w:lvlOverride w:ilvl="0">
      <w:startOverride w:val="6"/>
    </w:lvlOverride>
  </w:num>
  <w:num w:numId="9">
    <w:abstractNumId w:val="9"/>
  </w:num>
  <w:num w:numId="10">
    <w:abstractNumId w:val="9"/>
    <w:lvlOverride w:ilvl="0">
      <w:startOverride w:val="1"/>
    </w:lvlOverride>
  </w:num>
  <w:num w:numId="11">
    <w:abstractNumId w:val="9"/>
    <w:lvlOverride w:ilvl="0">
      <w:startOverride w:val="2"/>
    </w:lvlOverride>
  </w:num>
  <w:num w:numId="12">
    <w:abstractNumId w:val="9"/>
    <w:lvlOverride w:ilvl="0">
      <w:startOverride w:val="3"/>
    </w:lvlOverride>
  </w:num>
  <w:num w:numId="13">
    <w:abstractNumId w:val="9"/>
    <w:lvlOverride w:ilvl="0">
      <w:startOverride w:val="4"/>
    </w:lvlOverride>
  </w:num>
</w:numbering>
</file>

<file path=word/settings.xml><?xml version="1.0" encoding="utf-8"?>
<w:settings xmlns:w="http://schemas.openxmlformats.org/wordprocessingml/2006/main">
  <w:zoom w:percent="180"/>
  <w:mirrorMargins/>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tinus Serif;Linux Libertine O;Times New Roman" w:hAnsi="Libertinus Serif;Linux Libertine O;Times New Roman" w:eastAsia="DejaVu Sans" w:cs="Noto Sans Arabic UI"/>
        <w:color w:val="000000"/>
        <w:szCs w:val="24"/>
        <w:lang w:val="en-US" w:eastAsia="zh-CN" w:bidi="hi-IN"/>
      </w:rPr>
    </w:rPrDefault>
    <w:pPrDefault>
      <w:pPr>
        <w:suppressAutoHyphens w:val="true"/>
        <w:spacing w:lineRule="auto" w:line="312"/>
      </w:pPr>
    </w:pPrDefault>
  </w:docDefaults>
  <w:style w:type="paragraph" w:styleId="Normal">
    <w:name w:val="Normal"/>
    <w:qFormat/>
    <w:pPr>
      <w:widowControl w:val="false"/>
      <w:bidi w:val="0"/>
      <w:spacing w:lineRule="auto" w:line="312" w:before="170" w:after="170"/>
      <w:ind w:left="170" w:right="170"/>
    </w:pPr>
    <w:rPr>
      <w:rFonts w:ascii="Libertinus Serif;Linux Libertine O;Times New Roman" w:hAnsi="Libertinus Serif;Linux Libertine O;Times New Roman"/>
      <w:sz w:val="20"/>
      <w:lang w:val="en-US" w:eastAsia="zh-CN" w:bidi="hi-IN"/>
    </w:rPr>
  </w:style>
  <w:style w:type="paragraph" w:styleId="Heading1">
    <w:name w:val="Heading 1"/>
    <w:basedOn w:val="Heading"/>
    <w:next w:val="BodyText"/>
    <w:qFormat/>
    <w:pPr>
      <w:numPr>
        <w:ilvl w:val="0"/>
        <w:numId w:val="1"/>
      </w:numPr>
      <w:outlineLvl w:val="0"/>
    </w:pPr>
    <w:rPr>
      <w:b/>
      <w:bCs/>
      <w:sz w:val="32"/>
      <w:szCs w:val="32"/>
    </w:rPr>
  </w:style>
  <w:style w:type="paragraph" w:styleId="Heading2">
    <w:name w:val="Heading 2"/>
    <w:basedOn w:val="Heading"/>
    <w:next w:val="BodyText"/>
    <w:qFormat/>
    <w:pPr>
      <w:numPr>
        <w:ilvl w:val="1"/>
        <w:numId w:val="1"/>
      </w:numPr>
      <w:outlineLvl w:val="1"/>
    </w:pPr>
    <w:rPr>
      <w:b/>
      <w:bCs/>
      <w:i/>
      <w:iCs/>
      <w:sz w:val="28"/>
      <w:szCs w:val="28"/>
    </w:rPr>
  </w:style>
  <w:style w:type="paragraph" w:styleId="Heading3">
    <w:name w:val="Heading 3"/>
    <w:basedOn w:val="Heading"/>
    <w:next w:val="BodyText"/>
    <w:qFormat/>
    <w:pPr>
      <w:numPr>
        <w:ilvl w:val="2"/>
        <w:numId w:val="1"/>
      </w:numPr>
      <w:outlineLvl w:val="2"/>
    </w:pPr>
    <w:rPr>
      <w:b/>
      <w:bCs/>
      <w:sz w:val="28"/>
      <w:szCs w:val="28"/>
    </w:rPr>
  </w:style>
  <w:style w:type="paragraph" w:styleId="Heading4">
    <w:name w:val="Heading 4"/>
    <w:basedOn w:val="Heading"/>
    <w:next w:val="BodyText"/>
    <w:qFormat/>
    <w:pPr>
      <w:numPr>
        <w:ilvl w:val="3"/>
        <w:numId w:val="1"/>
      </w:numPr>
      <w:outlineLvl w:val="3"/>
    </w:pPr>
    <w:rPr>
      <w:b/>
      <w:bCs/>
      <w:i/>
      <w:iCs/>
      <w:sz w:val="24"/>
      <w:szCs w:val="24"/>
    </w:rPr>
  </w:style>
  <w:style w:type="paragraph" w:styleId="Heading5">
    <w:name w:val="Heading 5"/>
    <w:basedOn w:val="Heading"/>
    <w:next w:val="BodyText"/>
    <w:qFormat/>
    <w:pPr>
      <w:numPr>
        <w:ilvl w:val="4"/>
        <w:numId w:val="1"/>
      </w:numPr>
      <w:outlineLvl w:val="4"/>
    </w:pPr>
    <w:rPr>
      <w:b/>
      <w:bCs/>
      <w:sz w:val="24"/>
      <w:szCs w:val="24"/>
    </w:rPr>
  </w:style>
  <w:style w:type="paragraph" w:styleId="Heading6">
    <w:name w:val="Heading 6"/>
    <w:basedOn w:val="Heading"/>
    <w:next w:val="BodyText"/>
    <w:qFormat/>
    <w:pPr>
      <w:numPr>
        <w:ilvl w:val="5"/>
        <w:numId w:val="1"/>
      </w:numPr>
      <w:outlineLvl w:val="5"/>
    </w:pPr>
    <w:rPr>
      <w:b/>
      <w:bCs/>
      <w:sz w:val="21"/>
      <w:szCs w:val="21"/>
    </w:rPr>
  </w:style>
  <w:style w:type="paragraph" w:styleId="Heading7">
    <w:name w:val="Heading 7"/>
    <w:basedOn w:val="Heading"/>
    <w:next w:val="BodyText"/>
    <w:qFormat/>
    <w:pPr>
      <w:numPr>
        <w:ilvl w:val="6"/>
        <w:numId w:val="1"/>
      </w:numPr>
      <w:outlineLvl w:val="6"/>
    </w:pPr>
    <w:rPr>
      <w:b/>
      <w:bCs/>
      <w:sz w:val="21"/>
      <w:szCs w:val="21"/>
    </w:rPr>
  </w:style>
  <w:style w:type="paragraph" w:styleId="Heading8">
    <w:name w:val="Heading 8"/>
    <w:basedOn w:val="Heading"/>
    <w:next w:val="BodyText"/>
    <w:qFormat/>
    <w:pPr>
      <w:numPr>
        <w:ilvl w:val="7"/>
        <w:numId w:val="1"/>
      </w:numPr>
      <w:outlineLvl w:val="7"/>
    </w:pPr>
    <w:rPr>
      <w:b/>
      <w:bCs/>
      <w:sz w:val="21"/>
      <w:szCs w:val="21"/>
    </w:rPr>
  </w:style>
  <w:style w:type="paragraph" w:styleId="Heading9">
    <w:name w:val="Heading 9"/>
    <w:basedOn w:val="Heading"/>
    <w:next w:val="BodyText"/>
    <w:qFormat/>
    <w:pPr>
      <w:numPr>
        <w:ilvl w:val="8"/>
        <w:numId w:val="1"/>
      </w:numPr>
      <w:outlineLvl w:val="8"/>
    </w:pPr>
    <w:rPr>
      <w:b/>
      <w:bCs/>
      <w:sz w:val="21"/>
      <w:szCs w:val="21"/>
    </w:rPr>
  </w:style>
  <w:style w:type="character" w:styleId="Highlight">
    <w:name w:val="Highlight"/>
    <w:qFormat/>
    <w:rPr>
      <w:sz w:val="20"/>
      <w:shd w:fill="FFB6C1" w:val="clear"/>
    </w:rPr>
  </w:style>
  <w:style w:type="character" w:styleId="OrgSrcFontLockStringFace">
    <w:name w:val="OrgSrcFontLockStringFace"/>
    <w:qFormat/>
    <w:rPr>
      <w:color w:val="4E9A06"/>
      <w:shd w:fill="EDEDED" w:val="clear"/>
    </w:rPr>
  </w:style>
  <w:style w:type="character" w:styleId="OrgSrcFontLockDocFace">
    <w:name w:val="OrgSrcFontLockDocFace"/>
    <w:qFormat/>
    <w:rPr>
      <w:color w:val="4E9A06"/>
      <w:shd w:fill="EDEDED" w:val="clear"/>
    </w:rPr>
  </w:style>
  <w:style w:type="character" w:styleId="OrgSrcFontLockFunctionNameFace">
    <w:name w:val="OrgSrcFontLockFunctionNameFace"/>
    <w:qFormat/>
    <w:rPr>
      <w:color w:val="00578E"/>
      <w:shd w:fill="EDEDED" w:val="clear"/>
    </w:rPr>
  </w:style>
  <w:style w:type="character" w:styleId="OrgSrcFontLockKeywordFace">
    <w:name w:val="OrgSrcFontLockKeywordFace"/>
    <w:qFormat/>
    <w:rPr>
      <w:color w:val="A52A2A"/>
      <w:shd w:fill="EDEDED" w:val="clear"/>
    </w:rPr>
  </w:style>
  <w:style w:type="character" w:styleId="Emphasis">
    <w:name w:val="Emphasis"/>
    <w:qFormat/>
    <w:rPr>
      <w:i/>
      <w:iCs/>
    </w:rPr>
  </w:style>
  <w:style w:type="character" w:styleId="Underline">
    <w:name w:val="Underline"/>
    <w:qFormat/>
    <w:rPr>
      <w:u w:val="single"/>
      <w:shd w:fill="auto" w:val="clear"/>
    </w:rPr>
  </w:style>
  <w:style w:type="character" w:styleId="Strikethrough">
    <w:name w:val="Strikethrough"/>
    <w:qFormat/>
    <w:rPr>
      <w:strike/>
    </w:rPr>
  </w:style>
  <w:style w:type="character" w:styleId="SourceText">
    <w:name w:val="Source Text"/>
    <w:qFormat/>
    <w:rPr>
      <w:rFonts w:ascii="Courier New" w:hAnsi="Courier New" w:eastAsia="NSimSun" w:cs="Courier New"/>
      <w:shd w:fill="auto" w:val="clear"/>
    </w:rPr>
  </w:style>
  <w:style w:type="character" w:styleId="Quotation">
    <w:name w:val="Quotation"/>
    <w:qFormat/>
    <w:rPr>
      <w:i/>
      <w:iCs/>
    </w:rPr>
  </w:style>
  <w:style w:type="character" w:styleId="Example">
    <w:name w:val="Example"/>
    <w:qFormat/>
    <w:rPr>
      <w:rFonts w:ascii="Courier New" w:hAnsi="Courier New" w:eastAsia="NSimSun" w:cs="Courier New"/>
      <w:shd w:fill="auto" w:val="clear"/>
    </w:rPr>
  </w:style>
  <w:style w:type="character" w:styleId="OrgCode">
    <w:name w:val="OrgCode"/>
    <w:basedOn w:val="SourceText"/>
    <w:qFormat/>
    <w:rPr/>
  </w:style>
  <w:style w:type="character" w:styleId="OrgTodo">
    <w:name w:val="OrgTodo"/>
    <w:qFormat/>
    <w:rPr/>
  </w:style>
  <w:style w:type="character" w:styleId="OrgDone">
    <w:name w:val="OrgDone"/>
    <w:qFormat/>
    <w:rPr/>
  </w:style>
  <w:style w:type="character" w:styleId="OrgTag">
    <w:name w:val="OrgTag"/>
    <w:qFormat/>
    <w:rPr>
      <w:smallCaps/>
      <w:shd w:fill="auto" w:val="clear"/>
    </w:rPr>
  </w:style>
  <w:style w:type="character" w:styleId="OrgTags">
    <w:name w:val="OrgTags"/>
    <w:qFormat/>
    <w:rPr/>
  </w:style>
  <w:style w:type="character" w:styleId="OrgPriority">
    <w:name w:val="OrgPriority"/>
    <w:qFormat/>
    <w:rPr/>
  </w:style>
  <w:style w:type="character" w:styleId="OrgPriority-A">
    <w:name w:val="OrgPriority-A"/>
    <w:basedOn w:val="OrgPriority"/>
    <w:qFormat/>
    <w:rPr/>
  </w:style>
  <w:style w:type="character" w:styleId="OrgPriority-B">
    <w:name w:val="OrgPriority-B"/>
    <w:basedOn w:val="OrgPriority"/>
    <w:qFormat/>
    <w:rPr/>
  </w:style>
  <w:style w:type="character" w:styleId="OrgPriority-C">
    <w:name w:val="OrgPriority-C"/>
    <w:basedOn w:val="OrgPriority"/>
    <w:qFormat/>
    <w:rPr/>
  </w:style>
  <w:style w:type="character" w:styleId="OrgTimestamp">
    <w:name w:val="OrgTimestamp"/>
    <w:qFormat/>
    <w:rPr>
      <w:rFonts w:ascii="Courier New" w:hAnsi="Courier New" w:eastAsia="NSimSun" w:cs="Courier New"/>
      <w:shd w:fill="auto" w:val="clear"/>
    </w:rPr>
  </w:style>
  <w:style w:type="character" w:styleId="OrgActiveTimestamp">
    <w:name w:val="OrgActiveTimestamp"/>
    <w:basedOn w:val="OrgTimestamp"/>
    <w:qFormat/>
    <w:rPr/>
  </w:style>
  <w:style w:type="character" w:styleId="OrgInactiveTimestamp">
    <w:name w:val="OrgInactiveTimestamp"/>
    <w:basedOn w:val="OrgTimestamp"/>
    <w:qFormat/>
    <w:rPr/>
  </w:style>
  <w:style w:type="character" w:styleId="OrgTimestampKeyword">
    <w:name w:val="OrgTimestampKeyword"/>
    <w:qFormat/>
    <w:rPr>
      <w:b/>
      <w:color w:val="auto"/>
    </w:rPr>
  </w:style>
  <w:style w:type="character" w:styleId="OrgScheduledKeyword">
    <w:name w:val="OrgScheduledKeyword"/>
    <w:basedOn w:val="OrgTimestampKeyword"/>
    <w:qFormat/>
    <w:rPr/>
  </w:style>
  <w:style w:type="character" w:styleId="OrgDeadlineKeyword">
    <w:name w:val="OrgDeadlineKeyword"/>
    <w:basedOn w:val="OrgTimestampKeyword"/>
    <w:qFormat/>
    <w:rPr/>
  </w:style>
  <w:style w:type="character" w:styleId="OrgClockKeyword">
    <w:name w:val="OrgClockKeyword"/>
    <w:basedOn w:val="OrgTimestampKeyword"/>
    <w:qFormat/>
    <w:rPr/>
  </w:style>
  <w:style w:type="character" w:styleId="OrgClosedKeyword">
    <w:name w:val="OrgClosedKeyword"/>
    <w:basedOn w:val="OrgTimestampKeyword"/>
    <w:qFormat/>
    <w:rPr/>
  </w:style>
  <w:style w:type="character" w:styleId="OrgTimestampWrapper">
    <w:name w:val="OrgTimestampWrapper"/>
    <w:qFormat/>
    <w:rPr/>
  </w:style>
  <w:style w:type="character" w:styleId="OrgTarget">
    <w:name w:val="OrgTarget"/>
    <w:qFormat/>
    <w:rPr/>
  </w:style>
  <w:style w:type="character" w:styleId="Bold">
    <w:name w:val="Bold"/>
    <w:qFormat/>
    <w:rPr>
      <w:b/>
    </w:rPr>
  </w:style>
  <w:style w:type="character" w:styleId="NumberingSymbols">
    <w:name w:val="Numbering Symbols"/>
    <w:qFormat/>
    <w:rPr/>
  </w:style>
  <w:style w:type="character" w:styleId="FootnoteCharacters">
    <w:name w:val="Footnote Characters"/>
    <w:qFormat/>
    <w:rPr/>
  </w:style>
  <w:style w:type="character" w:styleId="FootnoteReference">
    <w:name w:val="Footnote Reference"/>
    <w:rPr>
      <w:vertAlign w:val="superscript"/>
    </w:rPr>
  </w:style>
  <w:style w:type="character" w:styleId="OrgSuperscript">
    <w:name w:val="OrgSuperscript"/>
    <w:qFormat/>
    <w:rPr>
      <w:vertAlign w:val="superscript"/>
    </w:rPr>
  </w:style>
  <w:style w:type="character" w:styleId="OrgSubscript">
    <w:name w:val="OrgSubscript"/>
    <w:qFormat/>
    <w:rPr>
      <w:vertAlign w:val="subscript"/>
    </w:rPr>
  </w:style>
  <w:style w:type="character" w:styleId="Hyperlink">
    <w:name w:val="Hyperlink"/>
    <w:rPr>
      <w:color w:val="000080"/>
      <w:u w:val="single"/>
      <w:lang w:val="zxx" w:eastAsia="zxx" w:bidi="zxx"/>
    </w:rPr>
  </w:style>
  <w:style w:type="character" w:styleId="Bullet20Symbols">
    <w:name w:val="Bullet_20_Symbols"/>
    <w:qFormat/>
    <w:rPr/>
  </w:style>
  <w:style w:type="paragraph" w:styleId="Heading">
    <w:name w:val="Heading"/>
    <w:basedOn w:val="Normal"/>
    <w:next w:val="BodyText"/>
    <w:qFormat/>
    <w:pPr>
      <w:keepNext w:val="true"/>
      <w:tabs>
        <w:tab w:val="clear" w:pos="1134"/>
        <w:tab w:val="right" w:pos="9808" w:leader="none"/>
      </w:tabs>
      <w:spacing w:before="240" w:after="120"/>
    </w:pPr>
    <w:rPr>
      <w:rFonts w:ascii="Arial" w:hAnsi="Arial" w:eastAsia="SimSun" w:cs="Tahoma"/>
      <w:sz w:val="28"/>
      <w:szCs w:val="28"/>
    </w:rPr>
  </w:style>
  <w:style w:type="paragraph" w:styleId="BodyText">
    <w:name w:val="Body Text"/>
    <w:basedOn w:val="Normal"/>
    <w:pPr>
      <w:spacing w:before="0" w:after="120"/>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Index">
    <w:name w:val="Index"/>
    <w:basedOn w:val="Normal"/>
    <w:qFormat/>
    <w:pPr>
      <w:suppressLineNumbers/>
    </w:pPr>
    <w:rPr>
      <w:rFonts w:cs="Tahoma"/>
    </w:rPr>
  </w:style>
  <w:style w:type="paragraph" w:styleId="Heading201unnumbered">
    <w:name w:val="Heading_20_1_unnumbered"/>
    <w:basedOn w:val="Heading1"/>
    <w:qFormat/>
    <w:pPr>
      <w:numPr>
        <w:ilvl w:val="0"/>
        <w:numId w:val="0"/>
      </w:numPr>
      <w:outlineLvl w:val="9"/>
    </w:pPr>
    <w:rPr/>
  </w:style>
  <w:style w:type="paragraph" w:styleId="Heading202unnumbered">
    <w:name w:val="Heading_20_2_unnumbered"/>
    <w:basedOn w:val="Heading2"/>
    <w:qFormat/>
    <w:pPr>
      <w:numPr>
        <w:ilvl w:val="0"/>
        <w:numId w:val="0"/>
      </w:numPr>
      <w:outlineLvl w:val="9"/>
    </w:pPr>
    <w:rPr/>
  </w:style>
  <w:style w:type="paragraph" w:styleId="Heading203unnumbered">
    <w:name w:val="Heading_20_3_unnumbered"/>
    <w:basedOn w:val="Heading3"/>
    <w:qFormat/>
    <w:pPr>
      <w:numPr>
        <w:ilvl w:val="0"/>
        <w:numId w:val="0"/>
      </w:numPr>
      <w:outlineLvl w:val="9"/>
    </w:pPr>
    <w:rPr/>
  </w:style>
  <w:style w:type="paragraph" w:styleId="Heading204unnumbered">
    <w:name w:val="Heading_20_4_unnumbered"/>
    <w:basedOn w:val="Heading4"/>
    <w:qFormat/>
    <w:pPr>
      <w:numPr>
        <w:ilvl w:val="0"/>
        <w:numId w:val="0"/>
      </w:numPr>
      <w:outlineLvl w:val="9"/>
    </w:pPr>
    <w:rPr/>
  </w:style>
  <w:style w:type="paragraph" w:styleId="Heading205unnumbered">
    <w:name w:val="Heading_20_5_unnumbered"/>
    <w:basedOn w:val="Heading5"/>
    <w:qFormat/>
    <w:pPr>
      <w:numPr>
        <w:ilvl w:val="0"/>
        <w:numId w:val="0"/>
      </w:numPr>
      <w:outlineLvl w:val="9"/>
    </w:pPr>
    <w:rPr/>
  </w:style>
  <w:style w:type="paragraph" w:styleId="Heading206unnumbered">
    <w:name w:val="Heading_20_6_unnumbered"/>
    <w:basedOn w:val="Heading6"/>
    <w:qFormat/>
    <w:pPr>
      <w:numPr>
        <w:ilvl w:val="0"/>
        <w:numId w:val="0"/>
      </w:numPr>
      <w:outlineLvl w:val="9"/>
    </w:pPr>
    <w:rPr/>
  </w:style>
  <w:style w:type="paragraph" w:styleId="Heading207unnumbered">
    <w:name w:val="Heading_20_7_unnumbered"/>
    <w:basedOn w:val="Heading7"/>
    <w:qFormat/>
    <w:pPr>
      <w:numPr>
        <w:ilvl w:val="0"/>
        <w:numId w:val="0"/>
      </w:numPr>
      <w:outlineLvl w:val="9"/>
    </w:pPr>
    <w:rPr/>
  </w:style>
  <w:style w:type="paragraph" w:styleId="Heading208unnumbered">
    <w:name w:val="Heading_20_8_unnumbered"/>
    <w:basedOn w:val="Heading8"/>
    <w:qFormat/>
    <w:pPr>
      <w:numPr>
        <w:ilvl w:val="0"/>
        <w:numId w:val="0"/>
      </w:numPr>
      <w:outlineLvl w:val="9"/>
    </w:pPr>
    <w:rPr/>
  </w:style>
  <w:style w:type="paragraph" w:styleId="Heading209unnumbered">
    <w:name w:val="Heading_20_9_unnumbered"/>
    <w:basedOn w:val="Heading9"/>
    <w:qFormat/>
    <w:pPr>
      <w:numPr>
        <w:ilvl w:val="0"/>
        <w:numId w:val="0"/>
      </w:numPr>
      <w:outlineLvl w:val="9"/>
    </w:pPr>
    <w:rPr/>
  </w:style>
  <w:style w:type="paragraph" w:styleId="Heading10">
    <w:name w:val="Heading 10"/>
    <w:basedOn w:val="Heading"/>
    <w:next w:val="BodyText"/>
    <w:qFormat/>
    <w:pPr>
      <w:numPr>
        <w:ilvl w:val="8"/>
        <w:numId w:val="1"/>
      </w:numPr>
      <w:outlineLvl w:val="8"/>
    </w:pPr>
    <w:rPr>
      <w:b/>
      <w:bCs/>
      <w:sz w:val="21"/>
      <w:szCs w:val="21"/>
    </w:rPr>
  </w:style>
  <w:style w:type="paragraph" w:styleId="Heading2010unnumbered">
    <w:name w:val="Heading_20_10_unnumbered"/>
    <w:basedOn w:val="Heading10"/>
    <w:qFormat/>
    <w:pPr>
      <w:numPr>
        <w:ilvl w:val="0"/>
        <w:numId w:val="0"/>
      </w:numPr>
      <w:outlineLvl w:val="9"/>
    </w:pPr>
    <w:rPr/>
  </w:style>
  <w:style w:type="paragraph" w:styleId="Heading1title">
    <w:name w:val="Heading 1.title"/>
    <w:basedOn w:val="Heading1"/>
    <w:qFormat/>
    <w:pPr>
      <w:numPr>
        <w:ilvl w:val="0"/>
        <w:numId w:val="0"/>
      </w:numPr>
      <w:jc w:val="center"/>
      <w:outlineLvl w:val="9"/>
    </w:pPr>
    <w:rPr/>
  </w:style>
  <w:style w:type="paragraph" w:styleId="Title">
    <w:name w:val="Title"/>
    <w:basedOn w:val="Heading"/>
    <w:next w:val="Subtitle"/>
    <w:qFormat/>
    <w:pPr>
      <w:jc w:val="center"/>
    </w:pPr>
    <w:rPr>
      <w:b/>
      <w:bCs/>
      <w:sz w:val="36"/>
      <w:szCs w:val="36"/>
    </w:rPr>
  </w:style>
  <w:style w:type="paragraph" w:styleId="OrgTitle">
    <w:name w:val="OrgTitle"/>
    <w:basedOn w:val="Title"/>
    <w:qFormat/>
    <w:pPr>
      <w:spacing w:before="0" w:after="0"/>
    </w:pPr>
    <w:rPr>
      <w:sz w:val="48"/>
    </w:rPr>
  </w:style>
  <w:style w:type="paragraph" w:styleId="Subtitle">
    <w:name w:val="Subtitle"/>
    <w:basedOn w:val="Heading"/>
    <w:next w:val="BodyText"/>
    <w:qFormat/>
    <w:pPr>
      <w:jc w:val="center"/>
    </w:pPr>
    <w:rPr>
      <w:i/>
      <w:iCs/>
      <w:sz w:val="28"/>
      <w:szCs w:val="28"/>
    </w:rPr>
  </w:style>
  <w:style w:type="paragraph" w:styleId="OrgSubtitle">
    <w:name w:val="OrgSubtitle"/>
    <w:basedOn w:val="Subtitle"/>
    <w:qFormat/>
    <w:pPr>
      <w:spacing w:before="0" w:after="0"/>
    </w:pPr>
    <w:rPr>
      <w:sz w:val="40"/>
    </w:rPr>
  </w:style>
  <w:style w:type="paragraph" w:styleId="BodyTextIndent">
    <w:name w:val="Body Text Indent"/>
    <w:basedOn w:val="BodyText"/>
    <w:pPr>
      <w:ind w:hanging="0" w:left="283" w:right="0"/>
    </w:pPr>
    <w:rPr/>
  </w:style>
  <w:style w:type="paragraph" w:styleId="ListIndent">
    <w:name w:val="List Indent"/>
    <w:basedOn w:val="BodyText"/>
    <w:qFormat/>
    <w:pPr>
      <w:tabs>
        <w:tab w:val="clear" w:pos="1134"/>
        <w:tab w:val="left" w:pos="2835" w:leader="none"/>
      </w:tabs>
      <w:ind w:hanging="2551" w:left="2835" w:right="0"/>
    </w:pPr>
    <w:rPr/>
  </w:style>
  <w:style w:type="paragraph" w:styleId="BodyTextFirstIndent">
    <w:name w:val="Body Text First Indent"/>
    <w:basedOn w:val="BodyText"/>
    <w:pPr>
      <w:ind w:firstLine="283" w:left="0" w:right="0"/>
    </w:pPr>
    <w:rPr/>
  </w:style>
  <w:style w:type="paragraph" w:styleId="HangingIndent">
    <w:name w:val="Hanging Indent"/>
    <w:basedOn w:val="BodyText"/>
    <w:qFormat/>
    <w:pPr>
      <w:tabs>
        <w:tab w:val="clear" w:pos="1134"/>
        <w:tab w:val="left" w:pos="567" w:leader="none"/>
      </w:tabs>
      <w:ind w:hanging="283" w:left="567" w:right="0"/>
    </w:pPr>
    <w:rPr/>
  </w:style>
  <w:style w:type="paragraph" w:styleId="Salutation">
    <w:name w:val="Salutation"/>
    <w:basedOn w:val="Normal"/>
    <w:pPr>
      <w:suppressLineNumbers/>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suppressLineNumbers/>
      <w:ind w:hanging="0" w:left="0" w:right="0"/>
    </w:pPr>
    <w:rPr>
      <w:b/>
      <w:bCs/>
      <w:sz w:val="32"/>
      <w:szCs w:val="32"/>
    </w:rPr>
  </w:style>
  <w:style w:type="paragraph" w:styleId="TOC1">
    <w:name w:val="TOC 1"/>
    <w:basedOn w:val="Index"/>
    <w:pPr>
      <w:tabs>
        <w:tab w:val="clear" w:pos="1134"/>
        <w:tab w:val="right" w:pos="9638" w:leader="dot"/>
      </w:tabs>
      <w:ind w:hanging="0" w:left="0" w:right="0"/>
    </w:pPr>
    <w:rPr/>
  </w:style>
  <w:style w:type="paragraph" w:styleId="TOC2">
    <w:name w:val="TOC 2"/>
    <w:basedOn w:val="Index"/>
    <w:pPr>
      <w:tabs>
        <w:tab w:val="clear" w:pos="1134"/>
        <w:tab w:val="right" w:pos="9638" w:leader="dot"/>
      </w:tabs>
      <w:ind w:hanging="0" w:left="283" w:right="0"/>
    </w:pPr>
    <w:rPr/>
  </w:style>
  <w:style w:type="paragraph" w:styleId="TOC3">
    <w:name w:val="TOC 3"/>
    <w:basedOn w:val="Index"/>
    <w:pPr>
      <w:tabs>
        <w:tab w:val="clear" w:pos="1134"/>
        <w:tab w:val="right" w:pos="9638" w:leader="dot"/>
      </w:tabs>
      <w:ind w:hanging="0" w:left="566" w:right="0"/>
    </w:pPr>
    <w:rPr/>
  </w:style>
  <w:style w:type="paragraph" w:styleId="TOC4">
    <w:name w:val="TOC 4"/>
    <w:basedOn w:val="Index"/>
    <w:pPr>
      <w:tabs>
        <w:tab w:val="clear" w:pos="1134"/>
        <w:tab w:val="right" w:pos="9638" w:leader="dot"/>
      </w:tabs>
      <w:ind w:hanging="0" w:left="849" w:right="0"/>
    </w:pPr>
    <w:rPr/>
  </w:style>
  <w:style w:type="paragraph" w:styleId="TOC5">
    <w:name w:val="TOC 5"/>
    <w:basedOn w:val="Index"/>
    <w:pPr>
      <w:tabs>
        <w:tab w:val="clear" w:pos="1134"/>
        <w:tab w:val="right" w:pos="9638" w:leader="dot"/>
      </w:tabs>
      <w:ind w:hanging="0" w:left="1132" w:right="0"/>
    </w:pPr>
    <w:rPr/>
  </w:style>
  <w:style w:type="paragraph" w:styleId="TOC6">
    <w:name w:val="TOC 6"/>
    <w:basedOn w:val="Index"/>
    <w:pPr>
      <w:tabs>
        <w:tab w:val="clear" w:pos="1134"/>
        <w:tab w:val="right" w:pos="9638" w:leader="dot"/>
      </w:tabs>
      <w:ind w:hanging="0" w:left="1415" w:right="0"/>
    </w:pPr>
    <w:rPr/>
  </w:style>
  <w:style w:type="paragraph" w:styleId="TOC7">
    <w:name w:val="TOC 7"/>
    <w:basedOn w:val="Index"/>
    <w:pPr>
      <w:tabs>
        <w:tab w:val="clear" w:pos="1134"/>
        <w:tab w:val="right" w:pos="9638" w:leader="dot"/>
      </w:tabs>
      <w:ind w:hanging="0" w:left="1698" w:right="0"/>
    </w:pPr>
    <w:rPr/>
  </w:style>
  <w:style w:type="paragraph" w:styleId="TOC8">
    <w:name w:val="TOC 8"/>
    <w:basedOn w:val="Index"/>
    <w:pPr>
      <w:tabs>
        <w:tab w:val="clear" w:pos="1134"/>
        <w:tab w:val="right" w:pos="9638" w:leader="dot"/>
      </w:tabs>
      <w:ind w:hanging="0" w:left="1981" w:right="0"/>
    </w:pPr>
    <w:rPr/>
  </w:style>
  <w:style w:type="paragraph" w:styleId="TOC9">
    <w:name w:val="TOC 9"/>
    <w:basedOn w:val="Index"/>
    <w:pPr>
      <w:tabs>
        <w:tab w:val="clear" w:pos="1134"/>
        <w:tab w:val="right" w:pos="9638" w:leader="dot"/>
      </w:tabs>
      <w:ind w:hanging="0" w:left="2264" w:right="0"/>
    </w:pPr>
    <w:rPr/>
  </w:style>
  <w:style w:type="paragraph" w:styleId="Contents10">
    <w:name w:val="Contents 10"/>
    <w:basedOn w:val="Index"/>
    <w:qFormat/>
    <w:pPr>
      <w:tabs>
        <w:tab w:val="clear" w:pos="1134"/>
        <w:tab w:val="right" w:pos="9638" w:leader="dot"/>
      </w:tabs>
      <w:ind w:hanging="0" w:left="2547" w:right="0"/>
    </w:pPr>
    <w:rPr/>
  </w:style>
  <w:style w:type="paragraph" w:styleId="BlockQuotation">
    <w:name w:val="Block Quotation"/>
    <w:basedOn w:val="Normal"/>
    <w:qFormat/>
    <w:pPr>
      <w:spacing w:before="0" w:after="283"/>
      <w:ind w:hanging="0" w:left="567" w:right="567"/>
    </w:pPr>
    <w:rPr/>
  </w:style>
  <w:style w:type="paragraph" w:styleId="OrgFootnoteQuotations">
    <w:name w:val="OrgFootnoteQuotations"/>
    <w:basedOn w:val="FootnoteText"/>
    <w:qFormat/>
    <w:pPr>
      <w:spacing w:before="0" w:after="283"/>
      <w:ind w:hanging="0" w:left="567" w:right="567"/>
    </w:pPr>
    <w:rPr/>
  </w:style>
  <w:style w:type="paragraph" w:styleId="PreformattedText">
    <w:name w:val="Preformatted Text"/>
    <w:basedOn w:val="Normal"/>
    <w:qFormat/>
    <w:pPr>
      <w:spacing w:before="0" w:after="0"/>
    </w:pPr>
    <w:rPr>
      <w:rFonts w:ascii="Courier New" w:hAnsi="Courier New" w:eastAsia="NSimSun" w:cs="Courier New"/>
      <w:sz w:val="20"/>
      <w:szCs w:val="20"/>
    </w:rPr>
  </w:style>
  <w:style w:type="paragraph" w:styleId="OrgVerse">
    <w:name w:val="OrgVerse"/>
    <w:basedOn w:val="PreformattedText"/>
    <w:qFormat/>
    <w:pPr>
      <w:pBdr>
        <w:top w:val="single" w:sz="2" w:space="16" w:color="000000"/>
        <w:left w:val="single" w:sz="2" w:space="16" w:color="000000"/>
        <w:bottom w:val="single" w:sz="2" w:space="16" w:color="000000"/>
        <w:right w:val="single" w:sz="2" w:space="16" w:color="000000"/>
      </w:pBdr>
      <w:shd w:fill="FAF0E6" w:val="clear"/>
    </w:pPr>
    <w:rPr/>
  </w:style>
  <w:style w:type="paragraph" w:styleId="ExampleBlock">
    <w:name w:val="ExampleBlock"/>
    <w:qFormat/>
    <w:pPr>
      <w:widowControl w:val="false"/>
      <w:pBdr/>
      <w:shd w:fill="F7F7F7" w:val="clear"/>
      <w:bidi w:val="0"/>
      <w:spacing w:lineRule="auto" w:line="312" w:before="170" w:after="170"/>
      <w:ind w:left="170" w:right="170"/>
    </w:pPr>
    <w:rPr>
      <w:rFonts w:ascii="Libertinus Serif;Linux Libertine O;Times New Roman" w:hAnsi="Libertinus Serif;Linux Libertine O;Times New Roman"/>
      <w:sz w:val="20"/>
      <w:lang w:val="en-US" w:eastAsia="zh-CN" w:bidi="hi-IN"/>
    </w:rPr>
  </w:style>
  <w:style w:type="paragraph" w:styleId="OrgFixedWidthBlock">
    <w:name w:val="OrgFixedWidthBlock"/>
    <w:basedOn w:val="PreformattedText"/>
    <w:qFormat/>
    <w:pPr>
      <w:pBdr>
        <w:top w:val="single" w:sz="2" w:space="4" w:color="000000"/>
        <w:left w:val="single" w:sz="2" w:space="4" w:color="000000"/>
        <w:bottom w:val="single" w:sz="2" w:space="4" w:color="000000"/>
        <w:right w:val="single" w:sz="2" w:space="4" w:color="000000"/>
      </w:pBdr>
      <w:shd w:fill="F0F8FF" w:val="clear"/>
    </w:pPr>
    <w:rPr/>
  </w:style>
  <w:style w:type="paragraph" w:styleId="OrgFixedWidthBlockLastLine">
    <w:name w:val="OrgFixedWidthBlockLastLine"/>
    <w:basedOn w:val="OrgFixedWidthBlock"/>
    <w:qFormat/>
    <w:pPr>
      <w:spacing w:before="0" w:after="119"/>
    </w:pPr>
    <w:rPr/>
  </w:style>
  <w:style w:type="paragraph" w:styleId="PageBreak">
    <w:name w:val="PageBreak"/>
    <w:basedOn w:val="BodyText"/>
    <w:qFormat/>
    <w:pPr>
      <w:pageBreakBefore/>
    </w:pPr>
    <w:rPr/>
  </w:style>
  <w:style w:type="paragraph" w:styleId="OrgFormula">
    <w:name w:val="OrgFormula"/>
    <w:basedOn w:val="BodyText"/>
    <w:qFormat/>
    <w:pPr>
      <w:tabs>
        <w:tab w:val="clear" w:pos="1134"/>
        <w:tab w:val="right" w:pos="9808" w:leader="none"/>
      </w:tabs>
    </w:pPr>
    <w:rPr/>
  </w:style>
  <w:style w:type="paragraph" w:styleId="Example1">
    <w:name w:val="Example1"/>
    <w:qFormat/>
    <w:pPr>
      <w:widowControl w:val="false"/>
      <w:pBdr>
        <w:top w:val="single" w:sz="4" w:space="8" w:color="000000"/>
        <w:left w:val="single" w:sz="4" w:space="8" w:color="000000"/>
        <w:bottom w:val="single" w:sz="4" w:space="8" w:color="000000"/>
        <w:right w:val="single" w:sz="4" w:space="8" w:color="000000"/>
      </w:pBdr>
      <w:shd w:fill="F7F7F7" w:val="clear"/>
      <w:bidi w:val="0"/>
      <w:spacing w:lineRule="auto" w:line="312" w:before="170" w:after="170"/>
      <w:ind w:left="170" w:right="170"/>
    </w:pPr>
    <w:rPr>
      <w:rFonts w:ascii="Libertinus Serif;Linux Libertine O;Times New Roman" w:hAnsi="Libertinus Serif;Linux Libertine O;Times New Roman"/>
      <w:sz w:val="20"/>
      <w:lang w:val="en-US" w:eastAsia="zh-CN" w:bidi="hi-IN"/>
    </w:rPr>
  </w:style>
  <w:style w:type="paragraph" w:styleId="OrgSrcBlock">
    <w:name w:val="OrgSrcBlock"/>
    <w:basedOn w:val="PreformattedText"/>
    <w:qFormat/>
    <w:pPr>
      <w:pBdr>
        <w:top w:val="single" w:sz="4" w:space="1" w:color="000000"/>
        <w:left w:val="single" w:sz="4" w:space="1" w:color="000000"/>
        <w:bottom w:val="single" w:sz="4" w:space="1" w:color="000000"/>
        <w:right w:val="single" w:sz="4" w:space="1" w:color="000000"/>
      </w:pBdr>
      <w:shd w:fill="EDEDED" w:val="clear"/>
    </w:pPr>
    <w:rPr>
      <w:color w:val="2E3436"/>
    </w:rPr>
  </w:style>
  <w:style w:type="paragraph" w:styleId="OrgCenter">
    <w:name w:val="OrgCenter"/>
    <w:basedOn w:val="BodyText"/>
    <w:qFormat/>
    <w:pPr>
      <w:jc w:val="center"/>
    </w:pPr>
    <w:rPr/>
  </w:style>
  <w:style w:type="paragraph" w:styleId="OrgFootnoteCenter">
    <w:name w:val="OrgFootnoteCenter"/>
    <w:basedOn w:val="FootnoteText"/>
    <w:qFormat/>
    <w:pPr>
      <w:jc w:val="center"/>
    </w:pPr>
    <w:rPr/>
  </w:style>
  <w:style w:type="paragraph" w:styleId="OrgTableContents">
    <w:name w:val="OrgTableContents"/>
    <w:basedOn w:val="BodyText"/>
    <w:qFormat/>
    <w:pPr/>
    <w:rPr/>
  </w:style>
  <w:style w:type="paragraph" w:styleId="OrgTableHeading">
    <w:name w:val="OrgTableHeading"/>
    <w:basedOn w:val="OrgTableContents"/>
    <w:qFormat/>
    <w:pPr>
      <w:suppressLineNumbers/>
      <w:jc w:val="center"/>
    </w:pPr>
    <w:rPr>
      <w:b/>
      <w:bCs/>
    </w:rPr>
  </w:style>
  <w:style w:type="paragraph" w:styleId="OrgTableHeadingLeft">
    <w:name w:val="OrgTableHeadingLeft"/>
    <w:basedOn w:val="OrgTableHeading"/>
    <w:qFormat/>
    <w:pPr>
      <w:jc w:val="left"/>
    </w:pPr>
    <w:rPr>
      <w:sz w:val="20"/>
      <w:szCs w:val="20"/>
    </w:rPr>
  </w:style>
  <w:style w:type="paragraph" w:styleId="OrgTableHeadingRight">
    <w:name w:val="OrgTableHeadingRight"/>
    <w:basedOn w:val="OrgTableHeading"/>
    <w:qFormat/>
    <w:pPr>
      <w:jc w:val="right"/>
    </w:pPr>
    <w:rPr>
      <w:sz w:val="20"/>
      <w:szCs w:val="20"/>
    </w:rPr>
  </w:style>
  <w:style w:type="paragraph" w:styleId="OrgTableHeadingCenter">
    <w:name w:val="OrgTableHeadingCenter"/>
    <w:basedOn w:val="OrgTableHeading"/>
    <w:qFormat/>
    <w:pPr>
      <w:jc w:val="center"/>
    </w:pPr>
    <w:rPr/>
  </w:style>
  <w:style w:type="paragraph" w:styleId="OrgTableContentsLeft">
    <w:name w:val="OrgTableContentsLeft"/>
    <w:basedOn w:val="OrgTableContents"/>
    <w:qFormat/>
    <w:pPr>
      <w:jc w:val="left"/>
    </w:pPr>
    <w:rPr>
      <w:sz w:val="16"/>
      <w:szCs w:val="20"/>
    </w:rPr>
  </w:style>
  <w:style w:type="paragraph" w:styleId="OrgTableContentsRight">
    <w:name w:val="OrgTableContentsRight"/>
    <w:basedOn w:val="OrgTableContents"/>
    <w:qFormat/>
    <w:pPr>
      <w:jc w:val="right"/>
    </w:pPr>
    <w:rPr>
      <w:sz w:val="16"/>
      <w:szCs w:val="20"/>
    </w:rPr>
  </w:style>
  <w:style w:type="paragraph" w:styleId="OrgTableContentsCenter">
    <w:name w:val="OrgTableContentsCenter"/>
    <w:basedOn w:val="OrgTableContents"/>
    <w:qFormat/>
    <w:pPr>
      <w:jc w:val="center"/>
    </w:pPr>
    <w:rPr/>
  </w:style>
  <w:style w:type="paragraph" w:styleId="Textbodybold">
    <w:name w:val="Text body bold"/>
    <w:basedOn w:val="BodyText"/>
    <w:next w:val="BodyText"/>
    <w:qFormat/>
    <w:pPr/>
    <w:rPr>
      <w:b/>
    </w:rPr>
  </w:style>
  <w:style w:type="paragraph" w:styleId="CourseCredentials">
    <w:name w:val="Course Credentials"/>
    <w:basedOn w:val="BodyText"/>
    <w:qFormat/>
    <w:pPr>
      <w:jc w:val="center"/>
    </w:pPr>
    <w:rPr>
      <w:rFonts w:ascii="Tahoma1" w:hAnsi="Tahoma1"/>
      <w:i/>
      <w:color w:val="2AA198"/>
      <w:sz w:val="24"/>
    </w:rPr>
  </w:style>
  <w:style w:type="paragraph" w:styleId="Baggrund">
    <w:name w:val="Baggrund"/>
    <w:qFormat/>
    <w:pPr>
      <w:widowControl w:val="false"/>
      <w:shd w:fill="FFFFE0" w:val="clear"/>
      <w:bidi w:val="0"/>
      <w:spacing w:lineRule="auto" w:line="480" w:before="170" w:after="170"/>
      <w:ind w:left="170" w:right="170"/>
      <w:jc w:val="left"/>
    </w:pPr>
    <w:rPr>
      <w:rFonts w:ascii="Times New Roman" w:hAnsi="Times New Roman"/>
      <w:sz w:val="20"/>
      <w:lang w:val="en-US" w:eastAsia="zh-CN" w:bidi="hi-IN"/>
    </w:rPr>
  </w:style>
  <w:style w:type="paragraph" w:styleId="DineSvar">
    <w:name w:val="DineSvar"/>
    <w:qFormat/>
    <w:pPr>
      <w:widowControl w:val="false"/>
      <w:pBdr>
        <w:top w:val="single" w:sz="4" w:space="1" w:color="000000"/>
        <w:left w:val="single" w:sz="4" w:space="1" w:color="000000"/>
        <w:bottom w:val="single" w:sz="4" w:space="1" w:color="000000"/>
        <w:right w:val="single" w:sz="4" w:space="1" w:color="000000"/>
      </w:pBdr>
      <w:shd w:fill="DCEFF1" w:val="clear"/>
      <w:bidi w:val="0"/>
      <w:spacing w:lineRule="auto" w:line="240" w:before="170" w:after="170"/>
      <w:ind w:hanging="0" w:left="170" w:right="170"/>
      <w:jc w:val="left"/>
    </w:pPr>
    <w:rPr>
      <w:rFonts w:ascii="Times New Roman" w:hAnsi="Times New Roman"/>
      <w:sz w:val="20"/>
      <w:lang w:val="en-US" w:eastAsia="zh-CN" w:bidi="hi-IN"/>
    </w:rPr>
  </w:style>
  <w:style w:type="paragraph" w:styleId="Loesningsforslag">
    <w:name w:val="Loesningsforslag"/>
    <w:qFormat/>
    <w:pPr>
      <w:widowControl w:val="false"/>
      <w:pBdr>
        <w:top w:val="single" w:sz="4" w:space="1" w:color="000000"/>
        <w:left w:val="single" w:sz="4" w:space="1" w:color="000000"/>
        <w:bottom w:val="single" w:sz="4" w:space="1" w:color="000000"/>
        <w:right w:val="single" w:sz="4" w:space="1" w:color="000000"/>
      </w:pBdr>
      <w:shd w:fill="F1DEFC" w:val="clear"/>
      <w:bidi w:val="0"/>
      <w:spacing w:lineRule="auto" w:line="240" w:before="170" w:after="170"/>
      <w:ind w:hanging="0" w:left="170" w:right="170"/>
      <w:jc w:val="left"/>
    </w:pPr>
    <w:rPr>
      <w:rFonts w:ascii="Times New Roman" w:hAnsi="Times New Roman"/>
      <w:sz w:val="20"/>
      <w:lang w:val="en-US" w:eastAsia="zh-CN" w:bidi="hi-IN"/>
    </w:rPr>
  </w:style>
  <w:style w:type="paragraph" w:styleId="FootnoteText">
    <w:name w:val="Footnote Text"/>
    <w:basedOn w:val="Normal"/>
    <w:pPr>
      <w:suppressLineNumbers/>
      <w:ind w:hanging="283" w:left="283" w:right="0"/>
    </w:pPr>
    <w:rPr>
      <w:sz w:val="20"/>
      <w:szCs w:val="20"/>
    </w:rPr>
  </w:style>
  <w:style w:type="paragraph" w:styleId="Figure">
    <w:name w:val="Figure"/>
    <w:basedOn w:val="Caption"/>
    <w:qFormat/>
    <w:pPr/>
    <w:rPr/>
  </w:style>
  <w:style w:type="paragraph" w:styleId="IllustrationIndexHeading">
    <w:name w:val="Illustration Index Heading"/>
    <w:basedOn w:val="Heading"/>
    <w:qFormat/>
    <w:pPr>
      <w:suppressLineNumbers/>
      <w:ind w:hanging="0" w:left="0" w:right="0"/>
    </w:pPr>
    <w:rPr>
      <w:b/>
      <w:bCs/>
      <w:sz w:val="32"/>
      <w:szCs w:val="32"/>
    </w:rPr>
  </w:style>
  <w:style w:type="paragraph" w:styleId="Table">
    <w:name w:val="Table"/>
    <w:basedOn w:val="Caption"/>
    <w:qFormat/>
    <w:pPr>
      <w:jc w:val="center"/>
    </w:pPr>
    <w:rPr/>
  </w:style>
  <w:style w:type="paragraph" w:styleId="Listing">
    <w:name w:val="Listing"/>
    <w:basedOn w:val="Caption"/>
    <w:qFormat/>
    <w:pPr>
      <w:keepNext w:val="true"/>
      <w:tabs>
        <w:tab w:val="clear" w:pos="1134"/>
      </w:tabs>
      <w:ind w:hanging="0" w:left="0" w:right="0"/>
    </w:pPr>
    <w:rPr/>
  </w:style>
  <w:style w:type="paragraph" w:styleId="HorizontalLine">
    <w:name w:val="Horizontal Line"/>
    <w:basedOn w:val="Normal"/>
    <w:next w:val="BodyText"/>
    <w:qFormat/>
    <w:pPr>
      <w:suppressLineNumbers/>
      <w:pBdr>
        <w:bottom w:val="single" w:sz="2" w:space="0" w:color="000000"/>
      </w:pBdr>
      <w:spacing w:before="0" w:after="119"/>
    </w:pPr>
    <w:rPr>
      <w:sz w:val="12"/>
      <w:szCs w:val="12"/>
    </w:rPr>
  </w:style>
  <w:style w:type="paragraph" w:styleId="OrgInlineTaskHeading">
    <w:name w:val="OrgInlineTaskHeading"/>
    <w:basedOn w:val="Caption"/>
    <w:next w:val="BodyText"/>
    <w:qFormat/>
    <w:pPr/>
    <w:rPr>
      <w:b/>
      <w:i w:val="false"/>
    </w:rPr>
  </w:style>
  <w:style w:type="paragraph" w:styleId="HeaderandFooter">
    <w:name w:val="Header and Footer"/>
    <w:basedOn w:val="Normal"/>
    <w:qFormat/>
    <w:pPr>
      <w:suppressLineNumbers/>
      <w:tabs>
        <w:tab w:val="clear" w:pos="1134"/>
        <w:tab w:val="center" w:pos="4989" w:leader="none"/>
        <w:tab w:val="right" w:pos="9808"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numbering" w:styleId="Numbering1">
    <w:name w:val="Numbering 1"/>
    <w:qFormat/>
  </w:style>
  <w:style w:type="numbering" w:styleId="Bullet">
    <w:name w:val="Bullet •"/>
    <w:qFormat/>
  </w:style>
  <w:style w:type="numbering" w:styleId="OrgNumberedList">
    <w:name w:val="OrgNumberedList"/>
    <w:qFormat/>
  </w:style>
  <w:style w:type="numbering" w:styleId="OrgBulletedList">
    <w:name w:val="OrgBulletedList"/>
    <w:qFormat/>
  </w:style>
  <w:style w:type="numbering" w:styleId="OrgDescriptionList">
    <w:name w:val="OrgDescriptionList"/>
    <w:qFormat/>
  </w:style>
  <w:style w:type="numbering" w:styleId="OrgSrcBlockNumberedLine">
    <w:name w:val="OrgSrcBlockNumberedLine"/>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2026-03-03T09:04:14Z</dcterms:created>
  <dc:creator>Thomas Alexander Gerds</dc:creator>
  <dc:description/>
  <cp:keywords/>
  <dc:language>en-US</dc:language>
  <cp:lastModifiedBy>Thomas Alexander Gerds</cp:lastModifiedBy>
  <dcterms:modified xsi:type="dcterms:W3CDTF">2026-03-03T09:04:14Z</dcterms:modified>
  <cp:revision>0</cp:revision>
  <dc:subject/>
  <dc:title>Modul 3: Livstabel og demografisk fortolkning</dc:title>
</cp:coreProperties>
</file>