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rgTitle"/>
        <w:bidi w:val="0"/>
        <w:spacing w:before="0" w:after="0"/>
        <w:rPr/>
      </w:pP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Modul 1: Holdundervisning</w:t>
      </w:r>
      <w:r>
        <w:rPr/>
        <w:fldChar w:fldCharType="end"/>
      </w:r>
    </w:p>
    <w:p>
      <w:pPr>
        <w:pStyle w:val="OrgTitle"/>
        <w:bidi w:val="0"/>
        <w:spacing w:before="0" w:after="0"/>
        <w:rPr/>
      </w:pPr>
      <w:r>
        <w:rPr/>
      </w:r>
    </w:p>
    <w:p>
      <w:pPr>
        <w:pStyle w:val="CourseCredentials"/>
        <w:bidi w:val="0"/>
        <w:jc w:val="center"/>
        <w:rPr/>
      </w:pPr>
      <w:r>
        <w:rPr/>
        <w:t xml:space="preserve">Demografi 3934-F26 </w:t>
        <w:br/>
        <w:t xml:space="preserve"> Folkesundhedsvidenskab, 2. semester </w:t>
      </w:r>
    </w:p>
    <w:p>
      <w:pPr>
        <w:pStyle w:val="Heading201unnumbered"/>
        <w:bidi w:val="0"/>
        <w:jc w:val="left"/>
        <w:outlineLvl w:val="0"/>
        <w:rPr/>
      </w:pPr>
      <w:bookmarkStart w:id="0" w:name="OrgXref.orge9aee13"/>
      <w:bookmarkStart w:id="1" w:name="orge9aee13"/>
      <w:bookmarkEnd w:id="1"/>
      <w:r>
        <w:rPr/>
        <w:t xml:space="preserve">Vejledning </w:t>
      </w:r>
      <w:bookmarkEnd w:id="0"/>
    </w:p>
    <w:p>
      <w:pPr>
        <w:pStyle w:val="BodyText"/>
        <w:bidi w:val="0"/>
        <w:spacing w:before="0" w:after="120"/>
        <w:jc w:val="left"/>
        <w:rPr/>
      </w:pPr>
      <w:r>
        <w:rPr>
          <w:rStyle w:val="Emphasis"/>
        </w:rPr>
        <w:t>Den gode besvarelse er kort og præcis. Det er vigtigt at dine svar er klart struktureret og skrevet i fulde sætninger.</w:t>
      </w:r>
      <w:r>
        <w:rPr/>
        <w:t xml:space="preserve"> </w:t>
      </w:r>
      <w:r>
        <w:rPr>
          <w:rStyle w:val="Emphasis"/>
        </w:rPr>
        <w:t>Skriv dine svar i de udvidende svarfelter og udfyld tabeller/indsæt grafer.</w:t>
      </w:r>
      <w:r>
        <w:rPr/>
        <w:t xml:space="preserve"> </w:t>
      </w:r>
      <w:r>
        <w:rPr>
          <w:rStyle w:val="Emphasis"/>
        </w:rPr>
        <w:t>Du må ikke ændre tabellernes formatering og det er forbudt at sætte egne tabeller ind.</w:t>
      </w:r>
      <w:r>
        <w:rPr/>
        <w:t xml:space="preserve"> </w:t>
      </w:r>
      <w:r>
        <w:rPr>
          <w:rStyle w:val="Emphasis"/>
        </w:rPr>
        <w:t>Din besvarelse til hvert opgave bør ikke overskride 1/2 normalsides tekst svarende til maksimalt 1200 anslag med mindst 10pt skriftstørrelse f.eks., Courier New, men ikke medregnende tabeller o.a..</w:t>
      </w:r>
      <w:r>
        <w:rPr/>
        <w:t xml:space="preserve"> </w:t>
      </w:r>
    </w:p>
    <w:p>
      <w:pPr>
        <w:pStyle w:val="BodyText"/>
        <w:bidi w:val="0"/>
        <w:spacing w:before="0" w:after="120"/>
        <w:jc w:val="left"/>
        <w:rPr/>
      </w:pPr>
      <w:r>
        <w:rPr>
          <w:rStyle w:val="Emphasis"/>
        </w:rPr>
        <w:t>Tal i resultaterne skal rundes af og enheder skal angives hvis relevant.</w:t>
      </w:r>
      <w:r>
        <w:rPr/>
        <w:t xml:space="preserve"> </w:t>
      </w:r>
      <w:r>
        <w:rPr>
          <w:rStyle w:val="Emphasis"/>
        </w:rPr>
        <w:t>R-koder som bruges til at besvare opgaverne findes i Rmd-filen på Absalon.</w:t>
      </w:r>
      <w:r>
        <w:rPr/>
        <w:t xml:space="preserve"> </w:t>
      </w:r>
    </w:p>
    <w:p>
      <w:pPr>
        <w:pStyle w:val="BodyText"/>
        <w:bidi w:val="0"/>
        <w:spacing w:before="0" w:after="120"/>
        <w:jc w:val="left"/>
        <w:rPr/>
      </w:pPr>
      <w:r>
        <w:rPr>
          <w:rStyle w:val="Emphasis"/>
        </w:rPr>
        <w:t>Når du har besvaret alle opgaver, afleverer du denne fil i Absalon.</w:t>
      </w:r>
      <w:r>
        <w:rP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2" w:name="OrgXref.org7dec969"/>
      <w:bookmarkStart w:id="3" w:name="org7dec969"/>
      <w:bookmarkEnd w:id="3"/>
      <w:r>
        <w:rPr/>
        <w:t xml:space="preserve">Baggrund </w:t>
      </w:r>
      <w:bookmarkEnd w:id="2"/>
    </w:p>
    <w:p>
      <w:pPr>
        <w:pStyle w:val="Baggrund"/>
        <w:shd w:fill="FFFFE0" w:val="clear"/>
        <w:bidi w:val="0"/>
        <w:spacing w:lineRule="auto" w:line="480" w:before="170" w:after="170"/>
        <w:ind w:left="170" w:right="170"/>
        <w:jc w:val="left"/>
        <w:rPr/>
      </w:pPr>
      <w:r>
        <w:rPr/>
        <w:t xml:space="preserve">Nyt fra Danmark Statistiks (14. maj 2025 Nr. 134) analyserede byopgørelsen 1 januar 2025: En stigende andel af befolkningen bor i hovedstadsområdet samt i byområder med 50.000 indbyggere og derover. Andelen af befolkningen, der bor i disse byområder, er vokset fra 37 pct. i 2015 til 42 pct. i 2025. Det svarer til en samlet vækst på 376.192 personer. Den største vækst på 180.854 personer er sket i byområder med 50.000 til 99.000 indbyggere, hvor der har været tilgang af byerne Roskilde, Herning og Silkeborg, der i perioden har passeret 50.000 indbyggere. Hovedstadsområdet er vokset med 132.810 indbyggere fra 1.263.698 indbyggere i 2015 til 1.396.508 i 2025, mens byområderne med 100.000 indbyggere og derover (Aarhus, Odense og Aalborg) samlet er vokset med 62.528 indbyggere i perioden til 608.407 personer i 2025. </w:t>
      </w:r>
    </w:p>
    <w:p>
      <w:pPr>
        <w:pStyle w:val="PageBreak"/>
        <w:bidi w:val="0"/>
        <w:jc w:val="left"/>
        <w:rPr/>
      </w:pPr>
      <w:r>
        <w:rPr/>
      </w:r>
    </w:p>
    <w:p>
      <w:pPr>
        <w:pStyle w:val="Heading201unnumbered"/>
        <w:bidi w:val="0"/>
        <w:jc w:val="left"/>
        <w:outlineLvl w:val="0"/>
        <w:rPr/>
      </w:pPr>
      <w:bookmarkStart w:id="4" w:name="OrgXref.org47bcabd"/>
      <w:bookmarkStart w:id="5" w:name="org47bcabd"/>
      <w:bookmarkEnd w:id="5"/>
      <w:r>
        <w:rPr/>
        <w:t xml:space="preserve">Opgave 1 </w:t>
      </w:r>
      <w:bookmarkEnd w:id="4"/>
    </w:p>
    <w:p>
      <w:pPr>
        <w:pStyle w:val="BodyText"/>
        <w:bidi w:val="0"/>
        <w:spacing w:before="0" w:after="120"/>
        <w:jc w:val="left"/>
        <w:rPr/>
      </w:pPr>
      <w:r>
        <w:rPr/>
        <w:t xml:space="preserve">Svar på følgende spørgsmål ved at læse i kompendium kapitel 1.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Danner alle personer som bor i byområderne i Danmark en kohorte? Begrund dit svar.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Er Københavns befolkning lukket eller åben? Begrund dit svar.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Hvad er den naturlige vækstrate og hvad er nettovandringsraten? Hvilken af de to er sværest at registrere nøjagtigt?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Kapitel 1 afsnit 7 (Rater) angiver mortalitetsraten for Bornholm i 2022 som 14,3 per 1000 personår og Kapitel 1 afsnit 7.2 (Perioderater) angiver 14,4 per 1000 personår. Hvad er årsagen til denne forskel?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Hvilke enheder har hhv., folketal, middelfolketal, risikotid og mortalitetsrate? </w:t>
      </w:r>
    </w:p>
    <w:p>
      <w:pPr>
        <w:pStyle w:val="Heading201unnumbered"/>
        <w:bidi w:val="0"/>
        <w:jc w:val="left"/>
        <w:outlineLvl w:val="0"/>
        <w:rPr/>
      </w:pPr>
      <w:bookmarkStart w:id="6" w:name="OrgXref.org92d79cb"/>
      <w:bookmarkStart w:id="7" w:name="org92d79cb"/>
      <w:bookmarkEnd w:id="7"/>
      <w:r>
        <w:rPr/>
        <w:t xml:space="preserve">Dine svar til opgave 1.1 </w:t>
      </w:r>
      <w:bookmarkEnd w:id="6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8" w:name="OrgXref.orga36796a"/>
      <w:bookmarkStart w:id="9" w:name="orga36796a"/>
      <w:bookmarkEnd w:id="9"/>
      <w:r>
        <w:rPr/>
        <w:t xml:space="preserve">Dine svar til opgave 1.2 </w:t>
      </w:r>
      <w:bookmarkEnd w:id="8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10" w:name="OrgXref.orge14498e"/>
      <w:bookmarkStart w:id="11" w:name="orge14498e"/>
      <w:bookmarkEnd w:id="11"/>
      <w:r>
        <w:rPr/>
        <w:t xml:space="preserve">Dine svar til opgave 1.3 </w:t>
      </w:r>
      <w:bookmarkEnd w:id="10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12" w:name="OrgXref.org909afa7"/>
      <w:bookmarkStart w:id="13" w:name="org909afa7"/>
      <w:bookmarkEnd w:id="13"/>
      <w:r>
        <w:rPr/>
        <w:t xml:space="preserve">Dine svar til opgave 1.4 </w:t>
      </w:r>
      <w:bookmarkEnd w:id="12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14" w:name="OrgXref.orgc2b27d2"/>
      <w:bookmarkStart w:id="15" w:name="orgc2b27d2"/>
      <w:bookmarkEnd w:id="15"/>
      <w:r>
        <w:rPr/>
        <w:t xml:space="preserve">Dine svar til opgave 1.5 </w:t>
      </w:r>
      <w:bookmarkEnd w:id="14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16" w:name="OrgXref.org99d8440"/>
      <w:bookmarkStart w:id="17" w:name="org99d8440"/>
      <w:bookmarkEnd w:id="17"/>
      <w:r>
        <w:rPr/>
        <w:t xml:space="preserve">Opgave 2 </w:t>
      </w:r>
      <w:bookmarkEnd w:id="16"/>
    </w:p>
    <w:p>
      <w:pPr>
        <w:pStyle w:val="BodyText"/>
        <w:bidi w:val="0"/>
        <w:spacing w:before="0" w:after="120"/>
        <w:jc w:val="left"/>
        <w:rPr/>
      </w:pPr>
      <w:r>
        <w:rPr/>
        <w:t xml:space="preserve">Figuren nedenfor viser en hypotetisk befolkningsgruppe bestående af kun 5 personer. Baseret på tallene fra grafen, besvar følgende spørgsmål og rapporter dine resultater.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Hvor lang er perioden?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Hvor stort er folketallet ved starten og slutningen af perioden?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Beregn middelfolketallet eksakt og med metode 1 og metode 2 for hele perioden.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Beregn risikotid eksakt for hele perioden. Angiv enheden.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90" w:leader="none"/>
        </w:tabs>
        <w:bidi w:val="0"/>
        <w:ind w:hanging="360" w:left="890"/>
        <w:jc w:val="left"/>
        <w:rPr/>
      </w:pPr>
      <w:r>
        <w:rPr/>
        <w:t xml:space="preserve">Beregn mortalitetsrate for hele perioden. Angiv enheden. </w:t>
      </w:r>
    </w:p>
    <w:p>
      <w:pPr>
        <w:pStyle w:val="BodyText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TopAndBottom/>
            <wp:docPr id="1" name="Fram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18" w:name="OrgXref.orge57a5f9"/>
      <w:bookmarkStart w:id="19" w:name="orge57a5f9"/>
      <w:bookmarkEnd w:id="19"/>
      <w:r>
        <w:rPr/>
        <w:t xml:space="preserve">Dine svar til opgave 2 </w:t>
      </w:r>
      <w:bookmarkEnd w:id="18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20" w:name="OrgXref.orge1ef572"/>
      <w:bookmarkStart w:id="21" w:name="orge1ef572"/>
      <w:bookmarkEnd w:id="21"/>
      <w:r>
        <w:rPr/>
        <w:t xml:space="preserve">Opgave 3 </w:t>
      </w:r>
      <w:bookmarkEnd w:id="20"/>
    </w:p>
    <w:p>
      <w:pPr>
        <w:pStyle w:val="BodyText"/>
        <w:bidi w:val="0"/>
        <w:spacing w:before="0" w:after="120"/>
        <w:jc w:val="left"/>
        <w:rPr/>
      </w:pPr>
      <w:r>
        <w:rPr/>
        <w:t xml:space="preserve">Beregn middelfolketal (metode 2), risikotid og mortalitetsrate i København først i perioden fra den 1. januar 2023 til den 31. december 2024 og bagefter i perioden fra den 1 januar 2013 til den 31. december 2014. Udfyld tabellen nedenfor og rapporter resultaterne. Kommenter kort på forskelle mellem de to perioder. </w:t>
      </w:r>
    </w:p>
    <w:p>
      <w:pPr>
        <w:pStyle w:val="Heading203unnumbered"/>
        <w:bidi w:val="0"/>
        <w:jc w:val="left"/>
        <w:outlineLvl w:val="2"/>
        <w:rPr/>
      </w:pPr>
      <w:bookmarkStart w:id="22" w:name="OrgXref.orgb72905b"/>
      <w:bookmarkStart w:id="23" w:name="orgb72905b"/>
      <w:bookmarkEnd w:id="23"/>
      <w:r>
        <w:rPr/>
        <w:t xml:space="preserve">Tabel </w:t>
      </w:r>
      <w:bookmarkEnd w:id="22"/>
    </w:p>
    <w:p>
      <w:pPr>
        <w:sectPr>
          <w:footerReference w:type="default" r:id="rId4"/>
          <w:type w:val="nextPage"/>
          <w:pgSz w:w="11906" w:h="16838"/>
          <w:pgMar w:left="1134" w:right="1134" w:gutter="0" w:header="0" w:top="1134" w:footer="1134" w:bottom="1860"/>
          <w:pgNumType w:fmt="decimal"/>
          <w:formProt w:val="false"/>
          <w:textDirection w:val="lrTb"/>
          <w:docGrid w:type="default" w:linePitch="600" w:charSpace="40960"/>
        </w:sectPr>
      </w:pPr>
    </w:p>
    <w:tbl>
      <w:tblPr>
        <w:tblW w:w="4800" w:type="pct"/>
        <w:jc w:val="center"/>
        <w:tblInd w:w="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50"/>
        <w:gridCol w:w="1850"/>
        <w:gridCol w:w="1851"/>
        <w:gridCol w:w="1850"/>
        <w:gridCol w:w="1851"/>
      </w:tblGrid>
      <w:tr>
        <w:trPr>
          <w:tblHeader w:val="true"/>
        </w:trPr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Right"/>
              <w:bidi w:val="0"/>
              <w:spacing w:before="0" w:after="120"/>
              <w:jc w:val="right"/>
              <w:rPr/>
            </w:pPr>
            <w:r>
              <w:rPr/>
              <w:t>Periode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Left"/>
              <w:bidi w:val="0"/>
              <w:spacing w:before="0" w:after="120"/>
              <w:jc w:val="left"/>
              <w:rPr/>
            </w:pPr>
            <w:r>
              <w:rPr/>
              <w:t>Middelfolketal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Left"/>
              <w:bidi w:val="0"/>
              <w:spacing w:before="0" w:after="120"/>
              <w:jc w:val="left"/>
              <w:rPr/>
            </w:pPr>
            <w:r>
              <w:rPr/>
              <w:t>Risikotid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Left"/>
              <w:bidi w:val="0"/>
              <w:spacing w:before="0" w:after="120"/>
              <w:jc w:val="left"/>
              <w:rPr/>
            </w:pPr>
            <w:r>
              <w:rPr/>
              <w:t>Døde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Left"/>
              <w:bidi w:val="0"/>
              <w:spacing w:before="0" w:after="120"/>
              <w:jc w:val="left"/>
              <w:rPr/>
            </w:pPr>
            <w:r>
              <w:rPr/>
              <w:t>Mortalitet</w:t>
            </w:r>
          </w:p>
        </w:tc>
      </w:tr>
      <w:tr>
        <w:trPr/>
        <w:tc>
          <w:tcPr>
            <w:tcW w:w="1850" w:type="dxa"/>
            <w:tcBorders>
              <w:top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2013-2014</w:t>
            </w:r>
          </w:p>
        </w:tc>
        <w:tc>
          <w:tcPr>
            <w:tcW w:w="1850" w:type="dxa"/>
            <w:tcBorders>
              <w:top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851" w:type="dxa"/>
            <w:tcBorders>
              <w:top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top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851" w:type="dxa"/>
            <w:tcBorders>
              <w:top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850" w:type="dxa"/>
            <w:tcBorders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2023-2024</w:t>
            </w:r>
          </w:p>
        </w:tc>
        <w:tc>
          <w:tcPr>
            <w:tcW w:w="1850" w:type="dxa"/>
            <w:tcBorders>
              <w:bottom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851" w:type="dxa"/>
            <w:tcBorders>
              <w:bottom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bottom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851" w:type="dxa"/>
            <w:tcBorders>
              <w:bottom w:val="single" w:sz="2" w:space="0" w:color="000000"/>
            </w:tcBorders>
          </w:tcPr>
          <w:p>
            <w:pPr>
              <w:pStyle w:val="OrgTableContentsLeft"/>
              <w:bidi w:val="0"/>
              <w:spacing w:before="0" w:after="120"/>
              <w:jc w:val="left"/>
              <w:rPr/>
            </w:pPr>
            <w:r>
              <w:rPr/>
            </w:r>
          </w:p>
        </w:tc>
      </w:tr>
    </w:tbl>
    <w:p>
      <w:pPr>
        <w:sectPr>
          <w:type w:val="continuous"/>
          <w:pgSz w:w="11906" w:h="16838"/>
          <w:pgMar w:left="1134" w:right="1134" w:gutter="0" w:header="0" w:top="1134" w:footer="1134" w:bottom="1860"/>
          <w:formProt w:val="false"/>
          <w:textDirection w:val="lrTb"/>
          <w:docGrid w:type="default" w:linePitch="600" w:charSpace="40960"/>
        </w:sectPr>
      </w:pPr>
    </w:p>
    <w:p>
      <w:pPr>
        <w:pStyle w:val="Heading202unnumbered"/>
        <w:bidi w:val="0"/>
        <w:jc w:val="left"/>
        <w:outlineLvl w:val="1"/>
        <w:rPr/>
      </w:pPr>
      <w:bookmarkStart w:id="24" w:name="OrgXref.org81134fa"/>
      <w:bookmarkStart w:id="25" w:name="org81134fa"/>
      <w:bookmarkEnd w:id="25"/>
      <w:r>
        <w:rPr/>
        <w:t xml:space="preserve">Dine svar til opgave 3 </w:t>
      </w:r>
      <w:bookmarkEnd w:id="24"/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26" w:name="OrgXref.org034771b"/>
      <w:bookmarkStart w:id="27" w:name="org034771b"/>
      <w:bookmarkEnd w:id="27"/>
      <w:r>
        <w:rPr/>
        <w:t xml:space="preserve">Opgave 4 </w:t>
      </w:r>
      <w:bookmarkEnd w:id="26"/>
    </w:p>
    <w:p>
      <w:pPr>
        <w:pStyle w:val="BodyText"/>
        <w:bidi w:val="0"/>
        <w:spacing w:before="0" w:after="120"/>
        <w:jc w:val="left"/>
        <w:rPr/>
      </w:pPr>
      <w:r>
        <w:rPr/>
        <w:t xml:space="preserve">Find tal i statistikbanken (tabel FT) for hvordan folketallet i hovedstaden har udviklet sig fra 1787 indtil i dag. Find samtidlig tal for Jylland og for øerne uden hovedstaden. Visualiser tallene fra både hovedstaden, Jylland og øerne uden hovedstaden i en graf. Inkluder grafen i din besvarelse nedenfor. Beskriv udviklingen som grafen viser, og analyser, hvilke demografiske faktorer og bevægelser der har haft indflydelse på denne udvikling. Tip: For udviklingen i hovedstaden er stikordet </w:t>
      </w:r>
      <w:r>
        <w:rPr>
          <w:rStyle w:val="Emphasis"/>
        </w:rPr>
        <w:t>suburbanisering</w:t>
      </w:r>
      <w:r>
        <w:rPr/>
        <w:t xml:space="preserve">. </w:t>
      </w:r>
    </w:p>
    <w:p>
      <w:pPr>
        <w:pStyle w:val="Heading201unnumbered"/>
        <w:bidi w:val="0"/>
        <w:jc w:val="left"/>
        <w:outlineLvl w:val="0"/>
        <w:rPr/>
      </w:pPr>
      <w:bookmarkStart w:id="28" w:name="OrgXref.orgcce244c"/>
      <w:bookmarkStart w:id="29" w:name="orgcce244c"/>
      <w:bookmarkEnd w:id="29"/>
      <w:r>
        <w:rPr/>
        <w:t xml:space="preserve">Dine svar til opgave 4 </w:t>
      </w:r>
      <w:bookmarkEnd w:id="28"/>
    </w:p>
    <w:p>
      <w:pPr>
        <w:pStyle w:val="BodyText"/>
        <w:bidi w:val="0"/>
        <w:spacing w:before="0" w:after="120"/>
        <w:jc w:val="left"/>
        <w:rPr/>
      </w:pPr>
      <w:r>
        <w:rPr/>
        <w:t xml:space="preserve">INDSÆT GRAFEN HER </w:t>
      </w:r>
    </w:p>
    <w:p>
      <w:pPr>
        <w:pStyle w:val="DineSvar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DCEFF1" w:val="clear"/>
        <w:bidi w:val="0"/>
        <w:spacing w:lineRule="auto" w:line="240" w:before="170" w:after="170"/>
        <w:ind w:hanging="0" w:left="170" w:right="170"/>
        <w:jc w:val="left"/>
        <w:rPr/>
      </w:pPr>
      <w:r>
        <w:rPr/>
        <w:br/>
        <w:t xml:space="preserve"> </w:t>
        <w:br/>
        <w:t xml:space="preserve"> </w:t>
        <w:br/>
        <w:t xml:space="preserve"> </w:t>
      </w:r>
    </w:p>
    <w:sectPr>
      <w:type w:val="continuous"/>
      <w:pgSz w:w="11906" w:h="16838"/>
      <w:pgMar w:left="1134" w:right="1134" w:gutter="0" w:header="0" w:top="1134" w:footer="1134" w:bottom="186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tinus Serif">
    <w:altName w:val="Linux Libertine O"/>
    <w:charset w:val="01"/>
    <w:family w:val="auto"/>
    <w:pitch w:val="default"/>
  </w:font>
  <w:font w:name="Courier New">
    <w:charset w:val="01"/>
    <w:family w:val="modern"/>
    <w:pitch w:val="fixed"/>
  </w:font>
  <w:font w:name="Arial">
    <w:charset w:val="01"/>
    <w:family w:val="swiss"/>
    <w:pitch w:val="variable"/>
  </w:font>
  <w:font w:name="Tahoma1">
    <w:charset w:val="01"/>
    <w:family w:val="auto"/>
    <w:pitch w:val="default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pStyle w:val="Heading7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pStyle w:val="Heading8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pStyle w:val="Heading9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00"/>
  <w:mirrorMargins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tinus Serif;Linux Libertine O;Times New Roman" w:hAnsi="Libertinus Serif;Linux Libertine O;Times New Roman" w:eastAsia="DejaVu Sans" w:cs="Noto Sans Arabic UI"/>
        <w:color w:val="000000"/>
        <w:szCs w:val="24"/>
        <w:lang w:val="en-US" w:eastAsia="zh-CN" w:bidi="hi-IN"/>
      </w:rPr>
    </w:rPrDefault>
    <w:pPrDefault>
      <w:pPr>
        <w:suppressAutoHyphens w:val="true"/>
        <w:spacing w:lineRule="auto" w:line="312"/>
      </w:pPr>
    </w:pPrDefault>
  </w:docDefaults>
  <w:style w:type="paragraph" w:styleId="Normal">
    <w:name w:val="Normal"/>
    <w:qFormat/>
    <w:pPr>
      <w:widowControl w:val="false"/>
      <w:bidi w:val="0"/>
      <w:spacing w:lineRule="auto" w:line="312" w:before="170" w:after="170"/>
      <w:ind w:left="170" w:right="170"/>
    </w:pPr>
    <w:rPr>
      <w:rFonts w:ascii="Libertinus Serif;Linux Libertine O;Times New Roman" w:hAnsi="Libertinus Serif;Linux Libertine O;Times New Roman"/>
      <w:sz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Highlight">
    <w:name w:val="Highlight"/>
    <w:qFormat/>
    <w:rPr>
      <w:sz w:val="20"/>
      <w:shd w:fill="FFB6C1" w:val="clear"/>
    </w:rPr>
  </w:style>
  <w:style w:type="character" w:styleId="OrgSrcFontLockStringFace">
    <w:name w:val="OrgSrcFontLockStringFace"/>
    <w:qFormat/>
    <w:rPr>
      <w:color w:val="4E9A06"/>
      <w:shd w:fill="EDEDED" w:val="clear"/>
    </w:rPr>
  </w:style>
  <w:style w:type="character" w:styleId="OrgSrcFontLockDocFace">
    <w:name w:val="OrgSrcFontLockDocFace"/>
    <w:qFormat/>
    <w:rPr>
      <w:color w:val="4E9A06"/>
      <w:shd w:fill="EDEDED" w:val="clear"/>
    </w:rPr>
  </w:style>
  <w:style w:type="character" w:styleId="OrgSrcFontLockFunctionNameFace">
    <w:name w:val="OrgSrcFontLockFunctionNameFace"/>
    <w:qFormat/>
    <w:rPr>
      <w:color w:val="00578E"/>
      <w:shd w:fill="EDEDED" w:val="clear"/>
    </w:rPr>
  </w:style>
  <w:style w:type="character" w:styleId="OrgSrcFontLockKeywordFace">
    <w:name w:val="OrgSrcFontLockKeywordFace"/>
    <w:qFormat/>
    <w:rPr>
      <w:color w:val="A52A2A"/>
      <w:shd w:fill="EDEDED" w:val="clear"/>
    </w:rPr>
  </w:style>
  <w:style w:type="character" w:styleId="Emphasis">
    <w:name w:val="Emphasis"/>
    <w:qFormat/>
    <w:rPr>
      <w:i/>
      <w:iCs/>
    </w:rPr>
  </w:style>
  <w:style w:type="character" w:styleId="Underline">
    <w:name w:val="Underline"/>
    <w:qFormat/>
    <w:rPr>
      <w:u w:val="single"/>
      <w:shd w:fill="auto" w:val="clear"/>
    </w:rPr>
  </w:style>
  <w:style w:type="character" w:styleId="Strikethrough">
    <w:name w:val="Strikethrough"/>
    <w:qFormat/>
    <w:rPr>
      <w:strike/>
    </w:rPr>
  </w:style>
  <w:style w:type="character" w:styleId="SourceText">
    <w:name w:val="Source Text"/>
    <w:qFormat/>
    <w:rPr>
      <w:rFonts w:ascii="Courier New" w:hAnsi="Courier New" w:eastAsia="NSimSun" w:cs="Courier New"/>
      <w:shd w:fill="auto" w:val="clear"/>
    </w:rPr>
  </w:style>
  <w:style w:type="character" w:styleId="Quotation">
    <w:name w:val="Quotation"/>
    <w:qFormat/>
    <w:rPr>
      <w:i/>
      <w:iCs/>
    </w:rPr>
  </w:style>
  <w:style w:type="character" w:styleId="Example">
    <w:name w:val="Example"/>
    <w:qFormat/>
    <w:rPr>
      <w:rFonts w:ascii="Courier New" w:hAnsi="Courier New" w:eastAsia="NSimSun" w:cs="Courier New"/>
      <w:shd w:fill="auto" w:val="clear"/>
    </w:rPr>
  </w:style>
  <w:style w:type="character" w:styleId="OrgCode">
    <w:name w:val="OrgCode"/>
    <w:basedOn w:val="SourceText"/>
    <w:qFormat/>
    <w:rPr/>
  </w:style>
  <w:style w:type="character" w:styleId="OrgTodo">
    <w:name w:val="OrgTodo"/>
    <w:qFormat/>
    <w:rPr/>
  </w:style>
  <w:style w:type="character" w:styleId="OrgDone">
    <w:name w:val="OrgDone"/>
    <w:qFormat/>
    <w:rPr/>
  </w:style>
  <w:style w:type="character" w:styleId="OrgTag">
    <w:name w:val="OrgTag"/>
    <w:qFormat/>
    <w:rPr>
      <w:smallCaps/>
      <w:shd w:fill="auto" w:val="clear"/>
    </w:rPr>
  </w:style>
  <w:style w:type="character" w:styleId="OrgTags">
    <w:name w:val="OrgTags"/>
    <w:qFormat/>
    <w:rPr/>
  </w:style>
  <w:style w:type="character" w:styleId="OrgPriority">
    <w:name w:val="OrgPriority"/>
    <w:qFormat/>
    <w:rPr/>
  </w:style>
  <w:style w:type="character" w:styleId="OrgPriority-A">
    <w:name w:val="OrgPriority-A"/>
    <w:basedOn w:val="OrgPriority"/>
    <w:qFormat/>
    <w:rPr/>
  </w:style>
  <w:style w:type="character" w:styleId="OrgPriority-B">
    <w:name w:val="OrgPriority-B"/>
    <w:basedOn w:val="OrgPriority"/>
    <w:qFormat/>
    <w:rPr/>
  </w:style>
  <w:style w:type="character" w:styleId="OrgPriority-C">
    <w:name w:val="OrgPriority-C"/>
    <w:basedOn w:val="OrgPriority"/>
    <w:qFormat/>
    <w:rPr/>
  </w:style>
  <w:style w:type="character" w:styleId="OrgTimestamp">
    <w:name w:val="OrgTimestamp"/>
    <w:qFormat/>
    <w:rPr>
      <w:rFonts w:ascii="Courier New" w:hAnsi="Courier New" w:eastAsia="NSimSun" w:cs="Courier New"/>
      <w:shd w:fill="auto" w:val="clear"/>
    </w:rPr>
  </w:style>
  <w:style w:type="character" w:styleId="OrgActiveTimestamp">
    <w:name w:val="OrgActiveTimestamp"/>
    <w:basedOn w:val="OrgTimestamp"/>
    <w:qFormat/>
    <w:rPr/>
  </w:style>
  <w:style w:type="character" w:styleId="OrgInactiveTimestamp">
    <w:name w:val="OrgInactiveTimestamp"/>
    <w:basedOn w:val="OrgTimestamp"/>
    <w:qFormat/>
    <w:rPr/>
  </w:style>
  <w:style w:type="character" w:styleId="OrgTimestampKeyword">
    <w:name w:val="OrgTimestampKeyword"/>
    <w:qFormat/>
    <w:rPr>
      <w:b/>
      <w:color w:val="auto"/>
    </w:rPr>
  </w:style>
  <w:style w:type="character" w:styleId="OrgScheduledKeyword">
    <w:name w:val="OrgScheduledKeyword"/>
    <w:basedOn w:val="OrgTimestampKeyword"/>
    <w:qFormat/>
    <w:rPr/>
  </w:style>
  <w:style w:type="character" w:styleId="OrgDeadlineKeyword">
    <w:name w:val="OrgDeadlineKeyword"/>
    <w:basedOn w:val="OrgTimestampKeyword"/>
    <w:qFormat/>
    <w:rPr/>
  </w:style>
  <w:style w:type="character" w:styleId="OrgClockKeyword">
    <w:name w:val="OrgClockKeyword"/>
    <w:basedOn w:val="OrgTimestampKeyword"/>
    <w:qFormat/>
    <w:rPr/>
  </w:style>
  <w:style w:type="character" w:styleId="OrgClosedKeyword">
    <w:name w:val="OrgClosedKeyword"/>
    <w:basedOn w:val="OrgTimestampKeyword"/>
    <w:qFormat/>
    <w:rPr/>
  </w:style>
  <w:style w:type="character" w:styleId="OrgTimestampWrapper">
    <w:name w:val="OrgTimestampWrapper"/>
    <w:qFormat/>
    <w:rPr/>
  </w:style>
  <w:style w:type="character" w:styleId="OrgTarget">
    <w:name w:val="OrgTarget"/>
    <w:qFormat/>
    <w:rPr/>
  </w:style>
  <w:style w:type="character" w:styleId="Bold">
    <w:name w:val="Bold"/>
    <w:qFormat/>
    <w:rPr>
      <w:b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OrgSuperscript">
    <w:name w:val="OrgSuperscript"/>
    <w:qFormat/>
    <w:rPr>
      <w:vertAlign w:val="superscript"/>
    </w:rPr>
  </w:style>
  <w:style w:type="character" w:styleId="OrgSubscript">
    <w:name w:val="OrgSubscript"/>
    <w:qFormat/>
    <w:rPr>
      <w:vertAlign w:val="subscript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20Symbols">
    <w:name w:val="Bullet_20_Symbols"/>
    <w:qFormat/>
    <w:rPr/>
  </w:style>
  <w:style w:type="paragraph" w:styleId="Heading">
    <w:name w:val="Heading"/>
    <w:basedOn w:val="Normal"/>
    <w:next w:val="BodyText"/>
    <w:qFormat/>
    <w:pPr>
      <w:keepNext w:val="true"/>
      <w:tabs>
        <w:tab w:val="clear" w:pos="1134"/>
        <w:tab w:val="right" w:pos="9808" w:leader="none"/>
      </w:tabs>
      <w:spacing w:before="240" w:after="120"/>
    </w:pPr>
    <w:rPr>
      <w:rFonts w:ascii="Arial" w:hAnsi="Arial" w:eastAsia="SimSun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ing201unnumbered">
    <w:name w:val="Heading_20_1_unnumbered"/>
    <w:basedOn w:val="Heading1"/>
    <w:qFormat/>
    <w:pPr>
      <w:numPr>
        <w:ilvl w:val="0"/>
        <w:numId w:val="0"/>
      </w:numPr>
      <w:outlineLvl w:val="9"/>
    </w:pPr>
    <w:rPr/>
  </w:style>
  <w:style w:type="paragraph" w:styleId="Heading202unnumbered">
    <w:name w:val="Heading_20_2_unnumbered"/>
    <w:basedOn w:val="Heading2"/>
    <w:qFormat/>
    <w:pPr>
      <w:numPr>
        <w:ilvl w:val="0"/>
        <w:numId w:val="0"/>
      </w:numPr>
      <w:outlineLvl w:val="9"/>
    </w:pPr>
    <w:rPr/>
  </w:style>
  <w:style w:type="paragraph" w:styleId="Heading203unnumbered">
    <w:name w:val="Heading_20_3_unnumbered"/>
    <w:basedOn w:val="Heading3"/>
    <w:qFormat/>
    <w:pPr>
      <w:numPr>
        <w:ilvl w:val="0"/>
        <w:numId w:val="0"/>
      </w:numPr>
      <w:outlineLvl w:val="9"/>
    </w:pPr>
    <w:rPr/>
  </w:style>
  <w:style w:type="paragraph" w:styleId="Heading204unnumbered">
    <w:name w:val="Heading_20_4_unnumbered"/>
    <w:basedOn w:val="Heading4"/>
    <w:qFormat/>
    <w:pPr>
      <w:numPr>
        <w:ilvl w:val="0"/>
        <w:numId w:val="0"/>
      </w:numPr>
      <w:outlineLvl w:val="9"/>
    </w:pPr>
    <w:rPr/>
  </w:style>
  <w:style w:type="paragraph" w:styleId="Heading205unnumbered">
    <w:name w:val="Heading_20_5_unnumbered"/>
    <w:basedOn w:val="Heading5"/>
    <w:qFormat/>
    <w:pPr>
      <w:numPr>
        <w:ilvl w:val="0"/>
        <w:numId w:val="0"/>
      </w:numPr>
      <w:outlineLvl w:val="9"/>
    </w:pPr>
    <w:rPr/>
  </w:style>
  <w:style w:type="paragraph" w:styleId="Heading206unnumbered">
    <w:name w:val="Heading_20_6_unnumbered"/>
    <w:basedOn w:val="Heading6"/>
    <w:qFormat/>
    <w:pPr>
      <w:numPr>
        <w:ilvl w:val="0"/>
        <w:numId w:val="0"/>
      </w:numPr>
      <w:outlineLvl w:val="9"/>
    </w:pPr>
    <w:rPr/>
  </w:style>
  <w:style w:type="paragraph" w:styleId="Heading207unnumbered">
    <w:name w:val="Heading_20_7_unnumbered"/>
    <w:basedOn w:val="Heading7"/>
    <w:qFormat/>
    <w:pPr>
      <w:numPr>
        <w:ilvl w:val="0"/>
        <w:numId w:val="0"/>
      </w:numPr>
      <w:outlineLvl w:val="9"/>
    </w:pPr>
    <w:rPr/>
  </w:style>
  <w:style w:type="paragraph" w:styleId="Heading208unnumbered">
    <w:name w:val="Heading_20_8_unnumbered"/>
    <w:basedOn w:val="Heading8"/>
    <w:qFormat/>
    <w:pPr>
      <w:numPr>
        <w:ilvl w:val="0"/>
        <w:numId w:val="0"/>
      </w:numPr>
      <w:outlineLvl w:val="9"/>
    </w:pPr>
    <w:rPr/>
  </w:style>
  <w:style w:type="paragraph" w:styleId="Heading209unnumbered">
    <w:name w:val="Heading_20_9_unnumbered"/>
    <w:basedOn w:val="Heading9"/>
    <w:qFormat/>
    <w:pPr>
      <w:numPr>
        <w:ilvl w:val="0"/>
        <w:numId w:val="0"/>
      </w:numPr>
      <w:outlineLvl w:val="9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Heading2010unnumbered">
    <w:name w:val="Heading_20_10_unnumbered"/>
    <w:basedOn w:val="Heading10"/>
    <w:qFormat/>
    <w:pPr>
      <w:numPr>
        <w:ilvl w:val="0"/>
        <w:numId w:val="0"/>
      </w:numPr>
      <w:outlineLvl w:val="9"/>
    </w:pPr>
    <w:rPr/>
  </w:style>
  <w:style w:type="paragraph" w:styleId="Heading1title">
    <w:name w:val="Heading 1.title"/>
    <w:basedOn w:val="Heading1"/>
    <w:qFormat/>
    <w:pPr>
      <w:numPr>
        <w:ilvl w:val="0"/>
        <w:numId w:val="0"/>
      </w:numPr>
      <w:jc w:val="center"/>
      <w:outlineLvl w:val="9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paragraph" w:styleId="OrgTitle">
    <w:name w:val="OrgTitle"/>
    <w:basedOn w:val="Title"/>
    <w:qFormat/>
    <w:pPr>
      <w:spacing w:before="0" w:after="0"/>
    </w:pPr>
    <w:rPr>
      <w:sz w:val="4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OrgSubtitle">
    <w:name w:val="OrgSubtitle"/>
    <w:basedOn w:val="Subtitle"/>
    <w:qFormat/>
    <w:pPr>
      <w:spacing w:before="0" w:after="0"/>
    </w:pPr>
    <w:rPr>
      <w:sz w:val="40"/>
    </w:rPr>
  </w:style>
  <w:style w:type="paragraph" w:styleId="BodyTextIndent">
    <w:name w:val="Body Text Indent"/>
    <w:basedOn w:val="BodyText"/>
    <w:pPr>
      <w:ind w:hanging="0" w:left="283" w:right="0"/>
    </w:pPr>
    <w:rPr/>
  </w:style>
  <w:style w:type="paragraph" w:styleId="ListIndent">
    <w:name w:val="List Indent"/>
    <w:basedOn w:val="BodyText"/>
    <w:qFormat/>
    <w:pPr>
      <w:tabs>
        <w:tab w:val="clear" w:pos="1134"/>
        <w:tab w:val="left" w:pos="2835" w:leader="none"/>
      </w:tabs>
      <w:ind w:hanging="2551" w:left="2835" w:right="0"/>
    </w:pPr>
    <w:rPr/>
  </w:style>
  <w:style w:type="paragraph" w:styleId="BodyTextFirstIndent">
    <w:name w:val="Body Text First Indent"/>
    <w:basedOn w:val="BodyText"/>
    <w:pPr>
      <w:ind w:firstLine="283" w:left="0" w:right="0"/>
    </w:pPr>
    <w:rPr/>
  </w:style>
  <w:style w:type="paragraph" w:styleId="HangingIndent">
    <w:name w:val="Hanging Indent"/>
    <w:basedOn w:val="BodyText"/>
    <w:qFormat/>
    <w:pPr>
      <w:tabs>
        <w:tab w:val="clear" w:pos="1134"/>
        <w:tab w:val="left" w:pos="567" w:leader="none"/>
      </w:tabs>
      <w:ind w:hanging="283" w:left="567" w:right="0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>
      <w:suppressLineNumbers/>
      <w:ind w:hanging="0" w:left="0" w:righ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1134"/>
        <w:tab w:val="right" w:pos="9638" w:leader="dot"/>
      </w:tabs>
      <w:ind w:hanging="0" w:left="0" w:right="0"/>
    </w:pPr>
    <w:rPr/>
  </w:style>
  <w:style w:type="paragraph" w:styleId="TOC2">
    <w:name w:val="TOC 2"/>
    <w:basedOn w:val="Index"/>
    <w:pPr>
      <w:tabs>
        <w:tab w:val="clear" w:pos="1134"/>
        <w:tab w:val="right" w:pos="9638" w:leader="dot"/>
      </w:tabs>
      <w:ind w:hanging="0" w:left="283" w:right="0"/>
    </w:pPr>
    <w:rPr/>
  </w:style>
  <w:style w:type="paragraph" w:styleId="TOC3">
    <w:name w:val="TOC 3"/>
    <w:basedOn w:val="Index"/>
    <w:pPr>
      <w:tabs>
        <w:tab w:val="clear" w:pos="1134"/>
        <w:tab w:val="right" w:pos="9638" w:leader="dot"/>
      </w:tabs>
      <w:ind w:hanging="0" w:left="566" w:right="0"/>
    </w:pPr>
    <w:rPr/>
  </w:style>
  <w:style w:type="paragraph" w:styleId="TOC4">
    <w:name w:val="TOC 4"/>
    <w:basedOn w:val="Index"/>
    <w:pPr>
      <w:tabs>
        <w:tab w:val="clear" w:pos="1134"/>
        <w:tab w:val="right" w:pos="9638" w:leader="dot"/>
      </w:tabs>
      <w:ind w:hanging="0" w:left="849" w:right="0"/>
    </w:pPr>
    <w:rPr/>
  </w:style>
  <w:style w:type="paragraph" w:styleId="TOC5">
    <w:name w:val="TOC 5"/>
    <w:basedOn w:val="Index"/>
    <w:pPr>
      <w:tabs>
        <w:tab w:val="clear" w:pos="1134"/>
        <w:tab w:val="right" w:pos="9638" w:leader="dot"/>
      </w:tabs>
      <w:ind w:hanging="0" w:left="1132" w:right="0"/>
    </w:pPr>
    <w:rPr/>
  </w:style>
  <w:style w:type="paragraph" w:styleId="TOC6">
    <w:name w:val="TOC 6"/>
    <w:basedOn w:val="Index"/>
    <w:pPr>
      <w:tabs>
        <w:tab w:val="clear" w:pos="1134"/>
        <w:tab w:val="right" w:pos="9638" w:leader="dot"/>
      </w:tabs>
      <w:ind w:hanging="0" w:left="1415" w:right="0"/>
    </w:pPr>
    <w:rPr/>
  </w:style>
  <w:style w:type="paragraph" w:styleId="TOC7">
    <w:name w:val="TOC 7"/>
    <w:basedOn w:val="Index"/>
    <w:pPr>
      <w:tabs>
        <w:tab w:val="clear" w:pos="1134"/>
        <w:tab w:val="right" w:pos="9638" w:leader="dot"/>
      </w:tabs>
      <w:ind w:hanging="0" w:left="1698" w:right="0"/>
    </w:pPr>
    <w:rPr/>
  </w:style>
  <w:style w:type="paragraph" w:styleId="TOC8">
    <w:name w:val="TOC 8"/>
    <w:basedOn w:val="Index"/>
    <w:pPr>
      <w:tabs>
        <w:tab w:val="clear" w:pos="1134"/>
        <w:tab w:val="right" w:pos="9638" w:leader="dot"/>
      </w:tabs>
      <w:ind w:hanging="0" w:left="1981" w:right="0"/>
    </w:pPr>
    <w:rPr/>
  </w:style>
  <w:style w:type="paragraph" w:styleId="TOC9">
    <w:name w:val="TOC 9"/>
    <w:basedOn w:val="Index"/>
    <w:pPr>
      <w:tabs>
        <w:tab w:val="clear" w:pos="1134"/>
        <w:tab w:val="right" w:pos="9638" w:leader="dot"/>
      </w:tabs>
      <w:ind w:hanging="0" w:left="2264" w:right="0"/>
    </w:pPr>
    <w:rPr/>
  </w:style>
  <w:style w:type="paragraph" w:styleId="Contents10">
    <w:name w:val="Contents 10"/>
    <w:basedOn w:val="Index"/>
    <w:qFormat/>
    <w:pPr>
      <w:tabs>
        <w:tab w:val="clear" w:pos="1134"/>
        <w:tab w:val="right" w:pos="9638" w:leader="dot"/>
      </w:tabs>
      <w:ind w:hanging="0" w:left="2547" w:right="0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OrgFootnoteQuotations">
    <w:name w:val="OrgFootnoteQuotations"/>
    <w:basedOn w:val="FootnoteText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OrgVerse">
    <w:name w:val="OrgVerse"/>
    <w:basedOn w:val="PreformattedText"/>
    <w:qFormat/>
    <w:pPr>
      <w:pBdr>
        <w:top w:val="single" w:sz="2" w:space="16" w:color="000000"/>
        <w:left w:val="single" w:sz="2" w:space="16" w:color="000000"/>
        <w:bottom w:val="single" w:sz="2" w:space="16" w:color="000000"/>
        <w:right w:val="single" w:sz="2" w:space="16" w:color="000000"/>
      </w:pBdr>
      <w:shd w:fill="FAF0E6" w:val="clear"/>
    </w:pPr>
    <w:rPr/>
  </w:style>
  <w:style w:type="paragraph" w:styleId="ExampleBlock">
    <w:name w:val="ExampleBlock"/>
    <w:qFormat/>
    <w:pPr>
      <w:widowControl w:val="false"/>
      <w:pBdr/>
      <w:shd w:fill="F7F7F7" w:val="clear"/>
      <w:bidi w:val="0"/>
      <w:spacing w:lineRule="auto" w:line="312" w:before="170" w:after="170"/>
      <w:ind w:left="170" w:right="170"/>
    </w:pPr>
    <w:rPr>
      <w:rFonts w:ascii="Libertinus Serif;Linux Libertine O;Times New Roman" w:hAnsi="Libertinus Serif;Linux Libertine O;Times New Roman"/>
      <w:sz w:val="20"/>
      <w:lang w:val="en-US" w:eastAsia="zh-CN" w:bidi="hi-IN"/>
    </w:rPr>
  </w:style>
  <w:style w:type="paragraph" w:styleId="OrgFixedWidthBlock">
    <w:name w:val="OrgFixedWidthBlock"/>
    <w:basedOn w:val="PreformattedText"/>
    <w:qFormat/>
    <w:pPr>
      <w:pBdr>
        <w:top w:val="single" w:sz="2" w:space="4" w:color="000000"/>
        <w:left w:val="single" w:sz="2" w:space="4" w:color="000000"/>
        <w:bottom w:val="single" w:sz="2" w:space="4" w:color="000000"/>
        <w:right w:val="single" w:sz="2" w:space="4" w:color="000000"/>
      </w:pBdr>
      <w:shd w:fill="F0F8FF" w:val="clear"/>
    </w:pPr>
    <w:rPr/>
  </w:style>
  <w:style w:type="paragraph" w:styleId="OrgFixedWidthBlockLastLine">
    <w:name w:val="OrgFixedWidthBlockLastLine"/>
    <w:basedOn w:val="OrgFixedWidthBlock"/>
    <w:qFormat/>
    <w:pPr>
      <w:spacing w:before="0" w:after="119"/>
    </w:pPr>
    <w:rPr/>
  </w:style>
  <w:style w:type="paragraph" w:styleId="PageBreak">
    <w:name w:val="PageBreak"/>
    <w:basedOn w:val="BodyText"/>
    <w:qFormat/>
    <w:pPr>
      <w:pageBreakBefore/>
    </w:pPr>
    <w:rPr/>
  </w:style>
  <w:style w:type="paragraph" w:styleId="OrgFormula">
    <w:name w:val="OrgFormula"/>
    <w:basedOn w:val="BodyText"/>
    <w:qFormat/>
    <w:pPr>
      <w:tabs>
        <w:tab w:val="clear" w:pos="1134"/>
        <w:tab w:val="right" w:pos="9808" w:leader="none"/>
      </w:tabs>
    </w:pPr>
    <w:rPr/>
  </w:style>
  <w:style w:type="paragraph" w:styleId="Example1">
    <w:name w:val="Example1"/>
    <w:qFormat/>
    <w:pPr>
      <w:widowControl w:val="false"/>
      <w:pBdr>
        <w:top w:val="single" w:sz="4" w:space="8" w:color="000000"/>
        <w:left w:val="single" w:sz="4" w:space="8" w:color="000000"/>
        <w:bottom w:val="single" w:sz="4" w:space="8" w:color="000000"/>
        <w:right w:val="single" w:sz="4" w:space="8" w:color="000000"/>
      </w:pBdr>
      <w:shd w:fill="F7F7F7" w:val="clear"/>
      <w:bidi w:val="0"/>
      <w:spacing w:lineRule="auto" w:line="312" w:before="170" w:after="170"/>
      <w:ind w:left="170" w:right="170"/>
    </w:pPr>
    <w:rPr>
      <w:rFonts w:ascii="Libertinus Serif;Linux Libertine O;Times New Roman" w:hAnsi="Libertinus Serif;Linux Libertine O;Times New Roman"/>
      <w:sz w:val="20"/>
      <w:lang w:val="en-US" w:eastAsia="zh-CN" w:bidi="hi-IN"/>
    </w:rPr>
  </w:style>
  <w:style w:type="paragraph" w:styleId="OrgSrcBlock">
    <w:name w:val="OrgSrcBlock"/>
    <w:basedOn w:val="PreformattedText"/>
    <w:qFormat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fill="EDEDED" w:val="clear"/>
    </w:pPr>
    <w:rPr>
      <w:color w:val="2E3436"/>
    </w:rPr>
  </w:style>
  <w:style w:type="paragraph" w:styleId="OrgCenter">
    <w:name w:val="OrgCenter"/>
    <w:basedOn w:val="BodyText"/>
    <w:qFormat/>
    <w:pPr>
      <w:jc w:val="center"/>
    </w:pPr>
    <w:rPr/>
  </w:style>
  <w:style w:type="paragraph" w:styleId="OrgFootnoteCenter">
    <w:name w:val="OrgFootnoteCenter"/>
    <w:basedOn w:val="FootnoteText"/>
    <w:qFormat/>
    <w:pPr>
      <w:jc w:val="center"/>
    </w:pPr>
    <w:rPr/>
  </w:style>
  <w:style w:type="paragraph" w:styleId="OrgTableContents">
    <w:name w:val="OrgTableContents"/>
    <w:basedOn w:val="BodyText"/>
    <w:qFormat/>
    <w:pPr/>
    <w:rPr/>
  </w:style>
  <w:style w:type="paragraph" w:styleId="OrgTableHeading">
    <w:name w:val="OrgTableHeading"/>
    <w:basedOn w:val="OrgTableContents"/>
    <w:qFormat/>
    <w:pPr>
      <w:suppressLineNumbers/>
      <w:jc w:val="center"/>
    </w:pPr>
    <w:rPr>
      <w:b/>
      <w:bCs/>
    </w:rPr>
  </w:style>
  <w:style w:type="paragraph" w:styleId="OrgTableHeadingLeft">
    <w:name w:val="OrgTableHeadingLeft"/>
    <w:basedOn w:val="OrgTableHeading"/>
    <w:qFormat/>
    <w:pPr>
      <w:jc w:val="left"/>
    </w:pPr>
    <w:rPr>
      <w:sz w:val="20"/>
      <w:szCs w:val="20"/>
    </w:rPr>
  </w:style>
  <w:style w:type="paragraph" w:styleId="OrgTableHeadingRight">
    <w:name w:val="OrgTableHeadingRight"/>
    <w:basedOn w:val="OrgTableHeading"/>
    <w:qFormat/>
    <w:pPr>
      <w:jc w:val="right"/>
    </w:pPr>
    <w:rPr>
      <w:sz w:val="20"/>
      <w:szCs w:val="20"/>
    </w:rPr>
  </w:style>
  <w:style w:type="paragraph" w:styleId="OrgTableHeadingCenter">
    <w:name w:val="OrgTableHeadingCenter"/>
    <w:basedOn w:val="OrgTableHeading"/>
    <w:qFormat/>
    <w:pPr>
      <w:jc w:val="center"/>
    </w:pPr>
    <w:rPr/>
  </w:style>
  <w:style w:type="paragraph" w:styleId="OrgTableContentsLeft">
    <w:name w:val="OrgTableContentsLeft"/>
    <w:basedOn w:val="OrgTableContents"/>
    <w:qFormat/>
    <w:pPr>
      <w:jc w:val="left"/>
    </w:pPr>
    <w:rPr>
      <w:sz w:val="16"/>
      <w:szCs w:val="20"/>
    </w:rPr>
  </w:style>
  <w:style w:type="paragraph" w:styleId="OrgTableContentsRight">
    <w:name w:val="OrgTableContentsRight"/>
    <w:basedOn w:val="OrgTableContents"/>
    <w:qFormat/>
    <w:pPr>
      <w:jc w:val="right"/>
    </w:pPr>
    <w:rPr>
      <w:sz w:val="16"/>
      <w:szCs w:val="20"/>
    </w:rPr>
  </w:style>
  <w:style w:type="paragraph" w:styleId="OrgTableContentsCenter">
    <w:name w:val="OrgTableContentsCenter"/>
    <w:basedOn w:val="OrgTableContents"/>
    <w:qFormat/>
    <w:pPr>
      <w:jc w:val="center"/>
    </w:pPr>
    <w:rPr/>
  </w:style>
  <w:style w:type="paragraph" w:styleId="Textbodybold">
    <w:name w:val="Text body bold"/>
    <w:basedOn w:val="BodyText"/>
    <w:next w:val="BodyText"/>
    <w:qFormat/>
    <w:pPr/>
    <w:rPr>
      <w:b/>
    </w:rPr>
  </w:style>
  <w:style w:type="paragraph" w:styleId="CourseCredentials">
    <w:name w:val="Course Credentials"/>
    <w:basedOn w:val="BodyText"/>
    <w:qFormat/>
    <w:pPr>
      <w:jc w:val="center"/>
    </w:pPr>
    <w:rPr>
      <w:rFonts w:ascii="Tahoma1" w:hAnsi="Tahoma1"/>
      <w:i/>
      <w:color w:val="2AA198"/>
      <w:sz w:val="24"/>
    </w:rPr>
  </w:style>
  <w:style w:type="paragraph" w:styleId="Baggrund">
    <w:name w:val="Baggrund"/>
    <w:qFormat/>
    <w:pPr>
      <w:widowControl w:val="false"/>
      <w:shd w:fill="FFFFE0" w:val="clear"/>
      <w:bidi w:val="0"/>
      <w:spacing w:lineRule="auto" w:line="480" w:before="170" w:after="170"/>
      <w:ind w:left="170" w:right="170"/>
      <w:jc w:val="left"/>
    </w:pPr>
    <w:rPr>
      <w:rFonts w:ascii="Times New Roman" w:hAnsi="Times New Roman"/>
      <w:sz w:val="20"/>
      <w:lang w:val="en-US" w:eastAsia="zh-CN" w:bidi="hi-IN"/>
    </w:rPr>
  </w:style>
  <w:style w:type="paragraph" w:styleId="DineSvar">
    <w:name w:val="DineSvar"/>
    <w:qFormat/>
    <w:pPr>
      <w:widowControl w:val="false"/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fill="DCEFF1" w:val="clear"/>
      <w:bidi w:val="0"/>
      <w:spacing w:lineRule="auto" w:line="240" w:before="170" w:after="170"/>
      <w:ind w:hanging="0" w:left="170" w:right="170"/>
      <w:jc w:val="left"/>
    </w:pPr>
    <w:rPr>
      <w:rFonts w:ascii="Times New Roman" w:hAnsi="Times New Roman"/>
      <w:sz w:val="20"/>
      <w:lang w:val="en-US" w:eastAsia="zh-CN" w:bidi="hi-IN"/>
    </w:rPr>
  </w:style>
  <w:style w:type="paragraph" w:styleId="Loesningsforslag">
    <w:name w:val="Loesningsforslag"/>
    <w:qFormat/>
    <w:pPr>
      <w:widowControl w:val="false"/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fill="F1DEFC" w:val="clear"/>
      <w:bidi w:val="0"/>
      <w:spacing w:lineRule="auto" w:line="240" w:before="170" w:after="170"/>
      <w:ind w:hanging="0" w:left="170" w:right="170"/>
      <w:jc w:val="left"/>
    </w:pPr>
    <w:rPr>
      <w:rFonts w:ascii="Times New Roman" w:hAnsi="Times New Roman"/>
      <w:sz w:val="20"/>
      <w:lang w:val="en-US" w:eastAsia="zh-CN" w:bidi="hi-IN"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IllustrationIndexHeading">
    <w:name w:val="Illustration Index Heading"/>
    <w:basedOn w:val="Heading"/>
    <w:qFormat/>
    <w:pPr>
      <w:suppressLineNumbers/>
      <w:ind w:hanging="0" w:left="0" w:right="0"/>
    </w:pPr>
    <w:rPr>
      <w:b/>
      <w:bCs/>
      <w:sz w:val="32"/>
      <w:szCs w:val="32"/>
    </w:rPr>
  </w:style>
  <w:style w:type="paragraph" w:styleId="Table">
    <w:name w:val="Table"/>
    <w:basedOn w:val="Caption"/>
    <w:qFormat/>
    <w:pPr>
      <w:jc w:val="center"/>
    </w:pPr>
    <w:rPr/>
  </w:style>
  <w:style w:type="paragraph" w:styleId="Listing">
    <w:name w:val="Listing"/>
    <w:basedOn w:val="Caption"/>
    <w:qFormat/>
    <w:pPr>
      <w:keepNext w:val="true"/>
      <w:tabs>
        <w:tab w:val="clear" w:pos="1134"/>
      </w:tabs>
      <w:ind w:hanging="0" w:left="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single" w:sz="2" w:space="0" w:color="000000"/>
      </w:pBdr>
      <w:spacing w:before="0" w:after="119"/>
    </w:pPr>
    <w:rPr>
      <w:sz w:val="12"/>
      <w:szCs w:val="12"/>
    </w:rPr>
  </w:style>
  <w:style w:type="paragraph" w:styleId="OrgInlineTaskHeading">
    <w:name w:val="OrgInlineTaskHeading"/>
    <w:basedOn w:val="Caption"/>
    <w:next w:val="BodyText"/>
    <w:qFormat/>
    <w:pPr/>
    <w:rPr>
      <w:b/>
      <w:i w:val="false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9" w:leader="none"/>
        <w:tab w:val="right" w:pos="980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ing1">
    <w:name w:val="Numbering 1"/>
    <w:qFormat/>
  </w:style>
  <w:style w:type="numbering" w:styleId="Bullet">
    <w:name w:val="Bullet •"/>
    <w:qFormat/>
  </w:style>
  <w:style w:type="numbering" w:styleId="OrgNumberedList">
    <w:name w:val="OrgNumberedList"/>
    <w:qFormat/>
  </w:style>
  <w:style w:type="numbering" w:styleId="OrgBulletedList">
    <w:name w:val="OrgBulletedList"/>
    <w:qFormat/>
  </w:style>
  <w:style w:type="numbering" w:styleId="OrgDescriptionList">
    <w:name w:val="OrgDescriptionList"/>
    <w:qFormat/>
  </w:style>
  <w:style w:type="numbering" w:styleId="OrgSrcBlockNumberedLine">
    <w:name w:val="OrgSrcBlockNumberedLin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2026-02-10T13:41:36Z</dcterms:created>
  <dc:creator>Thomas Alexander Gerds</dc:creator>
  <dc:description/>
  <cp:keywords/>
  <dc:language>en-US</dc:language>
  <cp:lastModifiedBy>Thomas Alexander Gerds</cp:lastModifiedBy>
  <dcterms:modified xsi:type="dcterms:W3CDTF">2026-02-10T13:41:36Z</dcterms:modified>
  <cp:revision>0</cp:revision>
  <dc:subject/>
  <dc:title>Modul 1: Holdundervisning</dc:title>
</cp:coreProperties>
</file>