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media/image3.png" ContentType="image/png"/>
  <Override PartName="/word/media/image4.svg" ContentType="image/sv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OrgTitle"/>
        <w:bidi w:val="0"/>
        <w:spacing w:before="0" w:after="0"/>
        <w:rPr/>
      </w:pPr>
      <w:r>
        <w:rPr/>
        <w:fldChar w:fldCharType="begin"/>
      </w:r>
      <w:r>
        <w:rPr/>
        <w:instrText xml:space="preserve"> TITLE </w:instrText>
      </w:r>
      <w:r>
        <w:rPr/>
        <w:fldChar w:fldCharType="separate"/>
      </w:r>
      <w:r>
        <w:rPr/>
        <w:t>Modul 1</w:t>
      </w:r>
      <w:r>
        <w:rPr/>
        <w:fldChar w:fldCharType="end"/>
      </w:r>
    </w:p>
    <w:p>
      <w:pPr>
        <w:pStyle w:val="OrgTitle"/>
        <w:bidi w:val="0"/>
        <w:spacing w:before="0" w:after="0"/>
        <w:rPr/>
      </w:pPr>
      <w:r>
        <w:rPr/>
      </w:r>
    </w:p>
    <w:p>
      <w:pPr>
        <w:pStyle w:val="Heading201unnumbered"/>
        <w:bidi w:val="0"/>
        <w:jc w:val="left"/>
        <w:outlineLvl w:val="0"/>
        <w:rPr/>
      </w:pPr>
      <w:bookmarkStart w:id="0" w:name="OrgXref.org1db3e75"/>
      <w:bookmarkStart w:id="1" w:name="org1db3e75"/>
      <w:bookmarkEnd w:id="1"/>
      <w:r>
        <w:rPr/>
        <w:t xml:space="preserve">Opgave 1 </w:t>
      </w:r>
      <w:bookmarkEnd w:id="0"/>
    </w:p>
    <w:p>
      <w:pPr>
        <w:pStyle w:val="BodyText"/>
        <w:bidi w:val="0"/>
        <w:spacing w:before="0" w:after="120"/>
        <w:jc w:val="left"/>
        <w:rPr/>
      </w:pPr>
      <w:r>
        <w:rPr/>
        <w:t xml:space="preserve">Svar på følgende spørgsmål ved at læse i kompendium kapitel 1.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Danner alle personer som bor i byområderne i Danmark en kohorte? Begrund dit svar.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Er Københavns befolkning lukket eller åben? Begrund dit svar.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Hvad er den naturlige vækstrate og hvad er nettovandringsraten? Hvilken af de to er sværest at registrere nøjagtigt?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Kapitel 1 afsnit 7 (Rater) angiver mortalitetsraten for Bornholm i 2022 som 14,3 per 1000 personår og Kapitel 1 afsnit 7.2 (Perioderater) angiver 14,4 per 1000 personår. Hvad er årsagen til denne forskel?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Hvilke enheder har hhv., folketal, middelfolketal, risikotid og mortalitetsrate? </w:t>
      </w:r>
    </w:p>
    <w:p>
      <w:pPr>
        <w:pStyle w:val="Heading201unnumbered"/>
        <w:bidi w:val="0"/>
        <w:jc w:val="left"/>
        <w:outlineLvl w:val="0"/>
        <w:rPr/>
      </w:pPr>
      <w:bookmarkStart w:id="2" w:name="OrgXref.org52fd0a0"/>
      <w:bookmarkStart w:id="3" w:name="org52fd0a0"/>
      <w:bookmarkEnd w:id="3"/>
      <w:r>
        <w:rPr/>
        <w:t xml:space="preserve">Rettenøgle opgave 1 </w:t>
      </w:r>
      <w:bookmarkEnd w:id="2"/>
    </w:p>
    <w:p>
      <w:pPr>
        <w:pStyle w:val="Heading202unnumbered"/>
        <w:bidi w:val="0"/>
        <w:jc w:val="left"/>
        <w:outlineLvl w:val="1"/>
        <w:rPr/>
      </w:pPr>
      <w:bookmarkStart w:id="4" w:name="OrgXref.orgd7b2a84"/>
      <w:bookmarkStart w:id="5" w:name="orgd7b2a84"/>
      <w:bookmarkEnd w:id="5"/>
      <w:r>
        <w:rPr/>
        <w:t xml:space="preserve">Opgave 1.1 </w:t>
      </w:r>
      <w:bookmarkEnd w:id="4"/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Det kan man godt argumentere for, men der mangler en afgivelse af perioden ("hvornår"). Begivenheden kan være, at en person beslutter at blive veganer ("hvad") og det er personer i Danmark ("hvem"). Det ville være en kohorte, hvis man fx definerede alle personer, der flyttede til et byområde i perioden 2000-2010, og fulgte dem fremad i tid.</w:t>
      </w:r>
    </w:p>
    <w:p>
      <w:pPr>
        <w:pStyle w:val="Heading202unnumbered"/>
        <w:bidi w:val="0"/>
        <w:jc w:val="left"/>
        <w:outlineLvl w:val="1"/>
        <w:rPr/>
      </w:pPr>
      <w:bookmarkStart w:id="6" w:name="OrgXref.org2c80057"/>
      <w:bookmarkStart w:id="7" w:name="org2c80057"/>
      <w:bookmarkEnd w:id="7"/>
      <w:r>
        <w:rPr/>
        <w:t xml:space="preserve">Opgave 1.2 </w:t>
      </w:r>
      <w:bookmarkEnd w:id="6"/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Ind- og udvandringer påvirker Københavns befolkning, derfor er Københavns befolkning åben.</w:t>
      </w:r>
    </w:p>
    <w:p>
      <w:pPr>
        <w:pStyle w:val="Heading202unnumbered"/>
        <w:bidi w:val="0"/>
        <w:jc w:val="left"/>
        <w:outlineLvl w:val="1"/>
        <w:rPr/>
      </w:pPr>
      <w:bookmarkStart w:id="8" w:name="OrgXref.orgb634baa"/>
      <w:bookmarkStart w:id="9" w:name="orgb634baa"/>
      <w:bookmarkEnd w:id="9"/>
      <w:r>
        <w:rPr/>
        <w:t xml:space="preserve">Opgave 1.3 </w:t>
      </w:r>
      <w:bookmarkEnd w:id="8"/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Den naturlige vækstrate er differencen mellem fødselsrate og mortalitetsrate, nettovandringsraten er differencen mellem ind- og udvandringsrater. Det er sværest at bestemme nettovandringsraten, fordi man typisk ikke registrerer ind- og udvandringsdatoer præcist.</w:t>
      </w:r>
    </w:p>
    <w:p>
      <w:pPr>
        <w:pStyle w:val="Heading202unnumbered"/>
        <w:bidi w:val="0"/>
        <w:jc w:val="left"/>
        <w:outlineLvl w:val="1"/>
        <w:rPr/>
      </w:pPr>
      <w:bookmarkStart w:id="10" w:name="OrgXref.org7f55180"/>
      <w:bookmarkStart w:id="11" w:name="org7f55180"/>
      <w:bookmarkEnd w:id="11"/>
      <w:r>
        <w:rPr/>
        <w:t xml:space="preserve">Opgave 1.4 </w:t>
      </w:r>
      <w:bookmarkEnd w:id="10"/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Forskellen skyldes forskellen i beregningen af middelfolketal. Med metode 1 bliver mortalitetsraten 14,3 per 1000 personår, med metode 2 bliver den 14,4 per 1000 personår.</w:t>
      </w:r>
    </w:p>
    <w:p>
      <w:pPr>
        <w:pStyle w:val="Heading202unnumbered"/>
        <w:bidi w:val="0"/>
        <w:jc w:val="left"/>
        <w:outlineLvl w:val="1"/>
        <w:rPr/>
      </w:pPr>
      <w:bookmarkStart w:id="12" w:name="OrgXref.org014b9a9"/>
      <w:bookmarkStart w:id="13" w:name="org014b9a9"/>
      <w:bookmarkEnd w:id="13"/>
      <w:r>
        <w:rPr/>
        <w:t xml:space="preserve">Opgave 1.5 </w:t>
      </w:r>
      <w:bookmarkEnd w:id="12"/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Enheden for folketal er /antal personer/ (til et bestemt tidspunkt).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Enheden for  middelfolketal er /antal personer/ (det gennemsnittetlige antal personer i en periode).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Enheden for risikotid er antal personår i en periode.</w:t>
      </w:r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Enheden for mortalitetsraten er antal døde i perioden per risikotid.</w:t>
      </w:r>
    </w:p>
    <w:p>
      <w:pPr>
        <w:pStyle w:val="PageBreak"/>
        <w:bidi w:val="0"/>
        <w:jc w:val="left"/>
        <w:rPr/>
      </w:pPr>
      <w:r>
        <w:rPr/>
      </w:r>
    </w:p>
    <w:p>
      <w:pPr>
        <w:pStyle w:val="Heading201unnumbered"/>
        <w:bidi w:val="0"/>
        <w:jc w:val="left"/>
        <w:outlineLvl w:val="0"/>
        <w:rPr/>
      </w:pPr>
      <w:bookmarkStart w:id="14" w:name="OrgXref.org9513684"/>
      <w:bookmarkStart w:id="15" w:name="org9513684"/>
      <w:bookmarkEnd w:id="15"/>
      <w:r>
        <w:rPr/>
        <w:t xml:space="preserve">Opgave 2 </w:t>
      </w:r>
      <w:bookmarkEnd w:id="14"/>
    </w:p>
    <w:p>
      <w:pPr>
        <w:pStyle w:val="BodyText"/>
        <w:bidi w:val="0"/>
        <w:spacing w:before="0" w:after="120"/>
        <w:jc w:val="left"/>
        <w:rPr/>
      </w:pPr>
      <w:r>
        <w:rPr/>
        <w:t xml:space="preserve">Figuren nedenfor viser en hypotetisk befolkningsgruppe bestående af kun 5 personer. Baseret på talllene fra grafen, besvar følgende spørgsmål og rapporter dine resultater.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Hvor lang er perioden?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Hvor stort er folketallet ved starten og slutningen af perioden?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Beregn middelfolketallet eksakt og med metode 1 og metode 2 for hele perioden.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Beregn risikotid eksakt for hele perioden. Angiv enheden.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20" w:leader="none"/>
        </w:tabs>
        <w:bidi w:val="0"/>
        <w:ind w:hanging="360" w:left="720"/>
        <w:jc w:val="left"/>
        <w:rPr/>
      </w:pPr>
      <w:r>
        <w:rPr/>
        <w:t xml:space="preserve">Beregn mortalitetsrate for hele perioden. Angiv enheden. </w:t>
      </w:r>
    </w:p>
    <w:p>
      <w:pPr>
        <w:pStyle w:val="BodyText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20130"/>
            <wp:effectExtent l="0" t="0" r="0" b="0"/>
            <wp:wrapTopAndBottom/>
            <wp:docPr id="1" name="Fram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rame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Heading201unnumbered"/>
        <w:bidi w:val="0"/>
        <w:jc w:val="left"/>
        <w:outlineLvl w:val="0"/>
        <w:rPr/>
      </w:pPr>
      <w:bookmarkStart w:id="16" w:name="OrgXref.orga6d73b8"/>
      <w:bookmarkStart w:id="17" w:name="orga6d73b8"/>
      <w:bookmarkEnd w:id="17"/>
      <w:r>
        <w:rPr/>
        <w:t xml:space="preserve">Rettenøgle opgave 2 </w:t>
      </w:r>
      <w:bookmarkEnd w:id="16"/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Perioden varer fra 1 april 2013 til 13 maj 2013. Perioden er 6 uger lang.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Folketal den 1 april 2013 (N(1 apr 2013)) er 3 personer og folketal den 13 maj 2013 er 2 personer.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For at beregne middelfolketallet eksakt summerer vi risikotiderne fra de 5 personer (2+4+6+1+5).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Det giver 18 uger. Middelfolketallet er dermed 18/6 = 3 personer. Med metode 1 er middelfolketallet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også 3. Den er ikke 4 fordi den person som dødede lige præcis i midten af perioden ikke tæller.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 xml:space="preserve">Med metode 2 er middelfolketallet (3+2)/2 = 2,5. Antal døde i perioden er D[1 apr 2013, 13 maj 2013] = 2 og dermed er </w:t>
      </w:r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mortalitetsraten[1 apr 2013, 13 maj 2013] = 2/18 = 0,11 døde per personuge.</w:t>
      </w:r>
    </w:p>
    <w:p>
      <w:pPr>
        <w:pStyle w:val="PageBreak"/>
        <w:bidi w:val="0"/>
        <w:jc w:val="left"/>
        <w:rPr/>
      </w:pPr>
      <w:r>
        <w:rPr/>
      </w:r>
    </w:p>
    <w:p>
      <w:pPr>
        <w:pStyle w:val="Heading201unnumbered"/>
        <w:bidi w:val="0"/>
        <w:jc w:val="left"/>
        <w:outlineLvl w:val="0"/>
        <w:rPr/>
      </w:pPr>
      <w:bookmarkStart w:id="18" w:name="OrgXref.orgad02242"/>
      <w:bookmarkStart w:id="19" w:name="orgad02242"/>
      <w:bookmarkEnd w:id="19"/>
      <w:r>
        <w:rPr/>
        <w:t xml:space="preserve">Opgave 3 </w:t>
      </w:r>
      <w:bookmarkEnd w:id="18"/>
    </w:p>
    <w:p>
      <w:pPr>
        <w:pStyle w:val="BodyText"/>
        <w:bidi w:val="0"/>
        <w:spacing w:before="0" w:after="120"/>
        <w:jc w:val="left"/>
        <w:rPr/>
      </w:pPr>
      <w:r>
        <w:rPr/>
        <w:t xml:space="preserve">Beregn middelfolketal (metode 2), risikotid og mortalitetsrate i København først i perioden fra den 1. januar 2023 til den 31. december 2024 og bagefter i perioden fra den 1 januar 2013 til den 31. december 2014. Udfyld tabellen nedenfor og rapporter resultaterne. Kommenter kort på forskelle mellem de to perioder. </w:t>
      </w:r>
    </w:p>
    <w:p>
      <w:pPr>
        <w:pStyle w:val="Heading202unnumbered"/>
        <w:bidi w:val="0"/>
        <w:jc w:val="left"/>
        <w:outlineLvl w:val="1"/>
        <w:rPr/>
      </w:pPr>
      <w:bookmarkStart w:id="20" w:name="OrgXref.org38613a3"/>
      <w:bookmarkStart w:id="21" w:name="org38613a3"/>
      <w:bookmarkEnd w:id="21"/>
      <w:r>
        <w:rPr/>
        <w:t xml:space="preserve">Rettenøgle opgave 3 </w:t>
      </w:r>
      <w:bookmarkEnd w:id="20"/>
    </w:p>
    <w:p>
      <w:pPr>
        <w:pStyle w:val="Heading203unnumbered"/>
        <w:bidi w:val="0"/>
        <w:jc w:val="left"/>
        <w:outlineLvl w:val="2"/>
        <w:rPr/>
      </w:pPr>
      <w:bookmarkStart w:id="22" w:name="OrgXref.org5db0abc"/>
      <w:bookmarkStart w:id="23" w:name="org5db0abc"/>
      <w:bookmarkEnd w:id="23"/>
      <w:r>
        <w:rPr/>
        <w:t xml:space="preserve">Tabel </w:t>
      </w:r>
      <w:bookmarkEnd w:id="22"/>
    </w:p>
    <w:p>
      <w:pPr>
        <w:sectPr>
          <w:footerReference w:type="default" r:id="rId4"/>
          <w:type w:val="nextPage"/>
          <w:pgSz w:w="11906" w:h="16838"/>
          <w:pgMar w:left="1134" w:right="1134" w:gutter="0" w:header="0" w:top="1134" w:footer="1134" w:bottom="1693"/>
          <w:pgNumType w:fmt="decimal"/>
          <w:formProt w:val="false"/>
          <w:textDirection w:val="lrTb"/>
          <w:docGrid w:type="default" w:linePitch="600" w:charSpace="32768"/>
        </w:sectPr>
      </w:pPr>
    </w:p>
    <w:tbl>
      <w:tblPr>
        <w:tblW w:w="4800" w:type="pct"/>
        <w:jc w:val="center"/>
        <w:tblInd w:w="0" w:type="dxa"/>
        <w:tblLayout w:type="fixed"/>
        <w:tblCellMar>
          <w:top w:w="22" w:type="dxa"/>
          <w:left w:w="22" w:type="dxa"/>
          <w:bottom w:w="22" w:type="dxa"/>
          <w:right w:w="22" w:type="dxa"/>
        </w:tblCellMar>
      </w:tblPr>
      <w:tblGrid>
        <w:gridCol w:w="1850"/>
        <w:gridCol w:w="1850"/>
        <w:gridCol w:w="1851"/>
        <w:gridCol w:w="1850"/>
        <w:gridCol w:w="1851"/>
      </w:tblGrid>
      <w:tr>
        <w:trPr>
          <w:tblHeader w:val="true"/>
        </w:trPr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Right"/>
              <w:bidi w:val="0"/>
              <w:spacing w:before="0" w:after="120"/>
              <w:jc w:val="right"/>
              <w:rPr/>
            </w:pPr>
            <w:r>
              <w:rPr/>
              <w:t>Periode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Right"/>
              <w:bidi w:val="0"/>
              <w:spacing w:before="0" w:after="120"/>
              <w:jc w:val="right"/>
              <w:rPr/>
            </w:pPr>
            <w:r>
              <w:rPr/>
              <w:t>Middelfolketal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Right"/>
              <w:bidi w:val="0"/>
              <w:spacing w:before="0" w:after="120"/>
              <w:jc w:val="right"/>
              <w:rPr/>
            </w:pPr>
            <w:r>
              <w:rPr/>
              <w:t>Risikotid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Right"/>
              <w:bidi w:val="0"/>
              <w:spacing w:before="0" w:after="120"/>
              <w:jc w:val="right"/>
              <w:rPr/>
            </w:pPr>
            <w:r>
              <w:rPr/>
              <w:t>Døde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HeadingRight"/>
              <w:bidi w:val="0"/>
              <w:spacing w:before="0" w:after="120"/>
              <w:jc w:val="right"/>
              <w:rPr/>
            </w:pPr>
            <w:r>
              <w:rPr/>
              <w:t>Mortalitet</w:t>
            </w:r>
          </w:p>
        </w:tc>
      </w:tr>
      <w:tr>
        <w:trPr/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2013-2014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569812.0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1139624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7917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6.9</w:t>
            </w:r>
          </w:p>
        </w:tc>
      </w:tr>
      <w:tr>
        <w:trPr/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2023-2024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660381.5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1320763</w:t>
            </w:r>
          </w:p>
        </w:tc>
        <w:tc>
          <w:tcPr>
            <w:tcW w:w="185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7103</w:t>
            </w:r>
          </w:p>
        </w:tc>
        <w:tc>
          <w:tcPr>
            <w:tcW w:w="1851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OrgTableContentsRight"/>
              <w:bidi w:val="0"/>
              <w:spacing w:before="0" w:after="120"/>
              <w:jc w:val="right"/>
              <w:rPr/>
            </w:pPr>
            <w:r>
              <w:rPr/>
              <w:t>5.4</w:t>
            </w:r>
          </w:p>
        </w:tc>
      </w:tr>
    </w:tbl>
    <w:p>
      <w:pPr>
        <w:sectPr>
          <w:type w:val="continuous"/>
          <w:pgSz w:w="11906" w:h="16838"/>
          <w:pgMar w:left="1134" w:right="1134" w:gutter="0" w:header="0" w:top="1134" w:footer="1134" w:bottom="1693"/>
          <w:formProt w:val="false"/>
          <w:textDirection w:val="lrTb"/>
          <w:docGrid w:type="default" w:linePitch="600" w:charSpace="32768"/>
        </w:sectPr>
      </w:pPr>
    </w:p>
    <w:p>
      <w:pPr>
        <w:pStyle w:val="Heading203unnumbered"/>
        <w:bidi w:val="0"/>
        <w:jc w:val="left"/>
        <w:outlineLvl w:val="2"/>
        <w:rPr/>
      </w:pPr>
      <w:bookmarkStart w:id="24" w:name="OrgXref.orgce56482"/>
      <w:bookmarkStart w:id="25" w:name="orgce56482"/>
      <w:bookmarkEnd w:id="25"/>
      <w:r>
        <w:rPr/>
        <w:t xml:space="preserve">Resultater </w:t>
      </w:r>
      <w:bookmarkEnd w:id="24"/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I perioden 2013 til 2014 var middelfolketallet 569812 personer og det samlede risikotid var 1139624 personår.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Mortalitetsraten var 6,9 døde per 1.000 personår.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I perioden 2023 til 2024 var middelfolketallet 660381.5 personer og det samlede risikotid var 1320763 personår. Mortalitetsraten var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5,4 per 1.000 personår.</w:t>
      </w:r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Folketallet i København er steget mellem de to perioder, mens mortalitetsraten er faldet med 1,5 dødsfald per 1.000 personår.</w:t>
      </w:r>
    </w:p>
    <w:p>
      <w:pPr>
        <w:pStyle w:val="PageBreak"/>
        <w:bidi w:val="0"/>
        <w:jc w:val="left"/>
        <w:rPr/>
      </w:pPr>
      <w:r>
        <w:rPr/>
      </w:r>
    </w:p>
    <w:p>
      <w:pPr>
        <w:pStyle w:val="Heading201unnumbered"/>
        <w:bidi w:val="0"/>
        <w:jc w:val="left"/>
        <w:outlineLvl w:val="0"/>
        <w:rPr/>
      </w:pPr>
      <w:bookmarkStart w:id="26" w:name="OrgXref.orgab38bf6"/>
      <w:bookmarkStart w:id="27" w:name="orgab38bf6"/>
      <w:bookmarkEnd w:id="27"/>
      <w:r>
        <w:rPr/>
        <w:t xml:space="preserve">Opgave 4 </w:t>
      </w:r>
      <w:bookmarkEnd w:id="26"/>
    </w:p>
    <w:p>
      <w:pPr>
        <w:pStyle w:val="BodyText"/>
        <w:bidi w:val="0"/>
        <w:spacing w:before="0" w:after="120"/>
        <w:jc w:val="left"/>
        <w:rPr/>
      </w:pPr>
      <w:r>
        <w:rPr/>
        <w:t xml:space="preserve">Find tal i statistikbanken (tabel FT) for hvordan folketallet i hovedstaden har udviklet sig fra 1787 indtil i dag. Find samtidlig tal for Jylland og for øerne uden hovedstaden. Visualiser tallene fra både hovedstaden, Jylland og øerne uden hovedstaden i en graf. Inkluder grafen i din besvarelse nedenfor. Beskriv udviklingen som grafen viser, og analyser, hvilke demografiske faktorer og bevægelser der har haft indflydelse på denne udvikling. Tip: For udviklingen i hovedstaden er stikordet </w:t>
      </w:r>
      <w:r>
        <w:rPr>
          <w:rStyle w:val="Emphasis"/>
        </w:rPr>
        <w:t>suburbanisering</w:t>
      </w:r>
      <w:r>
        <w:rPr/>
        <w:t xml:space="preserve">. </w:t>
      </w:r>
    </w:p>
    <w:p>
      <w:pPr>
        <w:pStyle w:val="Heading201unnumbered"/>
        <w:bidi w:val="0"/>
        <w:jc w:val="left"/>
        <w:outlineLvl w:val="0"/>
        <w:rPr/>
      </w:pPr>
      <w:bookmarkStart w:id="28" w:name="OrgXref.org0d6bc2a"/>
      <w:bookmarkStart w:id="29" w:name="org0d6bc2a"/>
      <w:bookmarkEnd w:id="29"/>
      <w:r>
        <w:rPr/>
        <w:t xml:space="preserve">Rettenøgle opgave 4 </w:t>
      </w:r>
      <w:bookmarkEnd w:id="28"/>
    </w:p>
    <w:p>
      <w:pPr>
        <w:pStyle w:val="BodyText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560445"/>
            <wp:effectExtent l="0" t="0" r="0" b="0"/>
            <wp:wrapTopAndBottom/>
            <wp:docPr id="2" name="Fram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rame2" descr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Generelt steg Danmarks folketal kraftigt siden 1800-tallet og frem til i dag (Kompendium, Kapitel 1, Figur 1).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Denne udvikling kan forstås som resultatet af samspillet mellem naturlig befolkningstilvækst,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 xml:space="preserve">indenlandsk og international migration (Kompendium, Kapitel 1, Afsnit 6). 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Udviklingen i Jylland følger udviklingen i hele landet rimlig tæt.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Udviklingen af folketal i hovedstadsområdet ser anderledes ud. I 1800 havde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hovedstaden (København plus Frederiksberg og Gentofte) omkring 90.000 indbyggere.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I løbet af det 19. århundrede accelererede befolkningstilvæksten markant indtil 1950, hvor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folketallet i hovedstadsområdet nåede sit historiske maksimum. I 1950 var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 xml:space="preserve">folketallet 974.901 og dermed cirka 10 gang højere end i 1787. 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I de efterfølgende årtier oplevede hovedstaden imidlertid en betydelig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befolkningsnedgang, drevet af nettofraflytning til forstæderne. Denne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proces kan fortolkes som et klassisk eksempel på suburbanisering, hvor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stigende velstand, udbygning af transportinfrastruktur og ændrede</w:t>
      </w:r>
    </w:p>
    <w:p>
      <w:pPr>
        <w:pStyle w:val="OrgSrcBlock"/>
        <w:pBdr>
          <w:top w:val="single" w:sz="4" w:space="1" w:color="000000"/>
          <w:left w:val="single" w:sz="4" w:space="1" w:color="000000"/>
          <w:bottom w:val="single" w:sz="4" w:space="1" w:color="000000"/>
          <w:right w:val="single" w:sz="4" w:space="1" w:color="000000"/>
        </w:pBdr>
        <w:shd w:fill="EEEEEC" w:val="clear"/>
        <w:bidi w:val="0"/>
        <w:jc w:val="left"/>
        <w:rPr/>
      </w:pPr>
      <w:r>
        <w:rPr/>
        <w:t>boligpræferencer førte til en omfordeling af befolkningen inden for</w:t>
      </w:r>
    </w:p>
    <w:p>
      <w:pPr>
        <w:pStyle w:val="OrgSrcBlockLastLine"/>
        <w:shd w:fill="F0F8FF" w:val="clear"/>
        <w:bidi w:val="0"/>
        <w:spacing w:before="0" w:after="119"/>
        <w:jc w:val="left"/>
        <w:rPr/>
      </w:pPr>
      <w:r>
        <w:rPr/>
        <w:t>hovedstadsregionen snarere end et egentligt regionalt befolkningstab.</w:t>
      </w:r>
    </w:p>
    <w:sectPr>
      <w:type w:val="continuous"/>
      <w:pgSz w:w="11906" w:h="16838"/>
      <w:pgMar w:left="1134" w:right="1134" w:gutter="0" w:header="0" w:top="1134" w:footer="1134" w:bottom="16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pStyle w:val="Heading7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pStyle w:val="Heading8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pStyle w:val="Heading9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mirrorMargi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ahoma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SimSun" w:cs="Tahoma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>
      <w:b/>
      <w:bCs/>
      <w:sz w:val="21"/>
      <w:szCs w:val="21"/>
    </w:rPr>
  </w:style>
  <w:style w:type="paragraph" w:styleId="Heading8">
    <w:name w:val="Heading 8"/>
    <w:basedOn w:val="Heading"/>
    <w:next w:val="BodyText"/>
    <w:qFormat/>
    <w:pPr>
      <w:numPr>
        <w:ilvl w:val="7"/>
        <w:numId w:val="1"/>
      </w:numPr>
      <w:outlineLvl w:val="7"/>
    </w:pPr>
    <w:rPr>
      <w:b/>
      <w:bCs/>
      <w:sz w:val="21"/>
      <w:szCs w:val="21"/>
    </w:rPr>
  </w:style>
  <w:style w:type="paragraph" w:styleId="Heading9">
    <w:name w:val="Heading 9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character" w:styleId="Highlight">
    <w:name w:val="Highlight"/>
    <w:qFormat/>
    <w:rPr>
      <w:sz w:val="20"/>
      <w:shd w:fill="FFB6C1" w:val="clear"/>
    </w:rPr>
  </w:style>
  <w:style w:type="character" w:styleId="Emphasis">
    <w:name w:val="Emphasis"/>
    <w:qFormat/>
    <w:rPr>
      <w:i/>
      <w:iCs/>
    </w:rPr>
  </w:style>
  <w:style w:type="character" w:styleId="Underline">
    <w:name w:val="Underline"/>
    <w:qFormat/>
    <w:rPr>
      <w:u w:val="single"/>
      <w:shd w:fill="auto" w:val="clear"/>
    </w:rPr>
  </w:style>
  <w:style w:type="character" w:styleId="Strikethrough">
    <w:name w:val="Strikethrough"/>
    <w:qFormat/>
    <w:rPr>
      <w:strike/>
    </w:rPr>
  </w:style>
  <w:style w:type="character" w:styleId="SourceText">
    <w:name w:val="Source Text"/>
    <w:qFormat/>
    <w:rPr>
      <w:rFonts w:ascii="Courier New" w:hAnsi="Courier New" w:eastAsia="NSimSun" w:cs="Courier New"/>
      <w:shd w:fill="auto" w:val="clear"/>
    </w:rPr>
  </w:style>
  <w:style w:type="character" w:styleId="Quotation">
    <w:name w:val="Quotation"/>
    <w:qFormat/>
    <w:rPr>
      <w:i/>
      <w:iCs/>
    </w:rPr>
  </w:style>
  <w:style w:type="character" w:styleId="Example">
    <w:name w:val="Example"/>
    <w:qFormat/>
    <w:rPr>
      <w:rFonts w:ascii="Courier New" w:hAnsi="Courier New" w:eastAsia="NSimSun" w:cs="Courier New"/>
      <w:shd w:fill="auto" w:val="clear"/>
    </w:rPr>
  </w:style>
  <w:style w:type="character" w:styleId="OrgCode">
    <w:name w:val="OrgCode"/>
    <w:basedOn w:val="SourceText"/>
    <w:qFormat/>
    <w:rPr/>
  </w:style>
  <w:style w:type="character" w:styleId="OrgTodo">
    <w:name w:val="OrgTodo"/>
    <w:qFormat/>
    <w:rPr/>
  </w:style>
  <w:style w:type="character" w:styleId="OrgDone">
    <w:name w:val="OrgDone"/>
    <w:qFormat/>
    <w:rPr/>
  </w:style>
  <w:style w:type="character" w:styleId="OrgTag">
    <w:name w:val="OrgTag"/>
    <w:qFormat/>
    <w:rPr>
      <w:smallCaps/>
      <w:shd w:fill="auto" w:val="clear"/>
    </w:rPr>
  </w:style>
  <w:style w:type="character" w:styleId="OrgTags">
    <w:name w:val="OrgTags"/>
    <w:qFormat/>
    <w:rPr/>
  </w:style>
  <w:style w:type="character" w:styleId="OrgPriority">
    <w:name w:val="OrgPriority"/>
    <w:qFormat/>
    <w:rPr/>
  </w:style>
  <w:style w:type="character" w:styleId="OrgPriority-A">
    <w:name w:val="OrgPriority-A"/>
    <w:basedOn w:val="OrgPriority"/>
    <w:qFormat/>
    <w:rPr/>
  </w:style>
  <w:style w:type="character" w:styleId="OrgPriority-B">
    <w:name w:val="OrgPriority-B"/>
    <w:basedOn w:val="OrgPriority"/>
    <w:qFormat/>
    <w:rPr/>
  </w:style>
  <w:style w:type="character" w:styleId="OrgPriority-C">
    <w:name w:val="OrgPriority-C"/>
    <w:basedOn w:val="OrgPriority"/>
    <w:qFormat/>
    <w:rPr/>
  </w:style>
  <w:style w:type="character" w:styleId="OrgTimestamp">
    <w:name w:val="OrgTimestamp"/>
    <w:qFormat/>
    <w:rPr>
      <w:rFonts w:ascii="Courier New" w:hAnsi="Courier New" w:eastAsia="NSimSun" w:cs="Courier New"/>
      <w:shd w:fill="auto" w:val="clear"/>
    </w:rPr>
  </w:style>
  <w:style w:type="character" w:styleId="OrgActiveTimestamp">
    <w:name w:val="OrgActiveTimestamp"/>
    <w:basedOn w:val="OrgTimestamp"/>
    <w:qFormat/>
    <w:rPr/>
  </w:style>
  <w:style w:type="character" w:styleId="OrgInactiveTimestamp">
    <w:name w:val="OrgInactiveTimestamp"/>
    <w:basedOn w:val="OrgTimestamp"/>
    <w:qFormat/>
    <w:rPr/>
  </w:style>
  <w:style w:type="character" w:styleId="OrgTimestampKeyword">
    <w:name w:val="OrgTimestampKeyword"/>
    <w:qFormat/>
    <w:rPr>
      <w:b/>
      <w:color w:val="auto"/>
    </w:rPr>
  </w:style>
  <w:style w:type="character" w:styleId="OrgScheduledKeyword">
    <w:name w:val="OrgScheduledKeyword"/>
    <w:basedOn w:val="OrgTimestampKeyword"/>
    <w:qFormat/>
    <w:rPr/>
  </w:style>
  <w:style w:type="character" w:styleId="OrgDeadlineKeyword">
    <w:name w:val="OrgDeadlineKeyword"/>
    <w:basedOn w:val="OrgTimestampKeyword"/>
    <w:qFormat/>
    <w:rPr/>
  </w:style>
  <w:style w:type="character" w:styleId="OrgClockKeyword">
    <w:name w:val="OrgClockKeyword"/>
    <w:basedOn w:val="OrgTimestampKeyword"/>
    <w:qFormat/>
    <w:rPr/>
  </w:style>
  <w:style w:type="character" w:styleId="OrgClosedKeyword">
    <w:name w:val="OrgClosedKeyword"/>
    <w:basedOn w:val="OrgTimestampKeyword"/>
    <w:qFormat/>
    <w:rPr/>
  </w:style>
  <w:style w:type="character" w:styleId="OrgTimestampWrapper">
    <w:name w:val="OrgTimestampWrapper"/>
    <w:qFormat/>
    <w:rPr/>
  </w:style>
  <w:style w:type="character" w:styleId="OrgTarget">
    <w:name w:val="OrgTarget"/>
    <w:qFormat/>
    <w:rPr/>
  </w:style>
  <w:style w:type="character" w:styleId="Bold">
    <w:name w:val="Bold"/>
    <w:qFormat/>
    <w:rPr>
      <w:b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OrgSuperscript">
    <w:name w:val="OrgSuperscript"/>
    <w:qFormat/>
    <w:rPr>
      <w:vertAlign w:val="superscript"/>
    </w:rPr>
  </w:style>
  <w:style w:type="character" w:styleId="OrgSubscript">
    <w:name w:val="OrgSubscript"/>
    <w:qFormat/>
    <w:rPr>
      <w:vertAlign w:val="subscript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Bullet20Symbols">
    <w:name w:val="Bullet_20_Symbols"/>
    <w:qFormat/>
    <w:rPr/>
  </w:style>
  <w:style w:type="paragraph" w:styleId="Heading">
    <w:name w:val="Heading"/>
    <w:basedOn w:val="Normal"/>
    <w:next w:val="BodyText"/>
    <w:qFormat/>
    <w:pPr>
      <w:keepNext w:val="true"/>
      <w:tabs>
        <w:tab w:val="clear" w:pos="709"/>
        <w:tab w:val="right" w:pos="9638" w:leader="none"/>
      </w:tabs>
      <w:spacing w:before="240" w:after="120"/>
    </w:pPr>
    <w:rPr>
      <w:rFonts w:ascii="Arial" w:hAnsi="Arial" w:eastAsia="SimSun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eading201unnumbered">
    <w:name w:val="Heading_20_1_unnumbered"/>
    <w:basedOn w:val="Heading1"/>
    <w:qFormat/>
    <w:pPr>
      <w:numPr>
        <w:ilvl w:val="0"/>
        <w:numId w:val="0"/>
      </w:numPr>
      <w:outlineLvl w:val="9"/>
    </w:pPr>
    <w:rPr/>
  </w:style>
  <w:style w:type="paragraph" w:styleId="Heading202unnumbered">
    <w:name w:val="Heading_20_2_unnumbered"/>
    <w:basedOn w:val="Heading2"/>
    <w:qFormat/>
    <w:pPr>
      <w:numPr>
        <w:ilvl w:val="0"/>
        <w:numId w:val="0"/>
      </w:numPr>
      <w:outlineLvl w:val="9"/>
    </w:pPr>
    <w:rPr/>
  </w:style>
  <w:style w:type="paragraph" w:styleId="Heading203unnumbered">
    <w:name w:val="Heading_20_3_unnumbered"/>
    <w:basedOn w:val="Heading3"/>
    <w:qFormat/>
    <w:pPr>
      <w:numPr>
        <w:ilvl w:val="0"/>
        <w:numId w:val="0"/>
      </w:numPr>
      <w:outlineLvl w:val="9"/>
    </w:pPr>
    <w:rPr/>
  </w:style>
  <w:style w:type="paragraph" w:styleId="Heading204unnumbered">
    <w:name w:val="Heading_20_4_unnumbered"/>
    <w:basedOn w:val="Heading4"/>
    <w:qFormat/>
    <w:pPr>
      <w:numPr>
        <w:ilvl w:val="0"/>
        <w:numId w:val="0"/>
      </w:numPr>
      <w:outlineLvl w:val="9"/>
    </w:pPr>
    <w:rPr/>
  </w:style>
  <w:style w:type="paragraph" w:styleId="Heading205unnumbered">
    <w:name w:val="Heading_20_5_unnumbered"/>
    <w:basedOn w:val="Heading5"/>
    <w:qFormat/>
    <w:pPr>
      <w:numPr>
        <w:ilvl w:val="0"/>
        <w:numId w:val="0"/>
      </w:numPr>
      <w:outlineLvl w:val="9"/>
    </w:pPr>
    <w:rPr/>
  </w:style>
  <w:style w:type="paragraph" w:styleId="Heading206unnumbered">
    <w:name w:val="Heading_20_6_unnumbered"/>
    <w:basedOn w:val="Heading6"/>
    <w:qFormat/>
    <w:pPr>
      <w:numPr>
        <w:ilvl w:val="0"/>
        <w:numId w:val="0"/>
      </w:numPr>
      <w:outlineLvl w:val="9"/>
    </w:pPr>
    <w:rPr/>
  </w:style>
  <w:style w:type="paragraph" w:styleId="Heading207unnumbered">
    <w:name w:val="Heading_20_7_unnumbered"/>
    <w:basedOn w:val="Heading7"/>
    <w:qFormat/>
    <w:pPr>
      <w:numPr>
        <w:ilvl w:val="0"/>
        <w:numId w:val="0"/>
      </w:numPr>
      <w:outlineLvl w:val="9"/>
    </w:pPr>
    <w:rPr/>
  </w:style>
  <w:style w:type="paragraph" w:styleId="Heading208unnumbered">
    <w:name w:val="Heading_20_8_unnumbered"/>
    <w:basedOn w:val="Heading8"/>
    <w:qFormat/>
    <w:pPr>
      <w:numPr>
        <w:ilvl w:val="0"/>
        <w:numId w:val="0"/>
      </w:numPr>
      <w:outlineLvl w:val="9"/>
    </w:pPr>
    <w:rPr/>
  </w:style>
  <w:style w:type="paragraph" w:styleId="Heading209unnumbered">
    <w:name w:val="Heading_20_9_unnumbered"/>
    <w:basedOn w:val="Heading9"/>
    <w:qFormat/>
    <w:pPr>
      <w:numPr>
        <w:ilvl w:val="0"/>
        <w:numId w:val="0"/>
      </w:numPr>
      <w:outlineLvl w:val="9"/>
    </w:pPr>
    <w:rPr/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outlineLvl w:val="8"/>
    </w:pPr>
    <w:rPr>
      <w:b/>
      <w:bCs/>
      <w:sz w:val="21"/>
      <w:szCs w:val="21"/>
    </w:rPr>
  </w:style>
  <w:style w:type="paragraph" w:styleId="Heading2010unnumbered">
    <w:name w:val="Heading_20_10_unnumbered"/>
    <w:basedOn w:val="Heading10"/>
    <w:qFormat/>
    <w:pPr>
      <w:numPr>
        <w:ilvl w:val="0"/>
        <w:numId w:val="0"/>
      </w:numPr>
      <w:outlineLvl w:val="9"/>
    </w:pPr>
    <w:rPr/>
  </w:style>
  <w:style w:type="paragraph" w:styleId="Heading1title">
    <w:name w:val="Heading 1.title"/>
    <w:basedOn w:val="Heading1"/>
    <w:qFormat/>
    <w:pPr>
      <w:numPr>
        <w:ilvl w:val="0"/>
        <w:numId w:val="0"/>
      </w:numPr>
      <w:jc w:val="center"/>
      <w:outlineLvl w:val="9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36"/>
      <w:szCs w:val="36"/>
    </w:rPr>
  </w:style>
  <w:style w:type="paragraph" w:styleId="OrgTitle">
    <w:name w:val="OrgTitle"/>
    <w:basedOn w:val="Title"/>
    <w:qFormat/>
    <w:pPr>
      <w:spacing w:before="0" w:after="0"/>
    </w:pPr>
    <w:rPr>
      <w:sz w:val="4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OrgSubtitle">
    <w:name w:val="OrgSubtitle"/>
    <w:basedOn w:val="Subtitle"/>
    <w:qFormat/>
    <w:pPr>
      <w:spacing w:before="0" w:after="0"/>
    </w:pPr>
    <w:rPr>
      <w:sz w:val="40"/>
    </w:rPr>
  </w:style>
  <w:style w:type="paragraph" w:styleId="BodyTextIndent">
    <w:name w:val="Body Text Indent"/>
    <w:basedOn w:val="BodyText"/>
    <w:pPr>
      <w:ind w:hanging="0" w:left="283" w:right="0"/>
    </w:pPr>
    <w:rPr/>
  </w:style>
  <w:style w:type="paragraph" w:styleId="ListIndent">
    <w:name w:val="List Indent"/>
    <w:basedOn w:val="BodyText"/>
    <w:qFormat/>
    <w:pPr>
      <w:tabs>
        <w:tab w:val="clear" w:pos="709"/>
        <w:tab w:val="left" w:pos="2835" w:leader="none"/>
      </w:tabs>
      <w:ind w:hanging="2551" w:left="2835" w:right="0"/>
    </w:pPr>
    <w:rPr/>
  </w:style>
  <w:style w:type="paragraph" w:styleId="BodyTextFirstIndent">
    <w:name w:val="Body Text First Indent"/>
    <w:basedOn w:val="BodyText"/>
    <w:pPr>
      <w:ind w:firstLine="283" w:left="0" w:right="0"/>
    </w:pPr>
    <w:rPr/>
  </w:style>
  <w:style w:type="paragraph" w:styleId="HangingIndent">
    <w:name w:val="Hanging Indent"/>
    <w:basedOn w:val="BodyText"/>
    <w:qFormat/>
    <w:pPr>
      <w:tabs>
        <w:tab w:val="clear" w:pos="709"/>
        <w:tab w:val="left" w:pos="567" w:leader="none"/>
      </w:tabs>
      <w:ind w:hanging="283" w:left="567" w:right="0"/>
    </w:pPr>
    <w:rPr/>
  </w:style>
  <w:style w:type="paragraph" w:styleId="Salutation">
    <w:name w:val="Salutation"/>
    <w:basedOn w:val="Normal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"/>
    <w:qFormat/>
    <w:pPr>
      <w:suppressLineNumbers/>
      <w:ind w:hanging="0" w:left="0" w:righ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 w:right="0"/>
    </w:pPr>
    <w:rPr/>
  </w:style>
  <w:style w:type="paragraph" w:styleId="TOC2">
    <w:name w:val="TOC 2"/>
    <w:basedOn w:val="Index"/>
    <w:pPr>
      <w:tabs>
        <w:tab w:val="clear" w:pos="709"/>
        <w:tab w:val="right" w:pos="9638" w:leader="dot"/>
      </w:tabs>
      <w:ind w:hanging="0" w:left="283" w:right="0"/>
    </w:pPr>
    <w:rPr/>
  </w:style>
  <w:style w:type="paragraph" w:styleId="TOC3">
    <w:name w:val="TOC 3"/>
    <w:basedOn w:val="Index"/>
    <w:pPr>
      <w:tabs>
        <w:tab w:val="clear" w:pos="709"/>
        <w:tab w:val="right" w:pos="9638" w:leader="dot"/>
      </w:tabs>
      <w:ind w:hanging="0" w:left="566" w:right="0"/>
    </w:pPr>
    <w:rPr/>
  </w:style>
  <w:style w:type="paragraph" w:styleId="TOC4">
    <w:name w:val="TOC 4"/>
    <w:basedOn w:val="Index"/>
    <w:pPr>
      <w:tabs>
        <w:tab w:val="clear" w:pos="709"/>
        <w:tab w:val="right" w:pos="9638" w:leader="dot"/>
      </w:tabs>
      <w:ind w:hanging="0" w:left="849" w:right="0"/>
    </w:pPr>
    <w:rPr/>
  </w:style>
  <w:style w:type="paragraph" w:styleId="TOC5">
    <w:name w:val="TOC 5"/>
    <w:basedOn w:val="Index"/>
    <w:pPr>
      <w:tabs>
        <w:tab w:val="clear" w:pos="709"/>
        <w:tab w:val="right" w:pos="9638" w:leader="dot"/>
      </w:tabs>
      <w:ind w:hanging="0" w:left="1132" w:right="0"/>
    </w:pPr>
    <w:rPr/>
  </w:style>
  <w:style w:type="paragraph" w:styleId="TOC6">
    <w:name w:val="TOC 6"/>
    <w:basedOn w:val="Index"/>
    <w:pPr>
      <w:tabs>
        <w:tab w:val="clear" w:pos="709"/>
        <w:tab w:val="right" w:pos="9638" w:leader="dot"/>
      </w:tabs>
      <w:ind w:hanging="0" w:left="1415" w:right="0"/>
    </w:pPr>
    <w:rPr/>
  </w:style>
  <w:style w:type="paragraph" w:styleId="TOC7">
    <w:name w:val="TOC 7"/>
    <w:basedOn w:val="Index"/>
    <w:pPr>
      <w:tabs>
        <w:tab w:val="clear" w:pos="709"/>
        <w:tab w:val="right" w:pos="9638" w:leader="dot"/>
      </w:tabs>
      <w:ind w:hanging="0" w:left="1698" w:right="0"/>
    </w:pPr>
    <w:rPr/>
  </w:style>
  <w:style w:type="paragraph" w:styleId="TOC8">
    <w:name w:val="TOC 8"/>
    <w:basedOn w:val="Index"/>
    <w:pPr>
      <w:tabs>
        <w:tab w:val="clear" w:pos="709"/>
        <w:tab w:val="right" w:pos="9638" w:leader="dot"/>
      </w:tabs>
      <w:ind w:hanging="0" w:left="1981" w:right="0"/>
    </w:pPr>
    <w:rPr/>
  </w:style>
  <w:style w:type="paragraph" w:styleId="TOC9">
    <w:name w:val="TOC 9"/>
    <w:basedOn w:val="Index"/>
    <w:pPr>
      <w:tabs>
        <w:tab w:val="clear" w:pos="709"/>
        <w:tab w:val="right" w:pos="9638" w:leader="dot"/>
      </w:tabs>
      <w:ind w:hanging="0" w:left="2264" w:right="0"/>
    </w:pPr>
    <w:rPr/>
  </w:style>
  <w:style w:type="paragraph" w:styleId="Contents10">
    <w:name w:val="Contents 10"/>
    <w:basedOn w:val="Index"/>
    <w:qFormat/>
    <w:pPr>
      <w:tabs>
        <w:tab w:val="clear" w:pos="709"/>
        <w:tab w:val="right" w:pos="9638" w:leader="dot"/>
      </w:tabs>
      <w:ind w:hanging="0" w:left="2547" w:right="0"/>
    </w:pPr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OrgFootnoteQuotations">
    <w:name w:val="OrgFootnoteQuotations"/>
    <w:basedOn w:val="FootnoteText"/>
    <w:qFormat/>
    <w:pPr>
      <w:spacing w:before="0" w:after="283"/>
      <w:ind w:hanging="0" w:left="567" w:righ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Courier New" w:hAnsi="Courier New" w:eastAsia="NSimSun" w:cs="Courier New"/>
      <w:sz w:val="20"/>
      <w:szCs w:val="20"/>
    </w:rPr>
  </w:style>
  <w:style w:type="paragraph" w:styleId="OrgVerse">
    <w:name w:val="OrgVerse"/>
    <w:basedOn w:val="PreformattedText"/>
    <w:qFormat/>
    <w:pPr>
      <w:pBdr>
        <w:top w:val="single" w:sz="2" w:space="16" w:color="000000"/>
        <w:left w:val="single" w:sz="2" w:space="16" w:color="000000"/>
        <w:bottom w:val="single" w:sz="2" w:space="16" w:color="000000"/>
        <w:right w:val="single" w:sz="2" w:space="16" w:color="000000"/>
      </w:pBdr>
      <w:shd w:fill="FAF0E6" w:val="clear"/>
    </w:pPr>
    <w:rPr/>
  </w:style>
  <w:style w:type="paragraph" w:styleId="OrgFixedWidthBlock">
    <w:name w:val="OrgFixedWidthBlock"/>
    <w:basedOn w:val="PreformattedText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fill="F0F8FF" w:val="clear"/>
    </w:pPr>
    <w:rPr/>
  </w:style>
  <w:style w:type="paragraph" w:styleId="OrgFixedWidthBlockLastLine">
    <w:name w:val="OrgFixedWidthBlockLastLine"/>
    <w:basedOn w:val="OrgFixedWidthBlock"/>
    <w:qFormat/>
    <w:pPr>
      <w:spacing w:before="0" w:after="119"/>
    </w:pPr>
    <w:rPr/>
  </w:style>
  <w:style w:type="paragraph" w:styleId="PageBreak">
    <w:name w:val="PageBreak"/>
    <w:basedOn w:val="BodyText"/>
    <w:qFormat/>
    <w:pPr>
      <w:pageBreakBefore/>
    </w:pPr>
    <w:rPr/>
  </w:style>
  <w:style w:type="paragraph" w:styleId="OrgFormula">
    <w:name w:val="OrgFormula"/>
    <w:basedOn w:val="BodyText"/>
    <w:qFormat/>
    <w:pPr>
      <w:tabs>
        <w:tab w:val="clear" w:pos="709"/>
        <w:tab w:val="right" w:pos="9638" w:leader="none"/>
      </w:tabs>
    </w:pPr>
    <w:rPr/>
  </w:style>
  <w:style w:type="paragraph" w:styleId="OrgSrcBlockLastLine">
    <w:name w:val="OrgSrcBlockLastLine"/>
    <w:basedOn w:val="OrgSrcBlock"/>
    <w:qFormat/>
    <w:pPr>
      <w:shd w:fill="F0F8FF" w:val="clear"/>
      <w:spacing w:before="0" w:after="119"/>
    </w:pPr>
    <w:rPr>
      <w:color w:val="333333"/>
    </w:rPr>
  </w:style>
  <w:style w:type="paragraph" w:styleId="OrgCenter">
    <w:name w:val="OrgCenter"/>
    <w:basedOn w:val="BodyText"/>
    <w:qFormat/>
    <w:pPr>
      <w:jc w:val="center"/>
    </w:pPr>
    <w:rPr/>
  </w:style>
  <w:style w:type="paragraph" w:styleId="OrgFootnoteCenter">
    <w:name w:val="OrgFootnoteCenter"/>
    <w:basedOn w:val="FootnoteText"/>
    <w:qFormat/>
    <w:pPr>
      <w:jc w:val="center"/>
    </w:pPr>
    <w:rPr/>
  </w:style>
  <w:style w:type="paragraph" w:styleId="OrgTableContents">
    <w:name w:val="OrgTableContents"/>
    <w:basedOn w:val="BodyText"/>
    <w:qFormat/>
    <w:pPr/>
    <w:rPr/>
  </w:style>
  <w:style w:type="paragraph" w:styleId="OrgTableHeading">
    <w:name w:val="OrgTableHeading"/>
    <w:basedOn w:val="OrgTableContents"/>
    <w:qFormat/>
    <w:pPr>
      <w:suppressLineNumbers/>
      <w:jc w:val="center"/>
    </w:pPr>
    <w:rPr>
      <w:b/>
      <w:bCs/>
    </w:rPr>
  </w:style>
  <w:style w:type="paragraph" w:styleId="OrgTableHeadingLeft">
    <w:name w:val="OrgTableHeadingLeft"/>
    <w:basedOn w:val="OrgTableHeading"/>
    <w:qFormat/>
    <w:pPr>
      <w:jc w:val="left"/>
    </w:pPr>
    <w:rPr>
      <w:sz w:val="20"/>
      <w:szCs w:val="20"/>
    </w:rPr>
  </w:style>
  <w:style w:type="paragraph" w:styleId="OrgTableHeadingRight">
    <w:name w:val="OrgTableHeadingRight"/>
    <w:basedOn w:val="OrgTableHeading"/>
    <w:qFormat/>
    <w:pPr>
      <w:jc w:val="right"/>
    </w:pPr>
    <w:rPr>
      <w:sz w:val="20"/>
      <w:szCs w:val="20"/>
    </w:rPr>
  </w:style>
  <w:style w:type="paragraph" w:styleId="OrgTableHeadingCenter">
    <w:name w:val="OrgTableHeadingCenter"/>
    <w:basedOn w:val="OrgTableHeading"/>
    <w:qFormat/>
    <w:pPr>
      <w:jc w:val="center"/>
    </w:pPr>
    <w:rPr/>
  </w:style>
  <w:style w:type="paragraph" w:styleId="OrgTableContentsLeft">
    <w:name w:val="OrgTableContentsLeft"/>
    <w:basedOn w:val="OrgTableContents"/>
    <w:qFormat/>
    <w:pPr>
      <w:jc w:val="left"/>
    </w:pPr>
    <w:rPr>
      <w:sz w:val="16"/>
      <w:szCs w:val="20"/>
    </w:rPr>
  </w:style>
  <w:style w:type="paragraph" w:styleId="OrgTableContentsRight">
    <w:name w:val="OrgTableContentsRight"/>
    <w:basedOn w:val="OrgTableContents"/>
    <w:qFormat/>
    <w:pPr>
      <w:jc w:val="right"/>
    </w:pPr>
    <w:rPr>
      <w:sz w:val="16"/>
      <w:szCs w:val="20"/>
    </w:rPr>
  </w:style>
  <w:style w:type="paragraph" w:styleId="OrgTableContentsCenter">
    <w:name w:val="OrgTableContentsCenter"/>
    <w:basedOn w:val="OrgTableContents"/>
    <w:qFormat/>
    <w:pPr>
      <w:jc w:val="center"/>
    </w:pPr>
    <w:rPr/>
  </w:style>
  <w:style w:type="paragraph" w:styleId="Textbodybold">
    <w:name w:val="Text body bold"/>
    <w:basedOn w:val="BodyText"/>
    <w:next w:val="BodyText"/>
    <w:qFormat/>
    <w:pPr>
      <w:jc w:val="center"/>
    </w:pPr>
    <w:rPr>
      <w:sz w:val="48"/>
    </w:rPr>
  </w:style>
  <w:style w:type="paragraph" w:styleId="FootnoteText">
    <w:name w:val="Footnote Text"/>
    <w:basedOn w:val="Normal"/>
    <w:pPr>
      <w:suppressLineNumbers/>
      <w:ind w:hanging="283" w:left="283" w:right="0"/>
    </w:pPr>
    <w:rPr>
      <w:sz w:val="20"/>
      <w:szCs w:val="20"/>
    </w:rPr>
  </w:style>
  <w:style w:type="paragraph" w:styleId="Figure">
    <w:name w:val="Figure"/>
    <w:basedOn w:val="Caption"/>
    <w:qFormat/>
    <w:pPr/>
    <w:rPr/>
  </w:style>
  <w:style w:type="paragraph" w:styleId="IllustrationIndexHeading">
    <w:name w:val="Illustration Index Heading"/>
    <w:basedOn w:val="Heading"/>
    <w:qFormat/>
    <w:pPr>
      <w:suppressLineNumbers/>
      <w:ind w:hanging="0" w:left="0" w:right="0"/>
    </w:pPr>
    <w:rPr>
      <w:b/>
      <w:bCs/>
      <w:sz w:val="32"/>
      <w:szCs w:val="32"/>
    </w:rPr>
  </w:style>
  <w:style w:type="paragraph" w:styleId="Table">
    <w:name w:val="Table"/>
    <w:basedOn w:val="Caption"/>
    <w:qFormat/>
    <w:pPr>
      <w:jc w:val="center"/>
    </w:pPr>
    <w:rPr/>
  </w:style>
  <w:style w:type="paragraph" w:styleId="Listing">
    <w:name w:val="Listing"/>
    <w:basedOn w:val="Caption"/>
    <w:qFormat/>
    <w:pPr>
      <w:keepNext w:val="true"/>
      <w:tabs>
        <w:tab w:val="clear" w:pos="709"/>
      </w:tabs>
      <w:ind w:hanging="0" w:left="0" w:right="0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single" w:sz="2" w:space="0" w:color="000000"/>
      </w:pBdr>
      <w:spacing w:before="0" w:after="119"/>
    </w:pPr>
    <w:rPr>
      <w:sz w:val="12"/>
      <w:szCs w:val="12"/>
    </w:rPr>
  </w:style>
  <w:style w:type="paragraph" w:styleId="OrgInlineTaskHeading">
    <w:name w:val="OrgInlineTaskHeading"/>
    <w:basedOn w:val="Caption"/>
    <w:next w:val="BodyText"/>
    <w:qFormat/>
    <w:pPr/>
    <w:rPr>
      <w:b/>
      <w:i w:val="false"/>
    </w:rPr>
  </w:style>
  <w:style w:type="paragraph" w:styleId="OrgSrcBlock">
    <w:name w:val="OrgSrcBlock"/>
    <w:basedOn w:val="PreformattedText"/>
    <w:qFormat/>
    <w:p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fill="EEEEEC" w:val="clear"/>
    </w:pPr>
    <w:rPr>
      <w:color w:val="2E34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umbering1">
    <w:name w:val="Numbering 1"/>
    <w:qFormat/>
  </w:style>
  <w:style w:type="numbering" w:styleId="Bullet">
    <w:name w:val="Bullet •"/>
    <w:qFormat/>
  </w:style>
  <w:style w:type="numbering" w:styleId="OrgNumberedList">
    <w:name w:val="OrgNumberedList"/>
    <w:qFormat/>
  </w:style>
  <w:style w:type="numbering" w:styleId="OrgBulletedList">
    <w:name w:val="OrgBulletedList"/>
    <w:qFormat/>
  </w:style>
  <w:style w:type="numbering" w:styleId="OrgDescriptionList">
    <w:name w:val="OrgDescriptionList"/>
    <w:qFormat/>
  </w:style>
  <w:style w:type="numbering" w:styleId="OrgSrcBlockNumberedLine">
    <w:name w:val="OrgSrcBlockNumberedLin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footer" Target="footer1.xml"/><Relationship Id="rId5" Type="http://schemas.openxmlformats.org/officeDocument/2006/relationships/image" Target="media/image3.png"/><Relationship Id="rId6" Type="http://schemas.openxmlformats.org/officeDocument/2006/relationships/image" Target="media/image4.sv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2026-02-01T16:34:25Z</dcterms:created>
  <dc:creator>Thomas Alexander Gerds</dc:creator>
  <dc:description/>
  <cp:keywords/>
  <dc:language>en-US</dc:language>
  <cp:lastModifiedBy>Thomas Alexander Gerds</cp:lastModifiedBy>
  <dcterms:modified xsi:type="dcterms:W3CDTF">2026-02-01T16:34:25Z</dcterms:modified>
  <cp:revision>0</cp:revision>
  <dc:subject/>
  <dc:title>Modul 1</dc:title>
</cp:coreProperties>
</file>