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OrgTitle"/>
        <w:bidi w:val="0"/>
        <w:spacing w:before="0" w:after="0"/>
        <w:rPr/>
      </w:pPr>
      <w:r>
        <w:rPr/>
        <w:fldChar w:fldCharType="begin"/>
      </w:r>
      <w:r>
        <w:rPr/>
        <w:instrText xml:space="preserve"> TITLE </w:instrText>
      </w:r>
      <w:r>
        <w:rPr/>
        <w:fldChar w:fldCharType="separate"/>
      </w:r>
      <w:r>
        <w:rPr/>
        <w:t>Modul 2: Holdundervisning</w:t>
      </w:r>
      <w:r>
        <w:rPr/>
        <w:fldChar w:fldCharType="end"/>
      </w:r>
    </w:p>
    <w:p>
      <w:pPr>
        <w:pStyle w:val="OrgTitle"/>
        <w:bidi w:val="0"/>
        <w:spacing w:before="0" w:after="0"/>
        <w:rPr/>
      </w:pPr>
      <w:r>
        <w:rPr/>
      </w:r>
    </w:p>
    <w:p>
      <w:pPr>
        <w:pStyle w:val="CourseCredentials"/>
        <w:bidi w:val="0"/>
        <w:jc w:val="center"/>
        <w:rPr/>
      </w:pPr>
      <w:r>
        <w:rPr/>
        <w:t xml:space="preserve">Demografi 3934-F26 </w:t>
        <w:br/>
        <w:t xml:space="preserve"> Folkesundhedsvidenskab, 2. semester </w:t>
      </w:r>
    </w:p>
    <w:p>
      <w:pPr>
        <w:pStyle w:val="Heading201unnumbered"/>
        <w:bidi w:val="0"/>
        <w:jc w:val="left"/>
        <w:outlineLvl w:val="0"/>
        <w:rPr/>
      </w:pPr>
      <w:bookmarkStart w:id="0" w:name="OrgXref.orgafe6c6e"/>
      <w:bookmarkStart w:id="1" w:name="orgafe6c6e"/>
      <w:bookmarkEnd w:id="1"/>
      <w:r>
        <w:rPr/>
        <w:t xml:space="preserve">Vejledning </w:t>
      </w:r>
      <w:bookmarkEnd w:id="0"/>
    </w:p>
    <w:p>
      <w:pPr>
        <w:pStyle w:val="BodyText"/>
        <w:bidi w:val="0"/>
        <w:spacing w:before="0" w:after="120"/>
        <w:jc w:val="left"/>
        <w:rPr/>
      </w:pPr>
      <w:r>
        <w:rPr>
          <w:rStyle w:val="Emphasis"/>
        </w:rPr>
        <w:t>Den gode besvarelse er kort og præcis. Det er vigtigt at dine svar er klart struktureret og skrevet i fulde sætninger.</w:t>
      </w:r>
      <w:r>
        <w:rPr/>
        <w:t xml:space="preserve"> </w:t>
      </w:r>
      <w:r>
        <w:rPr>
          <w:rStyle w:val="Emphasis"/>
        </w:rPr>
        <w:t>Skriv dine svar i de udvidende svarfelter og udfyld tabeller/indsæt grafer.</w:t>
      </w:r>
      <w:r>
        <w:rPr/>
        <w:t xml:space="preserve"> </w:t>
      </w:r>
      <w:r>
        <w:rPr>
          <w:rStyle w:val="Emphasis"/>
        </w:rPr>
        <w:t>Du må ikke ændre tabellernes formatering og det er forbudt at sætte egne tabeller ind.</w:t>
      </w:r>
      <w:r>
        <w:rPr/>
        <w:t xml:space="preserve"> </w:t>
      </w:r>
      <w:r>
        <w:rPr>
          <w:rStyle w:val="Emphasis"/>
        </w:rPr>
        <w:t>Din besvarelse til hvert opgave bør ikke overskride 1/2 normalsides tekst svarende til maksimalt 1200 anslag med mindst 10pt skriftstørrelse f.eks., Courier New, men ikke medregnende tabeller o.a..</w:t>
      </w:r>
      <w:r>
        <w:rPr/>
        <w:t xml:space="preserve"> </w:t>
      </w:r>
    </w:p>
    <w:p>
      <w:pPr>
        <w:pStyle w:val="BodyText"/>
        <w:bidi w:val="0"/>
        <w:spacing w:before="0" w:after="120"/>
        <w:jc w:val="left"/>
        <w:rPr/>
      </w:pPr>
      <w:r>
        <w:rPr>
          <w:rStyle w:val="Emphasis"/>
        </w:rPr>
        <w:t>Tal i resultaterne skal rundes af og enheder skal angives hvis relevant.</w:t>
      </w:r>
      <w:r>
        <w:rPr/>
        <w:t xml:space="preserve"> </w:t>
      </w:r>
      <w:r>
        <w:rPr>
          <w:rStyle w:val="Emphasis"/>
        </w:rPr>
        <w:t>R-koder som bruges til at besvare opgaverne findes i Rmd-filen på Absalon.</w:t>
      </w:r>
      <w:r>
        <w:rPr/>
        <w:t xml:space="preserve"> </w:t>
      </w:r>
    </w:p>
    <w:p>
      <w:pPr>
        <w:pStyle w:val="BodyText"/>
        <w:bidi w:val="0"/>
        <w:spacing w:before="0" w:after="120"/>
        <w:jc w:val="left"/>
        <w:rPr/>
      </w:pPr>
      <w:r>
        <w:rPr>
          <w:rStyle w:val="Emphasis"/>
        </w:rPr>
        <w:t>Når du har besvaret alle opgaver, afleverer du denne fil i Absalon.</w:t>
      </w:r>
      <w:r>
        <w:rPr/>
        <w:t xml:space="preserve"> </w:t>
      </w:r>
    </w:p>
    <w:p>
      <w:pPr>
        <w:pStyle w:val="PageBreak"/>
        <w:bidi w:val="0"/>
        <w:jc w:val="left"/>
        <w:rPr/>
      </w:pPr>
      <w:r>
        <w:rPr/>
      </w:r>
    </w:p>
    <w:p>
      <w:pPr>
        <w:pStyle w:val="Heading201unnumbered"/>
        <w:bidi w:val="0"/>
        <w:jc w:val="left"/>
        <w:outlineLvl w:val="0"/>
        <w:rPr/>
      </w:pPr>
      <w:bookmarkStart w:id="2" w:name="OrgXref.org4467ada"/>
      <w:bookmarkStart w:id="3" w:name="org4467ada"/>
      <w:bookmarkEnd w:id="3"/>
      <w:r>
        <w:rPr/>
        <w:t>Baggrund: Why Does the U.S. Census Bureau Estimate and Project the World’s Population?</w:t>
      </w:r>
      <w:r>
        <w:rPr>
          <w:rStyle w:val="FootnoteReference"/>
        </w:rPr>
        <w:footnoteReference w:id="2"/>
      </w:r>
      <w:r>
        <w:rPr/>
        <w:t xml:space="preserve"> </w:t>
      </w:r>
      <w:bookmarkEnd w:id="2"/>
    </w:p>
    <w:p>
      <w:pPr>
        <w:pStyle w:val="Baggrund"/>
        <w:shd w:fill="FFFFE0" w:val="clear"/>
        <w:bidi w:val="0"/>
        <w:spacing w:lineRule="auto" w:line="480" w:before="170" w:after="170"/>
        <w:ind w:left="170" w:right="170"/>
        <w:jc w:val="left"/>
        <w:rPr/>
      </w:pPr>
      <w:r>
        <w:rPr/>
        <w:t xml:space="preserve">The IDB helps the U.S. government and the public answer fundamental questions about the people and places of our world. These data inform program planning, policymaking, educational, and research data users. We have produced these data since the 1960s, and we have published our results on census.gov since 1996. We regularly update the IDB and release the results online. Along with the United Nations Population Division, the U.S. Census Bureau is one of the few organizations in the world that regularly estimates and projects the world’s population. With the IDB, you can view demographic measures of over 200 countries and areas with populations of 5,000 or more, and for thousands of subnational areas (equivalent to U.S. states, counties, and townships in other countries). For each country and area, data in the IDB include total population, population by age and sex, and demographic characteristics such as fertility, mortality, and migration. Population size (by single year of age and sex) and components of change (fertility, mortality, and migration) are available from an initial or base year through 2100 for July 1 of each calendar year. Metadata also are available describing the source data used to produce the IDB. For subnational areas, population by age and sex are available. Learn more about our subnational estimates and projections. This level of detail provides an important foundation for tracking the demographic impacts of major events that are affecting populations around the globe, including disasters, epidemics, and pandemics. </w:t>
      </w:r>
    </w:p>
    <w:p>
      <w:pPr>
        <w:pStyle w:val="PageBreak"/>
        <w:bidi w:val="0"/>
        <w:jc w:val="left"/>
        <w:rPr/>
      </w:pPr>
      <w:r>
        <w:rPr/>
      </w:r>
    </w:p>
    <w:p>
      <w:pPr>
        <w:pStyle w:val="Heading201unnumbered"/>
        <w:bidi w:val="0"/>
        <w:jc w:val="left"/>
        <w:outlineLvl w:val="0"/>
        <w:rPr/>
      </w:pPr>
      <w:bookmarkStart w:id="4" w:name="OrgXref.orgf0e90a0"/>
      <w:bookmarkStart w:id="5" w:name="orgf0e90a0"/>
      <w:bookmarkEnd w:id="5"/>
      <w:r>
        <w:rPr/>
        <w:t xml:space="preserve">Opgave 1 </w:t>
      </w:r>
      <w:bookmarkEnd w:id="4"/>
    </w:p>
    <w:p>
      <w:pPr>
        <w:pStyle w:val="BodyText"/>
        <w:bidi w:val="0"/>
        <w:spacing w:before="0" w:after="120"/>
        <w:jc w:val="left"/>
        <w:rPr/>
      </w:pPr>
      <w:r>
        <w:rPr/>
        <w:t xml:space="preserve">Til denne opgave bruger vi data fra den internationale database IDB: </w:t>
      </w:r>
    </w:p>
    <w:p>
      <w:pPr>
        <w:pStyle w:val="BodyText"/>
        <w:bidi w:val="0"/>
        <w:spacing w:before="0" w:after="120"/>
        <w:jc w:val="left"/>
        <w:rPr/>
      </w:pPr>
      <w:hyperlink r:id="rId2">
        <w:r>
          <w:rPr>
            <w:rStyle w:val="Hyperlink"/>
          </w:rPr>
          <w:t>https://www.census.gov/data-tools/demo/idb/</w:t>
        </w:r>
      </w:hyperlink>
      <w:r>
        <w:rPr/>
        <w:t xml:space="preserve"> </w:t>
      </w:r>
    </w:p>
    <w:p>
      <w:pPr>
        <w:pStyle w:val="BodyText"/>
        <w:numPr>
          <w:ilvl w:val="0"/>
          <w:numId w:val="4"/>
        </w:numPr>
        <w:tabs>
          <w:tab w:val="clear" w:pos="1134"/>
          <w:tab w:val="left" w:pos="890" w:leader="none"/>
        </w:tabs>
        <w:bidi w:val="0"/>
        <w:ind w:hanging="360" w:left="890"/>
        <w:jc w:val="left"/>
        <w:rPr/>
      </w:pPr>
      <w:r>
        <w:rPr/>
        <w:t xml:space="preserve">Vælg fanen 'Population by Age' i topmenu </w:t>
      </w:r>
    </w:p>
    <w:p>
      <w:pPr>
        <w:pStyle w:val="BodyText"/>
        <w:numPr>
          <w:ilvl w:val="0"/>
          <w:numId w:val="2"/>
        </w:numPr>
        <w:tabs>
          <w:tab w:val="clear" w:pos="1134"/>
          <w:tab w:val="left" w:pos="890" w:leader="none"/>
        </w:tabs>
        <w:bidi w:val="0"/>
        <w:ind w:hanging="360" w:left="890"/>
        <w:jc w:val="left"/>
        <w:rPr/>
      </w:pPr>
      <w:r>
        <w:rPr/>
        <w:t xml:space="preserve">Marker fire lande i menuen til venstre under 'Select by Country/Area': Danmark, Indonesia, Nigeria, United States. </w:t>
      </w:r>
    </w:p>
    <w:p>
      <w:pPr>
        <w:pStyle w:val="BodyText"/>
        <w:numPr>
          <w:ilvl w:val="0"/>
          <w:numId w:val="2"/>
        </w:numPr>
        <w:tabs>
          <w:tab w:val="clear" w:pos="1134"/>
          <w:tab w:val="left" w:pos="890" w:leader="none"/>
        </w:tabs>
        <w:bidi w:val="0"/>
        <w:ind w:hanging="360" w:left="890"/>
        <w:jc w:val="left"/>
        <w:rPr/>
      </w:pPr>
      <w:r>
        <w:rPr/>
        <w:t xml:space="preserve">undersøg alderspyramiderne under fanen 'Population by Age'. </w:t>
      </w:r>
    </w:p>
    <w:p>
      <w:pPr>
        <w:pStyle w:val="BodyText"/>
        <w:numPr>
          <w:ilvl w:val="0"/>
          <w:numId w:val="2"/>
        </w:numPr>
        <w:tabs>
          <w:tab w:val="clear" w:pos="1134"/>
          <w:tab w:val="left" w:pos="890" w:leader="none"/>
        </w:tabs>
        <w:bidi w:val="0"/>
        <w:ind w:hanging="360" w:left="890"/>
        <w:jc w:val="left"/>
        <w:rPr/>
      </w:pPr>
      <w:r>
        <w:rPr/>
        <w:t xml:space="preserve">Gå til fanen 'Trends', vælg 'Old age dependency ratio' (ældrekvote) i feltet 'Measure', og begræns tidsperioden til årene 1975-2025. </w:t>
      </w:r>
    </w:p>
    <w:p>
      <w:pPr>
        <w:pStyle w:val="BodyText"/>
        <w:numPr>
          <w:ilvl w:val="0"/>
          <w:numId w:val="2"/>
        </w:numPr>
        <w:tabs>
          <w:tab w:val="clear" w:pos="1134"/>
          <w:tab w:val="left" w:pos="890" w:leader="none"/>
        </w:tabs>
        <w:bidi w:val="0"/>
        <w:ind w:hanging="360" w:left="890"/>
        <w:jc w:val="left"/>
        <w:rPr/>
      </w:pPr>
      <w:r>
        <w:rPr/>
        <w:t xml:space="preserve">Find definitionen af ældrekvoten ('Old age dependency ratio') på nettet og rapportér den her. </w:t>
      </w:r>
    </w:p>
    <w:p>
      <w:pPr>
        <w:pStyle w:val="BodyText"/>
        <w:numPr>
          <w:ilvl w:val="0"/>
          <w:numId w:val="2"/>
        </w:numPr>
        <w:tabs>
          <w:tab w:val="clear" w:pos="1134"/>
          <w:tab w:val="left" w:pos="890" w:leader="none"/>
        </w:tabs>
        <w:bidi w:val="0"/>
        <w:ind w:hanging="360" w:left="890"/>
        <w:jc w:val="left"/>
        <w:rPr/>
      </w:pPr>
      <w:r>
        <w:rPr/>
        <w:t xml:space="preserve">Analyser forskellene mellem de fire lande med hensyn til alderspyramider og ældrekvoter. </w:t>
      </w:r>
    </w:p>
    <w:p>
      <w:pPr>
        <w:pStyle w:val="BodyText"/>
        <w:numPr>
          <w:ilvl w:val="0"/>
          <w:numId w:val="2"/>
        </w:numPr>
        <w:tabs>
          <w:tab w:val="clear" w:pos="1134"/>
          <w:tab w:val="left" w:pos="890" w:leader="none"/>
        </w:tabs>
        <w:bidi w:val="0"/>
        <w:ind w:hanging="360" w:left="890"/>
        <w:jc w:val="left"/>
        <w:rPr/>
      </w:pPr>
      <w:r>
        <w:rPr/>
        <w:t xml:space="preserve">Diskuter, hvordan udviklingen relaterer sig til faserne i den demografiske transition. </w:t>
      </w:r>
    </w:p>
    <w:p>
      <w:pPr>
        <w:pStyle w:val="Heading201unnumbered"/>
        <w:bidi w:val="0"/>
        <w:jc w:val="left"/>
        <w:outlineLvl w:val="0"/>
        <w:rPr/>
      </w:pPr>
      <w:bookmarkStart w:id="6" w:name="OrgXref.org1e15386"/>
      <w:bookmarkStart w:id="7" w:name="org1e15386"/>
      <w:bookmarkEnd w:id="7"/>
      <w:r>
        <w:rPr/>
        <w:t xml:space="preserve">Dine svar til opgave 1 </w:t>
      </w:r>
      <w:bookmarkEnd w:id="6"/>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PageBreak"/>
        <w:bidi w:val="0"/>
        <w:jc w:val="left"/>
        <w:rPr/>
      </w:pPr>
      <w:r>
        <w:rPr/>
      </w:r>
    </w:p>
    <w:p>
      <w:pPr>
        <w:pStyle w:val="Heading201unnumbered"/>
        <w:bidi w:val="0"/>
        <w:jc w:val="left"/>
        <w:outlineLvl w:val="0"/>
        <w:rPr/>
      </w:pPr>
      <w:bookmarkStart w:id="8" w:name="OrgXref.org7d66a87"/>
      <w:bookmarkStart w:id="9" w:name="org7d66a87"/>
      <w:bookmarkEnd w:id="9"/>
      <w:r>
        <w:rPr/>
        <w:t xml:space="preserve">Opgave 2 </w:t>
      </w:r>
      <w:bookmarkEnd w:id="8"/>
    </w:p>
    <w:p>
      <w:pPr>
        <w:pStyle w:val="BodyText"/>
        <w:numPr>
          <w:ilvl w:val="0"/>
          <w:numId w:val="6"/>
        </w:numPr>
        <w:tabs>
          <w:tab w:val="clear" w:pos="1134"/>
          <w:tab w:val="left" w:pos="890" w:leader="none"/>
        </w:tabs>
        <w:bidi w:val="0"/>
        <w:ind w:hanging="360" w:left="890"/>
        <w:jc w:val="left"/>
        <w:rPr/>
      </w:pPr>
      <w:r>
        <w:rPr/>
        <w:t xml:space="preserve">Beregn summariske mortalitetsrater for Danmark, Indonesien, Nigeria og USA for året 2022 ved hjælp af data fra IBD. </w:t>
      </w:r>
    </w:p>
    <w:p>
      <w:pPr>
        <w:pStyle w:val="BodyText"/>
        <w:numPr>
          <w:ilvl w:val="1"/>
          <w:numId w:val="7"/>
        </w:numPr>
        <w:tabs>
          <w:tab w:val="clear" w:pos="1134"/>
          <w:tab w:val="left" w:pos="1250" w:leader="none"/>
        </w:tabs>
        <w:bidi w:val="0"/>
        <w:ind w:hanging="360" w:left="1250"/>
        <w:jc w:val="left"/>
        <w:rPr/>
      </w:pPr>
      <w:r>
        <w:rPr/>
        <w:t xml:space="preserve">Gå til fanen 'Tables' i menuen til venstre, og vælg herefter Danmark, Indonesien, Nigeria, USA samt året 2022 ('Filter by Year'). </w:t>
      </w:r>
    </w:p>
    <w:p>
      <w:pPr>
        <w:pStyle w:val="BodyText"/>
        <w:numPr>
          <w:ilvl w:val="1"/>
          <w:numId w:val="8"/>
        </w:numPr>
        <w:tabs>
          <w:tab w:val="clear" w:pos="1134"/>
          <w:tab w:val="left" w:pos="1250" w:leader="none"/>
        </w:tabs>
        <w:bidi w:val="0"/>
        <w:ind w:hanging="360" w:left="1250"/>
        <w:jc w:val="left"/>
        <w:rPr/>
      </w:pPr>
      <w:r>
        <w:rPr/>
        <w:t xml:space="preserve">Under 'Custom Report Columns' skal du fravælge alle kolonner undtagen følgende to: 'Deaths, both sexes' og 'Population'. </w:t>
      </w:r>
    </w:p>
    <w:p>
      <w:pPr>
        <w:pStyle w:val="BodyText"/>
        <w:numPr>
          <w:ilvl w:val="1"/>
          <w:numId w:val="9"/>
        </w:numPr>
        <w:tabs>
          <w:tab w:val="clear" w:pos="1134"/>
          <w:tab w:val="left" w:pos="1250" w:leader="none"/>
        </w:tabs>
        <w:bidi w:val="0"/>
        <w:ind w:hanging="360" w:left="1250"/>
        <w:jc w:val="left"/>
        <w:rPr/>
      </w:pPr>
      <w:r>
        <w:rPr/>
        <w:t xml:space="preserve">Indtast data i de forberedte R-koder i Rmd-filen. Beregn de summariske mortalitetsrater for alle fire lande. </w:t>
      </w:r>
    </w:p>
    <w:p>
      <w:pPr>
        <w:pStyle w:val="BodyText"/>
        <w:numPr>
          <w:ilvl w:val="1"/>
          <w:numId w:val="10"/>
        </w:numPr>
        <w:tabs>
          <w:tab w:val="clear" w:pos="1134"/>
          <w:tab w:val="left" w:pos="1250" w:leader="none"/>
        </w:tabs>
        <w:bidi w:val="0"/>
        <w:ind w:hanging="360" w:left="1250"/>
        <w:jc w:val="left"/>
        <w:rPr/>
      </w:pPr>
      <w:r>
        <w:rPr/>
        <w:t xml:space="preserve">Angiv, hvilken formel fra kompendiet du har anvendt. </w:t>
      </w:r>
    </w:p>
    <w:p>
      <w:pPr>
        <w:pStyle w:val="BodyText"/>
        <w:numPr>
          <w:ilvl w:val="1"/>
          <w:numId w:val="11"/>
        </w:numPr>
        <w:tabs>
          <w:tab w:val="clear" w:pos="1134"/>
          <w:tab w:val="left" w:pos="1250" w:leader="none"/>
        </w:tabs>
        <w:bidi w:val="0"/>
        <w:ind w:hanging="360" w:left="1250"/>
        <w:jc w:val="left"/>
        <w:rPr/>
      </w:pPr>
      <w:r>
        <w:rPr/>
        <w:t xml:space="preserve">Kontrollér, om dine indtastninger og beregninger er korrekte, ved at sammenligne med kolonnen 'Crude Death Rate', som findes under 'Custom Report Columns'. </w:t>
      </w:r>
    </w:p>
    <w:p>
      <w:pPr>
        <w:pStyle w:val="BodyText"/>
        <w:numPr>
          <w:ilvl w:val="0"/>
          <w:numId w:val="12"/>
        </w:numPr>
        <w:tabs>
          <w:tab w:val="clear" w:pos="1134"/>
          <w:tab w:val="left" w:pos="890" w:leader="none"/>
        </w:tabs>
        <w:bidi w:val="0"/>
        <w:ind w:hanging="360" w:left="890"/>
        <w:jc w:val="left"/>
        <w:rPr/>
      </w:pPr>
      <w:r>
        <w:rPr/>
        <w:t xml:space="preserve">Udfyld tabellen med de beregnede værdier. </w:t>
      </w:r>
    </w:p>
    <w:p>
      <w:pPr>
        <w:pStyle w:val="BodyText"/>
        <w:numPr>
          <w:ilvl w:val="0"/>
          <w:numId w:val="13"/>
        </w:numPr>
        <w:tabs>
          <w:tab w:val="clear" w:pos="1134"/>
          <w:tab w:val="left" w:pos="890" w:leader="none"/>
        </w:tabs>
        <w:bidi w:val="0"/>
        <w:ind w:hanging="360" w:left="890"/>
        <w:jc w:val="left"/>
        <w:rPr/>
      </w:pPr>
      <w:r>
        <w:rPr/>
        <w:t xml:space="preserve">Præsenter resultaterne i tekstform og diskuter mulige faktorer, der kan forklare forskellene i de summariske mortalitetsrater mellem de fire lande. </w:t>
      </w:r>
    </w:p>
    <w:p>
      <w:pPr>
        <w:pStyle w:val="Heading202unnumbered"/>
        <w:bidi w:val="0"/>
        <w:jc w:val="left"/>
        <w:outlineLvl w:val="1"/>
        <w:rPr/>
      </w:pPr>
      <w:bookmarkStart w:id="10" w:name="OrgXref.org63600ba"/>
      <w:bookmarkStart w:id="11" w:name="org63600ba"/>
      <w:bookmarkEnd w:id="11"/>
      <w:r>
        <w:rPr/>
        <w:t xml:space="preserve">Tabel </w:t>
      </w:r>
      <w:bookmarkEnd w:id="10"/>
    </w:p>
    <w:p>
      <w:pPr>
        <w:sectPr>
          <w:footerReference w:type="default" r:id="rId3"/>
          <w:footnotePr>
            <w:numFmt w:val="decimal"/>
          </w:footnotePr>
          <w:type w:val="nextPage"/>
          <w:pgSz w:w="11906" w:h="16838"/>
          <w:pgMar w:left="1134" w:right="1134" w:gutter="0" w:header="0" w:top="1134" w:footer="1134" w:bottom="1860"/>
          <w:pgNumType w:fmt="decimal"/>
          <w:formProt w:val="false"/>
          <w:textDirection w:val="lrTb"/>
          <w:docGrid w:type="default" w:linePitch="600" w:charSpace="40960"/>
        </w:sectPr>
      </w:pPr>
    </w:p>
    <w:tbl>
      <w:tblPr>
        <w:tblW w:w="4800" w:type="pct"/>
        <w:jc w:val="center"/>
        <w:tblInd w:w="0" w:type="dxa"/>
        <w:tblLayout w:type="fixed"/>
        <w:tblCellMar>
          <w:top w:w="90" w:type="dxa"/>
          <w:left w:w="90" w:type="dxa"/>
          <w:bottom w:w="90" w:type="dxa"/>
          <w:right w:w="90" w:type="dxa"/>
        </w:tblCellMar>
      </w:tblPr>
      <w:tblGrid>
        <w:gridCol w:w="2313"/>
        <w:gridCol w:w="2313"/>
        <w:gridCol w:w="2313"/>
        <w:gridCol w:w="2313"/>
      </w:tblGrid>
      <w:tr>
        <w:trPr>
          <w:tblHeader w:val="true"/>
        </w:trPr>
        <w:tc>
          <w:tcPr>
            <w:tcW w:w="2313" w:type="dxa"/>
            <w:tcBorders>
              <w:top w:val="single" w:sz="2" w:space="0" w:color="000000"/>
              <w:bottom w:val="single" w:sz="2" w:space="0" w:color="000000"/>
            </w:tcBorders>
          </w:tcPr>
          <w:p>
            <w:pPr>
              <w:pStyle w:val="OrgTableHeadingLeft"/>
              <w:bidi w:val="0"/>
              <w:spacing w:before="0" w:after="120"/>
              <w:jc w:val="left"/>
              <w:rPr/>
            </w:pPr>
            <w:r>
              <w:rPr/>
              <w:t>Land</w:t>
            </w:r>
          </w:p>
        </w:tc>
        <w:tc>
          <w:tcPr>
            <w:tcW w:w="2313" w:type="dxa"/>
            <w:tcBorders>
              <w:top w:val="single" w:sz="2" w:space="0" w:color="000000"/>
              <w:bottom w:val="single" w:sz="2" w:space="0" w:color="000000"/>
            </w:tcBorders>
          </w:tcPr>
          <w:p>
            <w:pPr>
              <w:pStyle w:val="OrgTableHeadingLeft"/>
              <w:bidi w:val="0"/>
              <w:spacing w:before="0" w:after="120"/>
              <w:jc w:val="left"/>
              <w:rPr/>
            </w:pPr>
            <w:r>
              <w:rPr/>
              <w:t>Population (2022)</w:t>
            </w:r>
          </w:p>
        </w:tc>
        <w:tc>
          <w:tcPr>
            <w:tcW w:w="2313" w:type="dxa"/>
            <w:tcBorders>
              <w:top w:val="single" w:sz="2" w:space="0" w:color="000000"/>
              <w:bottom w:val="single" w:sz="2" w:space="0" w:color="000000"/>
            </w:tcBorders>
          </w:tcPr>
          <w:p>
            <w:pPr>
              <w:pStyle w:val="OrgTableHeadingLeft"/>
              <w:bidi w:val="0"/>
              <w:spacing w:before="0" w:after="120"/>
              <w:jc w:val="left"/>
              <w:rPr/>
            </w:pPr>
            <w:r>
              <w:rPr/>
              <w:t>Deaths (2022)</w:t>
            </w:r>
          </w:p>
        </w:tc>
        <w:tc>
          <w:tcPr>
            <w:tcW w:w="2313" w:type="dxa"/>
            <w:tcBorders>
              <w:top w:val="single" w:sz="2" w:space="0" w:color="000000"/>
              <w:bottom w:val="single" w:sz="2" w:space="0" w:color="000000"/>
            </w:tcBorders>
          </w:tcPr>
          <w:p>
            <w:pPr>
              <w:pStyle w:val="OrgTableHeadingLeft"/>
              <w:bidi w:val="0"/>
              <w:spacing w:before="0" w:after="120"/>
              <w:jc w:val="left"/>
              <w:rPr/>
            </w:pPr>
            <w:r>
              <w:rPr/>
              <w:t>Summariske mortalitetsrate (2022)</w:t>
            </w:r>
          </w:p>
        </w:tc>
      </w:tr>
      <w:tr>
        <w:trPr/>
        <w:tc>
          <w:tcPr>
            <w:tcW w:w="2313" w:type="dxa"/>
            <w:tcBorders>
              <w:top w:val="single" w:sz="2" w:space="0" w:color="000000"/>
            </w:tcBorders>
          </w:tcPr>
          <w:p>
            <w:pPr>
              <w:pStyle w:val="OrgTableContentsLeft"/>
              <w:bidi w:val="0"/>
              <w:spacing w:before="0" w:after="120"/>
              <w:jc w:val="left"/>
              <w:rPr/>
            </w:pPr>
            <w:r>
              <w:rPr/>
              <w:t>Danmark</w:t>
            </w:r>
          </w:p>
        </w:tc>
        <w:tc>
          <w:tcPr>
            <w:tcW w:w="2313" w:type="dxa"/>
            <w:tcBorders>
              <w:top w:val="single" w:sz="2" w:space="0" w:color="000000"/>
            </w:tcBorders>
          </w:tcPr>
          <w:p>
            <w:pPr>
              <w:pStyle w:val="OrgTableContentsLeft"/>
              <w:bidi w:val="0"/>
              <w:spacing w:before="0" w:after="120"/>
              <w:jc w:val="left"/>
              <w:rPr/>
            </w:pPr>
            <w:r>
              <w:rPr/>
            </w:r>
          </w:p>
        </w:tc>
        <w:tc>
          <w:tcPr>
            <w:tcW w:w="2313" w:type="dxa"/>
            <w:tcBorders>
              <w:top w:val="single" w:sz="2" w:space="0" w:color="000000"/>
            </w:tcBorders>
          </w:tcPr>
          <w:p>
            <w:pPr>
              <w:pStyle w:val="OrgTableContentsLeft"/>
              <w:bidi w:val="0"/>
              <w:spacing w:before="0" w:after="120"/>
              <w:jc w:val="left"/>
              <w:rPr/>
            </w:pPr>
            <w:r>
              <w:rPr/>
            </w:r>
          </w:p>
        </w:tc>
        <w:tc>
          <w:tcPr>
            <w:tcW w:w="2313" w:type="dxa"/>
            <w:tcBorders>
              <w:top w:val="single" w:sz="2" w:space="0" w:color="000000"/>
            </w:tcBorders>
          </w:tcPr>
          <w:p>
            <w:pPr>
              <w:pStyle w:val="OrgTableContentsLeft"/>
              <w:bidi w:val="0"/>
              <w:spacing w:before="0" w:after="120"/>
              <w:jc w:val="left"/>
              <w:rPr/>
            </w:pPr>
            <w:r>
              <w:rPr/>
            </w:r>
          </w:p>
        </w:tc>
      </w:tr>
      <w:tr>
        <w:trPr/>
        <w:tc>
          <w:tcPr>
            <w:tcW w:w="2313" w:type="dxa"/>
            <w:tcBorders/>
          </w:tcPr>
          <w:p>
            <w:pPr>
              <w:pStyle w:val="OrgTableContentsLeft"/>
              <w:bidi w:val="0"/>
              <w:spacing w:before="0" w:after="120"/>
              <w:jc w:val="left"/>
              <w:rPr/>
            </w:pPr>
            <w:r>
              <w:rPr/>
              <w:t>Indonesia</w:t>
            </w:r>
          </w:p>
        </w:tc>
        <w:tc>
          <w:tcPr>
            <w:tcW w:w="2313" w:type="dxa"/>
            <w:tcBorders/>
          </w:tcPr>
          <w:p>
            <w:pPr>
              <w:pStyle w:val="OrgTableContentsLeft"/>
              <w:bidi w:val="0"/>
              <w:spacing w:before="0" w:after="120"/>
              <w:jc w:val="left"/>
              <w:rPr/>
            </w:pPr>
            <w:r>
              <w:rPr/>
            </w:r>
          </w:p>
        </w:tc>
        <w:tc>
          <w:tcPr>
            <w:tcW w:w="2313" w:type="dxa"/>
            <w:tcBorders/>
          </w:tcPr>
          <w:p>
            <w:pPr>
              <w:pStyle w:val="OrgTableContentsLeft"/>
              <w:bidi w:val="0"/>
              <w:spacing w:before="0" w:after="120"/>
              <w:jc w:val="left"/>
              <w:rPr/>
            </w:pPr>
            <w:r>
              <w:rPr/>
            </w:r>
          </w:p>
        </w:tc>
        <w:tc>
          <w:tcPr>
            <w:tcW w:w="2313" w:type="dxa"/>
            <w:tcBorders/>
          </w:tcPr>
          <w:p>
            <w:pPr>
              <w:pStyle w:val="OrgTableContentsLeft"/>
              <w:bidi w:val="0"/>
              <w:spacing w:before="0" w:after="120"/>
              <w:jc w:val="left"/>
              <w:rPr/>
            </w:pPr>
            <w:r>
              <w:rPr/>
            </w:r>
          </w:p>
        </w:tc>
      </w:tr>
      <w:tr>
        <w:trPr/>
        <w:tc>
          <w:tcPr>
            <w:tcW w:w="2313" w:type="dxa"/>
            <w:tcBorders/>
          </w:tcPr>
          <w:p>
            <w:pPr>
              <w:pStyle w:val="OrgTableContentsLeft"/>
              <w:bidi w:val="0"/>
              <w:spacing w:before="0" w:after="120"/>
              <w:jc w:val="left"/>
              <w:rPr/>
            </w:pPr>
            <w:r>
              <w:rPr/>
              <w:t>Nigeria</w:t>
            </w:r>
          </w:p>
        </w:tc>
        <w:tc>
          <w:tcPr>
            <w:tcW w:w="2313" w:type="dxa"/>
            <w:tcBorders/>
          </w:tcPr>
          <w:p>
            <w:pPr>
              <w:pStyle w:val="OrgTableContentsLeft"/>
              <w:bidi w:val="0"/>
              <w:spacing w:before="0" w:after="120"/>
              <w:jc w:val="left"/>
              <w:rPr/>
            </w:pPr>
            <w:r>
              <w:rPr/>
            </w:r>
          </w:p>
        </w:tc>
        <w:tc>
          <w:tcPr>
            <w:tcW w:w="2313" w:type="dxa"/>
            <w:tcBorders/>
          </w:tcPr>
          <w:p>
            <w:pPr>
              <w:pStyle w:val="OrgTableContentsLeft"/>
              <w:bidi w:val="0"/>
              <w:spacing w:before="0" w:after="120"/>
              <w:jc w:val="left"/>
              <w:rPr/>
            </w:pPr>
            <w:r>
              <w:rPr/>
            </w:r>
          </w:p>
        </w:tc>
        <w:tc>
          <w:tcPr>
            <w:tcW w:w="2313" w:type="dxa"/>
            <w:tcBorders/>
          </w:tcPr>
          <w:p>
            <w:pPr>
              <w:pStyle w:val="OrgTableContentsLeft"/>
              <w:bidi w:val="0"/>
              <w:spacing w:before="0" w:after="120"/>
              <w:jc w:val="left"/>
              <w:rPr/>
            </w:pPr>
            <w:r>
              <w:rPr/>
            </w:r>
          </w:p>
        </w:tc>
      </w:tr>
      <w:tr>
        <w:trPr/>
        <w:tc>
          <w:tcPr>
            <w:tcW w:w="2313" w:type="dxa"/>
            <w:tcBorders>
              <w:bottom w:val="single" w:sz="2" w:space="0" w:color="000000"/>
            </w:tcBorders>
          </w:tcPr>
          <w:p>
            <w:pPr>
              <w:pStyle w:val="OrgTableContentsLeft"/>
              <w:bidi w:val="0"/>
              <w:spacing w:before="0" w:after="120"/>
              <w:jc w:val="left"/>
              <w:rPr/>
            </w:pPr>
            <w:r>
              <w:rPr/>
              <w:t>USA</w:t>
            </w:r>
          </w:p>
        </w:tc>
        <w:tc>
          <w:tcPr>
            <w:tcW w:w="2313" w:type="dxa"/>
            <w:tcBorders>
              <w:bottom w:val="single" w:sz="2" w:space="0" w:color="000000"/>
            </w:tcBorders>
          </w:tcPr>
          <w:p>
            <w:pPr>
              <w:pStyle w:val="OrgTableContentsLeft"/>
              <w:bidi w:val="0"/>
              <w:spacing w:before="0" w:after="120"/>
              <w:jc w:val="left"/>
              <w:rPr/>
            </w:pPr>
            <w:r>
              <w:rPr/>
            </w:r>
          </w:p>
        </w:tc>
        <w:tc>
          <w:tcPr>
            <w:tcW w:w="2313" w:type="dxa"/>
            <w:tcBorders>
              <w:bottom w:val="single" w:sz="2" w:space="0" w:color="000000"/>
            </w:tcBorders>
          </w:tcPr>
          <w:p>
            <w:pPr>
              <w:pStyle w:val="OrgTableContentsLeft"/>
              <w:bidi w:val="0"/>
              <w:spacing w:before="0" w:after="120"/>
              <w:jc w:val="left"/>
              <w:rPr/>
            </w:pPr>
            <w:r>
              <w:rPr/>
            </w:r>
          </w:p>
        </w:tc>
        <w:tc>
          <w:tcPr>
            <w:tcW w:w="2313" w:type="dxa"/>
            <w:tcBorders>
              <w:bottom w:val="single" w:sz="2" w:space="0" w:color="000000"/>
            </w:tcBorders>
          </w:tcPr>
          <w:p>
            <w:pPr>
              <w:pStyle w:val="OrgTableContentsLeft"/>
              <w:bidi w:val="0"/>
              <w:spacing w:before="0" w:after="120"/>
              <w:jc w:val="left"/>
              <w:rPr/>
            </w:pPr>
            <w:r>
              <w:rPr/>
            </w:r>
          </w:p>
        </w:tc>
      </w:tr>
    </w:tbl>
    <w:p>
      <w:pPr>
        <w:sectPr>
          <w:footnotePr>
            <w:numFmt w:val="decimal"/>
          </w:footnotePr>
          <w:type w:val="continuous"/>
          <w:pgSz w:w="11906" w:h="16838"/>
          <w:pgMar w:left="1134" w:right="1134" w:gutter="0" w:header="0" w:top="1134" w:footer="1134" w:bottom="1860"/>
          <w:formProt w:val="false"/>
          <w:textDirection w:val="lrTb"/>
          <w:docGrid w:type="default" w:linePitch="600" w:charSpace="40960"/>
        </w:sectPr>
      </w:pPr>
    </w:p>
    <w:p>
      <w:pPr>
        <w:pStyle w:val="Heading201unnumbered"/>
        <w:bidi w:val="0"/>
        <w:jc w:val="left"/>
        <w:outlineLvl w:val="0"/>
        <w:rPr/>
      </w:pPr>
      <w:bookmarkStart w:id="12" w:name="OrgXref.org5697a1e"/>
      <w:bookmarkStart w:id="13" w:name="org5697a1e"/>
      <w:bookmarkEnd w:id="13"/>
      <w:r>
        <w:rPr/>
        <w:t xml:space="preserve">Dine svar til opgave 2 </w:t>
      </w:r>
      <w:bookmarkEnd w:id="12"/>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PageBreak"/>
        <w:bidi w:val="0"/>
        <w:jc w:val="left"/>
        <w:rPr/>
      </w:pPr>
      <w:r>
        <w:rPr/>
      </w:r>
    </w:p>
    <w:p>
      <w:pPr>
        <w:pStyle w:val="Heading201unnumbered"/>
        <w:bidi w:val="0"/>
        <w:jc w:val="left"/>
        <w:outlineLvl w:val="0"/>
        <w:rPr/>
      </w:pPr>
      <w:bookmarkStart w:id="14" w:name="OrgXref.org019310d"/>
      <w:bookmarkStart w:id="15" w:name="org019310d"/>
      <w:bookmarkEnd w:id="15"/>
      <w:r>
        <w:rPr/>
        <w:t xml:space="preserve">Opgave 3 </w:t>
      </w:r>
      <w:bookmarkEnd w:id="14"/>
    </w:p>
    <w:p>
      <w:pPr>
        <w:pStyle w:val="BodyText"/>
        <w:numPr>
          <w:ilvl w:val="0"/>
          <w:numId w:val="15"/>
        </w:numPr>
        <w:tabs>
          <w:tab w:val="clear" w:pos="1134"/>
          <w:tab w:val="left" w:pos="890" w:leader="none"/>
        </w:tabs>
        <w:bidi w:val="0"/>
        <w:ind w:hanging="360" w:left="890"/>
        <w:jc w:val="left"/>
        <w:rPr/>
      </w:pPr>
      <w:r>
        <w:rPr/>
        <w:t xml:space="preserve">Find folketal og antal døde i Danmark i 2022 for alle aldre i statistikbanken og inddel dem i følgende 3 aldersintervaller: 0-14, 15-64, 65+ (se R-koder i Rmd filen). </w:t>
      </w:r>
    </w:p>
    <w:p>
      <w:pPr>
        <w:pStyle w:val="BodyText"/>
        <w:numPr>
          <w:ilvl w:val="0"/>
          <w:numId w:val="14"/>
        </w:numPr>
        <w:tabs>
          <w:tab w:val="clear" w:pos="1134"/>
          <w:tab w:val="left" w:pos="890" w:leader="none"/>
        </w:tabs>
        <w:bidi w:val="0"/>
        <w:ind w:hanging="360" w:left="890"/>
        <w:jc w:val="left"/>
        <w:rPr/>
      </w:pPr>
      <w:r>
        <w:rPr/>
        <w:t xml:space="preserve">Bestem risikotidens aldersfordeling og beregn de aldersspecifikke mortalitetsrater. </w:t>
      </w:r>
    </w:p>
    <w:p>
      <w:pPr>
        <w:pStyle w:val="BodyText"/>
        <w:numPr>
          <w:ilvl w:val="0"/>
          <w:numId w:val="14"/>
        </w:numPr>
        <w:tabs>
          <w:tab w:val="clear" w:pos="1134"/>
          <w:tab w:val="left" w:pos="890" w:leader="none"/>
        </w:tabs>
        <w:bidi w:val="0"/>
        <w:ind w:hanging="360" w:left="890"/>
        <w:jc w:val="left"/>
        <w:rPr/>
      </w:pPr>
      <w:r>
        <w:rPr/>
        <w:t xml:space="preserve">Udfyld tabellen med resultaterne. </w:t>
      </w:r>
    </w:p>
    <w:p>
      <w:pPr>
        <w:pStyle w:val="BodyText"/>
        <w:numPr>
          <w:ilvl w:val="0"/>
          <w:numId w:val="14"/>
        </w:numPr>
        <w:tabs>
          <w:tab w:val="clear" w:pos="1134"/>
          <w:tab w:val="left" w:pos="890" w:leader="none"/>
        </w:tabs>
        <w:bidi w:val="0"/>
        <w:ind w:hanging="360" w:left="890"/>
        <w:jc w:val="left"/>
        <w:rPr/>
      </w:pPr>
      <w:r>
        <w:rPr/>
        <w:t xml:space="preserve">Angiv de anvendte formler fra kompendiet og opsummer resultaterne ved at rapportere de tre aldersspecifikke mortalitetsrater i én sætning. </w:t>
      </w:r>
    </w:p>
    <w:p>
      <w:pPr>
        <w:pStyle w:val="Heading202unnumbered"/>
        <w:bidi w:val="0"/>
        <w:jc w:val="left"/>
        <w:outlineLvl w:val="1"/>
        <w:rPr/>
      </w:pPr>
      <w:bookmarkStart w:id="16" w:name="OrgXref.org4eb1b7d"/>
      <w:bookmarkStart w:id="17" w:name="org4eb1b7d"/>
      <w:bookmarkEnd w:id="17"/>
      <w:r>
        <w:rPr/>
        <w:t xml:space="preserve">Tabel </w:t>
      </w:r>
      <w:bookmarkEnd w:id="16"/>
    </w:p>
    <w:p>
      <w:pPr>
        <w:sectPr>
          <w:footnotePr>
            <w:numFmt w:val="decimal"/>
          </w:footnotePr>
          <w:type w:val="continuous"/>
          <w:pgSz w:w="11906" w:h="16838"/>
          <w:pgMar w:left="1134" w:right="1134" w:gutter="0" w:header="0" w:top="1134" w:footer="1134" w:bottom="1860"/>
          <w:pgNumType w:fmt="decimal"/>
          <w:formProt w:val="false"/>
          <w:textDirection w:val="lrTb"/>
          <w:docGrid w:type="default" w:linePitch="600" w:charSpace="40960"/>
        </w:sectPr>
      </w:pPr>
    </w:p>
    <w:tbl>
      <w:tblPr>
        <w:tblW w:w="4800" w:type="pct"/>
        <w:jc w:val="center"/>
        <w:tblInd w:w="0" w:type="dxa"/>
        <w:tblLayout w:type="fixed"/>
        <w:tblCellMar>
          <w:top w:w="90" w:type="dxa"/>
          <w:left w:w="90" w:type="dxa"/>
          <w:bottom w:w="90" w:type="dxa"/>
          <w:right w:w="90" w:type="dxa"/>
        </w:tblCellMar>
      </w:tblPr>
      <w:tblGrid>
        <w:gridCol w:w="1850"/>
        <w:gridCol w:w="1850"/>
        <w:gridCol w:w="1851"/>
        <w:gridCol w:w="1850"/>
        <w:gridCol w:w="1851"/>
      </w:tblGrid>
      <w:tr>
        <w:trPr>
          <w:tblHeader w:val="true"/>
        </w:trPr>
        <w:tc>
          <w:tcPr>
            <w:tcW w:w="1850" w:type="dxa"/>
            <w:tcBorders>
              <w:top w:val="single" w:sz="2" w:space="0" w:color="000000"/>
              <w:bottom w:val="single" w:sz="2" w:space="0" w:color="000000"/>
            </w:tcBorders>
          </w:tcPr>
          <w:p>
            <w:pPr>
              <w:pStyle w:val="OrgTableHeadingRight"/>
              <w:bidi w:val="0"/>
              <w:spacing w:before="0" w:after="120"/>
              <w:jc w:val="right"/>
              <w:rPr/>
            </w:pPr>
            <w:r>
              <w:rPr/>
              <w:t>Aldersinterval</w:t>
            </w:r>
          </w:p>
        </w:tc>
        <w:tc>
          <w:tcPr>
            <w:tcW w:w="1850" w:type="dxa"/>
            <w:tcBorders>
              <w:top w:val="single" w:sz="2" w:space="0" w:color="000000"/>
              <w:bottom w:val="single" w:sz="2" w:space="0" w:color="000000"/>
            </w:tcBorders>
          </w:tcPr>
          <w:p>
            <w:pPr>
              <w:pStyle w:val="OrgTableHeadingLeft"/>
              <w:bidi w:val="0"/>
              <w:spacing w:before="0" w:after="120"/>
              <w:jc w:val="left"/>
              <w:rPr/>
            </w:pPr>
            <w:r>
              <w:rPr/>
              <w:t>Risikotid</w:t>
            </w:r>
          </w:p>
        </w:tc>
        <w:tc>
          <w:tcPr>
            <w:tcW w:w="1851" w:type="dxa"/>
            <w:tcBorders>
              <w:top w:val="single" w:sz="2" w:space="0" w:color="000000"/>
              <w:bottom w:val="single" w:sz="2" w:space="0" w:color="000000"/>
            </w:tcBorders>
          </w:tcPr>
          <w:p>
            <w:pPr>
              <w:pStyle w:val="OrgTableHeadingLeft"/>
              <w:bidi w:val="0"/>
              <w:spacing w:before="0" w:after="120"/>
              <w:jc w:val="left"/>
              <w:rPr/>
            </w:pPr>
            <w:r>
              <w:rPr/>
              <w:t>Dod</w:t>
            </w:r>
          </w:p>
        </w:tc>
        <w:tc>
          <w:tcPr>
            <w:tcW w:w="1850" w:type="dxa"/>
            <w:tcBorders>
              <w:top w:val="single" w:sz="2" w:space="0" w:color="000000"/>
              <w:bottom w:val="single" w:sz="2" w:space="0" w:color="000000"/>
            </w:tcBorders>
          </w:tcPr>
          <w:p>
            <w:pPr>
              <w:pStyle w:val="OrgTableHeadingLeft"/>
              <w:bidi w:val="0"/>
              <w:spacing w:before="0" w:after="120"/>
              <w:jc w:val="left"/>
              <w:rPr/>
            </w:pPr>
            <w:r>
              <w:rPr/>
              <w:t>Risikotidens aldersfordeling</w:t>
            </w:r>
          </w:p>
        </w:tc>
        <w:tc>
          <w:tcPr>
            <w:tcW w:w="1851" w:type="dxa"/>
            <w:tcBorders>
              <w:top w:val="single" w:sz="2" w:space="0" w:color="000000"/>
              <w:bottom w:val="single" w:sz="2" w:space="0" w:color="000000"/>
            </w:tcBorders>
          </w:tcPr>
          <w:p>
            <w:pPr>
              <w:pStyle w:val="OrgTableHeadingLeft"/>
              <w:bidi w:val="0"/>
              <w:spacing w:before="0" w:after="120"/>
              <w:jc w:val="left"/>
              <w:rPr/>
            </w:pPr>
            <w:r>
              <w:rPr/>
              <w:t>Mortalitetsrate</w:t>
            </w:r>
          </w:p>
        </w:tc>
      </w:tr>
      <w:tr>
        <w:trPr/>
        <w:tc>
          <w:tcPr>
            <w:tcW w:w="1850" w:type="dxa"/>
            <w:tcBorders>
              <w:top w:val="single" w:sz="2" w:space="0" w:color="000000"/>
            </w:tcBorders>
          </w:tcPr>
          <w:p>
            <w:pPr>
              <w:pStyle w:val="OrgTableContentsRight"/>
              <w:bidi w:val="0"/>
              <w:spacing w:before="0" w:after="120"/>
              <w:jc w:val="right"/>
              <w:rPr/>
            </w:pPr>
            <w:r>
              <w:rPr/>
              <w:t>0-14</w:t>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r>
          </w:p>
        </w:tc>
        <w:tc>
          <w:tcPr>
            <w:tcW w:w="1850" w:type="dxa"/>
            <w:tcBorders>
              <w:top w:val="single" w:sz="2" w:space="0" w:color="000000"/>
            </w:tcBorders>
          </w:tcPr>
          <w:p>
            <w:pPr>
              <w:pStyle w:val="OrgTableContentsLeft"/>
              <w:bidi w:val="0"/>
              <w:spacing w:before="0" w:after="120"/>
              <w:jc w:val="left"/>
              <w:rPr/>
            </w:pPr>
            <w:r>
              <w:rPr/>
            </w:r>
          </w:p>
        </w:tc>
        <w:tc>
          <w:tcPr>
            <w:tcW w:w="1851" w:type="dxa"/>
            <w:tcBorders>
              <w:top w:val="single" w:sz="2" w:space="0" w:color="000000"/>
            </w:tcBorders>
          </w:tcPr>
          <w:p>
            <w:pPr>
              <w:pStyle w:val="OrgTableContentsLeft"/>
              <w:bidi w:val="0"/>
              <w:spacing w:before="0" w:after="120"/>
              <w:jc w:val="left"/>
              <w:rPr/>
            </w:pPr>
            <w:r>
              <w:rPr/>
            </w:r>
          </w:p>
        </w:tc>
      </w:tr>
      <w:tr>
        <w:trPr/>
        <w:tc>
          <w:tcPr>
            <w:tcW w:w="1850" w:type="dxa"/>
            <w:tcBorders/>
          </w:tcPr>
          <w:p>
            <w:pPr>
              <w:pStyle w:val="OrgTableContentsRight"/>
              <w:bidi w:val="0"/>
              <w:spacing w:before="0" w:after="120"/>
              <w:jc w:val="right"/>
              <w:rPr/>
            </w:pPr>
            <w:r>
              <w:rPr/>
              <w:t>15-65</w:t>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c>
          <w:tcPr>
            <w:tcW w:w="1850" w:type="dxa"/>
            <w:tcBorders/>
          </w:tcPr>
          <w:p>
            <w:pPr>
              <w:pStyle w:val="OrgTableContentsLeft"/>
              <w:bidi w:val="0"/>
              <w:spacing w:before="0" w:after="120"/>
              <w:jc w:val="left"/>
              <w:rPr/>
            </w:pPr>
            <w:r>
              <w:rPr/>
            </w:r>
          </w:p>
        </w:tc>
        <w:tc>
          <w:tcPr>
            <w:tcW w:w="1851" w:type="dxa"/>
            <w:tcBorders/>
          </w:tcPr>
          <w:p>
            <w:pPr>
              <w:pStyle w:val="OrgTableContentsLeft"/>
              <w:bidi w:val="0"/>
              <w:spacing w:before="0" w:after="120"/>
              <w:jc w:val="left"/>
              <w:rPr/>
            </w:pPr>
            <w:r>
              <w:rPr/>
            </w:r>
          </w:p>
        </w:tc>
      </w:tr>
      <w:tr>
        <w:trPr/>
        <w:tc>
          <w:tcPr>
            <w:tcW w:w="1850" w:type="dxa"/>
            <w:tcBorders>
              <w:bottom w:val="single" w:sz="2" w:space="0" w:color="000000"/>
            </w:tcBorders>
          </w:tcPr>
          <w:p>
            <w:pPr>
              <w:pStyle w:val="OrgTableContentsRight"/>
              <w:bidi w:val="0"/>
              <w:spacing w:before="0" w:after="120"/>
              <w:jc w:val="right"/>
              <w:rPr/>
            </w:pPr>
            <w:r>
              <w:rPr/>
              <w:t>65+</w:t>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r>
          </w:p>
        </w:tc>
        <w:tc>
          <w:tcPr>
            <w:tcW w:w="1850" w:type="dxa"/>
            <w:tcBorders>
              <w:bottom w:val="single" w:sz="2" w:space="0" w:color="000000"/>
            </w:tcBorders>
          </w:tcPr>
          <w:p>
            <w:pPr>
              <w:pStyle w:val="OrgTableContentsLeft"/>
              <w:bidi w:val="0"/>
              <w:spacing w:before="0" w:after="120"/>
              <w:jc w:val="left"/>
              <w:rPr/>
            </w:pPr>
            <w:r>
              <w:rPr/>
            </w:r>
          </w:p>
        </w:tc>
        <w:tc>
          <w:tcPr>
            <w:tcW w:w="1851" w:type="dxa"/>
            <w:tcBorders>
              <w:bottom w:val="single" w:sz="2" w:space="0" w:color="000000"/>
            </w:tcBorders>
          </w:tcPr>
          <w:p>
            <w:pPr>
              <w:pStyle w:val="OrgTableContentsLeft"/>
              <w:bidi w:val="0"/>
              <w:spacing w:before="0" w:after="120"/>
              <w:jc w:val="left"/>
              <w:rPr/>
            </w:pPr>
            <w:r>
              <w:rPr/>
            </w:r>
          </w:p>
        </w:tc>
      </w:tr>
    </w:tbl>
    <w:p>
      <w:pPr>
        <w:sectPr>
          <w:footnotePr>
            <w:numFmt w:val="decimal"/>
          </w:footnotePr>
          <w:type w:val="continuous"/>
          <w:pgSz w:w="11906" w:h="16838"/>
          <w:pgMar w:left="1134" w:right="1134" w:gutter="0" w:header="0" w:top="1134" w:footer="1134" w:bottom="1860"/>
          <w:formProt w:val="false"/>
          <w:textDirection w:val="lrTb"/>
          <w:docGrid w:type="default" w:linePitch="600" w:charSpace="40960"/>
        </w:sectPr>
      </w:pPr>
    </w:p>
    <w:p>
      <w:pPr>
        <w:pStyle w:val="Heading201unnumbered"/>
        <w:bidi w:val="0"/>
        <w:jc w:val="left"/>
        <w:outlineLvl w:val="0"/>
        <w:rPr/>
      </w:pPr>
      <w:bookmarkStart w:id="18" w:name="OrgXref.orgace0b59"/>
      <w:bookmarkStart w:id="19" w:name="orgace0b59"/>
      <w:bookmarkEnd w:id="19"/>
      <w:r>
        <w:rPr/>
        <w:t xml:space="preserve">Dine svar til opgave 3 </w:t>
      </w:r>
      <w:bookmarkEnd w:id="18"/>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PageBreak"/>
        <w:bidi w:val="0"/>
        <w:jc w:val="left"/>
        <w:rPr/>
      </w:pPr>
      <w:r>
        <w:rPr/>
      </w:r>
    </w:p>
    <w:p>
      <w:pPr>
        <w:pStyle w:val="Heading201unnumbered"/>
        <w:bidi w:val="0"/>
        <w:jc w:val="left"/>
        <w:outlineLvl w:val="0"/>
        <w:rPr/>
      </w:pPr>
      <w:bookmarkStart w:id="20" w:name="OrgXref.org26161c6"/>
      <w:bookmarkStart w:id="21" w:name="org26161c6"/>
      <w:bookmarkEnd w:id="21"/>
      <w:r>
        <w:rPr/>
        <w:t xml:space="preserve">Opgave 4 </w:t>
      </w:r>
      <w:bookmarkEnd w:id="20"/>
    </w:p>
    <w:p>
      <w:pPr>
        <w:pStyle w:val="BodyText"/>
        <w:numPr>
          <w:ilvl w:val="0"/>
          <w:numId w:val="17"/>
        </w:numPr>
        <w:tabs>
          <w:tab w:val="clear" w:pos="1134"/>
          <w:tab w:val="left" w:pos="890" w:leader="none"/>
        </w:tabs>
        <w:bidi w:val="0"/>
        <w:ind w:hanging="360" w:left="890"/>
        <w:jc w:val="left"/>
        <w:rPr/>
      </w:pPr>
      <w:r>
        <w:rPr/>
        <w:t xml:space="preserve">Find antal personer i aldersgrupperne (0-14 år, 15-65 år, 65+ år) for Indonesien i 2022 i IDB. </w:t>
      </w:r>
    </w:p>
    <w:p>
      <w:pPr>
        <w:pStyle w:val="BodyText"/>
        <w:numPr>
          <w:ilvl w:val="0"/>
          <w:numId w:val="16"/>
        </w:numPr>
        <w:tabs>
          <w:tab w:val="clear" w:pos="1134"/>
          <w:tab w:val="left" w:pos="890" w:leader="none"/>
        </w:tabs>
        <w:bidi w:val="0"/>
        <w:ind w:hanging="360" w:left="890"/>
        <w:jc w:val="left"/>
        <w:rPr/>
      </w:pPr>
      <w:r>
        <w:rPr/>
        <w:t xml:space="preserve">Brug indirekte standardisering til at beregne det forventede antal dødsfald i Indonesien i 2022, hvis landet havde haft samme aldersspecifikke mortalitetsrater som Danmark i 2022. </w:t>
      </w:r>
    </w:p>
    <w:p>
      <w:pPr>
        <w:pStyle w:val="BodyText"/>
        <w:numPr>
          <w:ilvl w:val="0"/>
          <w:numId w:val="16"/>
        </w:numPr>
        <w:tabs>
          <w:tab w:val="clear" w:pos="1134"/>
          <w:tab w:val="left" w:pos="890" w:leader="none"/>
        </w:tabs>
        <w:bidi w:val="0"/>
        <w:ind w:hanging="360" w:left="890"/>
        <w:jc w:val="left"/>
        <w:rPr/>
      </w:pPr>
      <w:r>
        <w:rPr/>
        <w:t xml:space="preserve">Beregn den standardiserede mortalitetsratio (SMR) og den indirekte standardiserede mortalitetsrate. </w:t>
      </w:r>
    </w:p>
    <w:p>
      <w:pPr>
        <w:pStyle w:val="BodyText"/>
        <w:numPr>
          <w:ilvl w:val="0"/>
          <w:numId w:val="16"/>
        </w:numPr>
        <w:tabs>
          <w:tab w:val="clear" w:pos="1134"/>
          <w:tab w:val="left" w:pos="890" w:leader="none"/>
        </w:tabs>
        <w:bidi w:val="0"/>
        <w:ind w:hanging="360" w:left="890"/>
        <w:jc w:val="left"/>
        <w:rPr/>
      </w:pPr>
      <w:r>
        <w:rPr/>
        <w:t xml:space="preserve">Anvend samme metode til at beregne SMR og den indirekte standardiserede mortalitetsrate for USA. </w:t>
      </w:r>
    </w:p>
    <w:p>
      <w:pPr>
        <w:pStyle w:val="BodyText"/>
        <w:numPr>
          <w:ilvl w:val="0"/>
          <w:numId w:val="16"/>
        </w:numPr>
        <w:tabs>
          <w:tab w:val="clear" w:pos="1134"/>
          <w:tab w:val="left" w:pos="890" w:leader="none"/>
        </w:tabs>
        <w:bidi w:val="0"/>
        <w:ind w:hanging="360" w:left="890"/>
        <w:jc w:val="left"/>
        <w:rPr/>
      </w:pPr>
      <w:r>
        <w:rPr/>
        <w:t xml:space="preserve">Rapporter disse resultater i tekstform. På baggrund af disse resultater, diskutér forskellene i mortalitet mellem Danmark og Indonesien samt Danmark og USA. Diskuter om resultaterne kan bruges til at sammenligne mortaliteten mellem Indonesien og USA i 2022. </w:t>
      </w:r>
    </w:p>
    <w:p>
      <w:pPr>
        <w:pStyle w:val="Heading201unnumbered"/>
        <w:bidi w:val="0"/>
        <w:jc w:val="left"/>
        <w:outlineLvl w:val="0"/>
        <w:rPr/>
      </w:pPr>
      <w:bookmarkStart w:id="22" w:name="OrgXref.orge6f2402"/>
      <w:bookmarkStart w:id="23" w:name="orge6f2402"/>
      <w:bookmarkEnd w:id="23"/>
      <w:r>
        <w:rPr/>
        <w:t xml:space="preserve">Dine svar til opgave 4 </w:t>
      </w:r>
      <w:bookmarkEnd w:id="22"/>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sectPr>
      <w:footnotePr>
        <w:numFmt w:val="decimal"/>
      </w:footnotePr>
      <w:type w:val="continuous"/>
      <w:pgSz w:w="11906" w:h="16838"/>
      <w:pgMar w:left="1134" w:right="1134" w:gutter="0" w:header="0" w:top="1134" w:footer="1134" w:bottom="186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tinus Serif">
    <w:altName w:val="Linux Libertine O"/>
    <w:charset w:val="01"/>
    <w:family w:val="auto"/>
    <w:pitch w:val="default"/>
  </w:font>
  <w:font w:name="Courier New">
    <w:charset w:val="01"/>
    <w:family w:val="modern"/>
    <w:pitch w:val="fixed"/>
  </w:font>
  <w:font w:name="Arial">
    <w:charset w:val="01"/>
    <w:family w:val="swiss"/>
    <w:pitch w:val="variable"/>
  </w:font>
  <w:font w:name="Tahoma1">
    <w:charset w:val="01"/>
    <w:family w:val="auto"/>
    <w:pitch w:val="default"/>
  </w:font>
  <w:font w:name="Times New Roman">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6</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Text"/>
        <w:suppressLineNumbers/>
        <w:bidi w:val="0"/>
        <w:ind w:hanging="283" w:left="283" w:right="0"/>
        <w:jc w:val="left"/>
        <w:rPr/>
      </w:pPr>
      <w:r>
        <w:rPr>
          <w:rStyle w:val="FootnoteCharacters"/>
        </w:rPr>
        <w:footnoteRef/>
      </w:r>
      <w:hyperlink r:id="rId1">
        <w:r>
          <w:rPr>
            <w:rStyle w:val="Hyperlink"/>
          </w:rPr>
          <w:tab/>
          <w:t>https://www.census.gov/programs-surveys/international-programs/about/idb.html</w:t>
        </w:r>
      </w:hyperlink>
      <w:r>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432" w:hanging="432"/>
      </w:pPr>
    </w:lvl>
    <w:lvl w:ilvl="1">
      <w:start w:val="1"/>
      <w:pStyle w:val="Heading2"/>
      <w:numFmt w:val="none"/>
      <w:suff w:val="nothing"/>
      <w:lvlText w:val="%2"/>
      <w:lvlJc w:val="left"/>
      <w:pPr>
        <w:tabs>
          <w:tab w:val="num" w:pos="0"/>
        </w:tabs>
        <w:ind w:left="576" w:hanging="576"/>
      </w:pPr>
    </w:lvl>
    <w:lvl w:ilvl="2">
      <w:start w:val="1"/>
      <w:pStyle w:val="Heading3"/>
      <w:numFmt w:val="none"/>
      <w:suff w:val="nothing"/>
      <w:lvlText w:val="%3"/>
      <w:lvlJc w:val="left"/>
      <w:pPr>
        <w:tabs>
          <w:tab w:val="num" w:pos="0"/>
        </w:tabs>
        <w:ind w:left="720" w:hanging="720"/>
      </w:pPr>
    </w:lvl>
    <w:lvl w:ilvl="3">
      <w:start w:val="1"/>
      <w:pStyle w:val="Heading4"/>
      <w:numFmt w:val="none"/>
      <w:suff w:val="nothing"/>
      <w:lvlText w:val="%4"/>
      <w:lvlJc w:val="left"/>
      <w:pPr>
        <w:tabs>
          <w:tab w:val="num" w:pos="0"/>
        </w:tabs>
        <w:ind w:left="864" w:hanging="864"/>
      </w:pPr>
    </w:lvl>
    <w:lvl w:ilvl="4">
      <w:start w:val="1"/>
      <w:pStyle w:val="Heading5"/>
      <w:numFmt w:val="none"/>
      <w:suff w:val="nothing"/>
      <w:lvlText w:val="%5"/>
      <w:lvlJc w:val="left"/>
      <w:pPr>
        <w:tabs>
          <w:tab w:val="num" w:pos="0"/>
        </w:tabs>
        <w:ind w:left="1008" w:hanging="1008"/>
      </w:pPr>
    </w:lvl>
    <w:lvl w:ilvl="5">
      <w:start w:val="1"/>
      <w:pStyle w:val="Heading6"/>
      <w:numFmt w:val="none"/>
      <w:suff w:val="nothing"/>
      <w:lvlText w:val="%6"/>
      <w:lvlJc w:val="left"/>
      <w:pPr>
        <w:tabs>
          <w:tab w:val="num" w:pos="0"/>
        </w:tabs>
        <w:ind w:left="1152" w:hanging="1152"/>
      </w:pPr>
    </w:lvl>
    <w:lvl w:ilvl="6">
      <w:start w:val="1"/>
      <w:pStyle w:val="Heading7"/>
      <w:numFmt w:val="none"/>
      <w:suff w:val="nothing"/>
      <w:lvlText w:val="%7"/>
      <w:lvlJc w:val="left"/>
      <w:pPr>
        <w:tabs>
          <w:tab w:val="num" w:pos="0"/>
        </w:tabs>
        <w:ind w:left="1296" w:hanging="1296"/>
      </w:pPr>
    </w:lvl>
    <w:lvl w:ilvl="7">
      <w:start w:val="1"/>
      <w:pStyle w:val="Heading8"/>
      <w:numFmt w:val="none"/>
      <w:suff w:val="nothing"/>
      <w:lvlText w:val="%8"/>
      <w:lvlJc w:val="left"/>
      <w:pPr>
        <w:tabs>
          <w:tab w:val="num" w:pos="0"/>
        </w:tabs>
        <w:ind w:left="1440" w:hanging="1440"/>
      </w:pPr>
    </w:lvl>
    <w:lvl w:ilvl="8">
      <w:start w:val="1"/>
      <w:pStyle w:val="Heading9"/>
      <w:numFmt w:val="none"/>
      <w:suff w:val="nothing"/>
      <w:lvlText w:val="%9"/>
      <w:lvlJc w:val="left"/>
      <w:pPr>
        <w:tabs>
          <w:tab w:val="num" w:pos="0"/>
        </w:tabs>
        <w:ind w:left="1584" w:hanging="1584"/>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2"/>
    <w:lvlOverride w:ilvl="0">
      <w:startOverride w:val="1"/>
    </w:lvlOverride>
  </w:num>
  <w:num w:numId="5">
    <w:abstractNumId w:val="5"/>
  </w:num>
  <w:num w:numId="6">
    <w:abstractNumId w:val="5"/>
    <w:lvlOverride w:ilvl="0">
      <w:startOverride w:val="1"/>
    </w:lvlOverride>
  </w:num>
  <w:num w:numId="7">
    <w:abstractNumId w:val="5"/>
    <w:lvlOverride w:ilvl="0">
      <w:lvl w:ilvl="0">
        <w:start w:val="1"/>
        <w:numFmt w:val="bullet"/>
        <w:lvlText w:val=""/>
        <w:lvlJc w:val="left"/>
        <w:pPr>
          <w:tabs>
            <w:tab w:val="num" w:pos="720"/>
          </w:tabs>
          <w:ind w:left="720" w:hanging="360"/>
        </w:pPr>
        <w:rPr>
          <w:rFonts w:ascii="Symbol" w:hAnsi="Symbol" w:cs="Symbol" w:hint="default"/>
        </w:rPr>
      </w:lvl>
    </w:lvlOverride>
    <w:lvlOverride w:ilvl="0">
      <w:startOverride w:val="1"/>
    </w:lvlOverride>
    <w:lvlOverride w:ilvl="1">
      <w:lvl w:ilvl="1">
        <w:start w:val="1"/>
        <w:numFmt w:val="bullet"/>
        <w:lvlText w:val=""/>
        <w:lvlJc w:val="left"/>
        <w:pPr>
          <w:tabs>
            <w:tab w:val="num" w:pos="1080"/>
          </w:tabs>
          <w:ind w:left="1080" w:hanging="360"/>
        </w:pPr>
        <w:rPr>
          <w:rFonts w:ascii="Symbol" w:hAnsi="Symbol" w:cs="Symbol" w:hint="default"/>
        </w:rPr>
      </w:lvl>
    </w:lvlOverride>
    <w:lvlOverride w:ilvl="1">
      <w:startOverride w:val="1"/>
    </w:lvlOverride>
    <w:lvlOverride w:ilvl="2">
      <w:lvl w:ilvl="2">
        <w:start w:val="1"/>
        <w:numFmt w:val="bullet"/>
        <w:lvlText w:val=""/>
        <w:lvlJc w:val="left"/>
        <w:pPr>
          <w:tabs>
            <w:tab w:val="num" w:pos="1440"/>
          </w:tabs>
          <w:ind w:left="1440" w:hanging="360"/>
        </w:pPr>
        <w:rPr>
          <w:rFonts w:ascii="Symbol" w:hAnsi="Symbol" w:cs="Symbol" w:hint="default"/>
        </w:rPr>
      </w:lvl>
    </w:lvlOverride>
    <w:lvlOverride w:ilvl="2">
      <w:startOverride w:val="1"/>
    </w:lvlOverride>
    <w:lvlOverride w:ilvl="3">
      <w:lvl w:ilvl="3">
        <w:start w:val="1"/>
        <w:numFmt w:val="bullet"/>
        <w:lvlText w:val=""/>
        <w:lvlJc w:val="left"/>
        <w:pPr>
          <w:tabs>
            <w:tab w:val="num" w:pos="1800"/>
          </w:tabs>
          <w:ind w:left="1800" w:hanging="360"/>
        </w:pPr>
        <w:rPr>
          <w:rFonts w:ascii="Symbol" w:hAnsi="Symbol" w:cs="Symbol" w:hint="default"/>
        </w:rPr>
      </w:lvl>
    </w:lvlOverride>
    <w:lvlOverride w:ilvl="3">
      <w:startOverride w:val="1"/>
    </w:lvlOverride>
    <w:lvlOverride w:ilvl="4">
      <w:lvl w:ilvl="4">
        <w:start w:val="1"/>
        <w:numFmt w:val="bullet"/>
        <w:lvlText w:val=""/>
        <w:lvlJc w:val="left"/>
        <w:pPr>
          <w:tabs>
            <w:tab w:val="num" w:pos="2160"/>
          </w:tabs>
          <w:ind w:left="2160" w:hanging="360"/>
        </w:pPr>
        <w:rPr>
          <w:rFonts w:ascii="Symbol" w:hAnsi="Symbol" w:cs="Symbol" w:hint="default"/>
        </w:rPr>
      </w:lvl>
    </w:lvlOverride>
    <w:lvlOverride w:ilvl="4">
      <w:startOverride w:val="1"/>
    </w:lvlOverride>
    <w:lvlOverride w:ilvl="5">
      <w:lvl w:ilvl="5">
        <w:start w:val="1"/>
        <w:numFmt w:val="bullet"/>
        <w:lvlText w:val=""/>
        <w:lvlJc w:val="left"/>
        <w:pPr>
          <w:tabs>
            <w:tab w:val="num" w:pos="2520"/>
          </w:tabs>
          <w:ind w:left="2520" w:hanging="360"/>
        </w:pPr>
        <w:rPr>
          <w:rFonts w:ascii="Symbol" w:hAnsi="Symbol" w:cs="Symbol" w:hint="default"/>
        </w:rPr>
      </w:lvl>
    </w:lvlOverride>
    <w:lvlOverride w:ilvl="5">
      <w:startOverride w:val="1"/>
    </w:lvlOverride>
    <w:lvlOverride w:ilvl="6">
      <w:lvl w:ilvl="6">
        <w:start w:val="1"/>
        <w:numFmt w:val="bullet"/>
        <w:lvlText w:val=""/>
        <w:lvlJc w:val="left"/>
        <w:pPr>
          <w:tabs>
            <w:tab w:val="num" w:pos="2880"/>
          </w:tabs>
          <w:ind w:left="2880" w:hanging="360"/>
        </w:pPr>
        <w:rPr>
          <w:rFonts w:ascii="Symbol" w:hAnsi="Symbol" w:cs="Symbol" w:hint="default"/>
        </w:rPr>
      </w:lvl>
    </w:lvlOverride>
    <w:lvlOverride w:ilvl="6">
      <w:startOverride w:val="1"/>
    </w:lvlOverride>
    <w:lvlOverride w:ilvl="7">
      <w:lvl w:ilvl="7">
        <w:start w:val="1"/>
        <w:numFmt w:val="bullet"/>
        <w:lvlText w:val=""/>
        <w:lvlJc w:val="left"/>
        <w:pPr>
          <w:tabs>
            <w:tab w:val="num" w:pos="3240"/>
          </w:tabs>
          <w:ind w:left="3240" w:hanging="360"/>
        </w:pPr>
        <w:rPr>
          <w:rFonts w:ascii="Symbol" w:hAnsi="Symbol" w:cs="Symbol" w:hint="default"/>
        </w:rPr>
      </w:lvl>
    </w:lvlOverride>
    <w:lvlOverride w:ilvl="7">
      <w:startOverride w:val="1"/>
    </w:lvlOverride>
    <w:lvlOverride w:ilvl="8">
      <w:lvl w:ilvl="8">
        <w:start w:val="1"/>
        <w:numFmt w:val="bullet"/>
        <w:lvlText w:val=""/>
        <w:lvlJc w:val="left"/>
        <w:pPr>
          <w:tabs>
            <w:tab w:val="num" w:pos="3600"/>
          </w:tabs>
          <w:ind w:left="3600" w:hanging="360"/>
        </w:pPr>
        <w:rPr>
          <w:rFonts w:ascii="Symbol" w:hAnsi="Symbol" w:cs="Symbol" w:hint="default"/>
        </w:rPr>
      </w:lvl>
    </w:lvlOverride>
  </w:num>
  <w:num w:numId="8">
    <w:abstractNumId w:val="5"/>
    <w:lvlOverride w:ilvl="0">
      <w:lvl w:ilvl="0">
        <w:start w:val="1"/>
        <w:numFmt w:val="bullet"/>
        <w:lvlText w:val=""/>
        <w:lvlJc w:val="left"/>
        <w:pPr>
          <w:tabs>
            <w:tab w:val="num" w:pos="720"/>
          </w:tabs>
          <w:ind w:left="720" w:hanging="360"/>
        </w:pPr>
        <w:rPr>
          <w:rFonts w:ascii="Symbol" w:hAnsi="Symbol" w:cs="Symbol" w:hint="default"/>
        </w:rPr>
      </w:lvl>
    </w:lvlOverride>
    <w:lvlOverride w:ilvl="0">
      <w:startOverride w:val="1"/>
    </w:lvlOverride>
    <w:lvlOverride w:ilvl="1">
      <w:lvl w:ilvl="1">
        <w:start w:val="1"/>
        <w:numFmt w:val="bullet"/>
        <w:lvlText w:val=""/>
        <w:lvlJc w:val="left"/>
        <w:pPr>
          <w:tabs>
            <w:tab w:val="num" w:pos="1080"/>
          </w:tabs>
          <w:ind w:left="1080" w:hanging="360"/>
        </w:pPr>
        <w:rPr>
          <w:rFonts w:ascii="Symbol" w:hAnsi="Symbol" w:cs="Symbol" w:hint="default"/>
        </w:rPr>
      </w:lvl>
    </w:lvlOverride>
    <w:lvlOverride w:ilvl="1">
      <w:startOverride w:val="1"/>
    </w:lvlOverride>
    <w:lvlOverride w:ilvl="2">
      <w:lvl w:ilvl="2">
        <w:start w:val="1"/>
        <w:numFmt w:val="bullet"/>
        <w:lvlText w:val=""/>
        <w:lvlJc w:val="left"/>
        <w:pPr>
          <w:tabs>
            <w:tab w:val="num" w:pos="1440"/>
          </w:tabs>
          <w:ind w:left="1440" w:hanging="360"/>
        </w:pPr>
        <w:rPr>
          <w:rFonts w:ascii="Symbol" w:hAnsi="Symbol" w:cs="Symbol" w:hint="default"/>
        </w:rPr>
      </w:lvl>
    </w:lvlOverride>
    <w:lvlOverride w:ilvl="2">
      <w:startOverride w:val="1"/>
    </w:lvlOverride>
    <w:lvlOverride w:ilvl="3">
      <w:lvl w:ilvl="3">
        <w:start w:val="1"/>
        <w:numFmt w:val="bullet"/>
        <w:lvlText w:val=""/>
        <w:lvlJc w:val="left"/>
        <w:pPr>
          <w:tabs>
            <w:tab w:val="num" w:pos="1800"/>
          </w:tabs>
          <w:ind w:left="1800" w:hanging="360"/>
        </w:pPr>
        <w:rPr>
          <w:rFonts w:ascii="Symbol" w:hAnsi="Symbol" w:cs="Symbol" w:hint="default"/>
        </w:rPr>
      </w:lvl>
    </w:lvlOverride>
    <w:lvlOverride w:ilvl="3">
      <w:startOverride w:val="1"/>
    </w:lvlOverride>
    <w:lvlOverride w:ilvl="4">
      <w:lvl w:ilvl="4">
        <w:start w:val="1"/>
        <w:numFmt w:val="bullet"/>
        <w:lvlText w:val=""/>
        <w:lvlJc w:val="left"/>
        <w:pPr>
          <w:tabs>
            <w:tab w:val="num" w:pos="2160"/>
          </w:tabs>
          <w:ind w:left="2160" w:hanging="360"/>
        </w:pPr>
        <w:rPr>
          <w:rFonts w:ascii="Symbol" w:hAnsi="Symbol" w:cs="Symbol" w:hint="default"/>
        </w:rPr>
      </w:lvl>
    </w:lvlOverride>
    <w:lvlOverride w:ilvl="4">
      <w:startOverride w:val="1"/>
    </w:lvlOverride>
    <w:lvlOverride w:ilvl="5">
      <w:lvl w:ilvl="5">
        <w:start w:val="1"/>
        <w:numFmt w:val="bullet"/>
        <w:lvlText w:val=""/>
        <w:lvlJc w:val="left"/>
        <w:pPr>
          <w:tabs>
            <w:tab w:val="num" w:pos="2520"/>
          </w:tabs>
          <w:ind w:left="2520" w:hanging="360"/>
        </w:pPr>
        <w:rPr>
          <w:rFonts w:ascii="Symbol" w:hAnsi="Symbol" w:cs="Symbol" w:hint="default"/>
        </w:rPr>
      </w:lvl>
    </w:lvlOverride>
    <w:lvlOverride w:ilvl="5">
      <w:startOverride w:val="1"/>
    </w:lvlOverride>
    <w:lvlOverride w:ilvl="6">
      <w:lvl w:ilvl="6">
        <w:start w:val="1"/>
        <w:numFmt w:val="bullet"/>
        <w:lvlText w:val=""/>
        <w:lvlJc w:val="left"/>
        <w:pPr>
          <w:tabs>
            <w:tab w:val="num" w:pos="2880"/>
          </w:tabs>
          <w:ind w:left="2880" w:hanging="360"/>
        </w:pPr>
        <w:rPr>
          <w:rFonts w:ascii="Symbol" w:hAnsi="Symbol" w:cs="Symbol" w:hint="default"/>
        </w:rPr>
      </w:lvl>
    </w:lvlOverride>
    <w:lvlOverride w:ilvl="6">
      <w:startOverride w:val="1"/>
    </w:lvlOverride>
    <w:lvlOverride w:ilvl="7">
      <w:lvl w:ilvl="7">
        <w:start w:val="1"/>
        <w:numFmt w:val="bullet"/>
        <w:lvlText w:val=""/>
        <w:lvlJc w:val="left"/>
        <w:pPr>
          <w:tabs>
            <w:tab w:val="num" w:pos="3240"/>
          </w:tabs>
          <w:ind w:left="3240" w:hanging="360"/>
        </w:pPr>
        <w:rPr>
          <w:rFonts w:ascii="Symbol" w:hAnsi="Symbol" w:cs="Symbol" w:hint="default"/>
        </w:rPr>
      </w:lvl>
    </w:lvlOverride>
    <w:lvlOverride w:ilvl="7">
      <w:startOverride w:val="1"/>
    </w:lvlOverride>
    <w:lvlOverride w:ilvl="8">
      <w:lvl w:ilvl="8">
        <w:start w:val="1"/>
        <w:numFmt w:val="bullet"/>
        <w:lvlText w:val=""/>
        <w:lvlJc w:val="left"/>
        <w:pPr>
          <w:tabs>
            <w:tab w:val="num" w:pos="3600"/>
          </w:tabs>
          <w:ind w:left="3600" w:hanging="360"/>
        </w:pPr>
        <w:rPr>
          <w:rFonts w:ascii="Symbol" w:hAnsi="Symbol" w:cs="Symbol" w:hint="default"/>
        </w:rPr>
      </w:lvl>
    </w:lvlOverride>
  </w:num>
  <w:num w:numId="9">
    <w:abstractNumId w:val="5"/>
    <w:lvlOverride w:ilvl="0">
      <w:lvl w:ilvl="0">
        <w:start w:val="1"/>
        <w:numFmt w:val="bullet"/>
        <w:lvlText w:val=""/>
        <w:lvlJc w:val="left"/>
        <w:pPr>
          <w:tabs>
            <w:tab w:val="num" w:pos="720"/>
          </w:tabs>
          <w:ind w:left="720" w:hanging="360"/>
        </w:pPr>
        <w:rPr>
          <w:rFonts w:ascii="Symbol" w:hAnsi="Symbol" w:cs="Symbol" w:hint="default"/>
        </w:rPr>
      </w:lvl>
    </w:lvlOverride>
    <w:lvlOverride w:ilvl="0">
      <w:startOverride w:val="1"/>
    </w:lvlOverride>
    <w:lvlOverride w:ilvl="1">
      <w:lvl w:ilvl="1">
        <w:start w:val="1"/>
        <w:numFmt w:val="bullet"/>
        <w:lvlText w:val=""/>
        <w:lvlJc w:val="left"/>
        <w:pPr>
          <w:tabs>
            <w:tab w:val="num" w:pos="1080"/>
          </w:tabs>
          <w:ind w:left="1080" w:hanging="360"/>
        </w:pPr>
        <w:rPr>
          <w:rFonts w:ascii="Symbol" w:hAnsi="Symbol" w:cs="Symbol" w:hint="default"/>
        </w:rPr>
      </w:lvl>
    </w:lvlOverride>
    <w:lvlOverride w:ilvl="1">
      <w:startOverride w:val="1"/>
    </w:lvlOverride>
    <w:lvlOverride w:ilvl="2">
      <w:lvl w:ilvl="2">
        <w:start w:val="1"/>
        <w:numFmt w:val="bullet"/>
        <w:lvlText w:val=""/>
        <w:lvlJc w:val="left"/>
        <w:pPr>
          <w:tabs>
            <w:tab w:val="num" w:pos="1440"/>
          </w:tabs>
          <w:ind w:left="1440" w:hanging="360"/>
        </w:pPr>
        <w:rPr>
          <w:rFonts w:ascii="Symbol" w:hAnsi="Symbol" w:cs="Symbol" w:hint="default"/>
        </w:rPr>
      </w:lvl>
    </w:lvlOverride>
    <w:lvlOverride w:ilvl="2">
      <w:startOverride w:val="1"/>
    </w:lvlOverride>
    <w:lvlOverride w:ilvl="3">
      <w:lvl w:ilvl="3">
        <w:start w:val="1"/>
        <w:numFmt w:val="bullet"/>
        <w:lvlText w:val=""/>
        <w:lvlJc w:val="left"/>
        <w:pPr>
          <w:tabs>
            <w:tab w:val="num" w:pos="1800"/>
          </w:tabs>
          <w:ind w:left="1800" w:hanging="360"/>
        </w:pPr>
        <w:rPr>
          <w:rFonts w:ascii="Symbol" w:hAnsi="Symbol" w:cs="Symbol" w:hint="default"/>
        </w:rPr>
      </w:lvl>
    </w:lvlOverride>
    <w:lvlOverride w:ilvl="3">
      <w:startOverride w:val="1"/>
    </w:lvlOverride>
    <w:lvlOverride w:ilvl="4">
      <w:lvl w:ilvl="4">
        <w:start w:val="1"/>
        <w:numFmt w:val="bullet"/>
        <w:lvlText w:val=""/>
        <w:lvlJc w:val="left"/>
        <w:pPr>
          <w:tabs>
            <w:tab w:val="num" w:pos="2160"/>
          </w:tabs>
          <w:ind w:left="2160" w:hanging="360"/>
        </w:pPr>
        <w:rPr>
          <w:rFonts w:ascii="Symbol" w:hAnsi="Symbol" w:cs="Symbol" w:hint="default"/>
        </w:rPr>
      </w:lvl>
    </w:lvlOverride>
    <w:lvlOverride w:ilvl="4">
      <w:startOverride w:val="1"/>
    </w:lvlOverride>
    <w:lvlOverride w:ilvl="5">
      <w:lvl w:ilvl="5">
        <w:start w:val="1"/>
        <w:numFmt w:val="bullet"/>
        <w:lvlText w:val=""/>
        <w:lvlJc w:val="left"/>
        <w:pPr>
          <w:tabs>
            <w:tab w:val="num" w:pos="2520"/>
          </w:tabs>
          <w:ind w:left="2520" w:hanging="360"/>
        </w:pPr>
        <w:rPr>
          <w:rFonts w:ascii="Symbol" w:hAnsi="Symbol" w:cs="Symbol" w:hint="default"/>
        </w:rPr>
      </w:lvl>
    </w:lvlOverride>
    <w:lvlOverride w:ilvl="5">
      <w:startOverride w:val="1"/>
    </w:lvlOverride>
    <w:lvlOverride w:ilvl="6">
      <w:lvl w:ilvl="6">
        <w:start w:val="1"/>
        <w:numFmt w:val="bullet"/>
        <w:lvlText w:val=""/>
        <w:lvlJc w:val="left"/>
        <w:pPr>
          <w:tabs>
            <w:tab w:val="num" w:pos="2880"/>
          </w:tabs>
          <w:ind w:left="2880" w:hanging="360"/>
        </w:pPr>
        <w:rPr>
          <w:rFonts w:ascii="Symbol" w:hAnsi="Symbol" w:cs="Symbol" w:hint="default"/>
        </w:rPr>
      </w:lvl>
    </w:lvlOverride>
    <w:lvlOverride w:ilvl="6">
      <w:startOverride w:val="1"/>
    </w:lvlOverride>
    <w:lvlOverride w:ilvl="7">
      <w:lvl w:ilvl="7">
        <w:start w:val="1"/>
        <w:numFmt w:val="bullet"/>
        <w:lvlText w:val=""/>
        <w:lvlJc w:val="left"/>
        <w:pPr>
          <w:tabs>
            <w:tab w:val="num" w:pos="3240"/>
          </w:tabs>
          <w:ind w:left="3240" w:hanging="360"/>
        </w:pPr>
        <w:rPr>
          <w:rFonts w:ascii="Symbol" w:hAnsi="Symbol" w:cs="Symbol" w:hint="default"/>
        </w:rPr>
      </w:lvl>
    </w:lvlOverride>
    <w:lvlOverride w:ilvl="7">
      <w:startOverride w:val="1"/>
    </w:lvlOverride>
    <w:lvlOverride w:ilvl="8">
      <w:lvl w:ilvl="8">
        <w:start w:val="1"/>
        <w:numFmt w:val="bullet"/>
        <w:lvlText w:val=""/>
        <w:lvlJc w:val="left"/>
        <w:pPr>
          <w:tabs>
            <w:tab w:val="num" w:pos="3600"/>
          </w:tabs>
          <w:ind w:left="3600" w:hanging="360"/>
        </w:pPr>
        <w:rPr>
          <w:rFonts w:ascii="Symbol" w:hAnsi="Symbol" w:cs="Symbol" w:hint="default"/>
        </w:rPr>
      </w:lvl>
    </w:lvlOverride>
  </w:num>
  <w:num w:numId="10">
    <w:abstractNumId w:val="5"/>
    <w:lvlOverride w:ilvl="0">
      <w:lvl w:ilvl="0">
        <w:start w:val="1"/>
        <w:numFmt w:val="bullet"/>
        <w:lvlText w:val=""/>
        <w:lvlJc w:val="left"/>
        <w:pPr>
          <w:tabs>
            <w:tab w:val="num" w:pos="720"/>
          </w:tabs>
          <w:ind w:left="720" w:hanging="360"/>
        </w:pPr>
        <w:rPr>
          <w:rFonts w:ascii="Symbol" w:hAnsi="Symbol" w:cs="Symbol" w:hint="default"/>
        </w:rPr>
      </w:lvl>
    </w:lvlOverride>
    <w:lvlOverride w:ilvl="0">
      <w:startOverride w:val="1"/>
    </w:lvlOverride>
    <w:lvlOverride w:ilvl="1">
      <w:lvl w:ilvl="1">
        <w:start w:val="1"/>
        <w:numFmt w:val="bullet"/>
        <w:lvlText w:val=""/>
        <w:lvlJc w:val="left"/>
        <w:pPr>
          <w:tabs>
            <w:tab w:val="num" w:pos="1080"/>
          </w:tabs>
          <w:ind w:left="1080" w:hanging="360"/>
        </w:pPr>
        <w:rPr>
          <w:rFonts w:ascii="Symbol" w:hAnsi="Symbol" w:cs="Symbol" w:hint="default"/>
        </w:rPr>
      </w:lvl>
    </w:lvlOverride>
    <w:lvlOverride w:ilvl="1">
      <w:startOverride w:val="1"/>
    </w:lvlOverride>
    <w:lvlOverride w:ilvl="2">
      <w:lvl w:ilvl="2">
        <w:start w:val="1"/>
        <w:numFmt w:val="bullet"/>
        <w:lvlText w:val=""/>
        <w:lvlJc w:val="left"/>
        <w:pPr>
          <w:tabs>
            <w:tab w:val="num" w:pos="1440"/>
          </w:tabs>
          <w:ind w:left="1440" w:hanging="360"/>
        </w:pPr>
        <w:rPr>
          <w:rFonts w:ascii="Symbol" w:hAnsi="Symbol" w:cs="Symbol" w:hint="default"/>
        </w:rPr>
      </w:lvl>
    </w:lvlOverride>
    <w:lvlOverride w:ilvl="2">
      <w:startOverride w:val="1"/>
    </w:lvlOverride>
    <w:lvlOverride w:ilvl="3">
      <w:lvl w:ilvl="3">
        <w:start w:val="1"/>
        <w:numFmt w:val="bullet"/>
        <w:lvlText w:val=""/>
        <w:lvlJc w:val="left"/>
        <w:pPr>
          <w:tabs>
            <w:tab w:val="num" w:pos="1800"/>
          </w:tabs>
          <w:ind w:left="1800" w:hanging="360"/>
        </w:pPr>
        <w:rPr>
          <w:rFonts w:ascii="Symbol" w:hAnsi="Symbol" w:cs="Symbol" w:hint="default"/>
        </w:rPr>
      </w:lvl>
    </w:lvlOverride>
    <w:lvlOverride w:ilvl="3">
      <w:startOverride w:val="1"/>
    </w:lvlOverride>
    <w:lvlOverride w:ilvl="4">
      <w:lvl w:ilvl="4">
        <w:start w:val="1"/>
        <w:numFmt w:val="bullet"/>
        <w:lvlText w:val=""/>
        <w:lvlJc w:val="left"/>
        <w:pPr>
          <w:tabs>
            <w:tab w:val="num" w:pos="2160"/>
          </w:tabs>
          <w:ind w:left="2160" w:hanging="360"/>
        </w:pPr>
        <w:rPr>
          <w:rFonts w:ascii="Symbol" w:hAnsi="Symbol" w:cs="Symbol" w:hint="default"/>
        </w:rPr>
      </w:lvl>
    </w:lvlOverride>
    <w:lvlOverride w:ilvl="4">
      <w:startOverride w:val="1"/>
    </w:lvlOverride>
    <w:lvlOverride w:ilvl="5">
      <w:lvl w:ilvl="5">
        <w:start w:val="1"/>
        <w:numFmt w:val="bullet"/>
        <w:lvlText w:val=""/>
        <w:lvlJc w:val="left"/>
        <w:pPr>
          <w:tabs>
            <w:tab w:val="num" w:pos="2520"/>
          </w:tabs>
          <w:ind w:left="2520" w:hanging="360"/>
        </w:pPr>
        <w:rPr>
          <w:rFonts w:ascii="Symbol" w:hAnsi="Symbol" w:cs="Symbol" w:hint="default"/>
        </w:rPr>
      </w:lvl>
    </w:lvlOverride>
    <w:lvlOverride w:ilvl="5">
      <w:startOverride w:val="1"/>
    </w:lvlOverride>
    <w:lvlOverride w:ilvl="6">
      <w:lvl w:ilvl="6">
        <w:start w:val="1"/>
        <w:numFmt w:val="bullet"/>
        <w:lvlText w:val=""/>
        <w:lvlJc w:val="left"/>
        <w:pPr>
          <w:tabs>
            <w:tab w:val="num" w:pos="2880"/>
          </w:tabs>
          <w:ind w:left="2880" w:hanging="360"/>
        </w:pPr>
        <w:rPr>
          <w:rFonts w:ascii="Symbol" w:hAnsi="Symbol" w:cs="Symbol" w:hint="default"/>
        </w:rPr>
      </w:lvl>
    </w:lvlOverride>
    <w:lvlOverride w:ilvl="6">
      <w:startOverride w:val="1"/>
    </w:lvlOverride>
    <w:lvlOverride w:ilvl="7">
      <w:lvl w:ilvl="7">
        <w:start w:val="1"/>
        <w:numFmt w:val="bullet"/>
        <w:lvlText w:val=""/>
        <w:lvlJc w:val="left"/>
        <w:pPr>
          <w:tabs>
            <w:tab w:val="num" w:pos="3240"/>
          </w:tabs>
          <w:ind w:left="3240" w:hanging="360"/>
        </w:pPr>
        <w:rPr>
          <w:rFonts w:ascii="Symbol" w:hAnsi="Symbol" w:cs="Symbol" w:hint="default"/>
        </w:rPr>
      </w:lvl>
    </w:lvlOverride>
    <w:lvlOverride w:ilvl="7">
      <w:startOverride w:val="1"/>
    </w:lvlOverride>
    <w:lvlOverride w:ilvl="8">
      <w:lvl w:ilvl="8">
        <w:start w:val="1"/>
        <w:numFmt w:val="bullet"/>
        <w:lvlText w:val=""/>
        <w:lvlJc w:val="left"/>
        <w:pPr>
          <w:tabs>
            <w:tab w:val="num" w:pos="3600"/>
          </w:tabs>
          <w:ind w:left="3600" w:hanging="360"/>
        </w:pPr>
        <w:rPr>
          <w:rFonts w:ascii="Symbol" w:hAnsi="Symbol" w:cs="Symbol" w:hint="default"/>
        </w:rPr>
      </w:lvl>
    </w:lvlOverride>
  </w:num>
  <w:num w:numId="11">
    <w:abstractNumId w:val="5"/>
    <w:lvlOverride w:ilvl="0">
      <w:lvl w:ilvl="0">
        <w:start w:val="1"/>
        <w:numFmt w:val="bullet"/>
        <w:lvlText w:val=""/>
        <w:lvlJc w:val="left"/>
        <w:pPr>
          <w:tabs>
            <w:tab w:val="num" w:pos="720"/>
          </w:tabs>
          <w:ind w:left="720" w:hanging="360"/>
        </w:pPr>
        <w:rPr>
          <w:rFonts w:ascii="Symbol" w:hAnsi="Symbol" w:cs="Symbol" w:hint="default"/>
        </w:rPr>
      </w:lvl>
    </w:lvlOverride>
    <w:lvlOverride w:ilvl="0">
      <w:startOverride w:val="1"/>
    </w:lvlOverride>
    <w:lvlOverride w:ilvl="1">
      <w:lvl w:ilvl="1">
        <w:start w:val="1"/>
        <w:numFmt w:val="bullet"/>
        <w:lvlText w:val=""/>
        <w:lvlJc w:val="left"/>
        <w:pPr>
          <w:tabs>
            <w:tab w:val="num" w:pos="1080"/>
          </w:tabs>
          <w:ind w:left="1080" w:hanging="360"/>
        </w:pPr>
        <w:rPr>
          <w:rFonts w:ascii="Symbol" w:hAnsi="Symbol" w:cs="Symbol" w:hint="default"/>
        </w:rPr>
      </w:lvl>
    </w:lvlOverride>
    <w:lvlOverride w:ilvl="1">
      <w:startOverride w:val="1"/>
    </w:lvlOverride>
    <w:lvlOverride w:ilvl="2">
      <w:lvl w:ilvl="2">
        <w:start w:val="1"/>
        <w:numFmt w:val="bullet"/>
        <w:lvlText w:val=""/>
        <w:lvlJc w:val="left"/>
        <w:pPr>
          <w:tabs>
            <w:tab w:val="num" w:pos="1440"/>
          </w:tabs>
          <w:ind w:left="1440" w:hanging="360"/>
        </w:pPr>
        <w:rPr>
          <w:rFonts w:ascii="Symbol" w:hAnsi="Symbol" w:cs="Symbol" w:hint="default"/>
        </w:rPr>
      </w:lvl>
    </w:lvlOverride>
    <w:lvlOverride w:ilvl="2">
      <w:startOverride w:val="1"/>
    </w:lvlOverride>
    <w:lvlOverride w:ilvl="3">
      <w:lvl w:ilvl="3">
        <w:start w:val="1"/>
        <w:numFmt w:val="bullet"/>
        <w:lvlText w:val=""/>
        <w:lvlJc w:val="left"/>
        <w:pPr>
          <w:tabs>
            <w:tab w:val="num" w:pos="1800"/>
          </w:tabs>
          <w:ind w:left="1800" w:hanging="360"/>
        </w:pPr>
        <w:rPr>
          <w:rFonts w:ascii="Symbol" w:hAnsi="Symbol" w:cs="Symbol" w:hint="default"/>
        </w:rPr>
      </w:lvl>
    </w:lvlOverride>
    <w:lvlOverride w:ilvl="3">
      <w:startOverride w:val="1"/>
    </w:lvlOverride>
    <w:lvlOverride w:ilvl="4">
      <w:lvl w:ilvl="4">
        <w:start w:val="1"/>
        <w:numFmt w:val="bullet"/>
        <w:lvlText w:val=""/>
        <w:lvlJc w:val="left"/>
        <w:pPr>
          <w:tabs>
            <w:tab w:val="num" w:pos="2160"/>
          </w:tabs>
          <w:ind w:left="2160" w:hanging="360"/>
        </w:pPr>
        <w:rPr>
          <w:rFonts w:ascii="Symbol" w:hAnsi="Symbol" w:cs="Symbol" w:hint="default"/>
        </w:rPr>
      </w:lvl>
    </w:lvlOverride>
    <w:lvlOverride w:ilvl="4">
      <w:startOverride w:val="1"/>
    </w:lvlOverride>
    <w:lvlOverride w:ilvl="5">
      <w:lvl w:ilvl="5">
        <w:start w:val="1"/>
        <w:numFmt w:val="bullet"/>
        <w:lvlText w:val=""/>
        <w:lvlJc w:val="left"/>
        <w:pPr>
          <w:tabs>
            <w:tab w:val="num" w:pos="2520"/>
          </w:tabs>
          <w:ind w:left="2520" w:hanging="360"/>
        </w:pPr>
        <w:rPr>
          <w:rFonts w:ascii="Symbol" w:hAnsi="Symbol" w:cs="Symbol" w:hint="default"/>
        </w:rPr>
      </w:lvl>
    </w:lvlOverride>
    <w:lvlOverride w:ilvl="5">
      <w:startOverride w:val="1"/>
    </w:lvlOverride>
    <w:lvlOverride w:ilvl="6">
      <w:lvl w:ilvl="6">
        <w:start w:val="1"/>
        <w:numFmt w:val="bullet"/>
        <w:lvlText w:val=""/>
        <w:lvlJc w:val="left"/>
        <w:pPr>
          <w:tabs>
            <w:tab w:val="num" w:pos="2880"/>
          </w:tabs>
          <w:ind w:left="2880" w:hanging="360"/>
        </w:pPr>
        <w:rPr>
          <w:rFonts w:ascii="Symbol" w:hAnsi="Symbol" w:cs="Symbol" w:hint="default"/>
        </w:rPr>
      </w:lvl>
    </w:lvlOverride>
    <w:lvlOverride w:ilvl="6">
      <w:startOverride w:val="1"/>
    </w:lvlOverride>
    <w:lvlOverride w:ilvl="7">
      <w:lvl w:ilvl="7">
        <w:start w:val="1"/>
        <w:numFmt w:val="bullet"/>
        <w:lvlText w:val=""/>
        <w:lvlJc w:val="left"/>
        <w:pPr>
          <w:tabs>
            <w:tab w:val="num" w:pos="3240"/>
          </w:tabs>
          <w:ind w:left="3240" w:hanging="360"/>
        </w:pPr>
        <w:rPr>
          <w:rFonts w:ascii="Symbol" w:hAnsi="Symbol" w:cs="Symbol" w:hint="default"/>
        </w:rPr>
      </w:lvl>
    </w:lvlOverride>
    <w:lvlOverride w:ilvl="7">
      <w:startOverride w:val="1"/>
    </w:lvlOverride>
    <w:lvlOverride w:ilvl="8">
      <w:lvl w:ilvl="8">
        <w:start w:val="1"/>
        <w:numFmt w:val="bullet"/>
        <w:lvlText w:val=""/>
        <w:lvlJc w:val="left"/>
        <w:pPr>
          <w:tabs>
            <w:tab w:val="num" w:pos="3600"/>
          </w:tabs>
          <w:ind w:left="3600" w:hanging="360"/>
        </w:pPr>
        <w:rPr>
          <w:rFonts w:ascii="Symbol" w:hAnsi="Symbol" w:cs="Symbol" w:hint="default"/>
        </w:rPr>
      </w:lvl>
    </w:lvlOverride>
  </w:num>
  <w:num w:numId="12">
    <w:abstractNumId w:val="5"/>
    <w:lvlOverride w:ilvl="0">
      <w:startOverride w:val="2"/>
    </w:lvlOverride>
  </w:num>
  <w:num w:numId="13">
    <w:abstractNumId w:val="5"/>
    <w:lvlOverride w:ilvl="0">
      <w:startOverride w:val="3"/>
    </w:lvlOverride>
  </w:num>
  <w:num w:numId="14">
    <w:abstractNumId w:val="14"/>
  </w:num>
  <w:num w:numId="15">
    <w:abstractNumId w:val="14"/>
    <w:lvlOverride w:ilvl="0">
      <w:startOverride w:val="1"/>
    </w:lvlOverride>
  </w:num>
  <w:num w:numId="16">
    <w:abstractNumId w:val="16"/>
  </w:num>
  <w:num w:numId="17">
    <w:abstractNumId w:val="16"/>
    <w:lvlOverride w:ilvl="0">
      <w:startOverride w:val="1"/>
    </w:lvlOverride>
  </w:num>
</w:numbering>
</file>

<file path=word/settings.xml><?xml version="1.0" encoding="utf-8"?>
<w:settings xmlns:w="http://schemas.openxmlformats.org/wordprocessingml/2006/main">
  <w:zoom w:percent="100"/>
  <w:mirrorMargins/>
  <w:defaultTabStop w:val="1134"/>
  <w:autoHyphenation w:val="true"/>
  <w:footnotePr>
    <w:numFmt w:val="decimal"/>
    <w:footnote w:id="0"/>
    <w:footnote w:id="1"/>
  </w:footnotePr>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tinus Serif;Linux Libertine O;Times New Roman" w:hAnsi="Libertinus Serif;Linux Libertine O;Times New Roman" w:eastAsia="DejaVu Sans" w:cs="Noto Sans Arabic UI"/>
        <w:color w:val="000000"/>
        <w:szCs w:val="24"/>
        <w:lang w:val="en-US" w:eastAsia="zh-CN" w:bidi="hi-IN"/>
      </w:rPr>
    </w:rPrDefault>
    <w:pPrDefault>
      <w:pPr>
        <w:suppressAutoHyphens w:val="true"/>
        <w:spacing w:lineRule="auto" w:line="312"/>
      </w:pPr>
    </w:pPrDefault>
  </w:docDefaults>
  <w:style w:type="paragraph" w:styleId="Normal">
    <w:name w:val="Normal"/>
    <w:qFormat/>
    <w:pPr>
      <w:widowControl w:val="false"/>
      <w:bidi w:val="0"/>
      <w:spacing w:lineRule="auto" w:line="312" w:before="170" w:after="170"/>
      <w:ind w:left="170" w:right="170"/>
    </w:pPr>
    <w:rPr>
      <w:rFonts w:ascii="Libertinus Serif;Linux Libertine O;Times New Roman" w:hAnsi="Libertinus Serif;Linux Libertine O;Times New Roman"/>
      <w:sz w:val="20"/>
      <w:lang w:val="en-US" w:eastAsia="zh-CN" w:bidi="hi-IN"/>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styleId="Highlight">
    <w:name w:val="Highlight"/>
    <w:qFormat/>
    <w:rPr>
      <w:sz w:val="20"/>
      <w:shd w:fill="FFB6C1" w:val="clear"/>
    </w:rPr>
  </w:style>
  <w:style w:type="character" w:styleId="OrgSrcFontLockStringFace">
    <w:name w:val="OrgSrcFontLockStringFace"/>
    <w:qFormat/>
    <w:rPr>
      <w:color w:val="4E9A06"/>
      <w:shd w:fill="EDEDED" w:val="clear"/>
    </w:rPr>
  </w:style>
  <w:style w:type="character" w:styleId="OrgSrcFontLockDocFace">
    <w:name w:val="OrgSrcFontLockDocFace"/>
    <w:qFormat/>
    <w:rPr>
      <w:color w:val="4E9A06"/>
      <w:shd w:fill="EDEDED" w:val="clear"/>
    </w:rPr>
  </w:style>
  <w:style w:type="character" w:styleId="OrgSrcFontLockFunctionNameFace">
    <w:name w:val="OrgSrcFontLockFunctionNameFace"/>
    <w:qFormat/>
    <w:rPr>
      <w:color w:val="00578E"/>
      <w:shd w:fill="EDEDED" w:val="clear"/>
    </w:rPr>
  </w:style>
  <w:style w:type="character" w:styleId="OrgSrcFontLockKeywordFace">
    <w:name w:val="OrgSrcFontLockKeywordFace"/>
    <w:qFormat/>
    <w:rPr>
      <w:color w:val="A52A2A"/>
      <w:shd w:fill="EDEDED" w:val="clear"/>
    </w:rPr>
  </w:style>
  <w:style w:type="character" w:styleId="Emphasis">
    <w:name w:val="Emphasis"/>
    <w:qFormat/>
    <w:rPr>
      <w:i/>
      <w:iCs/>
    </w:rPr>
  </w:style>
  <w:style w:type="character" w:styleId="Underline">
    <w:name w:val="Underline"/>
    <w:qFormat/>
    <w:rPr>
      <w:u w:val="single"/>
      <w:shd w:fill="auto" w:val="clear"/>
    </w:rPr>
  </w:style>
  <w:style w:type="character" w:styleId="Strikethrough">
    <w:name w:val="Strikethrough"/>
    <w:qFormat/>
    <w:rPr>
      <w:strike/>
    </w:rPr>
  </w:style>
  <w:style w:type="character" w:styleId="SourceText">
    <w:name w:val="Source Text"/>
    <w:qFormat/>
    <w:rPr>
      <w:rFonts w:ascii="Courier New" w:hAnsi="Courier New" w:eastAsia="NSimSun" w:cs="Courier New"/>
      <w:shd w:fill="auto" w:val="clear"/>
    </w:rPr>
  </w:style>
  <w:style w:type="character" w:styleId="Quotation">
    <w:name w:val="Quotation"/>
    <w:qFormat/>
    <w:rPr>
      <w:i/>
      <w:iCs/>
    </w:rPr>
  </w:style>
  <w:style w:type="character" w:styleId="Example">
    <w:name w:val="Example"/>
    <w:qFormat/>
    <w:rPr>
      <w:rFonts w:ascii="Courier New" w:hAnsi="Courier New" w:eastAsia="NSimSun" w:cs="Courier New"/>
      <w:shd w:fill="auto" w:val="clear"/>
    </w:rPr>
  </w:style>
  <w:style w:type="character" w:styleId="OrgCode">
    <w:name w:val="OrgCode"/>
    <w:basedOn w:val="SourceText"/>
    <w:qFormat/>
    <w:rPr/>
  </w:style>
  <w:style w:type="character" w:styleId="OrgTodo">
    <w:name w:val="OrgTodo"/>
    <w:qFormat/>
    <w:rPr/>
  </w:style>
  <w:style w:type="character" w:styleId="OrgDone">
    <w:name w:val="OrgDone"/>
    <w:qFormat/>
    <w:rPr/>
  </w:style>
  <w:style w:type="character" w:styleId="OrgTag">
    <w:name w:val="OrgTag"/>
    <w:qFormat/>
    <w:rPr>
      <w:smallCaps/>
      <w:shd w:fill="auto" w:val="clear"/>
    </w:rPr>
  </w:style>
  <w:style w:type="character" w:styleId="OrgTags">
    <w:name w:val="OrgTags"/>
    <w:qFormat/>
    <w:rPr/>
  </w:style>
  <w:style w:type="character" w:styleId="OrgPriority">
    <w:name w:val="OrgPriority"/>
    <w:qFormat/>
    <w:rPr/>
  </w:style>
  <w:style w:type="character" w:styleId="OrgPriority-A">
    <w:name w:val="OrgPriority-A"/>
    <w:basedOn w:val="OrgPriority"/>
    <w:qFormat/>
    <w:rPr/>
  </w:style>
  <w:style w:type="character" w:styleId="OrgPriority-B">
    <w:name w:val="OrgPriority-B"/>
    <w:basedOn w:val="OrgPriority"/>
    <w:qFormat/>
    <w:rPr/>
  </w:style>
  <w:style w:type="character" w:styleId="OrgPriority-C">
    <w:name w:val="OrgPriority-C"/>
    <w:basedOn w:val="OrgPriority"/>
    <w:qFormat/>
    <w:rPr/>
  </w:style>
  <w:style w:type="character" w:styleId="OrgTimestamp">
    <w:name w:val="OrgTimestamp"/>
    <w:qFormat/>
    <w:rPr>
      <w:rFonts w:ascii="Courier New" w:hAnsi="Courier New" w:eastAsia="NSimSun" w:cs="Courier New"/>
      <w:shd w:fill="auto" w:val="clear"/>
    </w:rPr>
  </w:style>
  <w:style w:type="character" w:styleId="OrgActiveTimestamp">
    <w:name w:val="OrgActiveTimestamp"/>
    <w:basedOn w:val="OrgTimestamp"/>
    <w:qFormat/>
    <w:rPr/>
  </w:style>
  <w:style w:type="character" w:styleId="OrgInactiveTimestamp">
    <w:name w:val="OrgInactiveTimestamp"/>
    <w:basedOn w:val="OrgTimestamp"/>
    <w:qFormat/>
    <w:rPr/>
  </w:style>
  <w:style w:type="character" w:styleId="OrgTimestampKeyword">
    <w:name w:val="OrgTimestampKeyword"/>
    <w:qFormat/>
    <w:rPr>
      <w:b/>
      <w:color w:val="auto"/>
    </w:rPr>
  </w:style>
  <w:style w:type="character" w:styleId="OrgScheduledKeyword">
    <w:name w:val="OrgScheduledKeyword"/>
    <w:basedOn w:val="OrgTimestampKeyword"/>
    <w:qFormat/>
    <w:rPr/>
  </w:style>
  <w:style w:type="character" w:styleId="OrgDeadlineKeyword">
    <w:name w:val="OrgDeadlineKeyword"/>
    <w:basedOn w:val="OrgTimestampKeyword"/>
    <w:qFormat/>
    <w:rPr/>
  </w:style>
  <w:style w:type="character" w:styleId="OrgClockKeyword">
    <w:name w:val="OrgClockKeyword"/>
    <w:basedOn w:val="OrgTimestampKeyword"/>
    <w:qFormat/>
    <w:rPr/>
  </w:style>
  <w:style w:type="character" w:styleId="OrgClosedKeyword">
    <w:name w:val="OrgClosedKeyword"/>
    <w:basedOn w:val="OrgTimestampKeyword"/>
    <w:qFormat/>
    <w:rPr/>
  </w:style>
  <w:style w:type="character" w:styleId="OrgTimestampWrapper">
    <w:name w:val="OrgTimestampWrapper"/>
    <w:qFormat/>
    <w:rPr/>
  </w:style>
  <w:style w:type="character" w:styleId="OrgTarget">
    <w:name w:val="OrgTarget"/>
    <w:qFormat/>
    <w:rPr/>
  </w:style>
  <w:style w:type="character" w:styleId="Bold">
    <w:name w:val="Bold"/>
    <w:qFormat/>
    <w:rPr>
      <w:b/>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OrgSuperscript">
    <w:name w:val="OrgSuperscript"/>
    <w:qFormat/>
    <w:rPr>
      <w:vertAlign w:val="superscript"/>
    </w:rPr>
  </w:style>
  <w:style w:type="character" w:styleId="OrgSubscript">
    <w:name w:val="OrgSubscript"/>
    <w:qFormat/>
    <w:rPr>
      <w:vertAlign w:val="subscript"/>
    </w:rPr>
  </w:style>
  <w:style w:type="character" w:styleId="Hyperlink">
    <w:name w:val="Hyperlink"/>
    <w:rPr>
      <w:color w:val="000080"/>
      <w:u w:val="single"/>
      <w:lang w:val="zxx" w:eastAsia="zxx" w:bidi="zxx"/>
    </w:rPr>
  </w:style>
  <w:style w:type="character" w:styleId="Bullet20Symbols">
    <w:name w:val="Bullet_20_Symbols"/>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tabs>
        <w:tab w:val="clear" w:pos="1134"/>
        <w:tab w:val="right" w:pos="9808" w:leader="none"/>
      </w:tabs>
      <w:spacing w:before="240" w:after="120"/>
    </w:pPr>
    <w:rPr>
      <w:rFonts w:ascii="Arial" w:hAnsi="Arial" w:eastAsia="SimSun" w:cs="Tahoma"/>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Heading201unnumbered">
    <w:name w:val="Heading_20_1_unnumbered"/>
    <w:basedOn w:val="Heading1"/>
    <w:qFormat/>
    <w:pPr>
      <w:numPr>
        <w:ilvl w:val="0"/>
        <w:numId w:val="0"/>
      </w:numPr>
      <w:outlineLvl w:val="9"/>
    </w:pPr>
    <w:rPr/>
  </w:style>
  <w:style w:type="paragraph" w:styleId="Heading202unnumbered">
    <w:name w:val="Heading_20_2_unnumbered"/>
    <w:basedOn w:val="Heading2"/>
    <w:qFormat/>
    <w:pPr>
      <w:numPr>
        <w:ilvl w:val="0"/>
        <w:numId w:val="0"/>
      </w:numPr>
      <w:outlineLvl w:val="9"/>
    </w:pPr>
    <w:rPr/>
  </w:style>
  <w:style w:type="paragraph" w:styleId="Heading203unnumbered">
    <w:name w:val="Heading_20_3_unnumbered"/>
    <w:basedOn w:val="Heading3"/>
    <w:qFormat/>
    <w:pPr>
      <w:numPr>
        <w:ilvl w:val="0"/>
        <w:numId w:val="0"/>
      </w:numPr>
      <w:outlineLvl w:val="9"/>
    </w:pPr>
    <w:rPr/>
  </w:style>
  <w:style w:type="paragraph" w:styleId="Heading204unnumbered">
    <w:name w:val="Heading_20_4_unnumbered"/>
    <w:basedOn w:val="Heading4"/>
    <w:qFormat/>
    <w:pPr>
      <w:numPr>
        <w:ilvl w:val="0"/>
        <w:numId w:val="0"/>
      </w:numPr>
      <w:outlineLvl w:val="9"/>
    </w:pPr>
    <w:rPr/>
  </w:style>
  <w:style w:type="paragraph" w:styleId="Heading205unnumbered">
    <w:name w:val="Heading_20_5_unnumbered"/>
    <w:basedOn w:val="Heading5"/>
    <w:qFormat/>
    <w:pPr>
      <w:numPr>
        <w:ilvl w:val="0"/>
        <w:numId w:val="0"/>
      </w:numPr>
      <w:outlineLvl w:val="9"/>
    </w:pPr>
    <w:rPr/>
  </w:style>
  <w:style w:type="paragraph" w:styleId="Heading206unnumbered">
    <w:name w:val="Heading_20_6_unnumbered"/>
    <w:basedOn w:val="Heading6"/>
    <w:qFormat/>
    <w:pPr>
      <w:numPr>
        <w:ilvl w:val="0"/>
        <w:numId w:val="0"/>
      </w:numPr>
      <w:outlineLvl w:val="9"/>
    </w:pPr>
    <w:rPr/>
  </w:style>
  <w:style w:type="paragraph" w:styleId="Heading207unnumbered">
    <w:name w:val="Heading_20_7_unnumbered"/>
    <w:basedOn w:val="Heading7"/>
    <w:qFormat/>
    <w:pPr>
      <w:numPr>
        <w:ilvl w:val="0"/>
        <w:numId w:val="0"/>
      </w:numPr>
      <w:outlineLvl w:val="9"/>
    </w:pPr>
    <w:rPr/>
  </w:style>
  <w:style w:type="paragraph" w:styleId="Heading208unnumbered">
    <w:name w:val="Heading_20_8_unnumbered"/>
    <w:basedOn w:val="Heading8"/>
    <w:qFormat/>
    <w:pPr>
      <w:numPr>
        <w:ilvl w:val="0"/>
        <w:numId w:val="0"/>
      </w:numPr>
      <w:outlineLvl w:val="9"/>
    </w:pPr>
    <w:rPr/>
  </w:style>
  <w:style w:type="paragraph" w:styleId="Heading209unnumbered">
    <w:name w:val="Heading_20_9_unnumbered"/>
    <w:basedOn w:val="Heading9"/>
    <w:qFormat/>
    <w:pPr>
      <w:numPr>
        <w:ilvl w:val="0"/>
        <w:numId w:val="0"/>
      </w:numPr>
      <w:outlineLvl w:val="9"/>
    </w:pPr>
    <w:rPr/>
  </w:style>
  <w:style w:type="paragraph" w:styleId="Heading10">
    <w:name w:val="Heading 10"/>
    <w:basedOn w:val="Heading"/>
    <w:next w:val="BodyText"/>
    <w:qFormat/>
    <w:pPr>
      <w:numPr>
        <w:ilvl w:val="8"/>
        <w:numId w:val="1"/>
      </w:numPr>
      <w:outlineLvl w:val="8"/>
    </w:pPr>
    <w:rPr>
      <w:b/>
      <w:bCs/>
      <w:sz w:val="21"/>
      <w:szCs w:val="21"/>
    </w:rPr>
  </w:style>
  <w:style w:type="paragraph" w:styleId="Heading2010unnumbered">
    <w:name w:val="Heading_20_10_unnumbered"/>
    <w:basedOn w:val="Heading10"/>
    <w:qFormat/>
    <w:pPr>
      <w:numPr>
        <w:ilvl w:val="0"/>
        <w:numId w:val="0"/>
      </w:numPr>
      <w:outlineLvl w:val="9"/>
    </w:pPr>
    <w:rPr/>
  </w:style>
  <w:style w:type="paragraph" w:styleId="Heading1title">
    <w:name w:val="Heading 1.title"/>
    <w:basedOn w:val="Heading1"/>
    <w:qFormat/>
    <w:pPr>
      <w:numPr>
        <w:ilvl w:val="0"/>
        <w:numId w:val="0"/>
      </w:numPr>
      <w:jc w:val="center"/>
      <w:outlineLvl w:val="9"/>
    </w:pPr>
    <w:rPr/>
  </w:style>
  <w:style w:type="paragraph" w:styleId="Title">
    <w:name w:val="Title"/>
    <w:basedOn w:val="Heading"/>
    <w:next w:val="Subtitle"/>
    <w:qFormat/>
    <w:pPr>
      <w:jc w:val="center"/>
    </w:pPr>
    <w:rPr>
      <w:b/>
      <w:bCs/>
      <w:sz w:val="36"/>
      <w:szCs w:val="36"/>
    </w:rPr>
  </w:style>
  <w:style w:type="paragraph" w:styleId="OrgTitle">
    <w:name w:val="OrgTitle"/>
    <w:basedOn w:val="Title"/>
    <w:qFormat/>
    <w:pPr>
      <w:spacing w:before="0" w:after="0"/>
    </w:pPr>
    <w:rPr>
      <w:sz w:val="48"/>
    </w:rPr>
  </w:style>
  <w:style w:type="paragraph" w:styleId="Subtitle">
    <w:name w:val="Subtitle"/>
    <w:basedOn w:val="Heading"/>
    <w:next w:val="BodyText"/>
    <w:qFormat/>
    <w:pPr>
      <w:jc w:val="center"/>
    </w:pPr>
    <w:rPr>
      <w:i/>
      <w:iCs/>
      <w:sz w:val="28"/>
      <w:szCs w:val="28"/>
    </w:rPr>
  </w:style>
  <w:style w:type="paragraph" w:styleId="OrgSubtitle">
    <w:name w:val="OrgSubtitle"/>
    <w:basedOn w:val="Subtitle"/>
    <w:qFormat/>
    <w:pPr>
      <w:spacing w:before="0" w:after="0"/>
    </w:pPr>
    <w:rPr>
      <w:sz w:val="40"/>
    </w:rPr>
  </w:style>
  <w:style w:type="paragraph" w:styleId="BodyTextIndent">
    <w:name w:val="Body Text Indent"/>
    <w:basedOn w:val="BodyText"/>
    <w:pPr>
      <w:ind w:hanging="0" w:left="283" w:right="0"/>
    </w:pPr>
    <w:rPr/>
  </w:style>
  <w:style w:type="paragraph" w:styleId="ListIndent">
    <w:name w:val="List Indent"/>
    <w:basedOn w:val="BodyText"/>
    <w:qFormat/>
    <w:pPr>
      <w:tabs>
        <w:tab w:val="clear" w:pos="1134"/>
        <w:tab w:val="left" w:pos="2835" w:leader="none"/>
      </w:tabs>
      <w:ind w:hanging="2551" w:left="2835" w:right="0"/>
    </w:pPr>
    <w:rPr/>
  </w:style>
  <w:style w:type="paragraph" w:styleId="BodyTextFirstIndent">
    <w:name w:val="Body Text First Indent"/>
    <w:basedOn w:val="BodyText"/>
    <w:pPr>
      <w:ind w:firstLine="283" w:left="0" w:right="0"/>
    </w:pPr>
    <w:rPr/>
  </w:style>
  <w:style w:type="paragraph" w:styleId="HangingIndent">
    <w:name w:val="Hanging Indent"/>
    <w:basedOn w:val="BodyText"/>
    <w:qFormat/>
    <w:pPr>
      <w:tabs>
        <w:tab w:val="clear" w:pos="1134"/>
        <w:tab w:val="left" w:pos="567" w:leader="none"/>
      </w:tabs>
      <w:ind w:hanging="283" w:left="567" w:right="0"/>
    </w:pPr>
    <w:rPr/>
  </w:style>
  <w:style w:type="paragraph" w:styleId="Salutation">
    <w:name w:val="Salutation"/>
    <w:basedOn w:val="Normal"/>
    <w:pPr>
      <w:suppressLineNumbers/>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suppressLineNumbers/>
      <w:ind w:hanging="0" w:left="0" w:right="0"/>
    </w:pPr>
    <w:rPr>
      <w:b/>
      <w:bCs/>
      <w:sz w:val="32"/>
      <w:szCs w:val="32"/>
    </w:rPr>
  </w:style>
  <w:style w:type="paragraph" w:styleId="TOC1">
    <w:name w:val="TOC 1"/>
    <w:basedOn w:val="Index"/>
    <w:pPr>
      <w:tabs>
        <w:tab w:val="clear" w:pos="1134"/>
        <w:tab w:val="right" w:pos="9638" w:leader="dot"/>
      </w:tabs>
      <w:ind w:hanging="0" w:left="0" w:right="0"/>
    </w:pPr>
    <w:rPr/>
  </w:style>
  <w:style w:type="paragraph" w:styleId="TOC2">
    <w:name w:val="TOC 2"/>
    <w:basedOn w:val="Index"/>
    <w:pPr>
      <w:tabs>
        <w:tab w:val="clear" w:pos="1134"/>
        <w:tab w:val="right" w:pos="9638" w:leader="dot"/>
      </w:tabs>
      <w:ind w:hanging="0" w:left="283" w:right="0"/>
    </w:pPr>
    <w:rPr/>
  </w:style>
  <w:style w:type="paragraph" w:styleId="TOC3">
    <w:name w:val="TOC 3"/>
    <w:basedOn w:val="Index"/>
    <w:pPr>
      <w:tabs>
        <w:tab w:val="clear" w:pos="1134"/>
        <w:tab w:val="right" w:pos="9638" w:leader="dot"/>
      </w:tabs>
      <w:ind w:hanging="0" w:left="566" w:right="0"/>
    </w:pPr>
    <w:rPr/>
  </w:style>
  <w:style w:type="paragraph" w:styleId="TOC4">
    <w:name w:val="TOC 4"/>
    <w:basedOn w:val="Index"/>
    <w:pPr>
      <w:tabs>
        <w:tab w:val="clear" w:pos="1134"/>
        <w:tab w:val="right" w:pos="9638" w:leader="dot"/>
      </w:tabs>
      <w:ind w:hanging="0" w:left="849" w:right="0"/>
    </w:pPr>
    <w:rPr/>
  </w:style>
  <w:style w:type="paragraph" w:styleId="TOC5">
    <w:name w:val="TOC 5"/>
    <w:basedOn w:val="Index"/>
    <w:pPr>
      <w:tabs>
        <w:tab w:val="clear" w:pos="1134"/>
        <w:tab w:val="right" w:pos="9638" w:leader="dot"/>
      </w:tabs>
      <w:ind w:hanging="0" w:left="1132" w:right="0"/>
    </w:pPr>
    <w:rPr/>
  </w:style>
  <w:style w:type="paragraph" w:styleId="TOC6">
    <w:name w:val="TOC 6"/>
    <w:basedOn w:val="Index"/>
    <w:pPr>
      <w:tabs>
        <w:tab w:val="clear" w:pos="1134"/>
        <w:tab w:val="right" w:pos="9638" w:leader="dot"/>
      </w:tabs>
      <w:ind w:hanging="0" w:left="1415" w:right="0"/>
    </w:pPr>
    <w:rPr/>
  </w:style>
  <w:style w:type="paragraph" w:styleId="TOC7">
    <w:name w:val="TOC 7"/>
    <w:basedOn w:val="Index"/>
    <w:pPr>
      <w:tabs>
        <w:tab w:val="clear" w:pos="1134"/>
        <w:tab w:val="right" w:pos="9638" w:leader="dot"/>
      </w:tabs>
      <w:ind w:hanging="0" w:left="1698" w:right="0"/>
    </w:pPr>
    <w:rPr/>
  </w:style>
  <w:style w:type="paragraph" w:styleId="TOC8">
    <w:name w:val="TOC 8"/>
    <w:basedOn w:val="Index"/>
    <w:pPr>
      <w:tabs>
        <w:tab w:val="clear" w:pos="1134"/>
        <w:tab w:val="right" w:pos="9638" w:leader="dot"/>
      </w:tabs>
      <w:ind w:hanging="0" w:left="1981" w:right="0"/>
    </w:pPr>
    <w:rPr/>
  </w:style>
  <w:style w:type="paragraph" w:styleId="TOC9">
    <w:name w:val="TOC 9"/>
    <w:basedOn w:val="Index"/>
    <w:pPr>
      <w:tabs>
        <w:tab w:val="clear" w:pos="1134"/>
        <w:tab w:val="right" w:pos="9638" w:leader="dot"/>
      </w:tabs>
      <w:ind w:hanging="0" w:left="2264" w:right="0"/>
    </w:pPr>
    <w:rPr/>
  </w:style>
  <w:style w:type="paragraph" w:styleId="Contents10">
    <w:name w:val="Contents 10"/>
    <w:basedOn w:val="Index"/>
    <w:qFormat/>
    <w:pPr>
      <w:tabs>
        <w:tab w:val="clear" w:pos="1134"/>
        <w:tab w:val="right" w:pos="9638" w:leader="dot"/>
      </w:tabs>
      <w:ind w:hanging="0" w:left="2547" w:right="0"/>
    </w:pPr>
    <w:rPr/>
  </w:style>
  <w:style w:type="paragraph" w:styleId="BlockQuotation">
    <w:name w:val="Block Quotation"/>
    <w:basedOn w:val="Normal"/>
    <w:qFormat/>
    <w:pPr>
      <w:spacing w:before="0" w:after="283"/>
      <w:ind w:hanging="0" w:left="567" w:right="567"/>
    </w:pPr>
    <w:rPr/>
  </w:style>
  <w:style w:type="paragraph" w:styleId="OrgFootnoteQuotations">
    <w:name w:val="OrgFootnoteQuotations"/>
    <w:basedOn w:val="FootnoteText"/>
    <w:qFormat/>
    <w:pPr>
      <w:spacing w:before="0" w:after="283"/>
      <w:ind w:hanging="0" w:left="567" w:right="567"/>
    </w:pPr>
    <w:rPr/>
  </w:style>
  <w:style w:type="paragraph" w:styleId="PreformattedText">
    <w:name w:val="Preformatted Text"/>
    <w:basedOn w:val="Normal"/>
    <w:qFormat/>
    <w:pPr>
      <w:spacing w:before="0" w:after="0"/>
    </w:pPr>
    <w:rPr>
      <w:rFonts w:ascii="Courier New" w:hAnsi="Courier New" w:eastAsia="NSimSun" w:cs="Courier New"/>
      <w:sz w:val="20"/>
      <w:szCs w:val="20"/>
    </w:rPr>
  </w:style>
  <w:style w:type="paragraph" w:styleId="OrgVerse">
    <w:name w:val="OrgVerse"/>
    <w:basedOn w:val="PreformattedText"/>
    <w:qFormat/>
    <w:pPr>
      <w:pBdr>
        <w:top w:val="single" w:sz="2" w:space="16" w:color="000000"/>
        <w:left w:val="single" w:sz="2" w:space="16" w:color="000000"/>
        <w:bottom w:val="single" w:sz="2" w:space="16" w:color="000000"/>
        <w:right w:val="single" w:sz="2" w:space="16" w:color="000000"/>
      </w:pBdr>
      <w:shd w:fill="FAF0E6" w:val="clear"/>
    </w:pPr>
    <w:rPr/>
  </w:style>
  <w:style w:type="paragraph" w:styleId="ExampleBlock">
    <w:name w:val="ExampleBlock"/>
    <w:qFormat/>
    <w:pPr>
      <w:widowControl w:val="false"/>
      <w:pBdr/>
      <w:shd w:fill="F7F7F7" w:val="clear"/>
      <w:bidi w:val="0"/>
      <w:spacing w:lineRule="auto" w:line="312" w:before="170" w:after="170"/>
      <w:ind w:left="170" w:right="170"/>
    </w:pPr>
    <w:rPr>
      <w:rFonts w:ascii="Libertinus Serif;Linux Libertine O;Times New Roman" w:hAnsi="Libertinus Serif;Linux Libertine O;Times New Roman"/>
      <w:sz w:val="20"/>
      <w:lang w:val="en-US" w:eastAsia="zh-CN" w:bidi="hi-IN"/>
    </w:rPr>
  </w:style>
  <w:style w:type="paragraph" w:styleId="OrgFixedWidthBlock">
    <w:name w:val="OrgFixedWidthBlock"/>
    <w:basedOn w:val="PreformattedText"/>
    <w:qFormat/>
    <w:pPr>
      <w:pBdr>
        <w:top w:val="single" w:sz="2" w:space="4" w:color="000000"/>
        <w:left w:val="single" w:sz="2" w:space="4" w:color="000000"/>
        <w:bottom w:val="single" w:sz="2" w:space="4" w:color="000000"/>
        <w:right w:val="single" w:sz="2" w:space="4" w:color="000000"/>
      </w:pBdr>
      <w:shd w:fill="F0F8FF" w:val="clear"/>
    </w:pPr>
    <w:rPr/>
  </w:style>
  <w:style w:type="paragraph" w:styleId="OrgFixedWidthBlockLastLine">
    <w:name w:val="OrgFixedWidthBlockLastLine"/>
    <w:basedOn w:val="OrgFixedWidthBlock"/>
    <w:qFormat/>
    <w:pPr>
      <w:spacing w:before="0" w:after="119"/>
    </w:pPr>
    <w:rPr/>
  </w:style>
  <w:style w:type="paragraph" w:styleId="PageBreak">
    <w:name w:val="PageBreak"/>
    <w:basedOn w:val="BodyText"/>
    <w:qFormat/>
    <w:pPr>
      <w:pageBreakBefore/>
    </w:pPr>
    <w:rPr/>
  </w:style>
  <w:style w:type="paragraph" w:styleId="OrgFormula">
    <w:name w:val="OrgFormula"/>
    <w:basedOn w:val="BodyText"/>
    <w:qFormat/>
    <w:pPr>
      <w:tabs>
        <w:tab w:val="clear" w:pos="1134"/>
        <w:tab w:val="right" w:pos="9808" w:leader="none"/>
      </w:tabs>
    </w:pPr>
    <w:rPr/>
  </w:style>
  <w:style w:type="paragraph" w:styleId="Example1">
    <w:name w:val="Example1"/>
    <w:qFormat/>
    <w:pPr>
      <w:widowControl w:val="false"/>
      <w:pBdr>
        <w:top w:val="single" w:sz="4" w:space="8" w:color="000000"/>
        <w:left w:val="single" w:sz="4" w:space="8" w:color="000000"/>
        <w:bottom w:val="single" w:sz="4" w:space="8" w:color="000000"/>
        <w:right w:val="single" w:sz="4" w:space="8" w:color="000000"/>
      </w:pBdr>
      <w:shd w:fill="F7F7F7" w:val="clear"/>
      <w:bidi w:val="0"/>
      <w:spacing w:lineRule="auto" w:line="312" w:before="170" w:after="170"/>
      <w:ind w:left="170" w:right="170"/>
    </w:pPr>
    <w:rPr>
      <w:rFonts w:ascii="Libertinus Serif;Linux Libertine O;Times New Roman" w:hAnsi="Libertinus Serif;Linux Libertine O;Times New Roman"/>
      <w:sz w:val="20"/>
      <w:lang w:val="en-US" w:eastAsia="zh-CN" w:bidi="hi-IN"/>
    </w:rPr>
  </w:style>
  <w:style w:type="paragraph" w:styleId="OrgSrcBlock">
    <w:name w:val="OrgSrcBlock"/>
    <w:basedOn w:val="PreformattedText"/>
    <w:qFormat/>
    <w:pPr>
      <w:pBdr>
        <w:top w:val="single" w:sz="4" w:space="1" w:color="000000"/>
        <w:left w:val="single" w:sz="4" w:space="1" w:color="000000"/>
        <w:bottom w:val="single" w:sz="4" w:space="1" w:color="000000"/>
        <w:right w:val="single" w:sz="4" w:space="1" w:color="000000"/>
      </w:pBdr>
      <w:shd w:fill="EDEDED" w:val="clear"/>
    </w:pPr>
    <w:rPr>
      <w:color w:val="2E3436"/>
    </w:rPr>
  </w:style>
  <w:style w:type="paragraph" w:styleId="OrgCenter">
    <w:name w:val="OrgCenter"/>
    <w:basedOn w:val="BodyText"/>
    <w:qFormat/>
    <w:pPr>
      <w:jc w:val="center"/>
    </w:pPr>
    <w:rPr/>
  </w:style>
  <w:style w:type="paragraph" w:styleId="OrgFootnoteCenter">
    <w:name w:val="OrgFootnoteCenter"/>
    <w:basedOn w:val="FootnoteText"/>
    <w:qFormat/>
    <w:pPr>
      <w:jc w:val="center"/>
    </w:pPr>
    <w:rPr/>
  </w:style>
  <w:style w:type="paragraph" w:styleId="OrgTableContents">
    <w:name w:val="OrgTableContents"/>
    <w:basedOn w:val="BodyText"/>
    <w:qFormat/>
    <w:pPr/>
    <w:rPr/>
  </w:style>
  <w:style w:type="paragraph" w:styleId="OrgTableHeading">
    <w:name w:val="OrgTableHeading"/>
    <w:basedOn w:val="OrgTableContents"/>
    <w:qFormat/>
    <w:pPr>
      <w:suppressLineNumbers/>
      <w:jc w:val="center"/>
    </w:pPr>
    <w:rPr>
      <w:b/>
      <w:bCs/>
    </w:rPr>
  </w:style>
  <w:style w:type="paragraph" w:styleId="OrgTableHeadingLeft">
    <w:name w:val="OrgTableHeadingLeft"/>
    <w:basedOn w:val="OrgTableHeading"/>
    <w:qFormat/>
    <w:pPr>
      <w:jc w:val="left"/>
    </w:pPr>
    <w:rPr>
      <w:sz w:val="20"/>
      <w:szCs w:val="20"/>
    </w:rPr>
  </w:style>
  <w:style w:type="paragraph" w:styleId="OrgTableHeadingRight">
    <w:name w:val="OrgTableHeadingRight"/>
    <w:basedOn w:val="OrgTableHeading"/>
    <w:qFormat/>
    <w:pPr>
      <w:jc w:val="right"/>
    </w:pPr>
    <w:rPr>
      <w:sz w:val="20"/>
      <w:szCs w:val="20"/>
    </w:rPr>
  </w:style>
  <w:style w:type="paragraph" w:styleId="OrgTableHeadingCenter">
    <w:name w:val="OrgTableHeadingCenter"/>
    <w:basedOn w:val="OrgTableHeading"/>
    <w:qFormat/>
    <w:pPr>
      <w:jc w:val="center"/>
    </w:pPr>
    <w:rPr/>
  </w:style>
  <w:style w:type="paragraph" w:styleId="OrgTableContentsLeft">
    <w:name w:val="OrgTableContentsLeft"/>
    <w:basedOn w:val="OrgTableContents"/>
    <w:qFormat/>
    <w:pPr>
      <w:jc w:val="left"/>
    </w:pPr>
    <w:rPr>
      <w:sz w:val="16"/>
      <w:szCs w:val="20"/>
    </w:rPr>
  </w:style>
  <w:style w:type="paragraph" w:styleId="OrgTableContentsRight">
    <w:name w:val="OrgTableContentsRight"/>
    <w:basedOn w:val="OrgTableContents"/>
    <w:qFormat/>
    <w:pPr>
      <w:jc w:val="right"/>
    </w:pPr>
    <w:rPr>
      <w:sz w:val="16"/>
      <w:szCs w:val="20"/>
    </w:rPr>
  </w:style>
  <w:style w:type="paragraph" w:styleId="OrgTableContentsCenter">
    <w:name w:val="OrgTableContentsCenter"/>
    <w:basedOn w:val="OrgTableContents"/>
    <w:qFormat/>
    <w:pPr>
      <w:jc w:val="center"/>
    </w:pPr>
    <w:rPr/>
  </w:style>
  <w:style w:type="paragraph" w:styleId="Textbodybold">
    <w:name w:val="Text body bold"/>
    <w:basedOn w:val="BodyText"/>
    <w:next w:val="BodyText"/>
    <w:qFormat/>
    <w:pPr/>
    <w:rPr>
      <w:b/>
    </w:rPr>
  </w:style>
  <w:style w:type="paragraph" w:styleId="CourseCredentials">
    <w:name w:val="Course Credentials"/>
    <w:basedOn w:val="BodyText"/>
    <w:qFormat/>
    <w:pPr>
      <w:jc w:val="center"/>
    </w:pPr>
    <w:rPr>
      <w:rFonts w:ascii="Tahoma1" w:hAnsi="Tahoma1"/>
      <w:i/>
      <w:color w:val="2AA198"/>
      <w:sz w:val="24"/>
    </w:rPr>
  </w:style>
  <w:style w:type="paragraph" w:styleId="Baggrund">
    <w:name w:val="Baggrund"/>
    <w:qFormat/>
    <w:pPr>
      <w:widowControl w:val="false"/>
      <w:shd w:fill="FFFFE0" w:val="clear"/>
      <w:bidi w:val="0"/>
      <w:spacing w:lineRule="auto" w:line="480" w:before="170" w:after="170"/>
      <w:ind w:left="170" w:right="170"/>
      <w:jc w:val="left"/>
    </w:pPr>
    <w:rPr>
      <w:rFonts w:ascii="Times New Roman" w:hAnsi="Times New Roman"/>
      <w:sz w:val="20"/>
      <w:lang w:val="en-US" w:eastAsia="zh-CN" w:bidi="hi-IN"/>
    </w:rPr>
  </w:style>
  <w:style w:type="paragraph" w:styleId="DineSvar">
    <w:name w:val="DineSvar"/>
    <w:qFormat/>
    <w:pPr>
      <w:widowControl w:val="false"/>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pPr>
    <w:rPr>
      <w:rFonts w:ascii="Times New Roman" w:hAnsi="Times New Roman"/>
      <w:sz w:val="20"/>
      <w:lang w:val="en-US" w:eastAsia="zh-CN" w:bidi="hi-IN"/>
    </w:rPr>
  </w:style>
  <w:style w:type="paragraph" w:styleId="Loesningsforslag">
    <w:name w:val="Loesningsforslag"/>
    <w:qFormat/>
    <w:pPr>
      <w:widowControl w:val="false"/>
      <w:pBdr>
        <w:top w:val="single" w:sz="4" w:space="1" w:color="000000"/>
        <w:left w:val="single" w:sz="4" w:space="1" w:color="000000"/>
        <w:bottom w:val="single" w:sz="4" w:space="1" w:color="000000"/>
        <w:right w:val="single" w:sz="4" w:space="1" w:color="000000"/>
      </w:pBdr>
      <w:shd w:fill="F1DEFC" w:val="clear"/>
      <w:bidi w:val="0"/>
      <w:spacing w:lineRule="auto" w:line="240" w:before="170" w:after="170"/>
      <w:ind w:hanging="0" w:left="170" w:right="170"/>
      <w:jc w:val="left"/>
    </w:pPr>
    <w:rPr>
      <w:rFonts w:ascii="Times New Roman" w:hAnsi="Times New Roman"/>
      <w:sz w:val="20"/>
      <w:lang w:val="en-US" w:eastAsia="zh-CN" w:bidi="hi-IN"/>
    </w:rPr>
  </w:style>
  <w:style w:type="paragraph" w:styleId="FootnoteText">
    <w:name w:val="Footnote Text"/>
    <w:basedOn w:val="Normal"/>
    <w:pPr>
      <w:suppressLineNumbers/>
      <w:ind w:hanging="283" w:left="283" w:right="0"/>
    </w:pPr>
    <w:rPr>
      <w:sz w:val="20"/>
      <w:szCs w:val="20"/>
    </w:rPr>
  </w:style>
  <w:style w:type="paragraph" w:styleId="Figure">
    <w:name w:val="Figure"/>
    <w:basedOn w:val="Caption"/>
    <w:qFormat/>
    <w:pPr/>
    <w:rPr/>
  </w:style>
  <w:style w:type="paragraph" w:styleId="IllustrationIndexHeading">
    <w:name w:val="Illustration Index Heading"/>
    <w:basedOn w:val="Heading"/>
    <w:qFormat/>
    <w:pPr>
      <w:suppressLineNumbers/>
      <w:ind w:hanging="0" w:left="0" w:right="0"/>
    </w:pPr>
    <w:rPr>
      <w:b/>
      <w:bCs/>
      <w:sz w:val="32"/>
      <w:szCs w:val="32"/>
    </w:rPr>
  </w:style>
  <w:style w:type="paragraph" w:styleId="Table">
    <w:name w:val="Table"/>
    <w:basedOn w:val="Caption"/>
    <w:qFormat/>
    <w:pPr>
      <w:jc w:val="center"/>
    </w:pPr>
    <w:rPr/>
  </w:style>
  <w:style w:type="paragraph" w:styleId="Listing">
    <w:name w:val="Listing"/>
    <w:basedOn w:val="Caption"/>
    <w:qFormat/>
    <w:pPr>
      <w:keepNext w:val="true"/>
      <w:tabs>
        <w:tab w:val="clear" w:pos="1134"/>
      </w:tabs>
      <w:ind w:hanging="0" w:left="0" w:right="0"/>
    </w:pPr>
    <w:rPr/>
  </w:style>
  <w:style w:type="paragraph" w:styleId="HorizontalLine">
    <w:name w:val="Horizontal Line"/>
    <w:basedOn w:val="Normal"/>
    <w:next w:val="BodyText"/>
    <w:qFormat/>
    <w:pPr>
      <w:suppressLineNumbers/>
      <w:pBdr>
        <w:bottom w:val="single" w:sz="2" w:space="0" w:color="000000"/>
      </w:pBdr>
      <w:spacing w:before="0" w:after="119"/>
    </w:pPr>
    <w:rPr>
      <w:sz w:val="12"/>
      <w:szCs w:val="12"/>
    </w:rPr>
  </w:style>
  <w:style w:type="paragraph" w:styleId="OrgInlineTaskHeading">
    <w:name w:val="OrgInlineTaskHeading"/>
    <w:basedOn w:val="Caption"/>
    <w:next w:val="BodyText"/>
    <w:qFormat/>
    <w:pPr/>
    <w:rPr>
      <w:b/>
      <w:i w:val="false"/>
    </w:rPr>
  </w:style>
  <w:style w:type="paragraph" w:styleId="HeaderandFooter">
    <w:name w:val="Header and Footer"/>
    <w:basedOn w:val="Normal"/>
    <w:qFormat/>
    <w:pPr>
      <w:suppressLineNumbers/>
      <w:tabs>
        <w:tab w:val="clear" w:pos="1134"/>
        <w:tab w:val="center" w:pos="4989" w:leader="none"/>
        <w:tab w:val="right" w:pos="980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numbering" w:styleId="Numbering1">
    <w:name w:val="Numbering 1"/>
    <w:qFormat/>
  </w:style>
  <w:style w:type="numbering" w:styleId="Bullet">
    <w:name w:val="Bullet •"/>
    <w:qFormat/>
  </w:style>
  <w:style w:type="numbering" w:styleId="OrgNumberedList">
    <w:name w:val="OrgNumberedList"/>
    <w:qFormat/>
  </w:style>
  <w:style w:type="numbering" w:styleId="OrgBulletedList">
    <w:name w:val="OrgBulletedList"/>
    <w:qFormat/>
  </w:style>
  <w:style w:type="numbering" w:styleId="OrgDescriptionList">
    <w:name w:val="OrgDescriptionList"/>
    <w:qFormat/>
  </w:style>
  <w:style w:type="numbering" w:styleId="OrgSrcBlockNumberedLine">
    <w:name w:val="OrgSrcBlockNumberedLin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ensus.gov/data-tools/demo/idb/" TargetMode="Externa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census.gov/programs-surveys/international-programs/about/idb.html"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2026-02-22T14:57:33Z</dcterms:created>
  <dc:creator>Thomas Alexander Gerds</dc:creator>
  <dc:description/>
  <cp:keywords/>
  <dc:language>en-US</dc:language>
  <cp:lastModifiedBy>Thomas Alexander Gerds</cp:lastModifiedBy>
  <dcterms:modified xsi:type="dcterms:W3CDTF">2026-02-22T14:57:33Z</dcterms:modified>
  <cp:revision>0</cp:revision>
  <dc:subject/>
  <dc:title>Modul 2: Holdundervisning</dc:title>
</cp:coreProperties>
</file>